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7DD1F" w14:textId="77777777" w:rsidR="00D27A18" w:rsidRPr="00CB3C5C" w:rsidRDefault="00D27A18" w:rsidP="00D27A18">
      <w:pPr>
        <w:rPr>
          <w:b/>
          <w:bCs/>
        </w:rPr>
      </w:pPr>
      <w:r w:rsidRPr="00CB3C5C">
        <w:rPr>
          <w:b/>
          <w:bCs/>
        </w:rPr>
        <w:t>The Decline of the Cistercians: When, Why, and How</w:t>
      </w:r>
    </w:p>
    <w:p w14:paraId="4092125F" w14:textId="4B60FEF4" w:rsidR="00D27A18" w:rsidRPr="00D27A18" w:rsidRDefault="00D27A18" w:rsidP="00D27A18">
      <w:r w:rsidRPr="00D27A18">
        <w:t>Founded in 1098 at Cîteaux in Burgundy, the Cistercian order quickly became one of the most energetic reform movements of the medieval Church. It emerged in the twelfth century as a response to what its founders regarded as growing excess and laxity within parts of the Benedictine tradition, particularly among the Cluniac houses. The Cistercians placed great emphasis on simplicity and austerity, on strict observance of the Rule of St Benedict, on manual labour, and on withdrawal from worldly affairs. Their aim was to recover what they understood as the original spirit of monastic life. Historians have often described this goal as a return to early or “primitive” monastic observance. This aspiration shaped the order’s practices, architecture, and communal life, creating a distinctive identity that resonated with contemporaries across Europe.</w:t>
      </w:r>
    </w:p>
    <w:p w14:paraId="3ED79A22" w14:textId="50D66156" w:rsidR="00D27A18" w:rsidRPr="00D27A18" w:rsidRDefault="00D27A18" w:rsidP="00D27A18">
      <w:r w:rsidRPr="00D27A18">
        <w:t>Over the following decades, the order spread widely, establishing abbeys in France, England, Germany, Spain, and parts of Eastern Europe. By the mid-thirteenth century, several hundred Cistercian houses were active, and major abbeys such as Clairvaux, Rievaulx, and Fountains functioned as spiritual, economic, and intellectual hubs. These monasteries influenced patterns of devotion, agricultural practice, and ecclesiastical politics, and occasionally played a subtle role in diplomacy, demonstrating the breadth of their influence in medieval society.</w:t>
      </w:r>
    </w:p>
    <w:p w14:paraId="7040D919" w14:textId="77777777" w:rsidR="00D27A18" w:rsidRPr="00D27A18" w:rsidRDefault="00D27A18" w:rsidP="00D27A18">
      <w:r w:rsidRPr="00D27A18">
        <w:t>From the later Middle Ages onward, however, the Cistercians experienced a gradual and uneven decline. Numbers fell in certain regions, standards of discipline varied, and their wider social and religious influence diminished. This essay examines when this process of decline began, why it unfolded as it did, and how the Cistercian experience reflects both the strengths and vulnerabilities of medieval monasticism. In particular, it will explore the interplay of internal pressures, economic and social change, intellectual developments, external crises such as plague and war, and competition from new religious movements, assessing how these factors collectively undermined the order’s original ideals. By considering both the structural patterns of decline and the regional and temporal variations that shaped individual abbeys, the essay aims to provide a nuanced understanding of the Cistercians’ trajectory and their place within the broader context of medieval religious life.</w:t>
      </w:r>
    </w:p>
    <w:p w14:paraId="03F093F3" w14:textId="13BB24D4" w:rsidR="00DB314B" w:rsidRPr="00DB314B" w:rsidRDefault="00DB314B" w:rsidP="00DB314B">
      <w:r w:rsidRPr="00DB314B">
        <w:t>David Knowles’ classic narrative of monastic history suggests a golden age followed by decline, placing the peak of monastic life, including the Cistercians, in the twelfth to early thirteenth centuries.</w:t>
      </w:r>
      <w:r w:rsidR="004C2D98">
        <w:rPr>
          <w:rStyle w:val="FootnoteReference"/>
        </w:rPr>
        <w:footnoteReference w:id="1"/>
      </w:r>
      <w:r w:rsidRPr="00DB314B">
        <w:t xml:space="preserve"> This period coincides with the foundation and growth of major houses such as Clairvaux (1115), Fontenay (1118), and Rievaulx (1132). Under Bernard of Clairvaux, Clairvaux emerged as a centre of spiritual authority and intellectual innovation, attracting disciples, influencing papal policy, and offering </w:t>
      </w:r>
      <w:r w:rsidRPr="00DB314B">
        <w:lastRenderedPageBreak/>
        <w:t>guidance to European rulers on moral and religious matters. The Cistercians’ insistence on manual labour and austere living created a distinctive identity that resonated with both lay and ecclesiastical audiences. Their early successes illustrate a disciplined and energetic order that, for a time, set a standard for monastic reform across Europe.</w:t>
      </w:r>
    </w:p>
    <w:p w14:paraId="3F6870D3" w14:textId="765697E2" w:rsidR="00DB314B" w:rsidRDefault="00DB314B" w:rsidP="00DB314B">
      <w:r w:rsidRPr="00DB314B">
        <w:t xml:space="preserve">However, historiography indicates that the onset of decline can generally be placed in the late thirteenth century. Christopher Brooke, in </w:t>
      </w:r>
      <w:r w:rsidRPr="00DB314B">
        <w:rPr>
          <w:i/>
          <w:iCs/>
        </w:rPr>
        <w:t>The Monastic World 1000–1300</w:t>
      </w:r>
      <w:r w:rsidRPr="00DB314B">
        <w:t xml:space="preserve">, identifies difficulties emerging around 1300, including challenges in sustaining expansion and maintaining </w:t>
      </w:r>
      <w:r w:rsidR="003507F1" w:rsidRPr="007030B1">
        <w:t>numbers of laymen following the bubonic plague of 1348-1349</w:t>
      </w:r>
      <w:r w:rsidRPr="00DB314B">
        <w:t>.</w:t>
      </w:r>
      <w:r w:rsidR="004C2D98">
        <w:rPr>
          <w:rStyle w:val="FootnoteReference"/>
        </w:rPr>
        <w:footnoteReference w:id="2"/>
      </w:r>
      <w:r w:rsidRPr="00DB314B">
        <w:t xml:space="preserve"> </w:t>
      </w:r>
      <w:r w:rsidR="003507F1" w:rsidRPr="007030B1">
        <w:t xml:space="preserve"> Additionally,</w:t>
      </w:r>
      <w:r w:rsidRPr="00DB314B">
        <w:t xml:space="preserve"> by the later Middle Ages, monasteries including the Cistercians were increasingly drawn into secular networks, diminishing their radical separateness and exposing them to the vulnerabilities of wider social and economic systems. </w:t>
      </w:r>
      <w:r w:rsidR="003507F1" w:rsidRPr="007030B1">
        <w:t>The</w:t>
      </w:r>
      <w:r w:rsidRPr="00DB314B">
        <w:t xml:space="preserve"> decline was uneven from the late thirteenth century, varying according to region and local circumstances. By the fourteenth century, multiple crises, most notably plague, famine, and war, accelerated this decline, contributing to the deterioration of discipline, a fall in vocations, and a weakening of spiritual and social influence.</w:t>
      </w:r>
    </w:p>
    <w:p w14:paraId="751C1730" w14:textId="363D4ADA" w:rsidR="00DB314B" w:rsidRPr="00DB314B" w:rsidRDefault="00DB314B" w:rsidP="00DB314B">
      <w:r w:rsidRPr="00DB314B">
        <w:t>By the late fifteenth and early sixteenth centuries, many Cistercian houses were in a reduced state. Architectural evidence, such as unfinished or decaying abbeys, alongside documentary sources, including declining numbers of novices and monks, supports the view that the order’s earlier dynamism had diminished.</w:t>
      </w:r>
      <w:r w:rsidR="004C2D98">
        <w:rPr>
          <w:rStyle w:val="FootnoteReference"/>
        </w:rPr>
        <w:footnoteReference w:id="3"/>
      </w:r>
      <w:r w:rsidRPr="00DB314B">
        <w:t xml:space="preserve"> Knowles observes that by the fifteenth century there were few outstanding saints or reformers within the monastic world, and that monastic houses had become largely “static.”</w:t>
      </w:r>
      <w:r w:rsidR="004C2D98">
        <w:rPr>
          <w:rStyle w:val="FootnoteReference"/>
        </w:rPr>
        <w:footnoteReference w:id="4"/>
      </w:r>
      <w:r w:rsidRPr="00DB314B">
        <w:t xml:space="preserve"> This, however, does not imply that all Cistercian abbeys experienced decline to the same degree, as some houses remained fully operational. Nevertheless, the general pattern suggests that the period from the late thirteenth through the fifteenth century represents the crucial phase of decline.</w:t>
      </w:r>
    </w:p>
    <w:p w14:paraId="51B2909C" w14:textId="77777777" w:rsidR="00DB314B" w:rsidRPr="00DB314B" w:rsidRDefault="00DB314B" w:rsidP="00DB314B">
      <w:r w:rsidRPr="00DB314B">
        <w:t>The causes of Cistercian decline were multi-factorial, involving internal institutional drift, economic pressures, societal and intellectual shifts, external shocks, and competition from new religious movements. These factors interacted in complex ways to undermine the order’s original ideals.</w:t>
      </w:r>
    </w:p>
    <w:p w14:paraId="4A629A65" w14:textId="13A770F3" w:rsidR="00DB314B" w:rsidRPr="00DB314B" w:rsidRDefault="00DB314B" w:rsidP="00DB314B">
      <w:r w:rsidRPr="00DB314B">
        <w:t xml:space="preserve">One of the most frequently cited explanations is internal drift, a gradual weakening of the reforming zeal that initially defined the Cistercians. </w:t>
      </w:r>
      <w:r w:rsidR="0039390E">
        <w:t>M</w:t>
      </w:r>
      <w:r w:rsidRPr="00DB314B">
        <w:t>onastic orders became less disciplined and less innovative after their peak, with fewer outstanding figures to guide spiritual life. Early Cistercian houses emphasized simplicity in architecture, manual labour, and withdrawal from worldly affairs.</w:t>
      </w:r>
      <w:r w:rsidR="004C2D98">
        <w:rPr>
          <w:rStyle w:val="FootnoteReference"/>
        </w:rPr>
        <w:footnoteReference w:id="5"/>
      </w:r>
      <w:r w:rsidRPr="00DB314B">
        <w:t xml:space="preserve"> Over time, many abbeys accumulated wealth, increasingly relied on lay brothers rather than monks for manual labour, and </w:t>
      </w:r>
      <w:r w:rsidRPr="00DB314B">
        <w:lastRenderedPageBreak/>
        <w:t>invested in grand buildings. This shift from ascetic simplicity to institutional complexity created vulnerabilities, as administrative concerns gradually displaced spiritual priorities.</w:t>
      </w:r>
      <w:r w:rsidR="004C2D98">
        <w:rPr>
          <w:rStyle w:val="FootnoteReference"/>
        </w:rPr>
        <w:footnoteReference w:id="6"/>
      </w:r>
    </w:p>
    <w:p w14:paraId="60628499" w14:textId="1D7B1BA9" w:rsidR="00116A13" w:rsidRPr="00116A13" w:rsidRDefault="001856C7" w:rsidP="00116A13">
      <w:r>
        <w:t>This</w:t>
      </w:r>
      <w:r w:rsidR="00116A13" w:rsidRPr="00116A13">
        <w:t xml:space="preserve"> highlights how monasteries became increasingly embedded in the secular world, observing that “the cloister and the world” were progressively intertwined.</w:t>
      </w:r>
      <w:r w:rsidR="004C2D98">
        <w:rPr>
          <w:rStyle w:val="FootnoteReference"/>
        </w:rPr>
        <w:footnoteReference w:id="7"/>
      </w:r>
      <w:r w:rsidR="00116A13" w:rsidRPr="00116A13">
        <w:t xml:space="preserve"> The Cistercians’ original radical separation from worldly affairs became more difficult to maintain as they took on roles as feudal landowners, economic managers, and patrons. For example, the abbeys of Fountains and Rievaulx in England invested heavily in water management, mills, and sheep farming, all of which required extensive administrative oversight. Over the decades, these responsibilities shifted focus away from spiritual discipline toward economic management, demonstrating a gradual but cumulative internal weakening of monastic priorities.</w:t>
      </w:r>
    </w:p>
    <w:p w14:paraId="3E85D2CD" w14:textId="44EDE758" w:rsidR="00116A13" w:rsidRPr="00116A13" w:rsidRDefault="00116A13" w:rsidP="00116A13">
      <w:r w:rsidRPr="00116A13">
        <w:t>Internal drift also appeared in disciplinary laxity. Records from French and English Cistercian houses in the fourteenth century reveal declining observance of fasting, night vigils, and communal prayer.</w:t>
      </w:r>
      <w:r w:rsidR="004C2D98">
        <w:rPr>
          <w:rStyle w:val="FootnoteReference"/>
        </w:rPr>
        <w:footnoteReference w:id="8"/>
      </w:r>
      <w:r w:rsidRPr="00116A13">
        <w:t xml:space="preserve"> Some abbeys attempted internal reforms, such as stricter visitations or renewal of rules, but these measures often had limited effect. The replacement of radical spiritual zeal with institutional momentum gradually eroded cohesion and diminished the order’s spiritual authority.</w:t>
      </w:r>
    </w:p>
    <w:p w14:paraId="2EF4C78F" w14:textId="4C1371C8" w:rsidR="00116A13" w:rsidRDefault="00116A13" w:rsidP="00116A13">
      <w:r w:rsidRPr="00116A13">
        <w:t>Cistercian monasteries were not merely spiritual centres; they were also significant economic institutions. Early Cistercians pioneered the grange system, establishing satellite farms staffed by lay brothers to cultivate land in remote areas. This economic success paradoxically undermined the austerity that had originally defined the order. Wealth brought obligations, including the maintenance of estates, financing of building projects, support for large monastic communities, and the payment of feudal or ecclesiastical dues. Christopher Brooke notes that by the high Middle Ages, monasteries were deeply embedded in Europe’s economic structure, leaving them vulnerable to fluctuations in agricultural productivity and market prices.</w:t>
      </w:r>
      <w:r w:rsidR="00BD501A">
        <w:rPr>
          <w:rStyle w:val="FootnoteReference"/>
        </w:rPr>
        <w:footnoteReference w:id="9"/>
      </w:r>
      <w:r w:rsidR="00BD501A">
        <w:t xml:space="preserve"> </w:t>
      </w:r>
    </w:p>
    <w:p w14:paraId="19CCAC94" w14:textId="57665931" w:rsidR="004959E9" w:rsidRPr="004959E9" w:rsidRDefault="004959E9" w:rsidP="004959E9">
      <w:r w:rsidRPr="004959E9">
        <w:t>The fourteenth century amplified the pressures on Cistercian monasteries. Poor harvests, war, and the Black Death disrupted labour availability and reduced income.</w:t>
      </w:r>
      <w:r w:rsidR="00BD501A">
        <w:rPr>
          <w:rStyle w:val="FootnoteReference"/>
        </w:rPr>
        <w:footnoteReference w:id="10"/>
      </w:r>
      <w:r w:rsidR="00BD501A">
        <w:t xml:space="preserve"> </w:t>
      </w:r>
      <w:r w:rsidRPr="004959E9">
        <w:t xml:space="preserve">Fewer lay brothers and tenant farmers meant that abbeys struggled to manage their estates effectively. For example, Fountains Abbey leased out more of its lands after 1350, reflecting an adaptive response to declining manpower but also marking a </w:t>
      </w:r>
      <w:r w:rsidRPr="004959E9">
        <w:lastRenderedPageBreak/>
        <w:t>departure from the early Cistercian ideal of direct labour and self-sufficiency. Economic pressures did more than reduce wealth; they contributed to a transformation of monastic life that increasingly prioritized survival over spiritual rigor.</w:t>
      </w:r>
    </w:p>
    <w:p w14:paraId="5C05712C" w14:textId="183C9CC9" w:rsidR="004959E9" w:rsidRPr="004959E9" w:rsidRDefault="004959E9" w:rsidP="004959E9">
      <w:r w:rsidRPr="004959E9">
        <w:t xml:space="preserve">Beyond internal and economic factors, broader societal and intellectual changes reshaped the religious landscape. The Cistercians had thrived in the twelfth-century environment of pilgrimage, castle-building, and lay devotion, aligning with wider reform movements such as the Cluniac and Gregorian reforms. By the thirteenth and fourteenth centuries, however, urbanization, demographic growth, and the rise of universities altered patterns of religious life. </w:t>
      </w:r>
    </w:p>
    <w:p w14:paraId="57D382CB" w14:textId="2A1934A4" w:rsidR="004959E9" w:rsidRDefault="004959E9" w:rsidP="004959E9">
      <w:r w:rsidRPr="004959E9">
        <w:t>The rise of mendicant orders, including the Franciscans, Dominicans, and Augustinians, further challenged traditional monasticism. These orders emphasized mobility, preaching, and direct engagement with urban populations, offering a model of religious life that appeared more immediately relevant to the changing needs of lay society. For the Cistercians, whose identity remained closely tied to rural isolation and landholding, this shift made their model less compelling. Recruitment declined as fewer young men were drawn to remote abbeys, while more attractive urban religious options expanded.</w:t>
      </w:r>
      <w:r w:rsidR="00BD501A">
        <w:rPr>
          <w:rStyle w:val="FootnoteReference"/>
        </w:rPr>
        <w:footnoteReference w:id="11"/>
      </w:r>
    </w:p>
    <w:p w14:paraId="5BBBC5D3" w14:textId="64F6C596" w:rsidR="004959E9" w:rsidRPr="004959E9" w:rsidRDefault="004959E9" w:rsidP="004959E9">
      <w:r w:rsidRPr="004959E9">
        <w:t>Intellectual developments, including the rise of scholasticism and humanist thought, indirectly affected monasticism. The emphasis on study, debate, and civic engagement offered an alternative vision of religious service. While Cistercian abbeys cultivated libraries and scriptoria, their primary focus on manual labour and contemplation increasingly appeared narrow in a world of expanding intellectual horizons. Changing devotional practices, such as the rise of personal piety and lay confraternities, further challenged the relevance of monastic life for broader society.</w:t>
      </w:r>
    </w:p>
    <w:p w14:paraId="4DA10A17" w14:textId="2B7EBA9E" w:rsidR="004959E9" w:rsidRPr="004959E9" w:rsidRDefault="004959E9" w:rsidP="004959E9">
      <w:r w:rsidRPr="004959E9">
        <w:t>External crises accelerated the decline of many Cistercian houses. The Black Death (1347–1351) drastically reduced populations across Europe, decimating both monastic communities and the lay labourers on whom abbeys depended.</w:t>
      </w:r>
      <w:r w:rsidR="00BD501A">
        <w:rPr>
          <w:rStyle w:val="FootnoteReference"/>
        </w:rPr>
        <w:footnoteReference w:id="12"/>
      </w:r>
      <w:r w:rsidRPr="004959E9">
        <w:t xml:space="preserve"> Fewer novices and lay brothers meant a diminished capacity to maintain agricultural productivity, while the loss of tenants weakened financial bases. Abbeys struggled to sustain buildings, agricultural operations, and communal life, forcing many to lease lands or reduce communal labour, again departing from the founding ideal.</w:t>
      </w:r>
    </w:p>
    <w:p w14:paraId="360CF769" w14:textId="72C6465C" w:rsidR="004959E9" w:rsidRPr="004959E9" w:rsidRDefault="004959E9" w:rsidP="004959E9">
      <w:r w:rsidRPr="004959E9">
        <w:t xml:space="preserve">Wars compounded these challenges. The Hundred Years’ War (1337–1453) devastated rural lands in France and England, displacing populations and subjecting abbeys to pillage. Rievaulx Abbey, for instance, suffered extensive damage from raids and had to divert resources from spiritual to material survival. Political pressures, including fiscal </w:t>
      </w:r>
      <w:r w:rsidRPr="004959E9">
        <w:lastRenderedPageBreak/>
        <w:t>exactions and interference from secular lords, further undermined monastic stability.</w:t>
      </w:r>
      <w:r w:rsidR="00BD501A">
        <w:rPr>
          <w:rStyle w:val="FootnoteReference"/>
        </w:rPr>
        <w:footnoteReference w:id="13"/>
      </w:r>
      <w:r w:rsidRPr="004959E9">
        <w:t xml:space="preserve"> Christopher Brooke observes that monastic vulnerability to changing patterns of power and patronage was a key factor in late medieval decline. Environmental pressures, including poor harvests linked to climatic changes during the Little Ice Age, also exacerbated these difficulties.</w:t>
      </w:r>
    </w:p>
    <w:p w14:paraId="6496607F" w14:textId="3E09B44C" w:rsidR="004959E9" w:rsidRPr="004959E9" w:rsidRDefault="004959E9" w:rsidP="004959E9">
      <w:r w:rsidRPr="004959E9">
        <w:t>Even beyond the Middle Ages, the Reformation represents a climactic external shock to monastic life. While largely post-medieval, it illustrates a broader pattern of monastic vulnerability: the dissolution of houses in Protestant regions and the weakening of spiritual authority in Catholic Europe further underscores the fragility of monastic institutions in changing political and religious contexts.</w:t>
      </w:r>
    </w:p>
    <w:p w14:paraId="7800D95A" w14:textId="10BA943B" w:rsidR="004959E9" w:rsidRPr="004959E9" w:rsidRDefault="004959E9" w:rsidP="004959E9">
      <w:r w:rsidRPr="004959E9">
        <w:t xml:space="preserve">The Protestant Reformation of the sixteenth century marked a decisive acceleration of Cistercian decline, particularly in northern Europe. </w:t>
      </w:r>
      <w:r w:rsidR="00CF0C38">
        <w:t>M</w:t>
      </w:r>
      <w:r w:rsidRPr="004959E9">
        <w:t>onasticism in the late medieval period was already weakened by internal drift, economic pressures, and societal change, leaving houses vulnerable to external shocks. In regions such as Germany, Scandinavia, and England, Protestant authorities dissolved monasteries, confiscated lands, and dispersed communities, abruptly ending centuries of Cistercian presence.</w:t>
      </w:r>
      <w:r w:rsidR="00BD501A">
        <w:rPr>
          <w:rStyle w:val="FootnoteReference"/>
        </w:rPr>
        <w:footnoteReference w:id="14"/>
      </w:r>
      <w:r w:rsidRPr="004959E9">
        <w:t xml:space="preserve"> </w:t>
      </w:r>
      <w:r w:rsidR="00CF0C38">
        <w:t>T</w:t>
      </w:r>
      <w:r w:rsidRPr="004959E9">
        <w:t>he Reformation not only physically dismantled institutions but also eroded their spiritual and cultural authority, as critiques of monastic wealth and perceived irrelevance gained traction.</w:t>
      </w:r>
    </w:p>
    <w:p w14:paraId="539F3D24" w14:textId="7E32CFD2" w:rsidR="004959E9" w:rsidRPr="004959E9" w:rsidRDefault="008054F5" w:rsidP="004959E9">
      <w:r>
        <w:t>The</w:t>
      </w:r>
      <w:r w:rsidR="004959E9" w:rsidRPr="004959E9">
        <w:t xml:space="preserve"> Reformation prompted defensive reforms and attempts at stricter observance, as noted by Southern and Constable, highlighting the vulnerability of monastic orders to shifts in political and religious power.</w:t>
      </w:r>
      <w:r w:rsidR="00BD501A">
        <w:rPr>
          <w:rStyle w:val="FootnoteReference"/>
        </w:rPr>
        <w:footnoteReference w:id="15"/>
      </w:r>
      <w:r w:rsidR="004959E9" w:rsidRPr="004959E9">
        <w:t xml:space="preserve"> As such, while the Reformation did not initiate the decline documented by Knowles and Thompson, it decisively curtailed the order’s influence in affected regions and reinforced the broader trend of diminishing monastic vitality across Europe.</w:t>
      </w:r>
    </w:p>
    <w:p w14:paraId="421A72B7" w14:textId="2CDC2FB7" w:rsidR="00CC77C0" w:rsidRPr="00CC77C0" w:rsidRDefault="00CC77C0" w:rsidP="0022663F">
      <w:r w:rsidRPr="00CC77C0">
        <w:t xml:space="preserve">Finally, competition within the religious sphere further challenged the Cistercians. While they had originally emerged as a reform movement, by the later Middle Ages they were part of the older monastic establishment. New monastic models, including the Carthusians and the </w:t>
      </w:r>
      <w:r w:rsidR="00FA221E">
        <w:t xml:space="preserve">increase in </w:t>
      </w:r>
      <w:r w:rsidR="0022663F">
        <w:t>o</w:t>
      </w:r>
      <w:r w:rsidR="0022663F" w:rsidRPr="0022663F">
        <w:t>bservantism</w:t>
      </w:r>
      <w:r w:rsidRPr="00CC77C0">
        <w:t>, emphasized stricter discipline or alternative spiritual practices</w:t>
      </w:r>
      <w:r w:rsidR="0022663F">
        <w:t>.</w:t>
      </w:r>
      <w:r w:rsidR="00BD501A">
        <w:rPr>
          <w:rStyle w:val="FootnoteReference"/>
        </w:rPr>
        <w:footnoteReference w:id="16"/>
      </w:r>
      <w:r w:rsidR="0022663F">
        <w:t xml:space="preserve"> </w:t>
      </w:r>
      <w:r w:rsidRPr="00CC77C0">
        <w:t xml:space="preserve">Similarly, the expansion of urban mendicant orders diverted religious energy and patronage, reducing the relative influence of the </w:t>
      </w:r>
      <w:r w:rsidRPr="00CC77C0">
        <w:lastRenderedPageBreak/>
        <w:t>Cistercians. Some Cistercian houses themselves engaged in reform, demonstrating that decline was neither uniform nor inevitable, but often localized.</w:t>
      </w:r>
    </w:p>
    <w:p w14:paraId="0BAFB14C" w14:textId="77777777" w:rsidR="00CC77C0" w:rsidRPr="00CC77C0" w:rsidRDefault="00CC77C0" w:rsidP="00CC77C0">
      <w:r w:rsidRPr="00CC77C0">
        <w:t>The combination of internal drift and external competition meant that Cistercian houses increasingly appeared static, wealthy, and less spiritually dynamic compared to emerging religious alternatives. Where early Cistercians had been agents of reform, by the late Middle Ages they were more defensive, seeking to preserve institutional stability rather than innovate.</w:t>
      </w:r>
    </w:p>
    <w:p w14:paraId="6E3169C7" w14:textId="026E5B82" w:rsidR="00CC77C0" w:rsidRPr="00CC77C0" w:rsidRDefault="00CC77C0" w:rsidP="00CC77C0">
      <w:r w:rsidRPr="00CC77C0">
        <w:t>The decline of the order cannot be attributed to a single cause. Internal drift weakened flexibility and reforming zeal; economic pressures strained their land-based model; societal and intellectual changes reduced recruitment and cultural relevance; external shocks damaged infrastructure and finances; and competition from other religious institutions challenged authority and influence. Taken together, these factors created an environment in which the radical ascetic ideal of the twelfth century could no longer be sustained across Europe.</w:t>
      </w:r>
    </w:p>
    <w:p w14:paraId="06E2C0C8" w14:textId="0FBB47F2" w:rsidR="00775A8F" w:rsidRDefault="00775A8F" w:rsidP="00775A8F">
      <w:r w:rsidRPr="00775A8F">
        <w:t>Some Cistercian houses, particularly in France and Spain, remained vigorous well into the fifteenth century. Others adapted by consolidating resources, merging smaller abbeys, or participating in reform movements. New foundations, although fewer in number, continued in certain regions. The order’s survival in the modern Trappist movement illustrates that the Cistercian spiritual lineage endured despite the challenges of the late medieval period.</w:t>
      </w:r>
      <w:r w:rsidR="008B423D">
        <w:rPr>
          <w:rStyle w:val="FootnoteReference"/>
        </w:rPr>
        <w:footnoteReference w:id="17"/>
      </w:r>
    </w:p>
    <w:p w14:paraId="0CEAAD9C" w14:textId="25BFC18B" w:rsidR="00935F7F" w:rsidRPr="00935F7F" w:rsidRDefault="00935F7F" w:rsidP="00935F7F">
      <w:r w:rsidRPr="00935F7F">
        <w:t>Beyond purely economic or institutional functions, Cistercians continued to shape European culture. Their libraries and scriptoria preserved theological, liturgical, and classical texts, while abbeys such as Clairvaux influenced architectural style through austere yet sophisticated Gothic designs.</w:t>
      </w:r>
      <w:r w:rsidR="008B423D">
        <w:rPr>
          <w:rStyle w:val="FootnoteReference"/>
        </w:rPr>
        <w:footnoteReference w:id="18"/>
      </w:r>
      <w:r w:rsidRPr="00935F7F">
        <w:t xml:space="preserve"> In addition, the order’s agricultural innovations, including water management, granges, and sheep farming, spread knowledge that endured well beyond the medieval period.</w:t>
      </w:r>
    </w:p>
    <w:p w14:paraId="41FF3B66" w14:textId="562E4706" w:rsidR="00935F7F" w:rsidRPr="00775A8F" w:rsidRDefault="00935F7F" w:rsidP="00775A8F">
      <w:r w:rsidRPr="00935F7F">
        <w:t>Even where decline was evident, adaptation often mitigated total collapse. Abbeys sought to balance spiritual ideals with pragmatic management of resources, demonstrating resilience amid demographic, economic, and political pressures. This variation reinforces the idea that decline was a structural trend rather than a uniform or sudden process, highlighting the complexity of assessing the Cistercian experience across Europe.</w:t>
      </w:r>
    </w:p>
    <w:p w14:paraId="440A6876" w14:textId="2E3D77FE" w:rsidR="00775A8F" w:rsidRPr="00775A8F" w:rsidRDefault="00775A8F" w:rsidP="00775A8F">
      <w:r w:rsidRPr="00775A8F">
        <w:t>Yet the weight of the evidence indicates that structural difficulties</w:t>
      </w:r>
      <w:r w:rsidR="007030B1">
        <w:t xml:space="preserve">, </w:t>
      </w:r>
      <w:r w:rsidRPr="00775A8F">
        <w:t>declining vocations, economic pressures, and weakened discipline</w:t>
      </w:r>
      <w:r w:rsidR="007030B1">
        <w:t xml:space="preserve">, </w:t>
      </w:r>
      <w:r w:rsidRPr="00775A8F">
        <w:t xml:space="preserve">made widespread decline highly </w:t>
      </w:r>
      <w:r w:rsidRPr="00775A8F">
        <w:lastRenderedPageBreak/>
        <w:t>probable. While decline was not universal or immediate, it represented a structurally likely outcome given the order’s organizational model and the broader context of later medieval Europe. The early Cistercian model of rural, ascetic, and land-focused monasticism, once highly successful in the twelfth century, became increasingly difficult to sustain amid urbanization, intellectual change, and social crisis.</w:t>
      </w:r>
    </w:p>
    <w:p w14:paraId="5E564C5C" w14:textId="49F831B9" w:rsidR="00775A8F" w:rsidRPr="00775A8F" w:rsidRDefault="00775A8F" w:rsidP="00775A8F">
      <w:r w:rsidRPr="00775A8F">
        <w:t>Overall, the decline of the Cistercians began in the late thirteenth century, accelerated through the fourteenth, and became acute in the fifteenth, shaped by a combination of internal, economic, societal, external, and competitive pressures. Internal drift, the challenges of managing wealth and property, societal and intellectual shifts, external shocks such as plague and war, and competition from new religious movements all contributed to weakening discipline, reducing vocations, and diminishing influence. While some abbeys adapted or remained vigorous, the general pattern illustrates the difficulty of sustaining a radical reformist ideal over several centuries. The historiographical debate, informed by scholars such as Knowles, Brooke, Lawrence, Southern, Burton, and Zarnecki, highlights both the complexity of decline and the challenges of applying a uniform interpretive model. Ultimately, the story of the Cistercians serves as a case study in the fragility of religious institutions, the tension between ideals and practical realities, and the interplay of social, economic, and spiritual forces in medieval Europe.</w:t>
      </w:r>
    </w:p>
    <w:p w14:paraId="7B342A23" w14:textId="3273D924" w:rsidR="00775A8F" w:rsidRDefault="004809C9" w:rsidP="00CC77C0">
      <w:r w:rsidRPr="004809C9">
        <w:t>Even beyond the Middle Ages, the Cistercians left a lasting mark. Their abbeys preserved and copied texts, keeping important theological, liturgical, and classical works alive. Architecturally, buildings like Clairvaux and Fontenay influenced later church design, combining simplicity with elegance. Economically, their innovations in water management, granges, and sheep farming spread practical knowledge to the surrounding countryside. Some abbeys survived into the early modern period, and the later Trappist reform shows that the Cistercian approach to asceticism, labour, and community could still inspire new generations. These achievements suggest that, while the order faced decline in numbers, influence, and strict discipline, it continued to shape European culture and society. Decline did not mean disappearance; rather, it highlights how even struggling institutions can leave a lasting legacy, bridging medieval ideals with later developments in religion, economy, and learning.</w:t>
      </w:r>
    </w:p>
    <w:p w14:paraId="607D75D2" w14:textId="77777777" w:rsidR="008B423D" w:rsidRDefault="008B423D" w:rsidP="008B423D">
      <w:pPr>
        <w:ind w:left="720" w:hanging="720"/>
      </w:pPr>
    </w:p>
    <w:p w14:paraId="35008696" w14:textId="4A195FA7" w:rsidR="008B423D" w:rsidRPr="008B423D" w:rsidRDefault="008B423D" w:rsidP="008B423D">
      <w:pPr>
        <w:ind w:left="680" w:hanging="720"/>
        <w:rPr>
          <w:b/>
          <w:bCs/>
        </w:rPr>
      </w:pPr>
      <w:r w:rsidRPr="008B423D">
        <w:rPr>
          <w:b/>
          <w:bCs/>
        </w:rPr>
        <w:t>Bibliography</w:t>
      </w:r>
    </w:p>
    <w:p w14:paraId="3FBB5423" w14:textId="77777777" w:rsidR="008B423D" w:rsidRDefault="008B423D" w:rsidP="008B423D">
      <w:pPr>
        <w:ind w:left="680" w:hanging="720"/>
      </w:pPr>
      <w:r>
        <w:t>Benedict of Nursia</w:t>
      </w:r>
      <w:r w:rsidRPr="00A445F3">
        <w:t xml:space="preserve">, </w:t>
      </w:r>
      <w:r>
        <w:rPr>
          <w:i/>
          <w:iCs/>
        </w:rPr>
        <w:t>The Rule of Saint Benedict</w:t>
      </w:r>
      <w:r w:rsidRPr="00A445F3">
        <w:t xml:space="preserve">, ed. </w:t>
      </w:r>
      <w:r>
        <w:t>and</w:t>
      </w:r>
      <w:r w:rsidRPr="00A445F3">
        <w:t xml:space="preserve"> trans. by </w:t>
      </w:r>
      <w:r>
        <w:t>Justin McCann</w:t>
      </w:r>
      <w:r w:rsidRPr="00A445F3">
        <w:t xml:space="preserve"> (</w:t>
      </w:r>
      <w:r>
        <w:t>London</w:t>
      </w:r>
      <w:r w:rsidRPr="00A445F3">
        <w:t xml:space="preserve">: </w:t>
      </w:r>
      <w:r>
        <w:t>Burns Oats</w:t>
      </w:r>
      <w:r w:rsidRPr="00A445F3">
        <w:t xml:space="preserve">, </w:t>
      </w:r>
      <w:r>
        <w:t>1952</w:t>
      </w:r>
      <w:r w:rsidRPr="00A445F3">
        <w:t>)</w:t>
      </w:r>
    </w:p>
    <w:p w14:paraId="6A59AB7E" w14:textId="6267B5EE" w:rsidR="001856C7" w:rsidRPr="001856C7" w:rsidRDefault="001856C7" w:rsidP="008B423D">
      <w:pPr>
        <w:ind w:left="680" w:hanging="720"/>
      </w:pPr>
      <w:r w:rsidRPr="001856C7">
        <w:t xml:space="preserve">Brooke, Christopher N. L., </w:t>
      </w:r>
      <w:r w:rsidRPr="001856C7">
        <w:rPr>
          <w:i/>
          <w:iCs/>
        </w:rPr>
        <w:t>The Monastic World 1000–1300</w:t>
      </w:r>
      <w:r w:rsidRPr="001856C7">
        <w:t xml:space="preserve"> (London:</w:t>
      </w:r>
      <w:r w:rsidR="008B423D">
        <w:t xml:space="preserve"> Thames and Hudson</w:t>
      </w:r>
      <w:r w:rsidRPr="001856C7">
        <w:t>, 1974)</w:t>
      </w:r>
    </w:p>
    <w:p w14:paraId="0D14E33C" w14:textId="77777777" w:rsidR="001856C7" w:rsidRDefault="001856C7" w:rsidP="008B423D">
      <w:pPr>
        <w:ind w:left="680" w:hanging="720"/>
      </w:pPr>
      <w:r w:rsidRPr="001856C7">
        <w:lastRenderedPageBreak/>
        <w:t xml:space="preserve">Burton, Janet, </w:t>
      </w:r>
      <w:r w:rsidRPr="001856C7">
        <w:rPr>
          <w:i/>
          <w:iCs/>
        </w:rPr>
        <w:t>Monastic and Religious Orders in Late Medieval England</w:t>
      </w:r>
      <w:r w:rsidRPr="001856C7">
        <w:t xml:space="preserve"> (London: Routledge, 1995)</w:t>
      </w:r>
    </w:p>
    <w:p w14:paraId="05489CD7" w14:textId="77777777" w:rsidR="008B423D" w:rsidRDefault="008B423D" w:rsidP="008B423D">
      <w:pPr>
        <w:ind w:left="680" w:hanging="720"/>
      </w:pPr>
      <w:r w:rsidRPr="008B423D">
        <w:t>Burton</w:t>
      </w:r>
      <w:r>
        <w:t>,</w:t>
      </w:r>
      <w:r w:rsidRPr="008B423D">
        <w:t xml:space="preserve"> Janet and Julie Kerr, Cistercians in the Middle Ages (Woodbridge: The Boydell Press, 2011)</w:t>
      </w:r>
    </w:p>
    <w:p w14:paraId="1B0E63C3" w14:textId="7A82C190" w:rsidR="008B423D" w:rsidRPr="008B423D" w:rsidRDefault="008B423D" w:rsidP="008B423D">
      <w:pPr>
        <w:ind w:left="680" w:hanging="720"/>
      </w:pPr>
      <w:proofErr w:type="spellStart"/>
      <w:r>
        <w:t>Cadw</w:t>
      </w:r>
      <w:proofErr w:type="spellEnd"/>
      <w:r w:rsidRPr="00A445F3">
        <w:t xml:space="preserve">, </w:t>
      </w:r>
      <w:r>
        <w:rPr>
          <w:i/>
          <w:iCs/>
        </w:rPr>
        <w:t>Tintern Abbey</w:t>
      </w:r>
      <w:r w:rsidRPr="00A445F3">
        <w:t xml:space="preserve"> (</w:t>
      </w:r>
      <w:r>
        <w:t>2019</w:t>
      </w:r>
      <w:r w:rsidRPr="00A445F3">
        <w:t xml:space="preserve">) &lt;https://cadw.gov.wales/sites/default/files/2019-05/Tinternnotesforteachers_EN.pdf&gt; [accessed </w:t>
      </w:r>
      <w:r>
        <w:t>07</w:t>
      </w:r>
      <w:r w:rsidRPr="00A445F3">
        <w:t xml:space="preserve"> </w:t>
      </w:r>
      <w:r>
        <w:t>November</w:t>
      </w:r>
      <w:r w:rsidRPr="00A445F3">
        <w:t xml:space="preserve"> </w:t>
      </w:r>
      <w:r>
        <w:t>2025</w:t>
      </w:r>
      <w:r w:rsidRPr="00A445F3">
        <w:t>]</w:t>
      </w:r>
      <w:r>
        <w:t xml:space="preserve"> </w:t>
      </w:r>
    </w:p>
    <w:p w14:paraId="2368B9A6" w14:textId="179464E7" w:rsidR="008B423D" w:rsidRPr="001856C7" w:rsidRDefault="008B423D" w:rsidP="008B423D">
      <w:pPr>
        <w:ind w:left="680" w:hanging="720"/>
      </w:pPr>
      <w:r>
        <w:t xml:space="preserve">Carter, Michael, </w:t>
      </w:r>
      <w:r>
        <w:rPr>
          <w:i/>
          <w:iCs/>
        </w:rPr>
        <w:t>A New Light on the Sacking of Rievaulx Abbey</w:t>
      </w:r>
      <w:r>
        <w:t xml:space="preserve"> (2015) &lt;</w:t>
      </w:r>
      <w:r w:rsidRPr="00BD501A">
        <w:t>https://www.english-heritage.org.uk/visit/inspire-me/blog/blog-posts/rievaulx-new-evidence/</w:t>
      </w:r>
      <w:r>
        <w:t>&gt; [Accessed 11 January 2026]</w:t>
      </w:r>
    </w:p>
    <w:p w14:paraId="755E1BD5" w14:textId="77777777" w:rsidR="001856C7" w:rsidRDefault="001856C7" w:rsidP="008B423D">
      <w:pPr>
        <w:ind w:left="680" w:hanging="720"/>
      </w:pPr>
      <w:r w:rsidRPr="001856C7">
        <w:t xml:space="preserve">Constable, Giles, </w:t>
      </w:r>
      <w:r w:rsidRPr="001856C7">
        <w:rPr>
          <w:i/>
          <w:iCs/>
        </w:rPr>
        <w:t>The Reformation of the Twelfth Century</w:t>
      </w:r>
      <w:r w:rsidRPr="001856C7">
        <w:t xml:space="preserve"> (Cambridge: Cambridge University Press, 1996)</w:t>
      </w:r>
    </w:p>
    <w:p w14:paraId="732EF1A3" w14:textId="541C3E9F" w:rsidR="008B423D" w:rsidRPr="001856C7" w:rsidRDefault="008B423D" w:rsidP="008B423D">
      <w:pPr>
        <w:ind w:left="680" w:hanging="720"/>
      </w:pPr>
      <w:r>
        <w:t xml:space="preserve">Davis, Thomas X., </w:t>
      </w:r>
      <w:r>
        <w:rPr>
          <w:i/>
          <w:iCs/>
        </w:rPr>
        <w:t>Cistercian Architecture</w:t>
      </w:r>
      <w:r>
        <w:rPr>
          <w:iCs/>
        </w:rPr>
        <w:t xml:space="preserve"> &lt;</w:t>
      </w:r>
      <w:r w:rsidRPr="008B423D">
        <w:t xml:space="preserve"> </w:t>
      </w:r>
      <w:r w:rsidRPr="008B423D">
        <w:rPr>
          <w:iCs/>
        </w:rPr>
        <w:t>https://newclairvaux.org/architecture/</w:t>
      </w:r>
      <w:r>
        <w:rPr>
          <w:iCs/>
        </w:rPr>
        <w:t>&gt; [Accessed 11 January 2026]</w:t>
      </w:r>
    </w:p>
    <w:p w14:paraId="2B8C7126" w14:textId="340E2A13" w:rsidR="008B423D" w:rsidRDefault="008B423D" w:rsidP="008B423D">
      <w:pPr>
        <w:ind w:left="680" w:hanging="720"/>
      </w:pPr>
      <w:r>
        <w:t>Knowles</w:t>
      </w:r>
      <w:r>
        <w:t xml:space="preserve">, </w:t>
      </w:r>
      <w:r>
        <w:t xml:space="preserve">David, </w:t>
      </w:r>
      <w:r>
        <w:rPr>
          <w:i/>
          <w:iCs/>
        </w:rPr>
        <w:t>Christian Monasticism</w:t>
      </w:r>
      <w:r>
        <w:t xml:space="preserve"> (New York: McGraw-Hill, 1969</w:t>
      </w:r>
      <w:r>
        <w:t>)</w:t>
      </w:r>
    </w:p>
    <w:p w14:paraId="365EAC92" w14:textId="68FC210A" w:rsidR="001856C7" w:rsidRPr="001856C7" w:rsidRDefault="001856C7" w:rsidP="008B423D">
      <w:pPr>
        <w:ind w:left="680" w:hanging="720"/>
      </w:pPr>
      <w:r w:rsidRPr="001856C7">
        <w:t xml:space="preserve">Knowles, David, </w:t>
      </w:r>
      <w:r w:rsidRPr="001856C7">
        <w:rPr>
          <w:i/>
          <w:iCs/>
        </w:rPr>
        <w:t>The Monastic Order in England: From the Times of St Dunstan to the Fourth Lateran Council, 940–1216</w:t>
      </w:r>
      <w:r w:rsidRPr="001856C7">
        <w:t xml:space="preserve"> (Cambridge: Cambridge University Press, 1969)</w:t>
      </w:r>
    </w:p>
    <w:p w14:paraId="690F2FFC" w14:textId="77777777" w:rsidR="001856C7" w:rsidRPr="001856C7" w:rsidRDefault="001856C7" w:rsidP="008B423D">
      <w:pPr>
        <w:ind w:left="680" w:hanging="720"/>
      </w:pPr>
      <w:r w:rsidRPr="001856C7">
        <w:t xml:space="preserve">Knowles, David, </w:t>
      </w:r>
      <w:r w:rsidRPr="001856C7">
        <w:rPr>
          <w:i/>
          <w:iCs/>
        </w:rPr>
        <w:t>The Religious Orders in England</w:t>
      </w:r>
      <w:r w:rsidRPr="001856C7">
        <w:t xml:space="preserve"> (Cambridge: Cambridge University Press, 1979)</w:t>
      </w:r>
    </w:p>
    <w:p w14:paraId="58D636C6" w14:textId="77777777" w:rsidR="008B423D" w:rsidRDefault="001856C7" w:rsidP="008B423D">
      <w:pPr>
        <w:ind w:left="680" w:hanging="720"/>
      </w:pPr>
      <w:r w:rsidRPr="001856C7">
        <w:t xml:space="preserve">Lawrence, C. H., </w:t>
      </w:r>
      <w:r w:rsidRPr="001856C7">
        <w:rPr>
          <w:i/>
          <w:iCs/>
        </w:rPr>
        <w:t>Medieval Monasticism: Forms of Religious Life in Western Europe in the Middle Ages</w:t>
      </w:r>
      <w:r w:rsidRPr="001856C7">
        <w:t xml:space="preserve"> (London: Longman, 1984)</w:t>
      </w:r>
    </w:p>
    <w:p w14:paraId="6A24796A" w14:textId="10E914F8" w:rsidR="008B423D" w:rsidRDefault="008B423D" w:rsidP="008B423D">
      <w:pPr>
        <w:ind w:left="680" w:hanging="720"/>
      </w:pPr>
      <w:r>
        <w:t>Medieval Heritage</w:t>
      </w:r>
      <w:r w:rsidRPr="00A445F3">
        <w:t xml:space="preserve">, </w:t>
      </w:r>
      <w:r>
        <w:rPr>
          <w:i/>
          <w:iCs/>
        </w:rPr>
        <w:t>Tintern – Cistercian Abbey</w:t>
      </w:r>
      <w:r w:rsidRPr="00A445F3">
        <w:t xml:space="preserve"> (</w:t>
      </w:r>
      <w:r>
        <w:t>2017-2023</w:t>
      </w:r>
      <w:r w:rsidRPr="00A445F3">
        <w:t xml:space="preserve">) &lt;https://medievalheritage.eu/en/main-page/heritage/wales/tintern-abbey/&gt; [accessed </w:t>
      </w:r>
      <w:r>
        <w:t>07</w:t>
      </w:r>
      <w:r w:rsidRPr="00A445F3">
        <w:t xml:space="preserve"> </w:t>
      </w:r>
      <w:r>
        <w:t>November</w:t>
      </w:r>
      <w:r w:rsidRPr="00A445F3">
        <w:t xml:space="preserve"> </w:t>
      </w:r>
      <w:r>
        <w:t>2025</w:t>
      </w:r>
      <w:r w:rsidRPr="00A445F3">
        <w:t>]</w:t>
      </w:r>
    </w:p>
    <w:p w14:paraId="15052369" w14:textId="5815CAE7" w:rsidR="008B423D" w:rsidRPr="004C2D98" w:rsidRDefault="001856C7" w:rsidP="008B423D">
      <w:pPr>
        <w:ind w:left="680" w:hanging="720"/>
      </w:pPr>
      <w:r w:rsidRPr="001856C7">
        <w:t xml:space="preserve">Milis, Lode, </w:t>
      </w:r>
      <w:r w:rsidRPr="001856C7">
        <w:rPr>
          <w:i/>
          <w:iCs/>
        </w:rPr>
        <w:t>The Reformation and the Monastic Orders in Europe</w:t>
      </w:r>
      <w:r w:rsidRPr="001856C7">
        <w:t xml:space="preserve"> (Leuven: Leuven University Press, 1992)</w:t>
      </w:r>
    </w:p>
    <w:p w14:paraId="615B0F17" w14:textId="77777777" w:rsidR="008B423D" w:rsidRDefault="008B423D" w:rsidP="008B423D">
      <w:pPr>
        <w:ind w:left="680" w:hanging="720"/>
      </w:pPr>
      <w:r>
        <w:t xml:space="preserve">Miner, John Nelson, ‘Schools and Literacy in Later Medieval England’, </w:t>
      </w:r>
      <w:r>
        <w:rPr>
          <w:i/>
          <w:iCs/>
        </w:rPr>
        <w:t>British Journal of Educational Studies</w:t>
      </w:r>
      <w:r>
        <w:t xml:space="preserve">, 11:1 (1962). 16-27 &lt;DOI: </w:t>
      </w:r>
      <w:r w:rsidRPr="00BD501A">
        <w:t>https://doi.org/10.2307/3118606</w:t>
      </w:r>
      <w:r>
        <w:t>&gt;</w:t>
      </w:r>
    </w:p>
    <w:p w14:paraId="06C720AB" w14:textId="26E60503" w:rsidR="008B423D" w:rsidRDefault="008B423D" w:rsidP="008B423D">
      <w:pPr>
        <w:ind w:left="680" w:hanging="720"/>
      </w:pPr>
      <w:r>
        <w:t>Morris, Richard K, Nicola Coldstream and Rick Turner</w:t>
      </w:r>
      <w:r w:rsidRPr="00A445F3">
        <w:t>, ‘</w:t>
      </w:r>
      <w:r>
        <w:t>The West Front of Tintern Abbey Church, Monmouthshire</w:t>
      </w:r>
      <w:r w:rsidRPr="00A445F3">
        <w:t xml:space="preserve">, </w:t>
      </w:r>
      <w:r>
        <w:rPr>
          <w:i/>
          <w:iCs/>
        </w:rPr>
        <w:t>The Antiquaries Journal</w:t>
      </w:r>
      <w:r w:rsidRPr="00A445F3">
        <w:t xml:space="preserve">, </w:t>
      </w:r>
      <w:r>
        <w:t>95</w:t>
      </w:r>
      <w:r w:rsidRPr="00A445F3">
        <w:t xml:space="preserve"> (</w:t>
      </w:r>
      <w:r>
        <w:t>2015</w:t>
      </w:r>
      <w:r w:rsidRPr="00A445F3">
        <w:t xml:space="preserve">), </w:t>
      </w:r>
      <w:r>
        <w:t xml:space="preserve">119-150 </w:t>
      </w:r>
      <w:r w:rsidRPr="00A445F3">
        <w:t>&lt;http://dx.doi.org/10.1017/S0003581515000153&gt;</w:t>
      </w:r>
    </w:p>
    <w:p w14:paraId="491ECEB8" w14:textId="14DF3AE8" w:rsidR="008B423D" w:rsidRDefault="008B423D" w:rsidP="008B423D">
      <w:pPr>
        <w:ind w:left="680" w:hanging="720"/>
      </w:pPr>
      <w:r>
        <w:t xml:space="preserve">Roest, Bert, </w:t>
      </w:r>
      <w:r w:rsidRPr="008B423D">
        <w:rPr>
          <w:i/>
          <w:iCs/>
        </w:rPr>
        <w:t>The Cambridge History of Christianity</w:t>
      </w:r>
      <w:r>
        <w:t xml:space="preserve"> (Cambridge: Cambridge University Press, 2009)</w:t>
      </w:r>
    </w:p>
    <w:p w14:paraId="5E5F4357" w14:textId="57ADFF0F" w:rsidR="001856C7" w:rsidRPr="001856C7" w:rsidRDefault="001856C7" w:rsidP="008B423D">
      <w:pPr>
        <w:ind w:left="680" w:hanging="720"/>
      </w:pPr>
      <w:r w:rsidRPr="001856C7">
        <w:lastRenderedPageBreak/>
        <w:t xml:space="preserve">Southern, R. W., </w:t>
      </w:r>
      <w:r w:rsidRPr="001856C7">
        <w:rPr>
          <w:i/>
          <w:iCs/>
        </w:rPr>
        <w:t>Western Society and the Church in the Middle Ages</w:t>
      </w:r>
      <w:r w:rsidRPr="001856C7">
        <w:t xml:space="preserve"> (London: Penguin, 1970)</w:t>
      </w:r>
    </w:p>
    <w:p w14:paraId="07A73D72" w14:textId="77777777" w:rsidR="001856C7" w:rsidRDefault="001856C7" w:rsidP="008B423D">
      <w:pPr>
        <w:ind w:left="680" w:hanging="720"/>
      </w:pPr>
      <w:r w:rsidRPr="001856C7">
        <w:t xml:space="preserve">Thompson, Augustine, </w:t>
      </w:r>
      <w:r w:rsidRPr="001856C7">
        <w:rPr>
          <w:i/>
          <w:iCs/>
        </w:rPr>
        <w:t>The Cistercians in the Middle Ages</w:t>
      </w:r>
      <w:r w:rsidRPr="001856C7">
        <w:t xml:space="preserve"> (London: Bloomsbury Academic, 2004)</w:t>
      </w:r>
    </w:p>
    <w:p w14:paraId="396CCDAB" w14:textId="7B7A23C8" w:rsidR="008B423D" w:rsidRPr="001856C7" w:rsidRDefault="008B423D" w:rsidP="008B423D">
      <w:pPr>
        <w:ind w:left="680" w:hanging="720"/>
      </w:pPr>
      <w:r w:rsidRPr="00BD501A">
        <w:t>Thompson</w:t>
      </w:r>
      <w:r>
        <w:t>,</w:t>
      </w:r>
      <w:r w:rsidRPr="00BD501A">
        <w:t xml:space="preserve"> </w:t>
      </w:r>
      <w:r w:rsidRPr="00BD501A">
        <w:t xml:space="preserve">Augustine, </w:t>
      </w:r>
      <w:r w:rsidRPr="00BD501A">
        <w:rPr>
          <w:i/>
          <w:iCs/>
        </w:rPr>
        <w:t>The Monastery and the Community in the Later Middle Ages</w:t>
      </w:r>
      <w:r w:rsidRPr="00BD501A">
        <w:t xml:space="preserve"> (Paris: University of Notre Dame Press, 2004)</w:t>
      </w:r>
    </w:p>
    <w:p w14:paraId="35ECF3EA" w14:textId="77777777" w:rsidR="001856C7" w:rsidRDefault="001856C7" w:rsidP="008B423D">
      <w:pPr>
        <w:ind w:left="680" w:hanging="720"/>
      </w:pPr>
      <w:r w:rsidRPr="001856C7">
        <w:t xml:space="preserve">Zarnecki, Paul, </w:t>
      </w:r>
      <w:r w:rsidRPr="001856C7">
        <w:rPr>
          <w:i/>
          <w:iCs/>
        </w:rPr>
        <w:t>Monasticism and the Reformation in Europe</w:t>
      </w:r>
      <w:r w:rsidRPr="001856C7">
        <w:t xml:space="preserve"> (New York: Harper &amp; Row, 1972)</w:t>
      </w:r>
    </w:p>
    <w:p w14:paraId="1258B42D" w14:textId="77777777" w:rsidR="007030B1" w:rsidRPr="001856C7" w:rsidRDefault="007030B1" w:rsidP="001856C7"/>
    <w:p w14:paraId="41CB38CF" w14:textId="5E562602" w:rsidR="001856C7" w:rsidRPr="00CC77C0" w:rsidRDefault="001856C7" w:rsidP="00CC77C0"/>
    <w:p w14:paraId="1BB68CA7" w14:textId="77777777" w:rsidR="004959E9" w:rsidRPr="004959E9" w:rsidRDefault="004959E9" w:rsidP="004959E9"/>
    <w:p w14:paraId="05463069" w14:textId="77777777" w:rsidR="004959E9" w:rsidRPr="00116A13" w:rsidRDefault="004959E9" w:rsidP="00116A13"/>
    <w:p w14:paraId="304F291A" w14:textId="77777777" w:rsidR="00DB314B" w:rsidRPr="00DB314B" w:rsidRDefault="00DB314B" w:rsidP="00DB314B"/>
    <w:p w14:paraId="2684FBCE" w14:textId="77777777" w:rsidR="002A0ABD" w:rsidRPr="00DB314B" w:rsidRDefault="002A0ABD" w:rsidP="00DB314B"/>
    <w:sectPr w:rsidR="002A0ABD" w:rsidRPr="00DB314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E5B41" w14:textId="77777777" w:rsidR="002B0485" w:rsidRDefault="002B0485" w:rsidP="004C2D98">
      <w:pPr>
        <w:spacing w:after="0" w:line="240" w:lineRule="auto"/>
      </w:pPr>
      <w:r>
        <w:separator/>
      </w:r>
    </w:p>
  </w:endnote>
  <w:endnote w:type="continuationSeparator" w:id="0">
    <w:p w14:paraId="4859542D" w14:textId="77777777" w:rsidR="002B0485" w:rsidRDefault="002B0485" w:rsidP="004C2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99F51" w14:textId="77777777" w:rsidR="002B0485" w:rsidRDefault="002B0485" w:rsidP="004C2D98">
      <w:pPr>
        <w:spacing w:after="0" w:line="240" w:lineRule="auto"/>
      </w:pPr>
      <w:r>
        <w:separator/>
      </w:r>
    </w:p>
  </w:footnote>
  <w:footnote w:type="continuationSeparator" w:id="0">
    <w:p w14:paraId="01D98210" w14:textId="77777777" w:rsidR="002B0485" w:rsidRDefault="002B0485" w:rsidP="004C2D98">
      <w:pPr>
        <w:spacing w:after="0" w:line="240" w:lineRule="auto"/>
      </w:pPr>
      <w:r>
        <w:continuationSeparator/>
      </w:r>
    </w:p>
  </w:footnote>
  <w:footnote w:id="1">
    <w:p w14:paraId="0D809470" w14:textId="2BF22745" w:rsidR="004C2D98" w:rsidRPr="004C2D98" w:rsidRDefault="004C2D98">
      <w:pPr>
        <w:pStyle w:val="FootnoteText"/>
      </w:pPr>
      <w:r>
        <w:rPr>
          <w:rStyle w:val="FootnoteReference"/>
        </w:rPr>
        <w:footnoteRef/>
      </w:r>
      <w:bookmarkStart w:id="0" w:name="_Hlk219064768"/>
      <w:r>
        <w:t xml:space="preserve"> David Knowles, </w:t>
      </w:r>
      <w:r>
        <w:rPr>
          <w:i/>
          <w:iCs/>
        </w:rPr>
        <w:t>The Monastic Order in England</w:t>
      </w:r>
      <w:r>
        <w:t xml:space="preserve"> (Cambridge: Cambridge University Press, 1950), pp. 348-359.</w:t>
      </w:r>
      <w:bookmarkEnd w:id="0"/>
    </w:p>
  </w:footnote>
  <w:footnote w:id="2">
    <w:p w14:paraId="730DAB37" w14:textId="3105F6FC" w:rsidR="004C2D98" w:rsidRPr="004C2D98" w:rsidRDefault="004C2D98">
      <w:pPr>
        <w:pStyle w:val="FootnoteText"/>
      </w:pPr>
      <w:r>
        <w:rPr>
          <w:rStyle w:val="FootnoteReference"/>
        </w:rPr>
        <w:footnoteRef/>
      </w:r>
      <w:r>
        <w:t xml:space="preserve"> </w:t>
      </w:r>
      <w:bookmarkStart w:id="1" w:name="_Hlk219064776"/>
      <w:r>
        <w:t xml:space="preserve">Christopher Brooke, </w:t>
      </w:r>
      <w:r>
        <w:rPr>
          <w:i/>
          <w:iCs/>
        </w:rPr>
        <w:t>The Monastic World 1000-1300</w:t>
      </w:r>
      <w:r>
        <w:t xml:space="preserve"> (London: Thames and Hudson, 1974), pp. 114-115</w:t>
      </w:r>
    </w:p>
  </w:footnote>
  <w:footnote w:id="3">
    <w:p w14:paraId="060AD4F2" w14:textId="3032C27E" w:rsidR="004C2D98" w:rsidRDefault="004C2D98">
      <w:pPr>
        <w:pStyle w:val="FootnoteText"/>
      </w:pPr>
      <w:r>
        <w:rPr>
          <w:rStyle w:val="FootnoteReference"/>
        </w:rPr>
        <w:footnoteRef/>
      </w:r>
      <w:r>
        <w:t xml:space="preserve"> </w:t>
      </w:r>
      <w:r>
        <w:t xml:space="preserve">David Knowles, </w:t>
      </w:r>
      <w:r>
        <w:rPr>
          <w:i/>
          <w:iCs/>
        </w:rPr>
        <w:t>The Monastic Order in England</w:t>
      </w:r>
      <w:r>
        <w:t>,</w:t>
      </w:r>
      <w:r>
        <w:t xml:space="preserve"> pp. 345-360.</w:t>
      </w:r>
    </w:p>
  </w:footnote>
  <w:footnote w:id="4">
    <w:p w14:paraId="686D5FB0" w14:textId="50C11152" w:rsidR="004C2D98" w:rsidRDefault="004C2D98">
      <w:pPr>
        <w:pStyle w:val="FootnoteText"/>
      </w:pPr>
      <w:r>
        <w:rPr>
          <w:rStyle w:val="FootnoteReference"/>
        </w:rPr>
        <w:footnoteRef/>
      </w:r>
      <w:r>
        <w:t xml:space="preserve"> Ibid, pp. 360-365.</w:t>
      </w:r>
    </w:p>
  </w:footnote>
  <w:footnote w:id="5">
    <w:p w14:paraId="4D5A10A5" w14:textId="7B0F43C2" w:rsidR="004C2D98" w:rsidRDefault="004C2D98">
      <w:pPr>
        <w:pStyle w:val="FootnoteText"/>
      </w:pPr>
      <w:r>
        <w:rPr>
          <w:rStyle w:val="FootnoteReference"/>
        </w:rPr>
        <w:footnoteRef/>
      </w:r>
      <w:r>
        <w:t xml:space="preserve"> Ibid, pp. 354-355. </w:t>
      </w:r>
    </w:p>
  </w:footnote>
  <w:footnote w:id="6">
    <w:p w14:paraId="19A4DD57" w14:textId="26120CA0" w:rsidR="004C2D98" w:rsidRPr="004C2D98" w:rsidRDefault="004C2D98">
      <w:pPr>
        <w:pStyle w:val="FootnoteText"/>
      </w:pPr>
      <w:r>
        <w:rPr>
          <w:rStyle w:val="FootnoteReference"/>
        </w:rPr>
        <w:footnoteRef/>
      </w:r>
      <w:r>
        <w:t xml:space="preserve"> </w:t>
      </w:r>
      <w:bookmarkStart w:id="2" w:name="_Hlk219064786"/>
      <w:r>
        <w:t xml:space="preserve">Janet Burton and Julie Kerr, </w:t>
      </w:r>
      <w:r>
        <w:rPr>
          <w:i/>
          <w:iCs/>
        </w:rPr>
        <w:t>Cistercians in the Middle Ages</w:t>
      </w:r>
      <w:r>
        <w:t xml:space="preserve"> (Woodbridge: The Boydell Press, 2011), pp. 158-159.</w:t>
      </w:r>
    </w:p>
  </w:footnote>
  <w:footnote w:id="7">
    <w:p w14:paraId="16E0EB74" w14:textId="57ADA14F" w:rsidR="004C2D98" w:rsidRPr="004C2D98" w:rsidRDefault="004C2D98">
      <w:pPr>
        <w:pStyle w:val="FootnoteText"/>
      </w:pPr>
      <w:r>
        <w:rPr>
          <w:rStyle w:val="FootnoteReference"/>
        </w:rPr>
        <w:footnoteRef/>
      </w:r>
      <w:r>
        <w:t xml:space="preserve"> Janet Burton and Julie Kerr, </w:t>
      </w:r>
      <w:r>
        <w:rPr>
          <w:i/>
          <w:iCs/>
        </w:rPr>
        <w:t>Cistercians in the Middle Ages</w:t>
      </w:r>
      <w:r>
        <w:t>, pp. 158-159.</w:t>
      </w:r>
    </w:p>
  </w:footnote>
  <w:footnote w:id="8">
    <w:p w14:paraId="75D10776" w14:textId="64129C21" w:rsidR="004C2D98" w:rsidRPr="00BD501A" w:rsidRDefault="004C2D98">
      <w:pPr>
        <w:pStyle w:val="FootnoteText"/>
      </w:pPr>
      <w:r>
        <w:rPr>
          <w:rStyle w:val="FootnoteReference"/>
        </w:rPr>
        <w:footnoteRef/>
      </w:r>
      <w:r>
        <w:t xml:space="preserve"> John Nelson Miner, ‘Schools and Literacy in Later Medieval England</w:t>
      </w:r>
      <w:r w:rsidR="00BD501A">
        <w:t xml:space="preserve">’, </w:t>
      </w:r>
      <w:r w:rsidR="00BD501A">
        <w:rPr>
          <w:i/>
          <w:iCs/>
        </w:rPr>
        <w:t>British Journal of Educational Studies</w:t>
      </w:r>
      <w:r w:rsidR="00BD501A">
        <w:t xml:space="preserve">, 11:1 (1962). 16-27 (pp. 18-20) &lt;DOI: </w:t>
      </w:r>
      <w:r w:rsidR="00BD501A" w:rsidRPr="00BD501A">
        <w:t>https://doi.org/10.2307/3118606</w:t>
      </w:r>
      <w:r w:rsidR="00BD501A">
        <w:t>&gt;.</w:t>
      </w:r>
    </w:p>
  </w:footnote>
  <w:footnote w:id="9">
    <w:p w14:paraId="54C8EA36" w14:textId="5D0916FB" w:rsidR="00BD501A" w:rsidRPr="00BD501A" w:rsidRDefault="00BD501A">
      <w:pPr>
        <w:pStyle w:val="FootnoteText"/>
      </w:pPr>
      <w:r>
        <w:rPr>
          <w:rStyle w:val="FootnoteReference"/>
        </w:rPr>
        <w:footnoteRef/>
      </w:r>
      <w:r>
        <w:t xml:space="preserve"> Christopher Brooke, </w:t>
      </w:r>
      <w:r>
        <w:rPr>
          <w:i/>
          <w:iCs/>
        </w:rPr>
        <w:t>The Monastic World 1000-1300</w:t>
      </w:r>
      <w:r>
        <w:t>, pp. 220-230.</w:t>
      </w:r>
    </w:p>
  </w:footnote>
  <w:footnote w:id="10">
    <w:p w14:paraId="0C788525" w14:textId="730660E6" w:rsidR="00BD501A" w:rsidRDefault="00BD501A">
      <w:pPr>
        <w:pStyle w:val="FootnoteText"/>
      </w:pPr>
      <w:r>
        <w:rPr>
          <w:rStyle w:val="FootnoteReference"/>
        </w:rPr>
        <w:footnoteRef/>
      </w:r>
      <w:r>
        <w:t xml:space="preserve"> Ibid, p. 247</w:t>
      </w:r>
    </w:p>
  </w:footnote>
  <w:footnote w:id="11">
    <w:p w14:paraId="24052DFA" w14:textId="0F4D81F1" w:rsidR="00BD501A" w:rsidRPr="00BD501A" w:rsidRDefault="00BD501A">
      <w:pPr>
        <w:pStyle w:val="FootnoteText"/>
      </w:pPr>
      <w:r>
        <w:rPr>
          <w:rStyle w:val="FootnoteReference"/>
        </w:rPr>
        <w:footnoteRef/>
      </w:r>
      <w:r>
        <w:t xml:space="preserve"> Christopher Brooke, </w:t>
      </w:r>
      <w:r>
        <w:rPr>
          <w:i/>
          <w:iCs/>
        </w:rPr>
        <w:t>The Monastic World 1000-1300</w:t>
      </w:r>
      <w:r>
        <w:t xml:space="preserve">, pp. 292-295. </w:t>
      </w:r>
    </w:p>
  </w:footnote>
  <w:footnote w:id="12">
    <w:p w14:paraId="37C9FE7D" w14:textId="33C6F589" w:rsidR="00BD501A" w:rsidRDefault="00BD501A">
      <w:pPr>
        <w:pStyle w:val="FootnoteText"/>
      </w:pPr>
      <w:r>
        <w:rPr>
          <w:rStyle w:val="FootnoteReference"/>
        </w:rPr>
        <w:footnoteRef/>
      </w:r>
      <w:r>
        <w:t xml:space="preserve"> Ibid, p. 247.</w:t>
      </w:r>
    </w:p>
  </w:footnote>
  <w:footnote w:id="13">
    <w:p w14:paraId="3B861D1A" w14:textId="3B0A2F05" w:rsidR="00BD501A" w:rsidRPr="00BD501A" w:rsidRDefault="00BD501A">
      <w:pPr>
        <w:pStyle w:val="FootnoteText"/>
      </w:pPr>
      <w:r>
        <w:rPr>
          <w:rStyle w:val="FootnoteReference"/>
        </w:rPr>
        <w:footnoteRef/>
      </w:r>
      <w:r>
        <w:t xml:space="preserve"> </w:t>
      </w:r>
      <w:bookmarkStart w:id="3" w:name="_Hlk219064796"/>
      <w:r>
        <w:t xml:space="preserve">Michael Carter, </w:t>
      </w:r>
      <w:r>
        <w:rPr>
          <w:i/>
          <w:iCs/>
        </w:rPr>
        <w:t>A New Light on the Sacking of Rievaulx Abbey</w:t>
      </w:r>
      <w:r>
        <w:t xml:space="preserve"> (2015) &lt;</w:t>
      </w:r>
      <w:r w:rsidRPr="00BD501A">
        <w:t>https://www.english-heritage.org.uk/visit/inspire-me/blog/blog-posts/rievaulx-new-evidence/</w:t>
      </w:r>
      <w:r>
        <w:t>&gt; [Accessed 11 January 2026].</w:t>
      </w:r>
      <w:bookmarkEnd w:id="3"/>
    </w:p>
  </w:footnote>
  <w:footnote w:id="14">
    <w:p w14:paraId="60D564DD" w14:textId="00E5953A" w:rsidR="00BD501A" w:rsidRPr="00BD501A" w:rsidRDefault="00BD501A">
      <w:pPr>
        <w:pStyle w:val="FootnoteText"/>
      </w:pPr>
      <w:r>
        <w:rPr>
          <w:rStyle w:val="FootnoteReference"/>
        </w:rPr>
        <w:footnoteRef/>
      </w:r>
      <w:r>
        <w:t xml:space="preserve"> </w:t>
      </w:r>
      <w:bookmarkStart w:id="4" w:name="_Hlk219064809"/>
      <w:r>
        <w:t xml:space="preserve">Christopher Brooke, </w:t>
      </w:r>
      <w:r>
        <w:rPr>
          <w:i/>
          <w:iCs/>
        </w:rPr>
        <w:t>The Monastic World 1000-1300</w:t>
      </w:r>
      <w:r>
        <w:t xml:space="preserve">, p. 179. </w:t>
      </w:r>
    </w:p>
  </w:footnote>
  <w:footnote w:id="15">
    <w:p w14:paraId="7E5BA7B4" w14:textId="6F085FB2" w:rsidR="00BD501A" w:rsidRDefault="00BD501A">
      <w:pPr>
        <w:pStyle w:val="FootnoteText"/>
      </w:pPr>
      <w:r>
        <w:rPr>
          <w:rStyle w:val="FootnoteReference"/>
        </w:rPr>
        <w:footnoteRef/>
      </w:r>
      <w:r>
        <w:t xml:space="preserve"> </w:t>
      </w:r>
      <w:r w:rsidRPr="00BD501A">
        <w:t xml:space="preserve">Giles Constable, </w:t>
      </w:r>
      <w:r w:rsidRPr="00BD501A">
        <w:rPr>
          <w:i/>
          <w:iCs/>
        </w:rPr>
        <w:t>The Reformation of the Twelfth Century</w:t>
      </w:r>
      <w:r w:rsidRPr="00BD501A">
        <w:t xml:space="preserve"> (Cambridge: Cambridge University Press, 1996), pp. 1</w:t>
      </w:r>
      <w:r w:rsidR="00764C3F">
        <w:t>80</w:t>
      </w:r>
      <w:r w:rsidRPr="00BD501A">
        <w:t>–190.</w:t>
      </w:r>
      <w:r>
        <w:t xml:space="preserve"> </w:t>
      </w:r>
    </w:p>
  </w:footnote>
  <w:footnote w:id="16">
    <w:p w14:paraId="161F40E5" w14:textId="3B99A0D1" w:rsidR="00BD501A" w:rsidRPr="008B423D" w:rsidRDefault="00BD501A">
      <w:pPr>
        <w:pStyle w:val="FootnoteText"/>
      </w:pPr>
      <w:r>
        <w:rPr>
          <w:rStyle w:val="FootnoteReference"/>
        </w:rPr>
        <w:footnoteRef/>
      </w:r>
      <w:r>
        <w:t xml:space="preserve"> Bert Roest, </w:t>
      </w:r>
      <w:r w:rsidR="008B423D" w:rsidRPr="008B423D">
        <w:rPr>
          <w:i/>
          <w:iCs/>
        </w:rPr>
        <w:t>The Cambridge History of Christianity</w:t>
      </w:r>
      <w:r w:rsidR="008B423D">
        <w:t xml:space="preserve"> (Cambridge: Cambridge University Press, 2009), pp. 446-457. </w:t>
      </w:r>
    </w:p>
  </w:footnote>
  <w:footnote w:id="17">
    <w:p w14:paraId="1EC3D679" w14:textId="41A61E7A" w:rsidR="008B423D" w:rsidRPr="008B423D" w:rsidRDefault="008B423D">
      <w:pPr>
        <w:pStyle w:val="FootnoteText"/>
      </w:pPr>
      <w:r>
        <w:rPr>
          <w:rStyle w:val="FootnoteReference"/>
        </w:rPr>
        <w:footnoteRef/>
      </w:r>
      <w:r>
        <w:t xml:space="preserve"> </w:t>
      </w:r>
      <w:bookmarkStart w:id="5" w:name="_Hlk219064823"/>
      <w:r>
        <w:t xml:space="preserve">David Knowles, </w:t>
      </w:r>
      <w:r>
        <w:rPr>
          <w:i/>
          <w:iCs/>
        </w:rPr>
        <w:t>Christian Monasticism</w:t>
      </w:r>
      <w:r>
        <w:t xml:space="preserve"> (New York: McGraw-Hill, 1969), pp. 177-182. </w:t>
      </w:r>
    </w:p>
  </w:footnote>
  <w:footnote w:id="18">
    <w:p w14:paraId="4870B694" w14:textId="48F4C75E" w:rsidR="008B423D" w:rsidRPr="008B423D" w:rsidRDefault="008B423D">
      <w:pPr>
        <w:pStyle w:val="FootnoteText"/>
        <w:rPr>
          <w:iCs/>
        </w:rPr>
      </w:pPr>
      <w:r>
        <w:rPr>
          <w:rStyle w:val="FootnoteReference"/>
        </w:rPr>
        <w:footnoteRef/>
      </w:r>
      <w:r>
        <w:t xml:space="preserve"> Thomas X. Davis, </w:t>
      </w:r>
      <w:r>
        <w:rPr>
          <w:i/>
          <w:iCs/>
        </w:rPr>
        <w:t>Cistercian Architecture</w:t>
      </w:r>
      <w:r>
        <w:rPr>
          <w:iCs/>
        </w:rPr>
        <w:t xml:space="preserve"> &lt;</w:t>
      </w:r>
      <w:r w:rsidRPr="008B423D">
        <w:t xml:space="preserve"> </w:t>
      </w:r>
      <w:r w:rsidRPr="008B423D">
        <w:rPr>
          <w:iCs/>
        </w:rPr>
        <w:t>https://newclairvaux.org/architecture/</w:t>
      </w:r>
      <w:r>
        <w:rPr>
          <w:iCs/>
        </w:rPr>
        <w:t>&gt; [Accessed 11 January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5ED33" w14:textId="521C1100" w:rsidR="00764C3F" w:rsidRDefault="00764C3F" w:rsidP="00764C3F">
    <w:pPr>
      <w:pStyle w:val="Header"/>
      <w:jc w:val="both"/>
    </w:pPr>
    <w:r w:rsidRPr="009A1E2E">
      <w:rPr>
        <w:b/>
        <w:bCs/>
      </w:rPr>
      <w:t>Chris Guy</w:t>
    </w:r>
    <w:r w:rsidRPr="009A1E2E">
      <w:rPr>
        <w:b/>
        <w:bCs/>
      </w:rPr>
      <w:tab/>
      <w:t xml:space="preserve">    From Desert Myths to Sheep Tales: The Cistercians in the Middle Ages </w:t>
    </w:r>
    <w:r w:rsidRPr="009A1E2E">
      <w:rPr>
        <w:sz w:val="22"/>
        <w:szCs w:val="22"/>
      </w:rPr>
      <w:t>(HPHI5911, HPHI6911)</w:t>
    </w:r>
    <w:r w:rsidRPr="009A1E2E">
      <w:rPr>
        <w:sz w:val="22"/>
        <w:szCs w:val="22"/>
      </w:rPr>
      <w:tab/>
    </w:r>
    <w:r w:rsidRPr="009A1E2E">
      <w:rPr>
        <w:sz w:val="22"/>
        <w:szCs w:val="22"/>
      </w:rPr>
      <w:tab/>
    </w:r>
    <w:r>
      <w:rPr>
        <w:sz w:val="22"/>
        <w:szCs w:val="22"/>
      </w:rPr>
      <w:t>11</w:t>
    </w:r>
    <w:r w:rsidRPr="009A1E2E">
      <w:rPr>
        <w:sz w:val="22"/>
        <w:szCs w:val="22"/>
      </w:rPr>
      <w:t>/</w:t>
    </w:r>
    <w:r>
      <w:rPr>
        <w:sz w:val="22"/>
        <w:szCs w:val="22"/>
      </w:rPr>
      <w:t>01</w:t>
    </w:r>
    <w:r w:rsidRPr="009A1E2E">
      <w:rPr>
        <w:sz w:val="22"/>
        <w:szCs w:val="22"/>
      </w:rPr>
      <w:t>/202</w:t>
    </w:r>
    <w:r>
      <w:rPr>
        <w:sz w:val="22"/>
        <w:szCs w:val="22"/>
      </w:rPr>
      <w:t>6</w:t>
    </w:r>
  </w:p>
  <w:p w14:paraId="2588DF8F" w14:textId="77777777" w:rsidR="00764C3F" w:rsidRDefault="00764C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272F87"/>
    <w:multiLevelType w:val="multilevel"/>
    <w:tmpl w:val="0F48B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0901E4"/>
    <w:multiLevelType w:val="multilevel"/>
    <w:tmpl w:val="63121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3E3A03"/>
    <w:multiLevelType w:val="multilevel"/>
    <w:tmpl w:val="7C08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3599384">
    <w:abstractNumId w:val="0"/>
  </w:num>
  <w:num w:numId="2" w16cid:durableId="1018195436">
    <w:abstractNumId w:val="2"/>
  </w:num>
  <w:num w:numId="3" w16cid:durableId="15261671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ABD"/>
    <w:rsid w:val="00063AA6"/>
    <w:rsid w:val="00116A13"/>
    <w:rsid w:val="00140C85"/>
    <w:rsid w:val="001856C7"/>
    <w:rsid w:val="0022663F"/>
    <w:rsid w:val="002A0ABD"/>
    <w:rsid w:val="002B0485"/>
    <w:rsid w:val="00320B8E"/>
    <w:rsid w:val="003507F1"/>
    <w:rsid w:val="0039390E"/>
    <w:rsid w:val="00431DF7"/>
    <w:rsid w:val="00477D1D"/>
    <w:rsid w:val="004809C9"/>
    <w:rsid w:val="004959E9"/>
    <w:rsid w:val="004B5F5A"/>
    <w:rsid w:val="004B790B"/>
    <w:rsid w:val="004C2D98"/>
    <w:rsid w:val="005A2FBD"/>
    <w:rsid w:val="005B5AC6"/>
    <w:rsid w:val="007030B1"/>
    <w:rsid w:val="00764C3F"/>
    <w:rsid w:val="00775A8F"/>
    <w:rsid w:val="007829AD"/>
    <w:rsid w:val="007D256D"/>
    <w:rsid w:val="008054F5"/>
    <w:rsid w:val="00897EBF"/>
    <w:rsid w:val="008B423D"/>
    <w:rsid w:val="008D1F42"/>
    <w:rsid w:val="00935F7F"/>
    <w:rsid w:val="0098096A"/>
    <w:rsid w:val="00AA34FF"/>
    <w:rsid w:val="00BD501A"/>
    <w:rsid w:val="00BF1B05"/>
    <w:rsid w:val="00CC77C0"/>
    <w:rsid w:val="00CF0C38"/>
    <w:rsid w:val="00D27A18"/>
    <w:rsid w:val="00DB314B"/>
    <w:rsid w:val="00F30B4C"/>
    <w:rsid w:val="00FA22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D14D6"/>
  <w15:chartTrackingRefBased/>
  <w15:docId w15:val="{EBF32842-5BFF-4538-8EB1-A619FAA32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14B"/>
  </w:style>
  <w:style w:type="paragraph" w:styleId="Heading1">
    <w:name w:val="heading 1"/>
    <w:basedOn w:val="Normal"/>
    <w:next w:val="Normal"/>
    <w:link w:val="Heading1Char"/>
    <w:uiPriority w:val="9"/>
    <w:qFormat/>
    <w:rsid w:val="002A0A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0A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A0A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0A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0A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0A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0A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0A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0A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0A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0A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A0A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0A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0A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0A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0A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0A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0ABD"/>
    <w:rPr>
      <w:rFonts w:eastAsiaTheme="majorEastAsia" w:cstheme="majorBidi"/>
      <w:color w:val="272727" w:themeColor="text1" w:themeTint="D8"/>
    </w:rPr>
  </w:style>
  <w:style w:type="paragraph" w:styleId="Title">
    <w:name w:val="Title"/>
    <w:basedOn w:val="Normal"/>
    <w:next w:val="Normal"/>
    <w:link w:val="TitleChar"/>
    <w:uiPriority w:val="10"/>
    <w:qFormat/>
    <w:rsid w:val="002A0A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0A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0A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0A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0ABD"/>
    <w:pPr>
      <w:spacing w:before="160"/>
      <w:jc w:val="center"/>
    </w:pPr>
    <w:rPr>
      <w:i/>
      <w:iCs/>
      <w:color w:val="404040" w:themeColor="text1" w:themeTint="BF"/>
    </w:rPr>
  </w:style>
  <w:style w:type="character" w:customStyle="1" w:styleId="QuoteChar">
    <w:name w:val="Quote Char"/>
    <w:basedOn w:val="DefaultParagraphFont"/>
    <w:link w:val="Quote"/>
    <w:uiPriority w:val="29"/>
    <w:rsid w:val="002A0ABD"/>
    <w:rPr>
      <w:i/>
      <w:iCs/>
      <w:color w:val="404040" w:themeColor="text1" w:themeTint="BF"/>
    </w:rPr>
  </w:style>
  <w:style w:type="paragraph" w:styleId="ListParagraph">
    <w:name w:val="List Paragraph"/>
    <w:basedOn w:val="Normal"/>
    <w:uiPriority w:val="34"/>
    <w:qFormat/>
    <w:rsid w:val="002A0ABD"/>
    <w:pPr>
      <w:ind w:left="720"/>
      <w:contextualSpacing/>
    </w:pPr>
  </w:style>
  <w:style w:type="character" w:styleId="IntenseEmphasis">
    <w:name w:val="Intense Emphasis"/>
    <w:basedOn w:val="DefaultParagraphFont"/>
    <w:uiPriority w:val="21"/>
    <w:qFormat/>
    <w:rsid w:val="002A0ABD"/>
    <w:rPr>
      <w:i/>
      <w:iCs/>
      <w:color w:val="0F4761" w:themeColor="accent1" w:themeShade="BF"/>
    </w:rPr>
  </w:style>
  <w:style w:type="paragraph" w:styleId="IntenseQuote">
    <w:name w:val="Intense Quote"/>
    <w:basedOn w:val="Normal"/>
    <w:next w:val="Normal"/>
    <w:link w:val="IntenseQuoteChar"/>
    <w:uiPriority w:val="30"/>
    <w:qFormat/>
    <w:rsid w:val="002A0A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0ABD"/>
    <w:rPr>
      <w:i/>
      <w:iCs/>
      <w:color w:val="0F4761" w:themeColor="accent1" w:themeShade="BF"/>
    </w:rPr>
  </w:style>
  <w:style w:type="character" w:styleId="IntenseReference">
    <w:name w:val="Intense Reference"/>
    <w:basedOn w:val="DefaultParagraphFont"/>
    <w:uiPriority w:val="32"/>
    <w:qFormat/>
    <w:rsid w:val="002A0ABD"/>
    <w:rPr>
      <w:b/>
      <w:bCs/>
      <w:smallCaps/>
      <w:color w:val="0F4761" w:themeColor="accent1" w:themeShade="BF"/>
      <w:spacing w:val="5"/>
    </w:rPr>
  </w:style>
  <w:style w:type="character" w:styleId="CommentReference">
    <w:name w:val="annotation reference"/>
    <w:basedOn w:val="DefaultParagraphFont"/>
    <w:uiPriority w:val="99"/>
    <w:semiHidden/>
    <w:unhideWhenUsed/>
    <w:rsid w:val="00DB314B"/>
    <w:rPr>
      <w:sz w:val="16"/>
      <w:szCs w:val="16"/>
    </w:rPr>
  </w:style>
  <w:style w:type="paragraph" w:styleId="CommentText">
    <w:name w:val="annotation text"/>
    <w:basedOn w:val="Normal"/>
    <w:link w:val="CommentTextChar"/>
    <w:uiPriority w:val="99"/>
    <w:unhideWhenUsed/>
    <w:rsid w:val="00DB314B"/>
    <w:pPr>
      <w:spacing w:line="240" w:lineRule="auto"/>
    </w:pPr>
    <w:rPr>
      <w:sz w:val="20"/>
      <w:szCs w:val="20"/>
    </w:rPr>
  </w:style>
  <w:style w:type="character" w:customStyle="1" w:styleId="CommentTextChar">
    <w:name w:val="Comment Text Char"/>
    <w:basedOn w:val="DefaultParagraphFont"/>
    <w:link w:val="CommentText"/>
    <w:uiPriority w:val="99"/>
    <w:rsid w:val="00DB314B"/>
    <w:rPr>
      <w:sz w:val="20"/>
      <w:szCs w:val="20"/>
    </w:rPr>
  </w:style>
  <w:style w:type="paragraph" w:styleId="CommentSubject">
    <w:name w:val="annotation subject"/>
    <w:basedOn w:val="CommentText"/>
    <w:next w:val="CommentText"/>
    <w:link w:val="CommentSubjectChar"/>
    <w:uiPriority w:val="99"/>
    <w:semiHidden/>
    <w:unhideWhenUsed/>
    <w:rsid w:val="00DB314B"/>
    <w:rPr>
      <w:b/>
      <w:bCs/>
    </w:rPr>
  </w:style>
  <w:style w:type="character" w:customStyle="1" w:styleId="CommentSubjectChar">
    <w:name w:val="Comment Subject Char"/>
    <w:basedOn w:val="CommentTextChar"/>
    <w:link w:val="CommentSubject"/>
    <w:uiPriority w:val="99"/>
    <w:semiHidden/>
    <w:rsid w:val="00DB314B"/>
    <w:rPr>
      <w:b/>
      <w:bCs/>
      <w:sz w:val="20"/>
      <w:szCs w:val="20"/>
    </w:rPr>
  </w:style>
  <w:style w:type="paragraph" w:styleId="NormalWeb">
    <w:name w:val="Normal (Web)"/>
    <w:basedOn w:val="Normal"/>
    <w:uiPriority w:val="99"/>
    <w:semiHidden/>
    <w:unhideWhenUsed/>
    <w:rsid w:val="001856C7"/>
    <w:rPr>
      <w:rFonts w:ascii="Times New Roman" w:hAnsi="Times New Roman" w:cs="Times New Roman"/>
    </w:rPr>
  </w:style>
  <w:style w:type="character" w:styleId="Hyperlink">
    <w:name w:val="Hyperlink"/>
    <w:basedOn w:val="DefaultParagraphFont"/>
    <w:uiPriority w:val="99"/>
    <w:unhideWhenUsed/>
    <w:rsid w:val="001856C7"/>
    <w:rPr>
      <w:color w:val="467886" w:themeColor="hyperlink"/>
      <w:u w:val="single"/>
    </w:rPr>
  </w:style>
  <w:style w:type="character" w:styleId="UnresolvedMention">
    <w:name w:val="Unresolved Mention"/>
    <w:basedOn w:val="DefaultParagraphFont"/>
    <w:uiPriority w:val="99"/>
    <w:semiHidden/>
    <w:unhideWhenUsed/>
    <w:rsid w:val="001856C7"/>
    <w:rPr>
      <w:color w:val="605E5C"/>
      <w:shd w:val="clear" w:color="auto" w:fill="E1DFDD"/>
    </w:rPr>
  </w:style>
  <w:style w:type="paragraph" w:styleId="FootnoteText">
    <w:name w:val="footnote text"/>
    <w:basedOn w:val="Normal"/>
    <w:link w:val="FootnoteTextChar"/>
    <w:uiPriority w:val="99"/>
    <w:semiHidden/>
    <w:unhideWhenUsed/>
    <w:rsid w:val="004C2D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2D98"/>
    <w:rPr>
      <w:sz w:val="20"/>
      <w:szCs w:val="20"/>
    </w:rPr>
  </w:style>
  <w:style w:type="character" w:styleId="FootnoteReference">
    <w:name w:val="footnote reference"/>
    <w:basedOn w:val="DefaultParagraphFont"/>
    <w:uiPriority w:val="99"/>
    <w:semiHidden/>
    <w:unhideWhenUsed/>
    <w:rsid w:val="004C2D98"/>
    <w:rPr>
      <w:vertAlign w:val="superscript"/>
    </w:rPr>
  </w:style>
  <w:style w:type="paragraph" w:styleId="Header">
    <w:name w:val="header"/>
    <w:basedOn w:val="Normal"/>
    <w:link w:val="HeaderChar"/>
    <w:uiPriority w:val="99"/>
    <w:unhideWhenUsed/>
    <w:rsid w:val="00764C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4C3F"/>
  </w:style>
  <w:style w:type="paragraph" w:styleId="Footer">
    <w:name w:val="footer"/>
    <w:basedOn w:val="Normal"/>
    <w:link w:val="FooterChar"/>
    <w:uiPriority w:val="99"/>
    <w:unhideWhenUsed/>
    <w:rsid w:val="00764C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4C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6B26B-5EA1-4196-B2C0-4118A7466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2892</Words>
  <Characters>18312</Characters>
  <Application>Microsoft Office Word</Application>
  <DocSecurity>0</DocSecurity>
  <Lines>269</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Guy (2404993)</dc:creator>
  <cp:keywords/>
  <dc:description/>
  <cp:lastModifiedBy>Chris Guy (2404993)</cp:lastModifiedBy>
  <cp:revision>2</cp:revision>
  <dcterms:created xsi:type="dcterms:W3CDTF">2026-01-11T23:18:00Z</dcterms:created>
  <dcterms:modified xsi:type="dcterms:W3CDTF">2026-01-11T23:18:00Z</dcterms:modified>
</cp:coreProperties>
</file>