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0891F" w14:textId="207BFCFA" w:rsidR="001272A9" w:rsidRPr="00BC3850" w:rsidRDefault="001272A9" w:rsidP="000C479F">
      <w:pPr>
        <w:rPr>
          <w:u w:val="single"/>
        </w:rPr>
      </w:pPr>
      <w:r w:rsidRPr="001272A9">
        <w:rPr>
          <w:u w:val="single"/>
        </w:rPr>
        <w:t>2,000 Word Encyclopaedia Entry – The Skull of Mary Magdalene</w:t>
      </w:r>
    </w:p>
    <w:p w14:paraId="05CC2649" w14:textId="77777777" w:rsidR="005D342F" w:rsidRDefault="005D342F" w:rsidP="000C479F">
      <w:pPr>
        <w:rPr>
          <w:b/>
          <w:bCs/>
        </w:rPr>
      </w:pPr>
      <w:r>
        <w:rPr>
          <w:b/>
          <w:bCs/>
        </w:rPr>
        <w:t xml:space="preserve">Holy Relics </w:t>
      </w:r>
    </w:p>
    <w:p w14:paraId="72381537" w14:textId="16D4D546" w:rsidR="00063A80" w:rsidRPr="002514BA" w:rsidRDefault="003C2917" w:rsidP="000C479F">
      <w:r>
        <w:t>A Holy Relic is defined as “the mortal remains of a saint; in the broad sense, the term also includes any object that has been in contact with the saint.”</w:t>
      </w:r>
      <w:r>
        <w:rPr>
          <w:rStyle w:val="FootnoteReference"/>
        </w:rPr>
        <w:footnoteReference w:id="1"/>
      </w:r>
      <w:r w:rsidR="002514BA">
        <w:t xml:space="preserve"> </w:t>
      </w:r>
      <w:r w:rsidR="00DD38B0">
        <w:t xml:space="preserve">A </w:t>
      </w:r>
      <w:proofErr w:type="spellStart"/>
      <w:r w:rsidR="00205913">
        <w:t>christian</w:t>
      </w:r>
      <w:proofErr w:type="spellEnd"/>
      <w:r w:rsidR="00205913">
        <w:t xml:space="preserve"> </w:t>
      </w:r>
      <w:r w:rsidR="00DD38B0">
        <w:t xml:space="preserve">saint is commonly defined as </w:t>
      </w:r>
      <w:r w:rsidR="00205913">
        <w:t>someone “acknowledged as holy or virtuous and regarded in Christian faith as being in heaven after death.”</w:t>
      </w:r>
      <w:r w:rsidR="00205913">
        <w:rPr>
          <w:rStyle w:val="FootnoteReference"/>
        </w:rPr>
        <w:footnoteReference w:id="2"/>
      </w:r>
      <w:r w:rsidR="00205913">
        <w:t xml:space="preserve"> While the Catholic Church states that a saint may be anyone in heaven, the title of saint is most often declared by the church in a process known as canonisation.</w:t>
      </w:r>
      <w:r w:rsidR="006B621D">
        <w:rPr>
          <w:rStyle w:val="FootnoteReference"/>
        </w:rPr>
        <w:footnoteReference w:id="3"/>
      </w:r>
      <w:r w:rsidR="00CA5A3C">
        <w:t xml:space="preserve"> </w:t>
      </w:r>
      <w:r w:rsidR="002514BA">
        <w:t xml:space="preserve">Christian veneration of holy relics commonly pertains to saints and their worship within </w:t>
      </w:r>
      <w:r w:rsidR="00361D0A">
        <w:t xml:space="preserve">certain </w:t>
      </w:r>
      <w:r w:rsidR="002514BA">
        <w:t xml:space="preserve">branches of the faith. The first Christian reference to holy relics comes from the </w:t>
      </w:r>
      <w:r w:rsidR="002514BA">
        <w:rPr>
          <w:i/>
          <w:iCs/>
        </w:rPr>
        <w:t>Acts of the Apostles</w:t>
      </w:r>
      <w:r w:rsidR="002514BA">
        <w:t>, where a handkerchief associated with Saint Paul was said to heal sick persons and exorcise demons.</w:t>
      </w:r>
      <w:r w:rsidR="002514BA">
        <w:rPr>
          <w:rStyle w:val="FootnoteReference"/>
        </w:rPr>
        <w:footnoteReference w:id="4"/>
      </w:r>
      <w:r w:rsidR="002514BA">
        <w:t xml:space="preserve"> </w:t>
      </w:r>
      <w:r w:rsidR="002459FB">
        <w:t xml:space="preserve">The veneration of holy relics grew into its modern form during the medieval period, when </w:t>
      </w:r>
      <w:r w:rsidR="004A4AF4">
        <w:t xml:space="preserve">the Crusades brought an increased </w:t>
      </w:r>
      <w:r w:rsidR="00274827">
        <w:t>number</w:t>
      </w:r>
      <w:r w:rsidR="004A4AF4">
        <w:t xml:space="preserve"> of relics into Europe. </w:t>
      </w:r>
      <w:r w:rsidR="00CA07D1">
        <w:t xml:space="preserve">While this called into question </w:t>
      </w:r>
      <w:r w:rsidR="009223F1">
        <w:t xml:space="preserve">the authenticity of the majority of relics procured from the Middle East during this period, the veneration of </w:t>
      </w:r>
      <w:r w:rsidR="00274827">
        <w:t>saint’s</w:t>
      </w:r>
      <w:r w:rsidR="009223F1">
        <w:t xml:space="preserve"> relics has been enshrined into </w:t>
      </w:r>
      <w:r w:rsidR="00E1775F">
        <w:t xml:space="preserve">some Christian </w:t>
      </w:r>
      <w:r w:rsidR="009223F1">
        <w:t>doctrin</w:t>
      </w:r>
      <w:r w:rsidR="00E1775F">
        <w:t>es</w:t>
      </w:r>
      <w:r w:rsidR="008B719D">
        <w:t xml:space="preserve"> as both a way of honouring the dead saints, and as a way of praising God’s working miracles through the evidence of the relic.</w:t>
      </w:r>
      <w:r w:rsidR="008B719D">
        <w:rPr>
          <w:rStyle w:val="FootnoteReference"/>
        </w:rPr>
        <w:footnoteReference w:id="5"/>
      </w:r>
      <w:r w:rsidR="00CA5A3C">
        <w:t xml:space="preserve"> </w:t>
      </w:r>
    </w:p>
    <w:p w14:paraId="57B734C5" w14:textId="77777777" w:rsidR="00063A80" w:rsidRDefault="00063A80" w:rsidP="000C479F"/>
    <w:p w14:paraId="3323D86F" w14:textId="35A6C7E9" w:rsidR="00063A80" w:rsidRPr="000C479F" w:rsidRDefault="005D342F" w:rsidP="000C479F">
      <w:pPr>
        <w:rPr>
          <w:b/>
          <w:bCs/>
        </w:rPr>
      </w:pPr>
      <w:r>
        <w:rPr>
          <w:b/>
          <w:bCs/>
        </w:rPr>
        <w:t>T</w:t>
      </w:r>
      <w:r w:rsidR="000C479F" w:rsidRPr="000C479F">
        <w:rPr>
          <w:b/>
          <w:bCs/>
        </w:rPr>
        <w:t>he Skull of St Mary Magdalene</w:t>
      </w:r>
      <w:r>
        <w:rPr>
          <w:b/>
          <w:bCs/>
        </w:rPr>
        <w:t xml:space="preserve"> </w:t>
      </w:r>
    </w:p>
    <w:p w14:paraId="3C28EED1" w14:textId="58D1202E" w:rsidR="00063A80" w:rsidRDefault="000C479F" w:rsidP="000C479F">
      <w:r>
        <w:t>T</w:t>
      </w:r>
      <w:r w:rsidR="0036631C">
        <w:t xml:space="preserve">he </w:t>
      </w:r>
      <w:r w:rsidR="006F730F">
        <w:t xml:space="preserve">skull of Mary Magdalene is a holy relic </w:t>
      </w:r>
      <w:r w:rsidR="00BF50DC">
        <w:t xml:space="preserve">consisting of a blackened skull, which currently resides in Saint-Maximin-la-Sainte-Baume in Provence, </w:t>
      </w:r>
      <w:r w:rsidR="00B80604">
        <w:t xml:space="preserve">South </w:t>
      </w:r>
      <w:r w:rsidR="00BF50DC">
        <w:t>France.</w:t>
      </w:r>
      <w:r w:rsidR="00BF50DC">
        <w:rPr>
          <w:rStyle w:val="FootnoteReference"/>
        </w:rPr>
        <w:footnoteReference w:id="6"/>
      </w:r>
      <w:r w:rsidR="00BF50DC">
        <w:t xml:space="preserve"> </w:t>
      </w:r>
      <w:r w:rsidR="00376D9C">
        <w:t xml:space="preserve">This relic is contained in a glass case mounted upon a </w:t>
      </w:r>
      <w:r w:rsidR="00B80604">
        <w:t>reliquary made of gold. It has been described as “one of the world’s most famous set of human remains”.</w:t>
      </w:r>
      <w:r w:rsidR="00B80604">
        <w:rPr>
          <w:rStyle w:val="FootnoteReference"/>
        </w:rPr>
        <w:footnoteReference w:id="7"/>
      </w:r>
      <w:r w:rsidR="00D42D5F">
        <w:t xml:space="preserve"> </w:t>
      </w:r>
      <w:r w:rsidR="00D43D6B">
        <w:t>One prominent legend surrounding the skull of Saint Mary Magdalene states that when Jesus said to Mary in John’s Gospel, ‘Do not touch me’ (John 20:17), that he touched her on the forehead to send her backwards. Many of those who work at Saint-Maximin claim that this piece of flesh in particular did not decay, and instead clung to Saint Mary’s skull</w:t>
      </w:r>
      <w:r w:rsidR="006D34F4">
        <w:t>.</w:t>
      </w:r>
      <w:r w:rsidR="006D34F4">
        <w:rPr>
          <w:rStyle w:val="FootnoteReference"/>
        </w:rPr>
        <w:footnoteReference w:id="8"/>
      </w:r>
    </w:p>
    <w:p w14:paraId="3F02B239" w14:textId="77777777" w:rsidR="00D42D5F" w:rsidRDefault="00D42D5F" w:rsidP="000C479F"/>
    <w:p w14:paraId="037430F7" w14:textId="2B5D8B15" w:rsidR="000C479F" w:rsidRDefault="00D42D5F" w:rsidP="000C479F">
      <w:r>
        <w:t xml:space="preserve">Saint Mary Magdalene’s skull has been studied on several different occasions. </w:t>
      </w:r>
      <w:r w:rsidR="00710FF3">
        <w:t xml:space="preserve">Since 1974, it has been housed in a locked glass case in its home in Saint-Maximin. </w:t>
      </w:r>
      <w:r w:rsidR="0025229D">
        <w:t xml:space="preserve">In 2017, researchers created a 3-D computer generated model of the alleged face of Mary Magdalene using over 500 photographs of the skull. From this </w:t>
      </w:r>
      <w:r w:rsidR="00574ACD">
        <w:t>computer-generated</w:t>
      </w:r>
      <w:r w:rsidR="0025229D">
        <w:t xml:space="preserve"> facial model, researchers were able to ascertain that the owner of the skull died at roughly 50 years old, and was most likely of Mediterranean descent.</w:t>
      </w:r>
      <w:r w:rsidR="0025229D">
        <w:rPr>
          <w:rStyle w:val="FootnoteReference"/>
        </w:rPr>
        <w:footnoteReference w:id="9"/>
      </w:r>
      <w:r w:rsidR="00120FB2">
        <w:t xml:space="preserve"> </w:t>
      </w:r>
      <w:r w:rsidR="00120FB2">
        <w:lastRenderedPageBreak/>
        <w:t>However, the Catholic Church has yet to authorise the removal of any portion of the skull for the process of carbon dating, as of as of 2023 the year of the woman’s death has not been determined.</w:t>
      </w:r>
      <w:r w:rsidR="00120FB2">
        <w:rPr>
          <w:rStyle w:val="FootnoteReference"/>
        </w:rPr>
        <w:footnoteReference w:id="10"/>
      </w:r>
    </w:p>
    <w:p w14:paraId="1BD1CD35" w14:textId="77777777" w:rsidR="00267405" w:rsidRDefault="00267405" w:rsidP="000C479F"/>
    <w:p w14:paraId="0FDADD95" w14:textId="7792E1E0" w:rsidR="00063A80" w:rsidRPr="000C479F" w:rsidRDefault="000C479F" w:rsidP="000C479F">
      <w:pPr>
        <w:rPr>
          <w:b/>
          <w:bCs/>
        </w:rPr>
      </w:pPr>
      <w:r w:rsidRPr="000C479F">
        <w:rPr>
          <w:b/>
          <w:bCs/>
        </w:rPr>
        <w:t>Saint Mary Magdalene</w:t>
      </w:r>
    </w:p>
    <w:p w14:paraId="15CF7A5D" w14:textId="718C884A" w:rsidR="00994F08" w:rsidRDefault="00551551" w:rsidP="00551551">
      <w:r>
        <w:t xml:space="preserve">Mary Magdalene </w:t>
      </w:r>
      <w:r w:rsidR="0087597B">
        <w:t xml:space="preserve">was a woman who was mentioned in the four gospels in the New Testament of the Holy Bible. </w:t>
      </w:r>
      <w:r w:rsidR="00C03B39">
        <w:t>She was described</w:t>
      </w:r>
      <w:r w:rsidR="00906B33">
        <w:t xml:space="preserve"> by Pope Gregory I, and thus</w:t>
      </w:r>
      <w:r w:rsidR="001844DD">
        <w:t xml:space="preserve"> considered by many</w:t>
      </w:r>
      <w:r w:rsidR="00C03B39">
        <w:t xml:space="preserve"> </w:t>
      </w:r>
      <w:r w:rsidR="00906B33">
        <w:t xml:space="preserve">to be, </w:t>
      </w:r>
      <w:r w:rsidR="00C03B39">
        <w:t xml:space="preserve">a former prostitute, who followed Jesus and acted as a witness to both his crucifixion and his rebirth. </w:t>
      </w:r>
      <w:r w:rsidR="00EB4F96">
        <w:t xml:space="preserve">While she is only mentioned a total of 12 times in the Holy Bible, Mary Magdalene is deemed one of the most important, and most mentioned women, in the theological text. </w:t>
      </w:r>
      <w:r w:rsidR="00821FF0">
        <w:t xml:space="preserve">Mary’s surname, Magdalene, </w:t>
      </w:r>
      <w:r w:rsidR="00FD7B0B">
        <w:t xml:space="preserve">is a topographic name and </w:t>
      </w:r>
      <w:r w:rsidR="00821FF0">
        <w:t xml:space="preserve">represents her origins as from the town of Magdala, a prosperous fishing town on the Western Shore of the Sea of Galilee in Roman Judea. </w:t>
      </w:r>
      <w:r w:rsidR="0036190D">
        <w:t xml:space="preserve"> </w:t>
      </w:r>
      <w:r w:rsidR="00394F89">
        <w:t>Mary Magdalene was officially made a Saint in 1561, alongside fifty-six other saints.</w:t>
      </w:r>
      <w:r w:rsidR="00394F89">
        <w:rPr>
          <w:rStyle w:val="FootnoteReference"/>
        </w:rPr>
        <w:footnoteReference w:id="11"/>
      </w:r>
      <w:r w:rsidR="00366CE6">
        <w:t xml:space="preserve"> Today, </w:t>
      </w:r>
      <w:r w:rsidR="00994F08">
        <w:t xml:space="preserve">Mary </w:t>
      </w:r>
      <w:r w:rsidR="00F52B37">
        <w:t xml:space="preserve">Magdalene </w:t>
      </w:r>
      <w:r w:rsidR="00994F08">
        <w:t xml:space="preserve">is considered a saint by Anglican, Lutheran, Orthodox, and Catholic branches of Christianity. As a saint, Mary Magdalene represents </w:t>
      </w:r>
      <w:r w:rsidR="00D14EBF">
        <w:t xml:space="preserve">through her life story the Christian belief that </w:t>
      </w:r>
      <w:r w:rsidR="00906B33">
        <w:t xml:space="preserve">repentance </w:t>
      </w:r>
      <w:r w:rsidR="00B85C88">
        <w:t xml:space="preserve">and conversion </w:t>
      </w:r>
      <w:r w:rsidR="006C7465">
        <w:t xml:space="preserve">could be possible for anyone who wanted it. </w:t>
      </w:r>
      <w:r w:rsidR="00BC3850">
        <w:t>She is commonly referred to in early Christian writings as Mary Magdalene the penitent, including surviving evidence of her sermons, conducted on her feast day of 22</w:t>
      </w:r>
      <w:r w:rsidR="00BC3850" w:rsidRPr="00BC3850">
        <w:rPr>
          <w:vertAlign w:val="superscript"/>
        </w:rPr>
        <w:t>nd</w:t>
      </w:r>
      <w:r w:rsidR="00BC3850">
        <w:t xml:space="preserve"> July.</w:t>
      </w:r>
      <w:r w:rsidR="00456979">
        <w:rPr>
          <w:rStyle w:val="FootnoteReference"/>
        </w:rPr>
        <w:footnoteReference w:id="12"/>
      </w:r>
      <w:r w:rsidR="00D940F5">
        <w:t xml:space="preserve"> </w:t>
      </w:r>
      <w:r w:rsidR="00361D0A">
        <w:t>Both the locations of Vezelay and Saint-Maximin host processions on this day each year.</w:t>
      </w:r>
      <w:r w:rsidR="00361D0A">
        <w:rPr>
          <w:rStyle w:val="FootnoteReference"/>
        </w:rPr>
        <w:footnoteReference w:id="13"/>
      </w:r>
    </w:p>
    <w:p w14:paraId="43E4391E" w14:textId="77777777" w:rsidR="00551551" w:rsidRDefault="00551551" w:rsidP="00551551"/>
    <w:p w14:paraId="44871044" w14:textId="3F986E44" w:rsidR="00063A80" w:rsidRPr="000C479F" w:rsidRDefault="005D342F" w:rsidP="000C479F">
      <w:pPr>
        <w:rPr>
          <w:b/>
          <w:bCs/>
        </w:rPr>
      </w:pPr>
      <w:r>
        <w:rPr>
          <w:b/>
          <w:bCs/>
        </w:rPr>
        <w:t>Location of the Skull</w:t>
      </w:r>
    </w:p>
    <w:p w14:paraId="4E7B7747" w14:textId="4EB3C488" w:rsidR="00063A80" w:rsidRDefault="000C479F" w:rsidP="000C479F">
      <w:r>
        <w:t>T</w:t>
      </w:r>
      <w:r w:rsidR="008013D5">
        <w:t xml:space="preserve">he Skull of Mary Magdalene is currently kept in </w:t>
      </w:r>
      <w:r w:rsidR="007511D5">
        <w:t xml:space="preserve">the </w:t>
      </w:r>
      <w:r w:rsidR="00A43326">
        <w:t xml:space="preserve">crypt of the </w:t>
      </w:r>
      <w:r w:rsidR="007511D5">
        <w:t xml:space="preserve">basilica at </w:t>
      </w:r>
      <w:r w:rsidR="00A43326">
        <w:t>the site of Saint-Maximin-la-Sainte-Baume in Provence, France.</w:t>
      </w:r>
      <w:r w:rsidR="00B23393">
        <w:rPr>
          <w:rStyle w:val="FootnoteReference"/>
        </w:rPr>
        <w:footnoteReference w:id="14"/>
      </w:r>
      <w:r w:rsidR="00A43326">
        <w:t xml:space="preserve"> </w:t>
      </w:r>
      <w:r w:rsidR="00361D0A">
        <w:t xml:space="preserve">This location is named after </w:t>
      </w:r>
      <w:r w:rsidR="00407128">
        <w:t>Saint Maximus, who was said to have accompanied Mary Magdalene to Provence in a rudderless boat.</w:t>
      </w:r>
      <w:r w:rsidR="00407128">
        <w:rPr>
          <w:rStyle w:val="FootnoteReference"/>
        </w:rPr>
        <w:footnoteReference w:id="15"/>
      </w:r>
      <w:r w:rsidR="00407128">
        <w:t xml:space="preserve"> </w:t>
      </w:r>
      <w:r w:rsidR="003858BD">
        <w:t>While the site of Saint-Maximin is not the only</w:t>
      </w:r>
      <w:r w:rsidR="00A43326">
        <w:t xml:space="preserve"> </w:t>
      </w:r>
      <w:r w:rsidR="003858BD">
        <w:t xml:space="preserve">alleged </w:t>
      </w:r>
      <w:r w:rsidR="00A43326">
        <w:t xml:space="preserve">burial site of Mary Magdalene, it is central to the practice of Magdalene pilgrimage and a key place of worship. </w:t>
      </w:r>
      <w:r w:rsidR="006F4371">
        <w:t xml:space="preserve">Constructed in the </w:t>
      </w:r>
      <w:r w:rsidR="00AF4D41">
        <w:t>1295 by Charles II of Anjou, King of Naples,</w:t>
      </w:r>
      <w:r w:rsidR="006F4371">
        <w:t xml:space="preserve"> this complex contains both a basilica and cloister, and was designed to replace the previous primary Magdalene-based site of Vezelay</w:t>
      </w:r>
      <w:r w:rsidR="00FF7ADD">
        <w:t xml:space="preserve">. While it was designed to look imposing, the build up and development in the surrounding area now makes it appear much smaller than it was intended to be. </w:t>
      </w:r>
      <w:r w:rsidR="00BB6C5C">
        <w:t>During the spread of the cult of Mary Magdalene during the 11</w:t>
      </w:r>
      <w:r w:rsidR="00BB6C5C" w:rsidRPr="00BB6C5C">
        <w:rPr>
          <w:vertAlign w:val="superscript"/>
        </w:rPr>
        <w:t>th</w:t>
      </w:r>
      <w:r w:rsidR="00BB6C5C">
        <w:t>, 12</w:t>
      </w:r>
      <w:r w:rsidR="00BB6C5C" w:rsidRPr="00BB6C5C">
        <w:rPr>
          <w:vertAlign w:val="superscript"/>
        </w:rPr>
        <w:t>th</w:t>
      </w:r>
      <w:r w:rsidR="00BB6C5C">
        <w:t>, and 13</w:t>
      </w:r>
      <w:r w:rsidR="00BB6C5C" w:rsidRPr="00BB6C5C">
        <w:rPr>
          <w:vertAlign w:val="superscript"/>
        </w:rPr>
        <w:t>th</w:t>
      </w:r>
      <w:r w:rsidR="00BB6C5C">
        <w:t xml:space="preserve"> centuries, Saint-Maximin was considered and important centre of her life, due to the belief that she resided at the nearby Sainte-Baume during the last years of her life.</w:t>
      </w:r>
      <w:r w:rsidR="006D7844" w:rsidRPr="006D7844">
        <w:t xml:space="preserve"> </w:t>
      </w:r>
      <w:r w:rsidR="006D7844">
        <w:t>The</w:t>
      </w:r>
      <w:r w:rsidR="006D7844">
        <w:t xml:space="preserve"> nearby</w:t>
      </w:r>
      <w:r w:rsidR="006D7844">
        <w:t xml:space="preserve"> monastery</w:t>
      </w:r>
      <w:r w:rsidR="006D7844">
        <w:t xml:space="preserve"> at </w:t>
      </w:r>
      <w:proofErr w:type="spellStart"/>
      <w:r w:rsidR="006D7844">
        <w:t>Montrieux</w:t>
      </w:r>
      <w:proofErr w:type="spellEnd"/>
      <w:r w:rsidR="006D7844">
        <w:t xml:space="preserve"> </w:t>
      </w:r>
      <w:r w:rsidR="006D7844">
        <w:t>possessed several relics of Mary Magdalene, including her hair, bones, and her rod</w:t>
      </w:r>
      <w:r w:rsidR="006D7844">
        <w:t>, alongside relics of Saint Lazarus and Saint Anne</w:t>
      </w:r>
      <w:r w:rsidR="006D7844">
        <w:t xml:space="preserve">. </w:t>
      </w:r>
      <w:r w:rsidR="00BB6C5C">
        <w:rPr>
          <w:rStyle w:val="FootnoteReference"/>
        </w:rPr>
        <w:footnoteReference w:id="16"/>
      </w:r>
      <w:r w:rsidR="00293E59">
        <w:t xml:space="preserve"> </w:t>
      </w:r>
    </w:p>
    <w:p w14:paraId="7FC73776" w14:textId="77777777" w:rsidR="00091312" w:rsidRDefault="00091312" w:rsidP="000C479F"/>
    <w:p w14:paraId="7217B303" w14:textId="78DAC31D" w:rsidR="00091312" w:rsidRDefault="00091312" w:rsidP="000C479F">
      <w:r>
        <w:t xml:space="preserve">The Dominican friars of Saint-Maximin allege that the bones of Saint Mary Magdalene were unearthed from their cemetery, and that the relics at Vezelay are not of Mary Magdalene. The crypt </w:t>
      </w:r>
      <w:r>
        <w:lastRenderedPageBreak/>
        <w:t xml:space="preserve">at Saint-Maximin contains several sarcophagi and inscriptions, alongside artefacts. </w:t>
      </w:r>
      <w:r w:rsidR="00684AE1">
        <w:t xml:space="preserve">The guided tours being offered at this site focus on the complete, glass-encased skull, which allegedly belongs to Mary Magdalene. This skull was recovered from the surrounding graveyard in the year </w:t>
      </w:r>
      <w:r w:rsidR="00D90C82">
        <w:t xml:space="preserve">1279 by Charles II, who was at the time the crown prince of Anjou and the King of Naples. </w:t>
      </w:r>
      <w:r w:rsidR="00046854">
        <w:t>An order was given to excavate the church crypt at this church, and the Angevin prince was convinced the bones would be found at the site.</w:t>
      </w:r>
      <w:r w:rsidR="00046854">
        <w:rPr>
          <w:rStyle w:val="FootnoteReference"/>
        </w:rPr>
        <w:footnoteReference w:id="17"/>
      </w:r>
      <w:r w:rsidR="00046854">
        <w:t xml:space="preserve"> </w:t>
      </w:r>
      <w:r w:rsidR="00233C84">
        <w:t>The site of Saint-Maximin was declared the true place of the relics of Saint Mary Magdalene by a papal bull issued in 1295.</w:t>
      </w:r>
      <w:r w:rsidR="00233C84">
        <w:rPr>
          <w:rStyle w:val="FootnoteReference"/>
        </w:rPr>
        <w:footnoteReference w:id="18"/>
      </w:r>
      <w:r w:rsidR="00233C84">
        <w:t xml:space="preserve"> The cult of Mary Magdalene was heavily encouraged in this area of Saint-Maximin, mostly for political reasons. As the first witness of the resurrection, Mary Magdalene was considered a powerful saint who was able to attract a large amount of pilgrims, and the relics of Saint Mary were instrumental in this attraction.</w:t>
      </w:r>
      <w:r w:rsidR="00233C84">
        <w:rPr>
          <w:rStyle w:val="FootnoteReference"/>
        </w:rPr>
        <w:footnoteReference w:id="19"/>
      </w:r>
      <w:r w:rsidR="00C91E9C">
        <w:t xml:space="preserve"> </w:t>
      </w:r>
    </w:p>
    <w:p w14:paraId="62821C8D" w14:textId="77777777" w:rsidR="00046854" w:rsidRDefault="00046854" w:rsidP="000C479F"/>
    <w:p w14:paraId="5048F6C6" w14:textId="1076A394" w:rsidR="00046854" w:rsidRDefault="00C3335D" w:rsidP="000C479F">
      <w:r>
        <w:t xml:space="preserve">While the site of Saint-Maximin-la-Sainte-Baume is considered incredibly important to modern pilgrims seeking relics of Mary Magdalene, it was far from unique in the Medieval period. Many other sites were themed around the Magdalene and also claimed to hold her remains in some capacity as relics. </w:t>
      </w:r>
      <w:r w:rsidR="00267405">
        <w:t>One of the largest primary sites of Mary Magdalene was Vezelay, in Burgundy, France. This site was founded much earlier than Saint-Maximin, and was known for holding the bones of Saint Mary Magdalene, of which only one survives to current day, which is blamed by the site on both the Reformation and the French Revolution.</w:t>
      </w:r>
      <w:r w:rsidR="00267405">
        <w:rPr>
          <w:rStyle w:val="FootnoteReference"/>
        </w:rPr>
        <w:footnoteReference w:id="20"/>
      </w:r>
    </w:p>
    <w:p w14:paraId="22E84BFA" w14:textId="77777777" w:rsidR="00BA166C" w:rsidRDefault="00BA166C" w:rsidP="000C479F"/>
    <w:p w14:paraId="7EB0F332" w14:textId="77777777" w:rsidR="005D342F" w:rsidRDefault="005D342F">
      <w:pPr>
        <w:rPr>
          <w:b/>
          <w:bCs/>
        </w:rPr>
      </w:pPr>
      <w:r>
        <w:rPr>
          <w:b/>
          <w:bCs/>
        </w:rPr>
        <w:t xml:space="preserve">Other Relics of Saint Mary Magdalene </w:t>
      </w:r>
    </w:p>
    <w:p w14:paraId="13052B6F" w14:textId="129F273C" w:rsidR="00CE049A" w:rsidRDefault="00831FFC">
      <w:r>
        <w:t xml:space="preserve">There are two other sites which function as the primary sites for pilgrimages themed around saint Mary Magdalene. These are Vezelay in Burgundy, France, and the site of Magdala in the </w:t>
      </w:r>
      <w:r w:rsidR="00434B5B">
        <w:t>w</w:t>
      </w:r>
      <w:r>
        <w:t xml:space="preserve">estern </w:t>
      </w:r>
      <w:r w:rsidR="00434B5B">
        <w:t>c</w:t>
      </w:r>
      <w:r>
        <w:t xml:space="preserve">oast of the Sea of Galilee. </w:t>
      </w:r>
      <w:r w:rsidR="00F52B37">
        <w:t xml:space="preserve">Several other sites that existed within the </w:t>
      </w:r>
      <w:r w:rsidR="00434B5B">
        <w:t>Middle Ages</w:t>
      </w:r>
      <w:r w:rsidR="00F52B37">
        <w:t xml:space="preserve"> also claimed to contain a relic of Mary Magdalene, usually bones or cartilage.</w:t>
      </w:r>
      <w:r w:rsidR="005E5467">
        <w:rPr>
          <w:rStyle w:val="FootnoteReference"/>
        </w:rPr>
        <w:footnoteReference w:id="21"/>
      </w:r>
      <w:r w:rsidR="00F52B37">
        <w:t xml:space="preserve"> </w:t>
      </w:r>
      <w:r w:rsidR="00120FB2">
        <w:t xml:space="preserve">Surviving relics include a tooth displayed at the Metropolitan Museum of Art in New York City, a foot bone contained within the basilica of San Giovanni </w:t>
      </w:r>
      <w:proofErr w:type="spellStart"/>
      <w:r w:rsidR="00120FB2">
        <w:t>dei</w:t>
      </w:r>
      <w:proofErr w:type="spellEnd"/>
      <w:r w:rsidR="00120FB2">
        <w:t xml:space="preserve"> </w:t>
      </w:r>
      <w:proofErr w:type="spellStart"/>
      <w:r w:rsidR="00120FB2">
        <w:t>Fiorentini</w:t>
      </w:r>
      <w:proofErr w:type="spellEnd"/>
      <w:r w:rsidR="00120FB2">
        <w:t xml:space="preserve"> in Italy, and a left hand in the </w:t>
      </w:r>
      <w:proofErr w:type="spellStart"/>
      <w:r w:rsidR="00120FB2">
        <w:t>Simonopetra</w:t>
      </w:r>
      <w:proofErr w:type="spellEnd"/>
      <w:r w:rsidR="00120FB2">
        <w:t xml:space="preserve"> Monastery in Greece.</w:t>
      </w:r>
      <w:r w:rsidR="00120FB2">
        <w:rPr>
          <w:rStyle w:val="FootnoteReference"/>
        </w:rPr>
        <w:footnoteReference w:id="22"/>
      </w:r>
    </w:p>
    <w:p w14:paraId="539DEBDE" w14:textId="77777777" w:rsidR="00F52B37" w:rsidRDefault="00F52B37"/>
    <w:p w14:paraId="7BA8AC75" w14:textId="725992AA" w:rsidR="00F52B37" w:rsidRDefault="00F52B37">
      <w:r>
        <w:t>The site of Vezelay consists of a basilica constructed in the Romanesque style, situated on a hilltop in Burgundy, France.</w:t>
      </w:r>
      <w:r>
        <w:rPr>
          <w:rStyle w:val="FootnoteReference"/>
        </w:rPr>
        <w:footnoteReference w:id="23"/>
      </w:r>
      <w:r w:rsidR="00072B76">
        <w:t xml:space="preserve"> </w:t>
      </w:r>
      <w:r w:rsidR="005E5467">
        <w:t>This site claims to house the true remains of Mary Magdalene, of which remains a single piece of bone displayed within a glass cylinder, mounted within an underground chapel at the site. The bones are displayed alongside a written note that explains their heritage, the story of Mary Magdalene, and that a majority of the bones were lost or destroyed by the Reformation and the French Revolution.</w:t>
      </w:r>
      <w:r w:rsidR="005E5467">
        <w:rPr>
          <w:rStyle w:val="FootnoteReference"/>
        </w:rPr>
        <w:footnoteReference w:id="24"/>
      </w:r>
      <w:r w:rsidR="005E5467">
        <w:t xml:space="preserve"> The relics have been venerated by a group of Benedictine monks from the 11</w:t>
      </w:r>
      <w:r w:rsidR="005E5467" w:rsidRPr="005E5467">
        <w:rPr>
          <w:vertAlign w:val="superscript"/>
        </w:rPr>
        <w:t>th</w:t>
      </w:r>
      <w:r w:rsidR="005E5467">
        <w:t xml:space="preserve"> century until present, and they allege that the bones were stolen from the Saracens by a monk </w:t>
      </w:r>
      <w:r w:rsidR="005E5467">
        <w:lastRenderedPageBreak/>
        <w:t xml:space="preserve">named </w:t>
      </w:r>
      <w:proofErr w:type="spellStart"/>
      <w:r w:rsidR="005E5467">
        <w:t>Badilus</w:t>
      </w:r>
      <w:proofErr w:type="spellEnd"/>
      <w:r w:rsidR="005E5467">
        <w:t xml:space="preserve"> in 749 CE, and moved from the graveyard in Provenance where they were originally buried to this site in Burgundy. The relics of Mary Magdalene were so prominent that Bernard of </w:t>
      </w:r>
      <w:proofErr w:type="spellStart"/>
      <w:r w:rsidR="005E5467">
        <w:t>Clairveux</w:t>
      </w:r>
      <w:proofErr w:type="spellEnd"/>
      <w:r w:rsidR="005E5467">
        <w:t xml:space="preserve"> came to the site of Vezelay to preach the Second Crusade from the basilica in the year 1146. </w:t>
      </w:r>
    </w:p>
    <w:p w14:paraId="07000216" w14:textId="77777777" w:rsidR="00434B5B" w:rsidRDefault="00434B5B"/>
    <w:p w14:paraId="4F29F7EB" w14:textId="73330002" w:rsidR="00434B5B" w:rsidRDefault="00434B5B">
      <w:r>
        <w:t xml:space="preserve">Another site that venerates Saint Mary Magdalene is the ruined town of Magdala on the western coast of the Sea of Galilee. </w:t>
      </w:r>
      <w:r w:rsidR="00BD7EBC">
        <w:t xml:space="preserve">While the site still exists in the modern era, it is slowly being eroded away by factors such as </w:t>
      </w:r>
      <w:r w:rsidR="001A7399">
        <w:t xml:space="preserve">the changing </w:t>
      </w:r>
      <w:r w:rsidR="00BD7EBC">
        <w:t xml:space="preserve">water levels and </w:t>
      </w:r>
      <w:r w:rsidR="001A7399">
        <w:t xml:space="preserve">the evidence of </w:t>
      </w:r>
      <w:r w:rsidR="00BD7EBC">
        <w:t>modern warfare.</w:t>
      </w:r>
      <w:r w:rsidR="001A7399">
        <w:t xml:space="preserve"> The site cannot currently be accessed by tourists, as it is currently a contested area, it is still easily visible. The name of the former town, Magdala, </w:t>
      </w:r>
      <w:r w:rsidR="00030C3A">
        <w:t xml:space="preserve">stems from the Hebrew term for a low stone tower were fish were stored. Fishing was one of the main trades of the town, where local fishermen caught fish in the Sea of Galilee in nets, and these fish were stored in stone holding tanks and stockpiled for drying and salting. The large fish trade meant money and prosperity for the town of Magdala, </w:t>
      </w:r>
      <w:r w:rsidR="00D249E8">
        <w:t>with dried fish being sold inland and supplying cities.</w:t>
      </w:r>
      <w:r w:rsidR="00C6102F">
        <w:rPr>
          <w:rStyle w:val="FootnoteReference"/>
        </w:rPr>
        <w:footnoteReference w:id="25"/>
      </w:r>
      <w:r w:rsidR="006C7145">
        <w:t xml:space="preserve"> </w:t>
      </w:r>
      <w:r w:rsidR="004D0A59">
        <w:t xml:space="preserve">This economic prosperity is often quoted as the reason why Mary Magdalene is described in the gospels as being able to financially support Jesus and his other followers. </w:t>
      </w:r>
    </w:p>
    <w:p w14:paraId="69AAE9B9" w14:textId="77777777" w:rsidR="00F52B37" w:rsidRDefault="00F52B37"/>
    <w:p w14:paraId="2E3F55D6" w14:textId="4534F496" w:rsidR="006253C4" w:rsidRDefault="006253C4">
      <w:r>
        <w:t xml:space="preserve">[Word Count: 1,839] </w:t>
      </w:r>
    </w:p>
    <w:p w14:paraId="7807F011" w14:textId="77777777" w:rsidR="006253C4" w:rsidRDefault="006253C4"/>
    <w:p w14:paraId="64FB14C4" w14:textId="35F76E9A" w:rsidR="006253C4" w:rsidRDefault="006253C4">
      <w:pPr>
        <w:rPr>
          <w:u w:val="single"/>
        </w:rPr>
      </w:pPr>
      <w:r w:rsidRPr="006253C4">
        <w:rPr>
          <w:u w:val="single"/>
        </w:rPr>
        <w:t xml:space="preserve">Bibliography </w:t>
      </w:r>
    </w:p>
    <w:p w14:paraId="2F9B5EEE" w14:textId="4D18DB71" w:rsidR="005612EE" w:rsidRDefault="005612EE">
      <w:r>
        <w:t xml:space="preserve">Atkins, Gareth, ‘Making and Remaking Saints in Nineteenth-Century Britain’, in Making and Remaking Saints in Nineteenth-Century Britain, ed. By Gareth Atkins, Manchester University Press (2016). </w:t>
      </w:r>
    </w:p>
    <w:p w14:paraId="1BA02E3E" w14:textId="5B29F01B" w:rsidR="0042554E" w:rsidRDefault="0042554E">
      <w:r>
        <w:t xml:space="preserve">Boer, Esther de., ‘Mary Magdalene: Beyond the Myth’, London: SCM Press (1997). </w:t>
      </w:r>
    </w:p>
    <w:p w14:paraId="2848B125" w14:textId="234594DB" w:rsidR="00AC48A3" w:rsidRDefault="00AC48A3">
      <w:r>
        <w:t xml:space="preserve">Boer, Esther de., ‘The Mary Magdalene Cover-Up: The Sources Behind the Myth’, T&amp;T Clark (2006). </w:t>
      </w:r>
    </w:p>
    <w:p w14:paraId="571F35C7" w14:textId="0BEBB4E2" w:rsidR="0042554E" w:rsidRDefault="0042554E">
      <w:r>
        <w:t xml:space="preserve">Cartwright, Jane, ‘Mary Magdalene and her sister Martha: An Edition and Translation of the Medieval Welsh Lives’, Catholic University of America Press (2013). </w:t>
      </w:r>
    </w:p>
    <w:p w14:paraId="01984A22" w14:textId="1F46D95A" w:rsidR="0042554E" w:rsidRDefault="0042554E">
      <w:r>
        <w:t xml:space="preserve">Chilton, Bruce, ‘Three Graves of Mary Magdalene’, Museum International, 62.1-2 (2010), p.86-90. </w:t>
      </w:r>
    </w:p>
    <w:p w14:paraId="5284C07F" w14:textId="4600FEBC" w:rsidR="0042554E" w:rsidRPr="005612EE" w:rsidRDefault="0042554E">
      <w:r>
        <w:t xml:space="preserve">Fedele, Anna, ‘Looking for Mary Magdalene: Alternative Pilgrimage and Ritual Creativity at Catholic Shrines in France’, New York: Oxford University Press (2013). </w:t>
      </w:r>
    </w:p>
    <w:p w14:paraId="7798D516" w14:textId="01ECEFE6" w:rsidR="005612EE" w:rsidRDefault="005612EE">
      <w:proofErr w:type="spellStart"/>
      <w:r>
        <w:t>Gibbens</w:t>
      </w:r>
      <w:proofErr w:type="spellEnd"/>
      <w:r>
        <w:t xml:space="preserve">, Sarah, ‘Is This the Face of Mary Magdalene?”, National Geographic, </w:t>
      </w:r>
      <w:hyperlink r:id="rId7" w:history="1">
        <w:r w:rsidRPr="00A63A4B">
          <w:rPr>
            <w:rStyle w:val="Hyperlink"/>
          </w:rPr>
          <w:t>https://www.nationalgeographic.com/history/article/mary-magdalene-face-skull-france-video-spd</w:t>
        </w:r>
      </w:hyperlink>
      <w:r>
        <w:t xml:space="preserve"> [date accessed: 19/04/2023].</w:t>
      </w:r>
    </w:p>
    <w:p w14:paraId="36A5F9A7" w14:textId="07BA09A5" w:rsidR="00AC48A3" w:rsidRPr="005612EE" w:rsidRDefault="00AC48A3">
      <w:proofErr w:type="spellStart"/>
      <w:r>
        <w:t>Mycoff</w:t>
      </w:r>
      <w:proofErr w:type="spellEnd"/>
      <w:r>
        <w:t xml:space="preserve">, David, ‘The Life of Mary Magdalene and of her Sister Saint Martha’, Cistercian Publications (1989). </w:t>
      </w:r>
    </w:p>
    <w:p w14:paraId="67634466" w14:textId="01CEF80B" w:rsidR="006253C4" w:rsidRDefault="005612EE">
      <w:r>
        <w:t xml:space="preserve">The Editors of Encyclopaedia Britannica, ‘Relics’, Encyclopaedia Britannica, </w:t>
      </w:r>
      <w:hyperlink r:id="rId8" w:history="1">
        <w:r w:rsidRPr="00A63A4B">
          <w:rPr>
            <w:rStyle w:val="Hyperlink"/>
          </w:rPr>
          <w:t>https://www.britannica.com/topic/relic</w:t>
        </w:r>
      </w:hyperlink>
      <w:r>
        <w:t xml:space="preserve"> [date accessed: 19/04/2023].</w:t>
      </w:r>
      <w:r>
        <w:t xml:space="preserve"> </w:t>
      </w:r>
    </w:p>
    <w:p w14:paraId="06EA4511" w14:textId="3A38BC0F" w:rsidR="005612EE" w:rsidRDefault="005612EE">
      <w:proofErr w:type="spellStart"/>
      <w:r>
        <w:lastRenderedPageBreak/>
        <w:t>Therses</w:t>
      </w:r>
      <w:proofErr w:type="spellEnd"/>
      <w:r>
        <w:t xml:space="preserve"> van Pelt, </w:t>
      </w:r>
      <w:r>
        <w:t xml:space="preserve">Nadia, </w:t>
      </w:r>
      <w:r>
        <w:t>‘Drama in Medieval and Early Modern Europe: Playmakers and their Strategies’, Routledge (2019).</w:t>
      </w:r>
      <w:r>
        <w:t xml:space="preserve"> </w:t>
      </w:r>
    </w:p>
    <w:p w14:paraId="6ED2CBCC" w14:textId="27E13703" w:rsidR="005612EE" w:rsidRDefault="005612EE">
      <w:r>
        <w:t xml:space="preserve">Vatican Information Service, ‘What is a saint? Vatican Information Service’ archived from original, </w:t>
      </w:r>
      <w:hyperlink r:id="rId9" w:history="1">
        <w:r w:rsidRPr="00A63A4B">
          <w:rPr>
            <w:rStyle w:val="Hyperlink"/>
          </w:rPr>
          <w:t>https://web.archive.org/web/19991013120338/http://www.catholic-pages.com/saints/explained.asp</w:t>
        </w:r>
      </w:hyperlink>
      <w:r>
        <w:t xml:space="preserve"> [date accessed: 19/04/2023].</w:t>
      </w:r>
    </w:p>
    <w:p w14:paraId="67B00EFD" w14:textId="1E35A5A5" w:rsidR="005612EE" w:rsidRDefault="005612EE"/>
    <w:sectPr w:rsidR="005612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49886" w14:textId="77777777" w:rsidR="00416C91" w:rsidRDefault="00416C91" w:rsidP="003C2917">
      <w:pPr>
        <w:spacing w:after="0" w:line="240" w:lineRule="auto"/>
      </w:pPr>
      <w:r>
        <w:separator/>
      </w:r>
    </w:p>
  </w:endnote>
  <w:endnote w:type="continuationSeparator" w:id="0">
    <w:p w14:paraId="6C75A1D5" w14:textId="77777777" w:rsidR="00416C91" w:rsidRDefault="00416C91" w:rsidP="003C2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venir Next LT Pro">
    <w:altName w:val="Avenir Next LT Pro"/>
    <w:charset w:val="00"/>
    <w:family w:val="swiss"/>
    <w:pitch w:val="variable"/>
    <w:sig w:usb0="800000EF" w:usb1="5000204A"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DCE75" w14:textId="77777777" w:rsidR="00416C91" w:rsidRDefault="00416C91" w:rsidP="003C2917">
      <w:pPr>
        <w:spacing w:after="0" w:line="240" w:lineRule="auto"/>
      </w:pPr>
      <w:r>
        <w:separator/>
      </w:r>
    </w:p>
  </w:footnote>
  <w:footnote w:type="continuationSeparator" w:id="0">
    <w:p w14:paraId="4EF42C01" w14:textId="77777777" w:rsidR="00416C91" w:rsidRDefault="00416C91" w:rsidP="003C2917">
      <w:pPr>
        <w:spacing w:after="0" w:line="240" w:lineRule="auto"/>
      </w:pPr>
      <w:r>
        <w:continuationSeparator/>
      </w:r>
    </w:p>
  </w:footnote>
  <w:footnote w:id="1">
    <w:p w14:paraId="57E7E25A" w14:textId="2DE4A322" w:rsidR="003C2917" w:rsidRDefault="003C2917">
      <w:pPr>
        <w:pStyle w:val="FootnoteText"/>
      </w:pPr>
      <w:r>
        <w:rPr>
          <w:rStyle w:val="FootnoteReference"/>
        </w:rPr>
        <w:footnoteRef/>
      </w:r>
      <w:r>
        <w:t xml:space="preserve"> The Editors of Encyclopaedia Britannica, ‘Relics’, Encyclopaedia Britannica, </w:t>
      </w:r>
      <w:hyperlink r:id="rId1" w:history="1">
        <w:r w:rsidRPr="00A63A4B">
          <w:rPr>
            <w:rStyle w:val="Hyperlink"/>
          </w:rPr>
          <w:t>https://www.britannica.com/topic/relic</w:t>
        </w:r>
      </w:hyperlink>
      <w:r>
        <w:t xml:space="preserve"> [date accessed: 19/04/2023]. </w:t>
      </w:r>
    </w:p>
  </w:footnote>
  <w:footnote w:id="2">
    <w:p w14:paraId="01FE3F58" w14:textId="32C27AB4" w:rsidR="00205913" w:rsidRDefault="00205913">
      <w:pPr>
        <w:pStyle w:val="FootnoteText"/>
      </w:pPr>
      <w:r>
        <w:rPr>
          <w:rStyle w:val="FootnoteReference"/>
        </w:rPr>
        <w:footnoteRef/>
      </w:r>
      <w:r>
        <w:t xml:space="preserve"> Oxford Dictionary</w:t>
      </w:r>
      <w:r w:rsidR="00B93FF8">
        <w:t xml:space="preserve">. </w:t>
      </w:r>
    </w:p>
  </w:footnote>
  <w:footnote w:id="3">
    <w:p w14:paraId="0F689969" w14:textId="268F6F30" w:rsidR="006B621D" w:rsidRDefault="006B621D">
      <w:pPr>
        <w:pStyle w:val="FootnoteText"/>
      </w:pPr>
      <w:r>
        <w:rPr>
          <w:rStyle w:val="FootnoteReference"/>
        </w:rPr>
        <w:footnoteRef/>
      </w:r>
      <w:r>
        <w:t xml:space="preserve"> Vatican Information Service, ‘What is a saint? Vatican Information Service’ archived from original, </w:t>
      </w:r>
      <w:hyperlink r:id="rId2" w:history="1">
        <w:r w:rsidRPr="00A63A4B">
          <w:rPr>
            <w:rStyle w:val="Hyperlink"/>
          </w:rPr>
          <w:t>https://web.archive.org/web/19991013120338/http://www.catholic-pages.com/saints/explained.asp</w:t>
        </w:r>
      </w:hyperlink>
      <w:r>
        <w:t xml:space="preserve"> [date accessed: 19/04/2023]. </w:t>
      </w:r>
    </w:p>
  </w:footnote>
  <w:footnote w:id="4">
    <w:p w14:paraId="33F42A4C" w14:textId="0115BD63" w:rsidR="002514BA" w:rsidRDefault="002514BA">
      <w:pPr>
        <w:pStyle w:val="FootnoteText"/>
      </w:pPr>
      <w:r>
        <w:rPr>
          <w:rStyle w:val="FootnoteReference"/>
        </w:rPr>
        <w:footnoteRef/>
      </w:r>
      <w:r>
        <w:t xml:space="preserve"> </w:t>
      </w:r>
      <w:r>
        <w:t>Editor</w:t>
      </w:r>
      <w:r w:rsidR="005612EE">
        <w:t>s</w:t>
      </w:r>
      <w:r>
        <w:t>, ‘Relics’, Encyclopaedia Britannica, [date accessed: 19/04/2023].</w:t>
      </w:r>
    </w:p>
  </w:footnote>
  <w:footnote w:id="5">
    <w:p w14:paraId="20E7539E" w14:textId="4B02BB23" w:rsidR="008B719D" w:rsidRDefault="008B719D">
      <w:pPr>
        <w:pStyle w:val="FootnoteText"/>
      </w:pPr>
      <w:r>
        <w:rPr>
          <w:rStyle w:val="FootnoteReference"/>
        </w:rPr>
        <w:footnoteRef/>
      </w:r>
      <w:r>
        <w:t xml:space="preserve"> </w:t>
      </w:r>
      <w:r>
        <w:t>Editors, ‘Relics’, Encyclopaedia Britannica, [date accessed: 19/04/2023].</w:t>
      </w:r>
    </w:p>
  </w:footnote>
  <w:footnote w:id="6">
    <w:p w14:paraId="41F60078" w14:textId="0500581F" w:rsidR="00BF50DC" w:rsidRDefault="00BF50DC">
      <w:pPr>
        <w:pStyle w:val="FootnoteText"/>
      </w:pPr>
      <w:r>
        <w:rPr>
          <w:rStyle w:val="FootnoteReference"/>
        </w:rPr>
        <w:footnoteRef/>
      </w:r>
      <w:r>
        <w:t xml:space="preserve"> </w:t>
      </w:r>
      <w:r w:rsidR="00B93FF8">
        <w:t xml:space="preserve">Anna Fedele, </w:t>
      </w:r>
      <w:r>
        <w:t>Looking for Mary Magdalene</w:t>
      </w:r>
      <w:r w:rsidR="00B93FF8">
        <w:t xml:space="preserve">, Oxford University Press (2013). </w:t>
      </w:r>
    </w:p>
  </w:footnote>
  <w:footnote w:id="7">
    <w:p w14:paraId="47E3AEBE" w14:textId="78F8D957" w:rsidR="00B80604" w:rsidRDefault="00B80604">
      <w:pPr>
        <w:pStyle w:val="FootnoteText"/>
      </w:pPr>
      <w:r>
        <w:rPr>
          <w:rStyle w:val="FootnoteReference"/>
        </w:rPr>
        <w:footnoteRef/>
      </w:r>
      <w:r>
        <w:t xml:space="preserve"> Sarah </w:t>
      </w:r>
      <w:proofErr w:type="spellStart"/>
      <w:r>
        <w:t>Gibbens</w:t>
      </w:r>
      <w:proofErr w:type="spellEnd"/>
      <w:r>
        <w:t xml:space="preserve">, ‘Is This the Face of Mary Magdalene?”, National Geographic, </w:t>
      </w:r>
      <w:hyperlink r:id="rId3" w:history="1">
        <w:r w:rsidRPr="00A63A4B">
          <w:rPr>
            <w:rStyle w:val="Hyperlink"/>
          </w:rPr>
          <w:t>https://www.nationalgeographic.com/history/article/mary-magdalene-face-skull-france-video-spd</w:t>
        </w:r>
      </w:hyperlink>
      <w:r>
        <w:t xml:space="preserve"> [date accessed: 19/04/2023]. </w:t>
      </w:r>
    </w:p>
  </w:footnote>
  <w:footnote w:id="8">
    <w:p w14:paraId="5672E50C" w14:textId="0E846AEA" w:rsidR="006D34F4" w:rsidRDefault="006D34F4">
      <w:pPr>
        <w:pStyle w:val="FootnoteText"/>
      </w:pPr>
      <w:r>
        <w:rPr>
          <w:rStyle w:val="FootnoteReference"/>
        </w:rPr>
        <w:footnoteRef/>
      </w:r>
      <w:r>
        <w:t xml:space="preserve"> </w:t>
      </w:r>
      <w:r w:rsidR="00B93FF8">
        <w:t>Bruce Chilton, ‘Three Graves of Mary Magdalene’, Museum International, p.87.</w:t>
      </w:r>
    </w:p>
  </w:footnote>
  <w:footnote w:id="9">
    <w:p w14:paraId="4EE1F201" w14:textId="0AE3501B" w:rsidR="0025229D" w:rsidRDefault="0025229D">
      <w:pPr>
        <w:pStyle w:val="FootnoteText"/>
      </w:pPr>
      <w:r>
        <w:rPr>
          <w:rStyle w:val="FootnoteReference"/>
        </w:rPr>
        <w:footnoteRef/>
      </w:r>
      <w:r>
        <w:t xml:space="preserve"> </w:t>
      </w:r>
      <w:proofErr w:type="spellStart"/>
      <w:r>
        <w:t>Gibbens</w:t>
      </w:r>
      <w:proofErr w:type="spellEnd"/>
      <w:r>
        <w:t>, ‘Is This the Face of Mary Magdalene?”, National Geographic, [date accessed: 19/04/2023].</w:t>
      </w:r>
    </w:p>
  </w:footnote>
  <w:footnote w:id="10">
    <w:p w14:paraId="4C772891" w14:textId="21FBE088" w:rsidR="00120FB2" w:rsidRDefault="00120FB2">
      <w:pPr>
        <w:pStyle w:val="FootnoteText"/>
      </w:pPr>
      <w:r>
        <w:rPr>
          <w:rStyle w:val="FootnoteReference"/>
        </w:rPr>
        <w:footnoteRef/>
      </w:r>
      <w:r>
        <w:t xml:space="preserve"> </w:t>
      </w:r>
      <w:proofErr w:type="spellStart"/>
      <w:r>
        <w:t>Gibbens</w:t>
      </w:r>
      <w:proofErr w:type="spellEnd"/>
      <w:r>
        <w:t>, ‘Is This the Face of Mary Magdalene?”, National Geographic, [date accessed: 19/04/2023].</w:t>
      </w:r>
    </w:p>
  </w:footnote>
  <w:footnote w:id="11">
    <w:p w14:paraId="6699B35E" w14:textId="28762529" w:rsidR="00394F89" w:rsidRDefault="00394F89">
      <w:pPr>
        <w:pStyle w:val="FootnoteText"/>
      </w:pPr>
      <w:r>
        <w:rPr>
          <w:rStyle w:val="FootnoteReference"/>
        </w:rPr>
        <w:footnoteRef/>
      </w:r>
      <w:r>
        <w:t xml:space="preserve"> Gareth Atkins, ‘Making and Remaking Saints in Nineteenth-Century Britain’, Manchester University Press (2016), p.7. </w:t>
      </w:r>
    </w:p>
  </w:footnote>
  <w:footnote w:id="12">
    <w:p w14:paraId="3BCC2F75" w14:textId="1697E115" w:rsidR="00456979" w:rsidRDefault="00456979">
      <w:pPr>
        <w:pStyle w:val="FootnoteText"/>
      </w:pPr>
      <w:r>
        <w:rPr>
          <w:rStyle w:val="FootnoteReference"/>
        </w:rPr>
        <w:footnoteRef/>
      </w:r>
      <w:r>
        <w:t xml:space="preserve"> </w:t>
      </w:r>
      <w:r w:rsidR="00830D3B">
        <w:t>Esther de Boer, ‘</w:t>
      </w:r>
      <w:r>
        <w:t>Mary Magdalene: beyond the myth</w:t>
      </w:r>
      <w:r w:rsidR="00830D3B">
        <w:t xml:space="preserve">’, </w:t>
      </w:r>
      <w:proofErr w:type="spellStart"/>
      <w:r w:rsidR="00830D3B">
        <w:t>London:SCM</w:t>
      </w:r>
      <w:proofErr w:type="spellEnd"/>
      <w:r w:rsidR="00830D3B">
        <w:t xml:space="preserve"> Press (1997). </w:t>
      </w:r>
    </w:p>
  </w:footnote>
  <w:footnote w:id="13">
    <w:p w14:paraId="24C7E048" w14:textId="0A60C2D8" w:rsidR="00361D0A" w:rsidRDefault="00361D0A">
      <w:pPr>
        <w:pStyle w:val="FootnoteText"/>
      </w:pPr>
      <w:r>
        <w:rPr>
          <w:rStyle w:val="FootnoteReference"/>
        </w:rPr>
        <w:footnoteRef/>
      </w:r>
      <w:r>
        <w:t xml:space="preserve"> </w:t>
      </w:r>
      <w:r w:rsidR="00B93FF8">
        <w:t>Chilton, ‘</w:t>
      </w:r>
      <w:r>
        <w:t>Three graves</w:t>
      </w:r>
      <w:r w:rsidR="00B93FF8">
        <w:t>’, p.87.</w:t>
      </w:r>
    </w:p>
  </w:footnote>
  <w:footnote w:id="14">
    <w:p w14:paraId="239D9788" w14:textId="2640B945" w:rsidR="00B23393" w:rsidRDefault="00B23393">
      <w:pPr>
        <w:pStyle w:val="FootnoteText"/>
      </w:pPr>
      <w:r>
        <w:rPr>
          <w:rStyle w:val="FootnoteReference"/>
        </w:rPr>
        <w:footnoteRef/>
      </w:r>
      <w:r>
        <w:t xml:space="preserve"> </w:t>
      </w:r>
      <w:r w:rsidR="00B93FF8">
        <w:t>Fedele, ‘</w:t>
      </w:r>
      <w:r>
        <w:t>Looking for Mary Magdalene</w:t>
      </w:r>
      <w:r w:rsidR="00B93FF8">
        <w:t xml:space="preserve">’, </w:t>
      </w:r>
      <w:r w:rsidR="00046854">
        <w:t>p.3</w:t>
      </w:r>
      <w:r w:rsidR="00B93FF8">
        <w:t xml:space="preserve">. </w:t>
      </w:r>
    </w:p>
  </w:footnote>
  <w:footnote w:id="15">
    <w:p w14:paraId="6B758C26" w14:textId="2F6E2314" w:rsidR="00407128" w:rsidRDefault="00407128">
      <w:pPr>
        <w:pStyle w:val="FootnoteText"/>
      </w:pPr>
      <w:r>
        <w:rPr>
          <w:rStyle w:val="FootnoteReference"/>
        </w:rPr>
        <w:footnoteRef/>
      </w:r>
      <w:r>
        <w:t xml:space="preserve"> </w:t>
      </w:r>
      <w:r w:rsidR="006C3A94">
        <w:t>de Boer, ‘Mary Magdalene: beyond the myth</w:t>
      </w:r>
      <w:r w:rsidR="006C3A94">
        <w:t xml:space="preserve">’. </w:t>
      </w:r>
    </w:p>
  </w:footnote>
  <w:footnote w:id="16">
    <w:p w14:paraId="6CD6CF15" w14:textId="1FACE65A" w:rsidR="00BB6C5C" w:rsidRDefault="00BB6C5C">
      <w:pPr>
        <w:pStyle w:val="FootnoteText"/>
      </w:pPr>
      <w:r>
        <w:rPr>
          <w:rStyle w:val="FootnoteReference"/>
        </w:rPr>
        <w:footnoteRef/>
      </w:r>
      <w:r>
        <w:t xml:space="preserve"> </w:t>
      </w:r>
      <w:r w:rsidR="006C3A94" w:rsidRPr="006C3A94">
        <w:t xml:space="preserve">Katarina </w:t>
      </w:r>
      <w:proofErr w:type="spellStart"/>
      <w:r w:rsidR="006C3A94" w:rsidRPr="006C3A94">
        <w:rPr>
          <w:rFonts w:ascii="Calibri" w:hAnsi="Calibri" w:cs="Calibri"/>
        </w:rPr>
        <w:t>Š</w:t>
      </w:r>
      <w:r w:rsidR="006C3A94" w:rsidRPr="006C3A94">
        <w:rPr>
          <w:rFonts w:ascii="Calibri" w:hAnsi="Calibri" w:cs="Calibri"/>
        </w:rPr>
        <w:t>ter</w:t>
      </w:r>
      <w:proofErr w:type="spellEnd"/>
      <w:r w:rsidR="006C3A94" w:rsidRPr="006C3A94">
        <w:rPr>
          <w:rFonts w:ascii="Calibri" w:hAnsi="Calibri" w:cs="Calibri"/>
        </w:rPr>
        <w:t xml:space="preserve">, ‘Mary Magdalene, the </w:t>
      </w:r>
      <w:proofErr w:type="spellStart"/>
      <w:r w:rsidR="006C3A94" w:rsidRPr="006C3A94">
        <w:rPr>
          <w:rFonts w:ascii="Calibri" w:hAnsi="Calibri" w:cs="Calibri"/>
        </w:rPr>
        <w:t>Apostola</w:t>
      </w:r>
      <w:proofErr w:type="spellEnd"/>
      <w:r w:rsidR="006C3A94" w:rsidRPr="006C3A94">
        <w:rPr>
          <w:rFonts w:ascii="Calibri" w:hAnsi="Calibri" w:cs="Calibri"/>
        </w:rPr>
        <w:t xml:space="preserve"> of the Easter Morning: Changes in the Late Medieval Carthusian Office of St </w:t>
      </w:r>
      <w:proofErr w:type="spellStart"/>
      <w:r w:rsidR="006C3A94" w:rsidRPr="006C3A94">
        <w:rPr>
          <w:rFonts w:ascii="Calibri" w:hAnsi="Calibri" w:cs="Calibri"/>
        </w:rPr>
        <w:t>mary</w:t>
      </w:r>
      <w:proofErr w:type="spellEnd"/>
      <w:r w:rsidR="006C3A94" w:rsidRPr="006C3A94">
        <w:rPr>
          <w:rFonts w:ascii="Calibri" w:hAnsi="Calibri" w:cs="Calibri"/>
        </w:rPr>
        <w:t xml:space="preserve"> Magdalene’, p.13.</w:t>
      </w:r>
      <w:r w:rsidRPr="006C3A94">
        <w:t xml:space="preserve"> </w:t>
      </w:r>
    </w:p>
  </w:footnote>
  <w:footnote w:id="17">
    <w:p w14:paraId="71067323" w14:textId="68682DA3" w:rsidR="00046854" w:rsidRDefault="00046854">
      <w:pPr>
        <w:pStyle w:val="FootnoteText"/>
      </w:pPr>
      <w:r>
        <w:rPr>
          <w:rStyle w:val="FootnoteReference"/>
        </w:rPr>
        <w:footnoteRef/>
      </w:r>
      <w:r>
        <w:t xml:space="preserve"> </w:t>
      </w:r>
      <w:r w:rsidR="00B93FF8">
        <w:t>Chilton, ‘Three Graves’, p.87.</w:t>
      </w:r>
    </w:p>
  </w:footnote>
  <w:footnote w:id="18">
    <w:p w14:paraId="2F1B9B73" w14:textId="44BDDBB2" w:rsidR="00233C84" w:rsidRDefault="00233C84">
      <w:pPr>
        <w:pStyle w:val="FootnoteText"/>
      </w:pPr>
      <w:r>
        <w:rPr>
          <w:rStyle w:val="FootnoteReference"/>
        </w:rPr>
        <w:footnoteRef/>
      </w:r>
      <w:r>
        <w:t xml:space="preserve"> </w:t>
      </w:r>
      <w:proofErr w:type="spellStart"/>
      <w:r w:rsidR="006C3A94" w:rsidRPr="006C3A94">
        <w:rPr>
          <w:rFonts w:ascii="Calibri" w:hAnsi="Calibri" w:cs="Calibri"/>
        </w:rPr>
        <w:t>Šter</w:t>
      </w:r>
      <w:proofErr w:type="spellEnd"/>
      <w:r w:rsidR="006C3A94">
        <w:t xml:space="preserve"> , ‘</w:t>
      </w:r>
      <w:proofErr w:type="spellStart"/>
      <w:r w:rsidR="006C3A94">
        <w:t>Apostola</w:t>
      </w:r>
      <w:proofErr w:type="spellEnd"/>
      <w:r w:rsidR="006C3A94">
        <w:t xml:space="preserve"> of the Easter Morning, p.10. </w:t>
      </w:r>
    </w:p>
  </w:footnote>
  <w:footnote w:id="19">
    <w:p w14:paraId="3AD7967E" w14:textId="6A2FB900" w:rsidR="00233C84" w:rsidRDefault="00233C84">
      <w:pPr>
        <w:pStyle w:val="FootnoteText"/>
      </w:pPr>
      <w:r>
        <w:rPr>
          <w:rStyle w:val="FootnoteReference"/>
        </w:rPr>
        <w:footnoteRef/>
      </w:r>
      <w:r>
        <w:t xml:space="preserve"> </w:t>
      </w:r>
      <w:proofErr w:type="spellStart"/>
      <w:r w:rsidR="006C3A94" w:rsidRPr="006C3A94">
        <w:rPr>
          <w:rFonts w:ascii="Calibri" w:hAnsi="Calibri" w:cs="Calibri"/>
        </w:rPr>
        <w:t>Šter</w:t>
      </w:r>
      <w:proofErr w:type="spellEnd"/>
      <w:r w:rsidR="006C3A94">
        <w:t xml:space="preserve"> , ‘</w:t>
      </w:r>
      <w:proofErr w:type="spellStart"/>
      <w:r w:rsidR="006C3A94">
        <w:t>Apostola</w:t>
      </w:r>
      <w:proofErr w:type="spellEnd"/>
      <w:r w:rsidR="006C3A94">
        <w:t xml:space="preserve"> of the Easter Morning, p.</w:t>
      </w:r>
      <w:r w:rsidR="006C3A94">
        <w:t>11.</w:t>
      </w:r>
    </w:p>
  </w:footnote>
  <w:footnote w:id="20">
    <w:p w14:paraId="326E1DF0" w14:textId="2463360B" w:rsidR="00267405" w:rsidRDefault="00267405">
      <w:pPr>
        <w:pStyle w:val="FootnoteText"/>
      </w:pPr>
      <w:r>
        <w:rPr>
          <w:rStyle w:val="FootnoteReference"/>
        </w:rPr>
        <w:footnoteRef/>
      </w:r>
      <w:r>
        <w:t xml:space="preserve"> </w:t>
      </w:r>
      <w:r w:rsidR="00B93FF8">
        <w:t>Chilton, ‘Three Graves’, p.</w:t>
      </w:r>
      <w:r w:rsidR="00B93FF8">
        <w:t xml:space="preserve">87. </w:t>
      </w:r>
      <w:r>
        <w:t xml:space="preserve"> </w:t>
      </w:r>
    </w:p>
  </w:footnote>
  <w:footnote w:id="21">
    <w:p w14:paraId="1D6544F9" w14:textId="44A86A2F" w:rsidR="005E5467" w:rsidRDefault="005E5467">
      <w:pPr>
        <w:pStyle w:val="FootnoteText"/>
      </w:pPr>
      <w:r>
        <w:rPr>
          <w:rStyle w:val="FootnoteReference"/>
        </w:rPr>
        <w:footnoteRef/>
      </w:r>
      <w:r>
        <w:t xml:space="preserve"> </w:t>
      </w:r>
      <w:r w:rsidR="00B93FF8">
        <w:t>Chilton, ‘Three Graves’, p.</w:t>
      </w:r>
      <w:r w:rsidR="00B93FF8">
        <w:t>87.</w:t>
      </w:r>
      <w:r>
        <w:t xml:space="preserve"> </w:t>
      </w:r>
    </w:p>
  </w:footnote>
  <w:footnote w:id="22">
    <w:p w14:paraId="04939D55" w14:textId="71E3840D" w:rsidR="00120FB2" w:rsidRDefault="00120FB2">
      <w:pPr>
        <w:pStyle w:val="FootnoteText"/>
      </w:pPr>
      <w:r>
        <w:rPr>
          <w:rStyle w:val="FootnoteReference"/>
        </w:rPr>
        <w:footnoteRef/>
      </w:r>
      <w:r>
        <w:t xml:space="preserve"> Nadia </w:t>
      </w:r>
      <w:proofErr w:type="spellStart"/>
      <w:r>
        <w:t>Therses</w:t>
      </w:r>
      <w:proofErr w:type="spellEnd"/>
      <w:r>
        <w:t xml:space="preserve"> van Pelt, ‘Drama in Medieval and Early Modern Europe: Playmakers and their Strategies’, Routledge (2019)</w:t>
      </w:r>
      <w:r w:rsidR="00D97996">
        <w:t xml:space="preserve">. </w:t>
      </w:r>
    </w:p>
  </w:footnote>
  <w:footnote w:id="23">
    <w:p w14:paraId="535F38C2" w14:textId="1B64FF01" w:rsidR="00F52B37" w:rsidRDefault="00F52B37">
      <w:pPr>
        <w:pStyle w:val="FootnoteText"/>
      </w:pPr>
      <w:r>
        <w:rPr>
          <w:rStyle w:val="FootnoteReference"/>
        </w:rPr>
        <w:footnoteRef/>
      </w:r>
      <w:r>
        <w:t xml:space="preserve"> </w:t>
      </w:r>
      <w:r w:rsidR="00B93FF8">
        <w:t>Chilton, ‘Three Graves’, p.</w:t>
      </w:r>
      <w:r w:rsidR="00B93FF8">
        <w:t xml:space="preserve">86. </w:t>
      </w:r>
      <w:r>
        <w:t xml:space="preserve"> </w:t>
      </w:r>
    </w:p>
  </w:footnote>
  <w:footnote w:id="24">
    <w:p w14:paraId="699FBE68" w14:textId="2C07D47B" w:rsidR="005E5467" w:rsidRDefault="005E5467">
      <w:pPr>
        <w:pStyle w:val="FootnoteText"/>
      </w:pPr>
      <w:r>
        <w:rPr>
          <w:rStyle w:val="FootnoteReference"/>
        </w:rPr>
        <w:footnoteRef/>
      </w:r>
      <w:r>
        <w:t xml:space="preserve"> </w:t>
      </w:r>
      <w:r w:rsidR="00B93FF8">
        <w:t>Chilton, ‘Three Graves’, p.</w:t>
      </w:r>
      <w:r w:rsidR="00B93FF8">
        <w:t xml:space="preserve">86. </w:t>
      </w:r>
    </w:p>
  </w:footnote>
  <w:footnote w:id="25">
    <w:p w14:paraId="64472FD0" w14:textId="39976F74" w:rsidR="00C6102F" w:rsidRDefault="00C6102F">
      <w:pPr>
        <w:pStyle w:val="FootnoteText"/>
      </w:pPr>
      <w:r>
        <w:rPr>
          <w:rStyle w:val="FootnoteReference"/>
        </w:rPr>
        <w:footnoteRef/>
      </w:r>
      <w:r>
        <w:t xml:space="preserve"> </w:t>
      </w:r>
      <w:r w:rsidR="00B93FF8">
        <w:t>Chilton, ‘Three Graves’, p.</w:t>
      </w:r>
      <w:r w:rsidR="00B93FF8">
        <w:t xml:space="preserve">88.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923C2"/>
    <w:multiLevelType w:val="hybridMultilevel"/>
    <w:tmpl w:val="01DCA0E6"/>
    <w:lvl w:ilvl="0" w:tplc="30243A04">
      <w:start w:val="1"/>
      <w:numFmt w:val="bullet"/>
      <w:lvlText w:val="+"/>
      <w:lvlJc w:val="left"/>
      <w:pPr>
        <w:tabs>
          <w:tab w:val="num" w:pos="720"/>
        </w:tabs>
        <w:ind w:left="720" w:hanging="360"/>
      </w:pPr>
      <w:rPr>
        <w:rFonts w:ascii="Avenir Next LT Pro" w:hAnsi="Avenir Next LT Pro" w:hint="default"/>
      </w:rPr>
    </w:lvl>
    <w:lvl w:ilvl="1" w:tplc="FB06B0C4" w:tentative="1">
      <w:start w:val="1"/>
      <w:numFmt w:val="bullet"/>
      <w:lvlText w:val="+"/>
      <w:lvlJc w:val="left"/>
      <w:pPr>
        <w:tabs>
          <w:tab w:val="num" w:pos="1440"/>
        </w:tabs>
        <w:ind w:left="1440" w:hanging="360"/>
      </w:pPr>
      <w:rPr>
        <w:rFonts w:ascii="Avenir Next LT Pro" w:hAnsi="Avenir Next LT Pro" w:hint="default"/>
      </w:rPr>
    </w:lvl>
    <w:lvl w:ilvl="2" w:tplc="EBBAC1BC" w:tentative="1">
      <w:start w:val="1"/>
      <w:numFmt w:val="bullet"/>
      <w:lvlText w:val="+"/>
      <w:lvlJc w:val="left"/>
      <w:pPr>
        <w:tabs>
          <w:tab w:val="num" w:pos="2160"/>
        </w:tabs>
        <w:ind w:left="2160" w:hanging="360"/>
      </w:pPr>
      <w:rPr>
        <w:rFonts w:ascii="Avenir Next LT Pro" w:hAnsi="Avenir Next LT Pro" w:hint="default"/>
      </w:rPr>
    </w:lvl>
    <w:lvl w:ilvl="3" w:tplc="F8A6B7F4" w:tentative="1">
      <w:start w:val="1"/>
      <w:numFmt w:val="bullet"/>
      <w:lvlText w:val="+"/>
      <w:lvlJc w:val="left"/>
      <w:pPr>
        <w:tabs>
          <w:tab w:val="num" w:pos="2880"/>
        </w:tabs>
        <w:ind w:left="2880" w:hanging="360"/>
      </w:pPr>
      <w:rPr>
        <w:rFonts w:ascii="Avenir Next LT Pro" w:hAnsi="Avenir Next LT Pro" w:hint="default"/>
      </w:rPr>
    </w:lvl>
    <w:lvl w:ilvl="4" w:tplc="93EC6F26" w:tentative="1">
      <w:start w:val="1"/>
      <w:numFmt w:val="bullet"/>
      <w:lvlText w:val="+"/>
      <w:lvlJc w:val="left"/>
      <w:pPr>
        <w:tabs>
          <w:tab w:val="num" w:pos="3600"/>
        </w:tabs>
        <w:ind w:left="3600" w:hanging="360"/>
      </w:pPr>
      <w:rPr>
        <w:rFonts w:ascii="Avenir Next LT Pro" w:hAnsi="Avenir Next LT Pro" w:hint="default"/>
      </w:rPr>
    </w:lvl>
    <w:lvl w:ilvl="5" w:tplc="74902D84" w:tentative="1">
      <w:start w:val="1"/>
      <w:numFmt w:val="bullet"/>
      <w:lvlText w:val="+"/>
      <w:lvlJc w:val="left"/>
      <w:pPr>
        <w:tabs>
          <w:tab w:val="num" w:pos="4320"/>
        </w:tabs>
        <w:ind w:left="4320" w:hanging="360"/>
      </w:pPr>
      <w:rPr>
        <w:rFonts w:ascii="Avenir Next LT Pro" w:hAnsi="Avenir Next LT Pro" w:hint="default"/>
      </w:rPr>
    </w:lvl>
    <w:lvl w:ilvl="6" w:tplc="84ECB53C" w:tentative="1">
      <w:start w:val="1"/>
      <w:numFmt w:val="bullet"/>
      <w:lvlText w:val="+"/>
      <w:lvlJc w:val="left"/>
      <w:pPr>
        <w:tabs>
          <w:tab w:val="num" w:pos="5040"/>
        </w:tabs>
        <w:ind w:left="5040" w:hanging="360"/>
      </w:pPr>
      <w:rPr>
        <w:rFonts w:ascii="Avenir Next LT Pro" w:hAnsi="Avenir Next LT Pro" w:hint="default"/>
      </w:rPr>
    </w:lvl>
    <w:lvl w:ilvl="7" w:tplc="568E1E0E" w:tentative="1">
      <w:start w:val="1"/>
      <w:numFmt w:val="bullet"/>
      <w:lvlText w:val="+"/>
      <w:lvlJc w:val="left"/>
      <w:pPr>
        <w:tabs>
          <w:tab w:val="num" w:pos="5760"/>
        </w:tabs>
        <w:ind w:left="5760" w:hanging="360"/>
      </w:pPr>
      <w:rPr>
        <w:rFonts w:ascii="Avenir Next LT Pro" w:hAnsi="Avenir Next LT Pro" w:hint="default"/>
      </w:rPr>
    </w:lvl>
    <w:lvl w:ilvl="8" w:tplc="4530A82A" w:tentative="1">
      <w:start w:val="1"/>
      <w:numFmt w:val="bullet"/>
      <w:lvlText w:val="+"/>
      <w:lvlJc w:val="left"/>
      <w:pPr>
        <w:tabs>
          <w:tab w:val="num" w:pos="6480"/>
        </w:tabs>
        <w:ind w:left="6480" w:hanging="360"/>
      </w:pPr>
      <w:rPr>
        <w:rFonts w:ascii="Avenir Next LT Pro" w:hAnsi="Avenir Next LT Pro" w:hint="default"/>
      </w:rPr>
    </w:lvl>
  </w:abstractNum>
  <w:abstractNum w:abstractNumId="1" w15:restartNumberingAfterBreak="0">
    <w:nsid w:val="1BD61249"/>
    <w:multiLevelType w:val="hybridMultilevel"/>
    <w:tmpl w:val="57DE41E8"/>
    <w:lvl w:ilvl="0" w:tplc="F13C2206">
      <w:start w:val="1"/>
      <w:numFmt w:val="bullet"/>
      <w:lvlText w:val="+"/>
      <w:lvlJc w:val="left"/>
      <w:pPr>
        <w:tabs>
          <w:tab w:val="num" w:pos="720"/>
        </w:tabs>
        <w:ind w:left="720" w:hanging="360"/>
      </w:pPr>
      <w:rPr>
        <w:rFonts w:ascii="Avenir Next LT Pro" w:hAnsi="Avenir Next LT Pro" w:hint="default"/>
      </w:rPr>
    </w:lvl>
    <w:lvl w:ilvl="1" w:tplc="937ED5BA" w:tentative="1">
      <w:start w:val="1"/>
      <w:numFmt w:val="bullet"/>
      <w:lvlText w:val="+"/>
      <w:lvlJc w:val="left"/>
      <w:pPr>
        <w:tabs>
          <w:tab w:val="num" w:pos="1440"/>
        </w:tabs>
        <w:ind w:left="1440" w:hanging="360"/>
      </w:pPr>
      <w:rPr>
        <w:rFonts w:ascii="Avenir Next LT Pro" w:hAnsi="Avenir Next LT Pro" w:hint="default"/>
      </w:rPr>
    </w:lvl>
    <w:lvl w:ilvl="2" w:tplc="E3083904" w:tentative="1">
      <w:start w:val="1"/>
      <w:numFmt w:val="bullet"/>
      <w:lvlText w:val="+"/>
      <w:lvlJc w:val="left"/>
      <w:pPr>
        <w:tabs>
          <w:tab w:val="num" w:pos="2160"/>
        </w:tabs>
        <w:ind w:left="2160" w:hanging="360"/>
      </w:pPr>
      <w:rPr>
        <w:rFonts w:ascii="Avenir Next LT Pro" w:hAnsi="Avenir Next LT Pro" w:hint="default"/>
      </w:rPr>
    </w:lvl>
    <w:lvl w:ilvl="3" w:tplc="D58CE0B4" w:tentative="1">
      <w:start w:val="1"/>
      <w:numFmt w:val="bullet"/>
      <w:lvlText w:val="+"/>
      <w:lvlJc w:val="left"/>
      <w:pPr>
        <w:tabs>
          <w:tab w:val="num" w:pos="2880"/>
        </w:tabs>
        <w:ind w:left="2880" w:hanging="360"/>
      </w:pPr>
      <w:rPr>
        <w:rFonts w:ascii="Avenir Next LT Pro" w:hAnsi="Avenir Next LT Pro" w:hint="default"/>
      </w:rPr>
    </w:lvl>
    <w:lvl w:ilvl="4" w:tplc="FE92CB0E" w:tentative="1">
      <w:start w:val="1"/>
      <w:numFmt w:val="bullet"/>
      <w:lvlText w:val="+"/>
      <w:lvlJc w:val="left"/>
      <w:pPr>
        <w:tabs>
          <w:tab w:val="num" w:pos="3600"/>
        </w:tabs>
        <w:ind w:left="3600" w:hanging="360"/>
      </w:pPr>
      <w:rPr>
        <w:rFonts w:ascii="Avenir Next LT Pro" w:hAnsi="Avenir Next LT Pro" w:hint="default"/>
      </w:rPr>
    </w:lvl>
    <w:lvl w:ilvl="5" w:tplc="7C96111A" w:tentative="1">
      <w:start w:val="1"/>
      <w:numFmt w:val="bullet"/>
      <w:lvlText w:val="+"/>
      <w:lvlJc w:val="left"/>
      <w:pPr>
        <w:tabs>
          <w:tab w:val="num" w:pos="4320"/>
        </w:tabs>
        <w:ind w:left="4320" w:hanging="360"/>
      </w:pPr>
      <w:rPr>
        <w:rFonts w:ascii="Avenir Next LT Pro" w:hAnsi="Avenir Next LT Pro" w:hint="default"/>
      </w:rPr>
    </w:lvl>
    <w:lvl w:ilvl="6" w:tplc="55BEAAF2" w:tentative="1">
      <w:start w:val="1"/>
      <w:numFmt w:val="bullet"/>
      <w:lvlText w:val="+"/>
      <w:lvlJc w:val="left"/>
      <w:pPr>
        <w:tabs>
          <w:tab w:val="num" w:pos="5040"/>
        </w:tabs>
        <w:ind w:left="5040" w:hanging="360"/>
      </w:pPr>
      <w:rPr>
        <w:rFonts w:ascii="Avenir Next LT Pro" w:hAnsi="Avenir Next LT Pro" w:hint="default"/>
      </w:rPr>
    </w:lvl>
    <w:lvl w:ilvl="7" w:tplc="8CD2F046" w:tentative="1">
      <w:start w:val="1"/>
      <w:numFmt w:val="bullet"/>
      <w:lvlText w:val="+"/>
      <w:lvlJc w:val="left"/>
      <w:pPr>
        <w:tabs>
          <w:tab w:val="num" w:pos="5760"/>
        </w:tabs>
        <w:ind w:left="5760" w:hanging="360"/>
      </w:pPr>
      <w:rPr>
        <w:rFonts w:ascii="Avenir Next LT Pro" w:hAnsi="Avenir Next LT Pro" w:hint="default"/>
      </w:rPr>
    </w:lvl>
    <w:lvl w:ilvl="8" w:tplc="4B324F64" w:tentative="1">
      <w:start w:val="1"/>
      <w:numFmt w:val="bullet"/>
      <w:lvlText w:val="+"/>
      <w:lvlJc w:val="left"/>
      <w:pPr>
        <w:tabs>
          <w:tab w:val="num" w:pos="6480"/>
        </w:tabs>
        <w:ind w:left="6480" w:hanging="360"/>
      </w:pPr>
      <w:rPr>
        <w:rFonts w:ascii="Avenir Next LT Pro" w:hAnsi="Avenir Next LT Pro" w:hint="default"/>
      </w:rPr>
    </w:lvl>
  </w:abstractNum>
  <w:abstractNum w:abstractNumId="2" w15:restartNumberingAfterBreak="0">
    <w:nsid w:val="5F102FA7"/>
    <w:multiLevelType w:val="hybridMultilevel"/>
    <w:tmpl w:val="C506184E"/>
    <w:lvl w:ilvl="0" w:tplc="B0A2A9D6">
      <w:start w:val="1"/>
      <w:numFmt w:val="bullet"/>
      <w:lvlText w:val="+"/>
      <w:lvlJc w:val="left"/>
      <w:pPr>
        <w:tabs>
          <w:tab w:val="num" w:pos="720"/>
        </w:tabs>
        <w:ind w:left="720" w:hanging="360"/>
      </w:pPr>
      <w:rPr>
        <w:rFonts w:ascii="Avenir Next LT Pro" w:hAnsi="Avenir Next LT Pro" w:hint="default"/>
      </w:rPr>
    </w:lvl>
    <w:lvl w:ilvl="1" w:tplc="FB7A4022" w:tentative="1">
      <w:start w:val="1"/>
      <w:numFmt w:val="bullet"/>
      <w:lvlText w:val="+"/>
      <w:lvlJc w:val="left"/>
      <w:pPr>
        <w:tabs>
          <w:tab w:val="num" w:pos="1440"/>
        </w:tabs>
        <w:ind w:left="1440" w:hanging="360"/>
      </w:pPr>
      <w:rPr>
        <w:rFonts w:ascii="Avenir Next LT Pro" w:hAnsi="Avenir Next LT Pro" w:hint="default"/>
      </w:rPr>
    </w:lvl>
    <w:lvl w:ilvl="2" w:tplc="B83A4226" w:tentative="1">
      <w:start w:val="1"/>
      <w:numFmt w:val="bullet"/>
      <w:lvlText w:val="+"/>
      <w:lvlJc w:val="left"/>
      <w:pPr>
        <w:tabs>
          <w:tab w:val="num" w:pos="2160"/>
        </w:tabs>
        <w:ind w:left="2160" w:hanging="360"/>
      </w:pPr>
      <w:rPr>
        <w:rFonts w:ascii="Avenir Next LT Pro" w:hAnsi="Avenir Next LT Pro" w:hint="default"/>
      </w:rPr>
    </w:lvl>
    <w:lvl w:ilvl="3" w:tplc="1CF08732" w:tentative="1">
      <w:start w:val="1"/>
      <w:numFmt w:val="bullet"/>
      <w:lvlText w:val="+"/>
      <w:lvlJc w:val="left"/>
      <w:pPr>
        <w:tabs>
          <w:tab w:val="num" w:pos="2880"/>
        </w:tabs>
        <w:ind w:left="2880" w:hanging="360"/>
      </w:pPr>
      <w:rPr>
        <w:rFonts w:ascii="Avenir Next LT Pro" w:hAnsi="Avenir Next LT Pro" w:hint="default"/>
      </w:rPr>
    </w:lvl>
    <w:lvl w:ilvl="4" w:tplc="F5B02248" w:tentative="1">
      <w:start w:val="1"/>
      <w:numFmt w:val="bullet"/>
      <w:lvlText w:val="+"/>
      <w:lvlJc w:val="left"/>
      <w:pPr>
        <w:tabs>
          <w:tab w:val="num" w:pos="3600"/>
        </w:tabs>
        <w:ind w:left="3600" w:hanging="360"/>
      </w:pPr>
      <w:rPr>
        <w:rFonts w:ascii="Avenir Next LT Pro" w:hAnsi="Avenir Next LT Pro" w:hint="default"/>
      </w:rPr>
    </w:lvl>
    <w:lvl w:ilvl="5" w:tplc="8FBCAB62" w:tentative="1">
      <w:start w:val="1"/>
      <w:numFmt w:val="bullet"/>
      <w:lvlText w:val="+"/>
      <w:lvlJc w:val="left"/>
      <w:pPr>
        <w:tabs>
          <w:tab w:val="num" w:pos="4320"/>
        </w:tabs>
        <w:ind w:left="4320" w:hanging="360"/>
      </w:pPr>
      <w:rPr>
        <w:rFonts w:ascii="Avenir Next LT Pro" w:hAnsi="Avenir Next LT Pro" w:hint="default"/>
      </w:rPr>
    </w:lvl>
    <w:lvl w:ilvl="6" w:tplc="63E0FB42" w:tentative="1">
      <w:start w:val="1"/>
      <w:numFmt w:val="bullet"/>
      <w:lvlText w:val="+"/>
      <w:lvlJc w:val="left"/>
      <w:pPr>
        <w:tabs>
          <w:tab w:val="num" w:pos="5040"/>
        </w:tabs>
        <w:ind w:left="5040" w:hanging="360"/>
      </w:pPr>
      <w:rPr>
        <w:rFonts w:ascii="Avenir Next LT Pro" w:hAnsi="Avenir Next LT Pro" w:hint="default"/>
      </w:rPr>
    </w:lvl>
    <w:lvl w:ilvl="7" w:tplc="DC682596" w:tentative="1">
      <w:start w:val="1"/>
      <w:numFmt w:val="bullet"/>
      <w:lvlText w:val="+"/>
      <w:lvlJc w:val="left"/>
      <w:pPr>
        <w:tabs>
          <w:tab w:val="num" w:pos="5760"/>
        </w:tabs>
        <w:ind w:left="5760" w:hanging="360"/>
      </w:pPr>
      <w:rPr>
        <w:rFonts w:ascii="Avenir Next LT Pro" w:hAnsi="Avenir Next LT Pro" w:hint="default"/>
      </w:rPr>
    </w:lvl>
    <w:lvl w:ilvl="8" w:tplc="60EEFB06" w:tentative="1">
      <w:start w:val="1"/>
      <w:numFmt w:val="bullet"/>
      <w:lvlText w:val="+"/>
      <w:lvlJc w:val="left"/>
      <w:pPr>
        <w:tabs>
          <w:tab w:val="num" w:pos="6480"/>
        </w:tabs>
        <w:ind w:left="6480" w:hanging="360"/>
      </w:pPr>
      <w:rPr>
        <w:rFonts w:ascii="Avenir Next LT Pro" w:hAnsi="Avenir Next LT Pro" w:hint="default"/>
      </w:rPr>
    </w:lvl>
  </w:abstractNum>
  <w:num w:numId="1" w16cid:durableId="1290162297">
    <w:abstractNumId w:val="1"/>
  </w:num>
  <w:num w:numId="2" w16cid:durableId="1892838873">
    <w:abstractNumId w:val="2"/>
  </w:num>
  <w:num w:numId="3" w16cid:durableId="2012171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38E"/>
    <w:rsid w:val="00030C3A"/>
    <w:rsid w:val="00046854"/>
    <w:rsid w:val="00063A80"/>
    <w:rsid w:val="00072B76"/>
    <w:rsid w:val="00091312"/>
    <w:rsid w:val="000C479F"/>
    <w:rsid w:val="00120FB2"/>
    <w:rsid w:val="001272A9"/>
    <w:rsid w:val="001844DD"/>
    <w:rsid w:val="001A7399"/>
    <w:rsid w:val="00205913"/>
    <w:rsid w:val="00233C84"/>
    <w:rsid w:val="002459FB"/>
    <w:rsid w:val="002514BA"/>
    <w:rsid w:val="0025229D"/>
    <w:rsid w:val="00255A22"/>
    <w:rsid w:val="00267405"/>
    <w:rsid w:val="00274827"/>
    <w:rsid w:val="00293E59"/>
    <w:rsid w:val="002D3789"/>
    <w:rsid w:val="0036190D"/>
    <w:rsid w:val="00361D0A"/>
    <w:rsid w:val="0036631C"/>
    <w:rsid w:val="00366CE6"/>
    <w:rsid w:val="00376D9C"/>
    <w:rsid w:val="003858BD"/>
    <w:rsid w:val="00394F89"/>
    <w:rsid w:val="003C2917"/>
    <w:rsid w:val="00407128"/>
    <w:rsid w:val="00416C91"/>
    <w:rsid w:val="0042554E"/>
    <w:rsid w:val="00434B5B"/>
    <w:rsid w:val="00456979"/>
    <w:rsid w:val="004A4AF4"/>
    <w:rsid w:val="004D0A59"/>
    <w:rsid w:val="004E1517"/>
    <w:rsid w:val="00551551"/>
    <w:rsid w:val="005612EE"/>
    <w:rsid w:val="00574ACD"/>
    <w:rsid w:val="00587333"/>
    <w:rsid w:val="005D342F"/>
    <w:rsid w:val="005E5467"/>
    <w:rsid w:val="006253C4"/>
    <w:rsid w:val="00684AE1"/>
    <w:rsid w:val="006B621D"/>
    <w:rsid w:val="006C3A94"/>
    <w:rsid w:val="006C7145"/>
    <w:rsid w:val="006C7465"/>
    <w:rsid w:val="006D34F4"/>
    <w:rsid w:val="006D7844"/>
    <w:rsid w:val="006F4371"/>
    <w:rsid w:val="006F730F"/>
    <w:rsid w:val="00710FF3"/>
    <w:rsid w:val="007511D5"/>
    <w:rsid w:val="00773554"/>
    <w:rsid w:val="008013D5"/>
    <w:rsid w:val="00821FF0"/>
    <w:rsid w:val="00830D3B"/>
    <w:rsid w:val="00831FFC"/>
    <w:rsid w:val="0087597B"/>
    <w:rsid w:val="008B719D"/>
    <w:rsid w:val="00906B33"/>
    <w:rsid w:val="009223F1"/>
    <w:rsid w:val="00994F08"/>
    <w:rsid w:val="00A3438E"/>
    <w:rsid w:val="00A43326"/>
    <w:rsid w:val="00AA06DA"/>
    <w:rsid w:val="00AC48A3"/>
    <w:rsid w:val="00AF4D41"/>
    <w:rsid w:val="00B23393"/>
    <w:rsid w:val="00B80604"/>
    <w:rsid w:val="00B85C88"/>
    <w:rsid w:val="00B93FF8"/>
    <w:rsid w:val="00BA166C"/>
    <w:rsid w:val="00BB6C5C"/>
    <w:rsid w:val="00BC3850"/>
    <w:rsid w:val="00BD7EBC"/>
    <w:rsid w:val="00BF50DC"/>
    <w:rsid w:val="00C03B39"/>
    <w:rsid w:val="00C3335D"/>
    <w:rsid w:val="00C6102F"/>
    <w:rsid w:val="00C91E9C"/>
    <w:rsid w:val="00CA07D1"/>
    <w:rsid w:val="00CA5A3C"/>
    <w:rsid w:val="00CE049A"/>
    <w:rsid w:val="00CF2DB5"/>
    <w:rsid w:val="00D14EBF"/>
    <w:rsid w:val="00D249E8"/>
    <w:rsid w:val="00D42D5F"/>
    <w:rsid w:val="00D43D6B"/>
    <w:rsid w:val="00D90C82"/>
    <w:rsid w:val="00D940F5"/>
    <w:rsid w:val="00D97996"/>
    <w:rsid w:val="00DD38B0"/>
    <w:rsid w:val="00E1775F"/>
    <w:rsid w:val="00EA0F4B"/>
    <w:rsid w:val="00EB4F96"/>
    <w:rsid w:val="00F307F8"/>
    <w:rsid w:val="00F52B37"/>
    <w:rsid w:val="00FD7B0B"/>
    <w:rsid w:val="00FF7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0D530"/>
  <w15:chartTrackingRefBased/>
  <w15:docId w15:val="{25E617CC-FB61-4C34-8694-47FAC2EE5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06D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A06DA"/>
    <w:rPr>
      <w:b/>
      <w:bCs/>
    </w:rPr>
  </w:style>
  <w:style w:type="paragraph" w:styleId="FootnoteText">
    <w:name w:val="footnote text"/>
    <w:basedOn w:val="Normal"/>
    <w:link w:val="FootnoteTextChar"/>
    <w:uiPriority w:val="99"/>
    <w:semiHidden/>
    <w:unhideWhenUsed/>
    <w:rsid w:val="003C29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2917"/>
    <w:rPr>
      <w:sz w:val="20"/>
      <w:szCs w:val="20"/>
    </w:rPr>
  </w:style>
  <w:style w:type="character" w:styleId="FootnoteReference">
    <w:name w:val="footnote reference"/>
    <w:basedOn w:val="DefaultParagraphFont"/>
    <w:uiPriority w:val="99"/>
    <w:semiHidden/>
    <w:unhideWhenUsed/>
    <w:rsid w:val="003C2917"/>
    <w:rPr>
      <w:vertAlign w:val="superscript"/>
    </w:rPr>
  </w:style>
  <w:style w:type="character" w:styleId="Hyperlink">
    <w:name w:val="Hyperlink"/>
    <w:basedOn w:val="DefaultParagraphFont"/>
    <w:uiPriority w:val="99"/>
    <w:unhideWhenUsed/>
    <w:rsid w:val="003C2917"/>
    <w:rPr>
      <w:color w:val="0563C1" w:themeColor="hyperlink"/>
      <w:u w:val="single"/>
    </w:rPr>
  </w:style>
  <w:style w:type="character" w:styleId="UnresolvedMention">
    <w:name w:val="Unresolved Mention"/>
    <w:basedOn w:val="DefaultParagraphFont"/>
    <w:uiPriority w:val="99"/>
    <w:semiHidden/>
    <w:unhideWhenUsed/>
    <w:rsid w:val="003C29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734055">
      <w:bodyDiv w:val="1"/>
      <w:marLeft w:val="0"/>
      <w:marRight w:val="0"/>
      <w:marTop w:val="0"/>
      <w:marBottom w:val="0"/>
      <w:divBdr>
        <w:top w:val="none" w:sz="0" w:space="0" w:color="auto"/>
        <w:left w:val="none" w:sz="0" w:space="0" w:color="auto"/>
        <w:bottom w:val="none" w:sz="0" w:space="0" w:color="auto"/>
        <w:right w:val="none" w:sz="0" w:space="0" w:color="auto"/>
      </w:divBdr>
    </w:div>
    <w:div w:id="681012798">
      <w:bodyDiv w:val="1"/>
      <w:marLeft w:val="0"/>
      <w:marRight w:val="0"/>
      <w:marTop w:val="0"/>
      <w:marBottom w:val="0"/>
      <w:divBdr>
        <w:top w:val="none" w:sz="0" w:space="0" w:color="auto"/>
        <w:left w:val="none" w:sz="0" w:space="0" w:color="auto"/>
        <w:bottom w:val="none" w:sz="0" w:space="0" w:color="auto"/>
        <w:right w:val="none" w:sz="0" w:space="0" w:color="auto"/>
      </w:divBdr>
      <w:divsChild>
        <w:div w:id="1661539400">
          <w:marLeft w:val="360"/>
          <w:marRight w:val="0"/>
          <w:marTop w:val="200"/>
          <w:marBottom w:val="0"/>
          <w:divBdr>
            <w:top w:val="none" w:sz="0" w:space="0" w:color="auto"/>
            <w:left w:val="none" w:sz="0" w:space="0" w:color="auto"/>
            <w:bottom w:val="none" w:sz="0" w:space="0" w:color="auto"/>
            <w:right w:val="none" w:sz="0" w:space="0" w:color="auto"/>
          </w:divBdr>
        </w:div>
      </w:divsChild>
    </w:div>
    <w:div w:id="1564636791">
      <w:bodyDiv w:val="1"/>
      <w:marLeft w:val="0"/>
      <w:marRight w:val="0"/>
      <w:marTop w:val="0"/>
      <w:marBottom w:val="0"/>
      <w:divBdr>
        <w:top w:val="none" w:sz="0" w:space="0" w:color="auto"/>
        <w:left w:val="none" w:sz="0" w:space="0" w:color="auto"/>
        <w:bottom w:val="none" w:sz="0" w:space="0" w:color="auto"/>
        <w:right w:val="none" w:sz="0" w:space="0" w:color="auto"/>
      </w:divBdr>
      <w:divsChild>
        <w:div w:id="1667395688">
          <w:marLeft w:val="360"/>
          <w:marRight w:val="0"/>
          <w:marTop w:val="200"/>
          <w:marBottom w:val="0"/>
          <w:divBdr>
            <w:top w:val="none" w:sz="0" w:space="0" w:color="auto"/>
            <w:left w:val="none" w:sz="0" w:space="0" w:color="auto"/>
            <w:bottom w:val="none" w:sz="0" w:space="0" w:color="auto"/>
            <w:right w:val="none" w:sz="0" w:space="0" w:color="auto"/>
          </w:divBdr>
        </w:div>
      </w:divsChild>
    </w:div>
    <w:div w:id="1782608874">
      <w:bodyDiv w:val="1"/>
      <w:marLeft w:val="0"/>
      <w:marRight w:val="0"/>
      <w:marTop w:val="0"/>
      <w:marBottom w:val="0"/>
      <w:divBdr>
        <w:top w:val="none" w:sz="0" w:space="0" w:color="auto"/>
        <w:left w:val="none" w:sz="0" w:space="0" w:color="auto"/>
        <w:bottom w:val="none" w:sz="0" w:space="0" w:color="auto"/>
        <w:right w:val="none" w:sz="0" w:space="0" w:color="auto"/>
      </w:divBdr>
      <w:divsChild>
        <w:div w:id="9576094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relic" TargetMode="External"/><Relationship Id="rId3" Type="http://schemas.openxmlformats.org/officeDocument/2006/relationships/settings" Target="settings.xml"/><Relationship Id="rId7" Type="http://schemas.openxmlformats.org/officeDocument/2006/relationships/hyperlink" Target="https://www.nationalgeographic.com/history/article/mary-magdalene-face-skull-france-video-sp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eb.archive.org/web/19991013120338/http://www.catholic-pages.com/saints/explained.asp"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nationalgeographic.com/history/article/mary-magdalene-face-skull-france-video-spd" TargetMode="External"/><Relationship Id="rId2" Type="http://schemas.openxmlformats.org/officeDocument/2006/relationships/hyperlink" Target="https://web.archive.org/web/19991013120338/http://www.catholic-pages.com/saints/explained.asp" TargetMode="External"/><Relationship Id="rId1" Type="http://schemas.openxmlformats.org/officeDocument/2006/relationships/hyperlink" Target="https://www.britannica.com/topic/rel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1725</TotalTime>
  <Pages>5</Pages>
  <Words>1724</Words>
  <Characters>9832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Laughlin</dc:creator>
  <cp:keywords/>
  <dc:description/>
  <cp:lastModifiedBy>Becky Laughlin</cp:lastModifiedBy>
  <cp:revision>91</cp:revision>
  <dcterms:created xsi:type="dcterms:W3CDTF">2023-03-24T10:28:00Z</dcterms:created>
  <dcterms:modified xsi:type="dcterms:W3CDTF">2023-04-19T22:06:00Z</dcterms:modified>
</cp:coreProperties>
</file>