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word/styles.xml" ContentType="application/vnd.openxmlformats-officedocument.wordprocessingml.styles+xml"/>
  <Override PartName="/word/footer1.xml" ContentType="application/vnd.openxmlformats-officedocument.wordprocessingml.footer+xml"/>
  <Override PartName="/word/footer2.xml" ContentType="application/vnd.openxmlformats-officedocument.wordprocessingml.footer+xml"/>
  <Override PartName="/word/document.xml" ContentType="application/vnd.openxmlformats-officedocument.wordprocessingml.document.main+xml"/>
  <Override PartName="/word/footer3.xml" ContentType="application/vnd.openxmlformats-officedocument.wordprocessingml.footer+xml"/>
  <Override PartName="/word/settings.xml" ContentType="application/vnd.openxmlformats-officedocument.wordprocessingml.settings+xml"/>
  <Override PartName="/word/fontTable.xml" ContentType="application/vnd.openxmlformats-officedocument.wordprocessingml.fontTable+xml"/>
  <Override PartName="/word/theme/theme1.xml" ContentType="application/vnd.openxmlformats-officedocument.theme+xml"/>
  <Override PartName="/docProps/custom.xml" ContentType="application/vnd.openxmlformats-officedocument.custom-properties+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before="120" w:after="120"/>
        <w:jc w:val="center"/>
        <w:rPr>
          <w:rFonts w:cs="Arial"/>
          <w:szCs w:val="24"/>
          <w:lang w:val="en-IN"/>
        </w:rPr>
      </w:pPr>
      <w:r>
        <w:rPr/>
        <w:drawing>
          <wp:inline distT="0" distB="0" distL="0" distR="0">
            <wp:extent cx="3740150" cy="15627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2"/>
                    <a:stretch>
                      <a:fillRect/>
                    </a:stretch>
                  </pic:blipFill>
                  <pic:spPr bwMode="auto">
                    <a:xfrm>
                      <a:off x="0" y="0"/>
                      <a:ext cx="3740150" cy="1562735"/>
                    </a:xfrm>
                    <a:prstGeom prst="rect">
                      <a:avLst/>
                    </a:prstGeom>
                    <a:noFill/>
                  </pic:spPr>
                </pic:pic>
              </a:graphicData>
            </a:graphic>
          </wp:inline>
        </w:drawing>
      </w:r>
    </w:p>
    <w:p>
      <w:pPr>
        <w:pStyle w:val="Normal"/>
        <w:jc w:val="center"/>
        <w:rPr>
          <w:rFonts w:cs="Arial"/>
          <w:b/>
          <w:bCs/>
          <w:szCs w:val="24"/>
          <w:lang w:val="en-IN"/>
        </w:rPr>
      </w:pPr>
      <w:r>
        <w:rPr>
          <w:rFonts w:cs="Arial"/>
          <w:b/>
          <w:bCs/>
          <w:szCs w:val="24"/>
          <w:lang w:val="en-IN"/>
        </w:rPr>
      </w:r>
    </w:p>
    <w:p>
      <w:pPr>
        <w:pStyle w:val="Normal"/>
        <w:jc w:val="center"/>
        <w:rPr>
          <w:rFonts w:cs="Arial"/>
          <w:b/>
          <w:bCs/>
          <w:szCs w:val="24"/>
          <w:lang w:val="en-IN"/>
        </w:rPr>
      </w:pPr>
      <w:r>
        <w:rPr>
          <w:rFonts w:cs="Arial"/>
          <w:b/>
          <w:bCs/>
          <w:szCs w:val="24"/>
          <w:lang w:val="en-IN"/>
        </w:rPr>
        <w:t>Master of Business Administration (MBA)</w:t>
      </w:r>
    </w:p>
    <w:p>
      <w:pPr>
        <w:pStyle w:val="Normal"/>
        <w:jc w:val="center"/>
        <w:rPr>
          <w:rFonts w:cs="Arial"/>
          <w:b/>
          <w:bCs/>
          <w:szCs w:val="24"/>
          <w:lang w:val="en-IN"/>
        </w:rPr>
      </w:pPr>
      <w:r>
        <w:rPr>
          <w:rFonts w:cs="Arial"/>
          <w:b/>
          <w:bCs/>
          <w:szCs w:val="24"/>
          <w:lang w:val="en-IN"/>
        </w:rPr>
        <w:t xml:space="preserve">Module Title: </w:t>
      </w:r>
      <w:r>
        <w:rPr>
          <w:rFonts w:cs="Arial"/>
          <w:szCs w:val="24"/>
          <w:lang w:val="en-IN"/>
        </w:rPr>
        <w:t>International Business Concepts</w:t>
      </w:r>
    </w:p>
    <w:p>
      <w:pPr>
        <w:pStyle w:val="Normal"/>
        <w:jc w:val="center"/>
        <w:rPr>
          <w:rFonts w:cs="Arial"/>
          <w:b/>
          <w:bCs/>
          <w:szCs w:val="24"/>
          <w:lang w:val="en-IN"/>
        </w:rPr>
      </w:pPr>
      <w:r>
        <w:rPr>
          <w:rFonts w:cs="Arial"/>
          <w:b/>
          <w:bCs/>
          <w:szCs w:val="24"/>
          <w:lang w:val="en-IN"/>
        </w:rPr>
        <w:t xml:space="preserve">Module Code: </w:t>
      </w:r>
      <w:r>
        <w:rPr>
          <w:rFonts w:cs="Arial"/>
        </w:rPr>
        <w:t>LCMB7034</w:t>
      </w:r>
    </w:p>
    <w:p>
      <w:pPr>
        <w:pStyle w:val="Normal"/>
        <w:jc w:val="center"/>
        <w:rPr>
          <w:rFonts w:cs="Arial"/>
          <w:szCs w:val="24"/>
          <w:lang w:val="en-IN"/>
        </w:rPr>
      </w:pPr>
      <w:r>
        <w:rPr>
          <w:rFonts w:cs="Arial"/>
          <w:szCs w:val="24"/>
          <w:lang w:val="en-IN"/>
        </w:rPr>
      </w:r>
    </w:p>
    <w:p>
      <w:pPr>
        <w:pStyle w:val="Normal"/>
        <w:jc w:val="center"/>
        <w:rPr>
          <w:rFonts w:cs="Arial"/>
          <w:b/>
          <w:bCs/>
          <w:lang w:val="en-IN"/>
        </w:rPr>
      </w:pPr>
      <w:r>
        <w:rPr>
          <w:rFonts w:cs="Arial"/>
          <w:b/>
          <w:bCs/>
          <w:szCs w:val="24"/>
          <w:lang w:val="en-IN"/>
        </w:rPr>
        <w:t xml:space="preserve">Assessment Title: </w:t>
      </w:r>
      <w:r>
        <w:rPr>
          <w:rFonts w:cs="Arial"/>
          <w:lang w:val="en-IN"/>
        </w:rPr>
        <w:t>Evaluating Costco Wholesale Corporation’s Potential Market Entry into South Africa: An International Business Analysis and Reflective Account</w:t>
      </w:r>
    </w:p>
    <w:p>
      <w:pPr>
        <w:pStyle w:val="Normal"/>
        <w:rPr>
          <w:rFonts w:cs="Arial"/>
          <w:b/>
          <w:bCs/>
          <w:szCs w:val="24"/>
          <w:lang w:val="en-IN"/>
        </w:rPr>
      </w:pPr>
      <w:r>
        <w:rPr>
          <w:rFonts w:cs="Arial"/>
          <w:b/>
          <w:bCs/>
          <w:szCs w:val="24"/>
          <w:lang w:val="en-IN"/>
        </w:rPr>
      </w:r>
    </w:p>
    <w:p>
      <w:pPr>
        <w:pStyle w:val="Normal"/>
        <w:jc w:val="center"/>
        <w:rPr>
          <w:rFonts w:cs="Arial"/>
          <w:szCs w:val="24"/>
          <w:lang w:val="en-IN"/>
        </w:rPr>
      </w:pPr>
      <w:r>
        <w:rPr>
          <w:rFonts w:cs="Arial"/>
          <w:szCs w:val="24"/>
          <w:lang w:val="en-IN"/>
        </w:rPr>
      </w:r>
    </w:p>
    <w:p>
      <w:pPr>
        <w:pStyle w:val="Normal"/>
        <w:jc w:val="center"/>
        <w:rPr>
          <w:rFonts w:cs="Arial"/>
          <w:b/>
          <w:bCs/>
          <w:szCs w:val="24"/>
          <w:lang w:val="en-IN"/>
        </w:rPr>
      </w:pPr>
      <w:r>
        <w:rPr>
          <w:rFonts w:cs="Arial"/>
          <w:b/>
          <w:bCs/>
          <w:szCs w:val="24"/>
          <w:lang w:val="en-IN"/>
        </w:rPr>
        <w:t xml:space="preserve">Student Name: </w:t>
      </w:r>
      <w:r>
        <w:rPr>
          <w:rFonts w:cs="Arial"/>
          <w:b w:val="false"/>
          <w:bCs w:val="false"/>
          <w:szCs w:val="24"/>
          <w:lang w:val="en-IN"/>
        </w:rPr>
        <w:t>Asfiyabanu Muntasibahemad Malek</w:t>
      </w:r>
      <w:r>
        <w:rPr>
          <w:rFonts w:cs="Arial"/>
          <w:b/>
          <w:bCs/>
          <w:szCs w:val="24"/>
          <w:lang w:val="en-IN"/>
        </w:rPr>
        <w:t xml:space="preserve"> </w:t>
      </w:r>
    </w:p>
    <w:p>
      <w:pPr>
        <w:pStyle w:val="Normal"/>
        <w:jc w:val="center"/>
        <w:rPr>
          <w:rFonts w:cs="Arial"/>
          <w:b/>
          <w:bCs/>
          <w:szCs w:val="24"/>
          <w:lang w:val="en-IN"/>
        </w:rPr>
      </w:pPr>
      <w:r>
        <w:rPr>
          <w:rFonts w:cs="Arial"/>
          <w:b/>
          <w:bCs/>
          <w:szCs w:val="24"/>
          <w:lang w:val="en-IN"/>
        </w:rPr>
        <w:t xml:space="preserve">Student ID: </w:t>
      </w:r>
      <w:r>
        <w:rPr>
          <w:rFonts w:cs="Arial"/>
          <w:b w:val="false"/>
          <w:bCs w:val="false"/>
          <w:szCs w:val="24"/>
          <w:lang w:val="en-IN"/>
        </w:rPr>
        <w:t>2521746</w:t>
      </w:r>
    </w:p>
    <w:p>
      <w:pPr>
        <w:pStyle w:val="Normal"/>
        <w:jc w:val="center"/>
        <w:rPr>
          <w:rFonts w:cs="Arial"/>
          <w:szCs w:val="24"/>
          <w:lang w:val="en-IN"/>
        </w:rPr>
      </w:pPr>
      <w:r>
        <w:rPr>
          <w:rFonts w:cs="Arial"/>
          <w:szCs w:val="24"/>
          <w:lang w:val="en-IN"/>
        </w:rPr>
      </w:r>
    </w:p>
    <w:p>
      <w:pPr>
        <w:pStyle w:val="Normal"/>
        <w:jc w:val="center"/>
        <w:rPr>
          <w:rFonts w:cs="Arial"/>
          <w:b/>
          <w:bCs/>
          <w:szCs w:val="24"/>
          <w:lang w:val="en-IN"/>
        </w:rPr>
      </w:pPr>
      <w:r>
        <w:rPr>
          <w:rFonts w:cs="Arial"/>
          <w:b/>
          <w:bCs/>
          <w:szCs w:val="24"/>
          <w:lang w:val="en-IN"/>
        </w:rPr>
        <w:t xml:space="preserve">Lecturer Name: </w:t>
      </w:r>
      <w:r>
        <w:rPr>
          <w:rFonts w:cs="Arial"/>
          <w:b w:val="false"/>
          <w:bCs w:val="false"/>
          <w:szCs w:val="24"/>
          <w:lang w:val="en-IN"/>
        </w:rPr>
        <w:t>Gladius Kulothungan</w:t>
      </w:r>
    </w:p>
    <w:p>
      <w:pPr>
        <w:pStyle w:val="Normal"/>
        <w:jc w:val="center"/>
        <w:rPr>
          <w:rFonts w:cs="Arial"/>
          <w:szCs w:val="24"/>
          <w:lang w:val="en-IN"/>
        </w:rPr>
      </w:pPr>
      <w:r>
        <w:rPr>
          <w:rFonts w:cs="Arial"/>
          <w:szCs w:val="24"/>
          <w:lang w:val="en-IN"/>
        </w:rPr>
      </w:r>
    </w:p>
    <w:p>
      <w:pPr>
        <w:pStyle w:val="Normal"/>
        <w:jc w:val="center"/>
        <w:rPr>
          <w:rFonts w:cs="Arial"/>
          <w:b/>
          <w:bCs/>
          <w:szCs w:val="24"/>
          <w:lang w:val="en-IN"/>
        </w:rPr>
      </w:pPr>
      <w:r>
        <w:rPr>
          <w:rFonts w:cs="Arial"/>
          <w:lang w:val="en-IN"/>
        </w:rPr>
      </w:r>
    </w:p>
    <w:p>
      <w:pPr>
        <w:pStyle w:val="Heading1"/>
        <w:rPr>
          <w:rFonts w:cs="Arial"/>
          <w:lang w:val="en-IN"/>
        </w:rPr>
      </w:pPr>
      <w:r>
        <w:rPr>
          <w:rFonts w:cs="Arial"/>
          <w:lang w:val="en-IN"/>
        </w:rPr>
      </w:r>
    </w:p>
    <w:p>
      <w:pPr>
        <w:pStyle w:val="Heading1"/>
        <w:rPr>
          <w:rFonts w:cs="Arial"/>
          <w:lang w:val="en-IN"/>
        </w:rPr>
      </w:pPr>
      <w:r>
        <w:rPr>
          <w:rFonts w:cs="Arial"/>
          <w:lang w:val="en-IN"/>
        </w:rPr>
      </w:r>
    </w:p>
    <w:p>
      <w:pPr>
        <w:pStyle w:val="Heading1"/>
        <w:rPr>
          <w:rFonts w:cs="Arial"/>
          <w:lang w:val="en-IN"/>
        </w:rPr>
      </w:pPr>
      <w:r>
        <w:rPr>
          <w:rFonts w:cs="Arial"/>
          <w:lang w:val="en-IN"/>
        </w:rPr>
      </w:r>
    </w:p>
    <w:p>
      <w:pPr>
        <w:pStyle w:val="Normal"/>
        <w:spacing w:before="0" w:after="160"/>
        <w:jc w:val="start"/>
        <w:rPr>
          <w:rFonts w:eastAsia="" w:cs="Arial" w:eastAsiaTheme="majorEastAsia"/>
          <w:b/>
          <w:bCs/>
          <w:color w:themeColor="text1" w:val="000000"/>
          <w:kern w:val="2"/>
          <w:szCs w:val="48"/>
          <w:lang w:val="en-IN" w:eastAsia="en-IN"/>
        </w:rPr>
      </w:pPr>
      <w:r>
        <w:rPr>
          <w:rFonts w:eastAsia="" w:cs="Arial" w:eastAsiaTheme="majorEastAsia"/>
          <w:b/>
          <w:bCs/>
          <w:color w:themeColor="text1" w:val="000000"/>
          <w:kern w:val="2"/>
          <w:szCs w:val="48"/>
          <w:lang w:val="en-IN" w:eastAsia="en-IN"/>
        </w:rPr>
      </w:r>
    </w:p>
    <w:sdt>
      <w:sdtPr>
        <w:docPartObj>
          <w:docPartGallery w:val="Table of Contents"/>
          <w:docPartUnique w:val="true"/>
        </w:docPartObj>
      </w:sdtPr>
      <w:sdtContent>
        <w:p>
          <w:pPr>
            <w:pStyle w:val="TOCHeading"/>
            <w:rPr/>
          </w:pPr>
          <w:r>
            <w:br w:type="page"/>
          </w:r>
          <w:r>
            <w:rPr/>
            <w:t>Table of Contents</w:t>
          </w:r>
        </w:p>
        <w:p>
          <w:pPr>
            <w:pStyle w:val="TOC1"/>
            <w:tabs>
              <w:tab w:val="clear" w:pos="720"/>
              <w:tab w:val="right" w:pos="9025" w:leader="dot"/>
            </w:tabs>
            <w:rPr/>
          </w:pPr>
          <w:r>
            <w:fldChar w:fldCharType="begin"/>
          </w:r>
          <w:r>
            <w:rPr>
              <w:rStyle w:val="IndexLink"/>
              <w:webHidden/>
            </w:rPr>
            <w:instrText xml:space="preserve"> TOC \z \o "1-3" \u \h</w:instrText>
          </w:r>
          <w:r>
            <w:rPr>
              <w:rStyle w:val="IndexLink"/>
              <w:webHidden/>
            </w:rPr>
            <w:fldChar w:fldCharType="separate"/>
          </w:r>
          <w:hyperlink w:anchor="__RefHeading___Toc1692_621937267" w:tooltip="1. Organisational Classification and Global Strategy">
            <w:r>
              <w:rPr>
                <w:rStyle w:val="IndexLink"/>
                <w:webHidden/>
              </w:rPr>
              <w:t>1. Organisational Classification and Global Strategy</w:t>
              <w:tab/>
              <w:t>4</w:t>
            </w:r>
          </w:hyperlink>
        </w:p>
        <w:p>
          <w:pPr>
            <w:pStyle w:val="TOC2"/>
            <w:tabs>
              <w:tab w:val="clear" w:pos="720"/>
              <w:tab w:val="right" w:pos="9025" w:leader="dot"/>
            </w:tabs>
            <w:rPr/>
          </w:pPr>
          <w:hyperlink w:anchor="__RefHeading___Toc1694_621937267" w:tooltip="1.1 Costco’s Organisational and International Profile">
            <w:r>
              <w:rPr>
                <w:rStyle w:val="IndexLink"/>
                <w:webHidden/>
              </w:rPr>
              <w:t>1.1 Costco’s Organisational and International Profile</w:t>
              <w:tab/>
              <w:t>4</w:t>
            </w:r>
          </w:hyperlink>
        </w:p>
        <w:p>
          <w:pPr>
            <w:pStyle w:val="TOC2"/>
            <w:tabs>
              <w:tab w:val="clear" w:pos="720"/>
              <w:tab w:val="right" w:pos="9025" w:leader="dot"/>
            </w:tabs>
            <w:rPr/>
          </w:pPr>
          <w:hyperlink w:anchor="__RefHeading___Toc1696_621937267" w:tooltip="1.2 Bartlett and Ghoshal Strategic Classification">
            <w:r>
              <w:rPr>
                <w:rStyle w:val="IndexLink"/>
                <w:webHidden/>
              </w:rPr>
              <w:t>1.2 Bartlett and Ghoshal Strategic Classification</w:t>
              <w:tab/>
              <w:t>4</w:t>
            </w:r>
          </w:hyperlink>
        </w:p>
        <w:p>
          <w:pPr>
            <w:pStyle w:val="TOC2"/>
            <w:tabs>
              <w:tab w:val="clear" w:pos="720"/>
              <w:tab w:val="right" w:pos="9025" w:leader="dot"/>
            </w:tabs>
            <w:rPr/>
          </w:pPr>
          <w:hyperlink w:anchor="__RefHeading___Toc1698_621937267" w:tooltip="1.3 Global Geographic Configuration and Competitive Advantage">
            <w:r>
              <w:rPr>
                <w:rStyle w:val="IndexLink"/>
                <w:webHidden/>
              </w:rPr>
              <w:t>1.3 Global Geographic Configuration and Competitive Advantage</w:t>
              <w:tab/>
              <w:t>5</w:t>
            </w:r>
          </w:hyperlink>
        </w:p>
        <w:p>
          <w:pPr>
            <w:pStyle w:val="TOC1"/>
            <w:tabs>
              <w:tab w:val="clear" w:pos="720"/>
              <w:tab w:val="right" w:pos="9025" w:leader="dot"/>
            </w:tabs>
            <w:rPr/>
          </w:pPr>
          <w:hyperlink w:anchor="__RefHeading___Toc1700_621937267" w:tooltip="2. Macro-Environmental Appraisal and Market Attractiveness">
            <w:r>
              <w:rPr>
                <w:rStyle w:val="IndexLink"/>
                <w:webHidden/>
              </w:rPr>
              <w:t>2. Macro-Environmental Appraisal and Market Attractiveness</w:t>
              <w:tab/>
              <w:t>6</w:t>
            </w:r>
          </w:hyperlink>
        </w:p>
        <w:p>
          <w:pPr>
            <w:pStyle w:val="TOC2"/>
            <w:tabs>
              <w:tab w:val="clear" w:pos="720"/>
              <w:tab w:val="right" w:pos="9025" w:leader="dot"/>
            </w:tabs>
            <w:rPr/>
          </w:pPr>
          <w:hyperlink w:anchor="__RefHeading___Toc1702_621937267" w:tooltip="2.1 South African Market Overview">
            <w:r>
              <w:rPr>
                <w:rStyle w:val="IndexLink"/>
                <w:webHidden/>
              </w:rPr>
              <w:t>2.1 South African Market Overview</w:t>
              <w:tab/>
              <w:t>6</w:t>
            </w:r>
          </w:hyperlink>
        </w:p>
        <w:p>
          <w:pPr>
            <w:pStyle w:val="TOC2"/>
            <w:tabs>
              <w:tab w:val="clear" w:pos="720"/>
              <w:tab w:val="right" w:pos="9025" w:leader="dot"/>
            </w:tabs>
            <w:rPr/>
          </w:pPr>
          <w:hyperlink w:anchor="__RefHeading___Toc1704_621937267" w:tooltip="2.2 Political Environment">
            <w:r>
              <w:rPr>
                <w:rStyle w:val="IndexLink"/>
                <w:webHidden/>
              </w:rPr>
              <w:t>2.2 Political Environment</w:t>
              <w:tab/>
              <w:t>7</w:t>
            </w:r>
          </w:hyperlink>
        </w:p>
        <w:p>
          <w:pPr>
            <w:pStyle w:val="TOC3"/>
            <w:tabs>
              <w:tab w:val="clear" w:pos="720"/>
              <w:tab w:val="right" w:pos="9025" w:leader="dot"/>
            </w:tabs>
            <w:rPr/>
          </w:pPr>
          <w:hyperlink w:anchor="__RefHeading___Toc1706_621937267" w:tooltip="2.2.1 Political Stability and Governance">
            <w:r>
              <w:rPr>
                <w:rStyle w:val="IndexLink"/>
                <w:webHidden/>
              </w:rPr>
              <w:t>2.2.1 Political Stability and Governance</w:t>
              <w:tab/>
              <w:t>7</w:t>
            </w:r>
          </w:hyperlink>
        </w:p>
        <w:p>
          <w:pPr>
            <w:pStyle w:val="TOC3"/>
            <w:tabs>
              <w:tab w:val="clear" w:pos="720"/>
              <w:tab w:val="right" w:pos="9025" w:leader="dot"/>
            </w:tabs>
            <w:rPr/>
          </w:pPr>
          <w:hyperlink w:anchor="__RefHeading___Toc1708_621937267" w:tooltip="2.2.2 Government Policy and Foreign Investment">
            <w:r>
              <w:rPr>
                <w:rStyle w:val="IndexLink"/>
                <w:webHidden/>
              </w:rPr>
              <w:t>2.2.2 Government Policy and Foreign Investment</w:t>
              <w:tab/>
              <w:t>8</w:t>
            </w:r>
          </w:hyperlink>
        </w:p>
        <w:p>
          <w:pPr>
            <w:pStyle w:val="TOC3"/>
            <w:tabs>
              <w:tab w:val="clear" w:pos="720"/>
              <w:tab w:val="right" w:pos="9025" w:leader="dot"/>
            </w:tabs>
            <w:rPr/>
          </w:pPr>
          <w:hyperlink w:anchor="__RefHeading___Toc1710_621937267" w:tooltip="2.2.3 Infrastructure and Political Execution Risk">
            <w:r>
              <w:rPr>
                <w:rStyle w:val="IndexLink"/>
                <w:webHidden/>
              </w:rPr>
              <w:t>2.2.3 Infrastructure and Political Execution Risk</w:t>
              <w:tab/>
              <w:t>8</w:t>
            </w:r>
          </w:hyperlink>
        </w:p>
        <w:p>
          <w:pPr>
            <w:pStyle w:val="TOC3"/>
            <w:tabs>
              <w:tab w:val="clear" w:pos="720"/>
              <w:tab w:val="right" w:pos="9025" w:leader="dot"/>
            </w:tabs>
            <w:rPr/>
          </w:pPr>
          <w:hyperlink w:anchor="__RefHeading___Toc1712_621937267" w:tooltip="2.2.4 Political Implications for Costco">
            <w:r>
              <w:rPr>
                <w:rStyle w:val="IndexLink"/>
                <w:webHidden/>
              </w:rPr>
              <w:t>2.2.4 Political Implications for Costco</w:t>
              <w:tab/>
              <w:t>9</w:t>
            </w:r>
          </w:hyperlink>
        </w:p>
        <w:p>
          <w:pPr>
            <w:pStyle w:val="TOC2"/>
            <w:tabs>
              <w:tab w:val="clear" w:pos="720"/>
              <w:tab w:val="right" w:pos="9025" w:leader="dot"/>
            </w:tabs>
            <w:rPr/>
          </w:pPr>
          <w:hyperlink w:anchor="__RefHeading___Toc1714_621937267" w:tooltip="2.3 Economic Environment">
            <w:r>
              <w:rPr>
                <w:rStyle w:val="IndexLink"/>
                <w:webHidden/>
              </w:rPr>
              <w:t>2.3 Economic Environment</w:t>
              <w:tab/>
              <w:t>9</w:t>
            </w:r>
          </w:hyperlink>
        </w:p>
        <w:p>
          <w:pPr>
            <w:pStyle w:val="TOC3"/>
            <w:tabs>
              <w:tab w:val="clear" w:pos="720"/>
              <w:tab w:val="right" w:pos="9025" w:leader="dot"/>
            </w:tabs>
            <w:rPr/>
          </w:pPr>
          <w:hyperlink w:anchor="__RefHeading___Toc1716_621937267" w:tooltip="2.3.1 Economic Growth and Market Potential">
            <w:r>
              <w:rPr>
                <w:rStyle w:val="IndexLink"/>
                <w:webHidden/>
              </w:rPr>
              <w:t>2.3.1 Economic Growth and Market Potential</w:t>
              <w:tab/>
              <w:t>9</w:t>
            </w:r>
          </w:hyperlink>
        </w:p>
        <w:p>
          <w:pPr>
            <w:pStyle w:val="TOC3"/>
            <w:tabs>
              <w:tab w:val="clear" w:pos="720"/>
              <w:tab w:val="right" w:pos="9025" w:leader="dot"/>
            </w:tabs>
            <w:rPr/>
          </w:pPr>
          <w:hyperlink w:anchor="__RefHeading___Toc1718_621937267" w:tooltip="2.3.2 Purchasing Power and Income Inequality">
            <w:r>
              <w:rPr>
                <w:rStyle w:val="IndexLink"/>
                <w:webHidden/>
              </w:rPr>
              <w:t>2.3.2 Purchasing Power and Income Inequality</w:t>
              <w:tab/>
              <w:t>9</w:t>
            </w:r>
          </w:hyperlink>
        </w:p>
        <w:p>
          <w:pPr>
            <w:pStyle w:val="TOC3"/>
            <w:tabs>
              <w:tab w:val="clear" w:pos="720"/>
              <w:tab w:val="right" w:pos="9025" w:leader="dot"/>
            </w:tabs>
            <w:rPr/>
          </w:pPr>
          <w:hyperlink w:anchor="__RefHeading___Toc1720_621937267" w:tooltip="2.3.3 Inflation and Interest Rates">
            <w:r>
              <w:rPr>
                <w:rStyle w:val="IndexLink"/>
                <w:webHidden/>
              </w:rPr>
              <w:t>2.3.3 Inflation and Interest Rates</w:t>
              <w:tab/>
              <w:t>10</w:t>
            </w:r>
          </w:hyperlink>
        </w:p>
        <w:p>
          <w:pPr>
            <w:pStyle w:val="TOC3"/>
            <w:tabs>
              <w:tab w:val="clear" w:pos="720"/>
              <w:tab w:val="right" w:pos="9025" w:leader="dot"/>
            </w:tabs>
            <w:rPr/>
          </w:pPr>
          <w:hyperlink w:anchor="__RefHeading___Toc1722_621937267" w:tooltip="2.3.4 Consumer Confidence and Spending">
            <w:r>
              <w:rPr>
                <w:rStyle w:val="IndexLink"/>
                <w:webHidden/>
              </w:rPr>
              <w:t>2.3.4 Consumer Confidence and Spending</w:t>
              <w:tab/>
              <w:t>10</w:t>
            </w:r>
          </w:hyperlink>
        </w:p>
        <w:p>
          <w:pPr>
            <w:pStyle w:val="TOC3"/>
            <w:tabs>
              <w:tab w:val="clear" w:pos="720"/>
              <w:tab w:val="right" w:pos="9025" w:leader="dot"/>
            </w:tabs>
            <w:rPr/>
          </w:pPr>
          <w:hyperlink w:anchor="__RefHeading___Toc1724_621937267" w:tooltip="2.3.5 Retail Market and Competitive Intensity">
            <w:r>
              <w:rPr>
                <w:rStyle w:val="IndexLink"/>
                <w:webHidden/>
              </w:rPr>
              <w:t>2.3.5 Retail Market and Competitive Intensity</w:t>
              <w:tab/>
              <w:t>10</w:t>
            </w:r>
          </w:hyperlink>
        </w:p>
        <w:p>
          <w:pPr>
            <w:pStyle w:val="TOC3"/>
            <w:tabs>
              <w:tab w:val="clear" w:pos="720"/>
              <w:tab w:val="right" w:pos="9025" w:leader="dot"/>
            </w:tabs>
            <w:rPr/>
          </w:pPr>
          <w:hyperlink w:anchor="__RefHeading___Toc1726_621937267" w:tooltip="2.3.6 Strategic Economic Implications">
            <w:r>
              <w:rPr>
                <w:rStyle w:val="IndexLink"/>
                <w:webHidden/>
              </w:rPr>
              <w:t>2.3.6 Strategic Economic Implications</w:t>
              <w:tab/>
              <w:t>11</w:t>
            </w:r>
          </w:hyperlink>
        </w:p>
        <w:p>
          <w:pPr>
            <w:pStyle w:val="TOC2"/>
            <w:tabs>
              <w:tab w:val="clear" w:pos="720"/>
              <w:tab w:val="right" w:pos="9025" w:leader="dot"/>
            </w:tabs>
            <w:rPr/>
          </w:pPr>
          <w:hyperlink w:anchor="__RefHeading___Toc1728_621937267" w:tooltip="2.4 Legal and Regulatory Environment">
            <w:r>
              <w:rPr>
                <w:rStyle w:val="IndexLink"/>
                <w:webHidden/>
              </w:rPr>
              <w:t>2.4 Legal and Regulatory Environment</w:t>
              <w:tab/>
              <w:t>11</w:t>
            </w:r>
          </w:hyperlink>
        </w:p>
        <w:p>
          <w:pPr>
            <w:pStyle w:val="TOC3"/>
            <w:tabs>
              <w:tab w:val="clear" w:pos="720"/>
              <w:tab w:val="right" w:pos="9025" w:leader="dot"/>
            </w:tabs>
            <w:rPr/>
          </w:pPr>
          <w:hyperlink w:anchor="__RefHeading___Toc1730_621937267" w:tooltip="2.4.1 Investment Protection and Regulatory Conditions">
            <w:r>
              <w:rPr>
                <w:rStyle w:val="IndexLink"/>
                <w:webHidden/>
              </w:rPr>
              <w:t>2.4.1 Investment Protection and Regulatory Conditions</w:t>
              <w:tab/>
              <w:t>11</w:t>
            </w:r>
          </w:hyperlink>
        </w:p>
        <w:p>
          <w:pPr>
            <w:pStyle w:val="TOC3"/>
            <w:tabs>
              <w:tab w:val="clear" w:pos="720"/>
              <w:tab w:val="right" w:pos="9025" w:leader="dot"/>
            </w:tabs>
            <w:rPr/>
          </w:pPr>
          <w:hyperlink w:anchor="__RefHeading___Toc1732_621937267" w:tooltip="2.4.2 Competition Law">
            <w:r>
              <w:rPr>
                <w:rStyle w:val="IndexLink"/>
                <w:webHidden/>
              </w:rPr>
              <w:t>2.4.2 Competition Law</w:t>
              <w:tab/>
              <w:t>11</w:t>
            </w:r>
          </w:hyperlink>
        </w:p>
        <w:p>
          <w:pPr>
            <w:pStyle w:val="TOC3"/>
            <w:tabs>
              <w:tab w:val="clear" w:pos="720"/>
              <w:tab w:val="right" w:pos="9025" w:leader="dot"/>
            </w:tabs>
            <w:rPr/>
          </w:pPr>
          <w:hyperlink w:anchor="__RefHeading___Toc1734_621937267" w:tooltip="2.4.3 Consumer Protection">
            <w:r>
              <w:rPr>
                <w:rStyle w:val="IndexLink"/>
                <w:webHidden/>
              </w:rPr>
              <w:t>2.4.3 Consumer Protection</w:t>
              <w:tab/>
              <w:t>12</w:t>
            </w:r>
          </w:hyperlink>
        </w:p>
        <w:p>
          <w:pPr>
            <w:pStyle w:val="TOC3"/>
            <w:tabs>
              <w:tab w:val="clear" w:pos="720"/>
              <w:tab w:val="right" w:pos="9025" w:leader="dot"/>
            </w:tabs>
            <w:rPr/>
          </w:pPr>
          <w:hyperlink w:anchor="__RefHeading___Toc1736_621937267" w:tooltip="2.4.4 Employment Regulation">
            <w:r>
              <w:rPr>
                <w:rStyle w:val="IndexLink"/>
                <w:webHidden/>
              </w:rPr>
              <w:t>2.4.4 Employment Regulation</w:t>
              <w:tab/>
              <w:t>12</w:t>
            </w:r>
          </w:hyperlink>
        </w:p>
        <w:p>
          <w:pPr>
            <w:pStyle w:val="TOC3"/>
            <w:tabs>
              <w:tab w:val="clear" w:pos="720"/>
              <w:tab w:val="right" w:pos="9025" w:leader="dot"/>
            </w:tabs>
            <w:rPr/>
          </w:pPr>
          <w:hyperlink w:anchor="__RefHeading___Toc1738_621937267" w:tooltip="2.4.5 Regulatory Implications">
            <w:r>
              <w:rPr>
                <w:rStyle w:val="IndexLink"/>
                <w:webHidden/>
              </w:rPr>
              <w:t>2.4.5 Regulatory Implications</w:t>
              <w:tab/>
              <w:t>12</w:t>
            </w:r>
          </w:hyperlink>
        </w:p>
        <w:p>
          <w:pPr>
            <w:pStyle w:val="TOC2"/>
            <w:tabs>
              <w:tab w:val="clear" w:pos="720"/>
              <w:tab w:val="right" w:pos="9025" w:leader="dot"/>
            </w:tabs>
            <w:rPr/>
          </w:pPr>
          <w:hyperlink w:anchor="__RefHeading___Toc1740_621937267" w:tooltip="2.5 Cultural Environment">
            <w:r>
              <w:rPr>
                <w:rStyle w:val="IndexLink"/>
                <w:webHidden/>
              </w:rPr>
              <w:t>2.5 Cultural Environment</w:t>
              <w:tab/>
              <w:t>12</w:t>
            </w:r>
          </w:hyperlink>
        </w:p>
        <w:p>
          <w:pPr>
            <w:pStyle w:val="TOC3"/>
            <w:tabs>
              <w:tab w:val="clear" w:pos="720"/>
              <w:tab w:val="right" w:pos="9025" w:leader="dot"/>
            </w:tabs>
            <w:rPr/>
          </w:pPr>
          <w:hyperlink w:anchor="__RefHeading___Toc1742_621937267" w:tooltip="2.5.1 Consumer Diversity and Shopping Behaviour">
            <w:r>
              <w:rPr>
                <w:rStyle w:val="IndexLink"/>
                <w:webHidden/>
              </w:rPr>
              <w:t>2.5.1 Consumer Diversity and Shopping Behaviour</w:t>
              <w:tab/>
              <w:t>12</w:t>
            </w:r>
          </w:hyperlink>
        </w:p>
        <w:p>
          <w:pPr>
            <w:pStyle w:val="TOC3"/>
            <w:tabs>
              <w:tab w:val="clear" w:pos="720"/>
              <w:tab w:val="right" w:pos="9025" w:leader="dot"/>
            </w:tabs>
            <w:rPr/>
          </w:pPr>
          <w:hyperlink w:anchor="__RefHeading___Toc1744_621937267" w:tooltip="2.5.2 Affordability and Membership Acceptance">
            <w:r>
              <w:rPr>
                <w:rStyle w:val="IndexLink"/>
                <w:webHidden/>
              </w:rPr>
              <w:t>2.5.2 Affordability and Membership Acceptance</w:t>
              <w:tab/>
              <w:t>13</w:t>
            </w:r>
          </w:hyperlink>
        </w:p>
        <w:p>
          <w:pPr>
            <w:pStyle w:val="TOC3"/>
            <w:tabs>
              <w:tab w:val="clear" w:pos="720"/>
              <w:tab w:val="right" w:pos="9025" w:leader="dot"/>
            </w:tabs>
            <w:rPr/>
          </w:pPr>
          <w:hyperlink w:anchor="__RefHeading___Toc1746_621937267" w:tooltip="2.5.3 Local Product Preferences">
            <w:r>
              <w:rPr>
                <w:rStyle w:val="IndexLink"/>
                <w:webHidden/>
              </w:rPr>
              <w:t>2.5.3 Local Product Preferences</w:t>
              <w:tab/>
              <w:t>13</w:t>
            </w:r>
          </w:hyperlink>
        </w:p>
        <w:p>
          <w:pPr>
            <w:pStyle w:val="TOC3"/>
            <w:tabs>
              <w:tab w:val="clear" w:pos="720"/>
              <w:tab w:val="right" w:pos="9025" w:leader="dot"/>
            </w:tabs>
            <w:rPr/>
          </w:pPr>
          <w:hyperlink w:anchor="__RefHeading___Toc1748_621937267" w:tooltip="2.5.4 Cultural Implications for Costco">
            <w:r>
              <w:rPr>
                <w:rStyle w:val="IndexLink"/>
                <w:webHidden/>
              </w:rPr>
              <w:t>2.5.4 Cultural Implications for Costco</w:t>
              <w:tab/>
              <w:t>13</w:t>
            </w:r>
          </w:hyperlink>
        </w:p>
        <w:p>
          <w:pPr>
            <w:pStyle w:val="TOC2"/>
            <w:tabs>
              <w:tab w:val="clear" w:pos="720"/>
              <w:tab w:val="right" w:pos="9025" w:leader="dot"/>
            </w:tabs>
            <w:rPr/>
          </w:pPr>
          <w:hyperlink w:anchor="__RefHeading___Toc1750_621937267" w:tooltip="2.6 Overall Market Attractiveness">
            <w:r>
              <w:rPr>
                <w:rStyle w:val="IndexLink"/>
                <w:webHidden/>
              </w:rPr>
              <w:t>2.6 Overall Market Attractiveness</w:t>
              <w:tab/>
              <w:t>14</w:t>
            </w:r>
          </w:hyperlink>
        </w:p>
        <w:p>
          <w:pPr>
            <w:pStyle w:val="TOC2"/>
            <w:tabs>
              <w:tab w:val="clear" w:pos="720"/>
              <w:tab w:val="right" w:pos="9025" w:leader="dot"/>
            </w:tabs>
            <w:rPr/>
          </w:pPr>
          <w:hyperlink w:anchor="__RefHeading___Toc1752_621937267" w:tooltip="2.7 Dunning's Eclectic Paradigm (OLI)">
            <w:r>
              <w:rPr>
                <w:rStyle w:val="IndexLink"/>
                <w:webHidden/>
              </w:rPr>
              <w:t>2.7 Dunning's Eclectic Paradigm (OLI)</w:t>
              <w:tab/>
              <w:t>14</w:t>
            </w:r>
          </w:hyperlink>
        </w:p>
        <w:p>
          <w:pPr>
            <w:pStyle w:val="TOC3"/>
            <w:tabs>
              <w:tab w:val="clear" w:pos="720"/>
              <w:tab w:val="right" w:pos="9025" w:leader="dot"/>
            </w:tabs>
            <w:rPr/>
          </w:pPr>
          <w:hyperlink w:anchor="__RefHeading___Toc1754_621937267" w:tooltip="2.7.1 Ownership Advantages (O)">
            <w:r>
              <w:rPr>
                <w:rStyle w:val="IndexLink"/>
                <w:webHidden/>
              </w:rPr>
              <w:t>2.7.1 Ownership Advantages (O)</w:t>
              <w:tab/>
              <w:t>14</w:t>
            </w:r>
          </w:hyperlink>
        </w:p>
        <w:p>
          <w:pPr>
            <w:pStyle w:val="TOC3"/>
            <w:tabs>
              <w:tab w:val="clear" w:pos="720"/>
              <w:tab w:val="right" w:pos="9025" w:leader="dot"/>
            </w:tabs>
            <w:rPr/>
          </w:pPr>
          <w:hyperlink w:anchor="__RefHeading___Toc1756_621937267" w:tooltip="2.7.2 Location Advantages (L)">
            <w:r>
              <w:rPr>
                <w:rStyle w:val="IndexLink"/>
                <w:webHidden/>
              </w:rPr>
              <w:t>2.7.2 Location Advantages (L)</w:t>
              <w:tab/>
              <w:t>15</w:t>
            </w:r>
          </w:hyperlink>
        </w:p>
        <w:p>
          <w:pPr>
            <w:pStyle w:val="TOC3"/>
            <w:tabs>
              <w:tab w:val="clear" w:pos="720"/>
              <w:tab w:val="right" w:pos="9025" w:leader="dot"/>
            </w:tabs>
            <w:rPr/>
          </w:pPr>
          <w:hyperlink w:anchor="__RefHeading___Toc1758_621937267" w:tooltip="2.7.3 Internalisation Advantages (I)">
            <w:r>
              <w:rPr>
                <w:rStyle w:val="IndexLink"/>
                <w:webHidden/>
              </w:rPr>
              <w:t>2.7.3 Internalisation Advantages (I)</w:t>
              <w:tab/>
              <w:t>15</w:t>
            </w:r>
          </w:hyperlink>
        </w:p>
        <w:p>
          <w:pPr>
            <w:pStyle w:val="TOC1"/>
            <w:tabs>
              <w:tab w:val="clear" w:pos="720"/>
              <w:tab w:val="right" w:pos="9025" w:leader="dot"/>
            </w:tabs>
            <w:rPr/>
          </w:pPr>
          <w:hyperlink w:anchor="__RefHeading___Toc1760_621937267" w:tooltip="3. Entry Mode Strategy and Strategic Synthesis">
            <w:r>
              <w:rPr>
                <w:rStyle w:val="IndexLink"/>
                <w:webHidden/>
              </w:rPr>
              <w:t>3. Entry Mode Strategy and Strategic Synthesis</w:t>
              <w:tab/>
              <w:t>15</w:t>
            </w:r>
          </w:hyperlink>
        </w:p>
        <w:p>
          <w:pPr>
            <w:pStyle w:val="TOC2"/>
            <w:tabs>
              <w:tab w:val="clear" w:pos="720"/>
              <w:tab w:val="right" w:pos="9025" w:leader="dot"/>
            </w:tabs>
            <w:rPr/>
          </w:pPr>
          <w:hyperlink w:anchor="__RefHeading___Toc1762_621937267" w:tooltip="3.1 Costco’s Historical International Entry Modes">
            <w:r>
              <w:rPr>
                <w:rStyle w:val="IndexLink"/>
                <w:webHidden/>
              </w:rPr>
              <w:t>3.1 Costco’s Historical International Entry Modes</w:t>
              <w:tab/>
              <w:t>15</w:t>
            </w:r>
          </w:hyperlink>
        </w:p>
        <w:p>
          <w:pPr>
            <w:pStyle w:val="TOC2"/>
            <w:tabs>
              <w:tab w:val="clear" w:pos="720"/>
              <w:tab w:val="right" w:pos="9025" w:leader="dot"/>
            </w:tabs>
            <w:rPr/>
          </w:pPr>
          <w:hyperlink w:anchor="__RefHeading___Toc1764_621937267" w:tooltip="3.2 Suitability of Costco’s Historical Approach for South Africa">
            <w:r>
              <w:rPr>
                <w:rStyle w:val="IndexLink"/>
                <w:webHidden/>
              </w:rPr>
              <w:t>3.2 Suitability of Costco’s Historical Approach for South Africa</w:t>
              <w:tab/>
              <w:t>16</w:t>
            </w:r>
          </w:hyperlink>
        </w:p>
        <w:p>
          <w:pPr>
            <w:pStyle w:val="TOC2"/>
            <w:tabs>
              <w:tab w:val="clear" w:pos="720"/>
              <w:tab w:val="right" w:pos="9025" w:leader="dot"/>
            </w:tabs>
            <w:rPr/>
          </w:pPr>
          <w:hyperlink w:anchor="__RefHeading___Toc1766_621937267" w:tooltip="3.3 Alternative Entry Modes">
            <w:r>
              <w:rPr>
                <w:rStyle w:val="IndexLink"/>
                <w:webHidden/>
              </w:rPr>
              <w:t>3.3 Alternative Entry Modes</w:t>
              <w:tab/>
              <w:t>17</w:t>
            </w:r>
          </w:hyperlink>
        </w:p>
        <w:p>
          <w:pPr>
            <w:pStyle w:val="TOC2"/>
            <w:tabs>
              <w:tab w:val="clear" w:pos="720"/>
              <w:tab w:val="right" w:pos="9025" w:leader="dot"/>
            </w:tabs>
            <w:rPr/>
          </w:pPr>
          <w:hyperlink w:anchor="__RefHeading___Toc1768_621937267" w:tooltip="3.4 Recommended Entry Mode: Joint Venture with a Path to Greater Ownership">
            <w:r>
              <w:rPr>
                <w:rStyle w:val="IndexLink"/>
                <w:webHidden/>
              </w:rPr>
              <w:t>3.4 Recommended Entry Mode: Joint Venture with a Path to Greater Ownership</w:t>
              <w:tab/>
              <w:t>18</w:t>
            </w:r>
          </w:hyperlink>
        </w:p>
        <w:p>
          <w:pPr>
            <w:pStyle w:val="TOC2"/>
            <w:tabs>
              <w:tab w:val="clear" w:pos="720"/>
              <w:tab w:val="right" w:pos="9025" w:leader="dot"/>
            </w:tabs>
            <w:rPr/>
          </w:pPr>
          <w:hyperlink w:anchor="__RefHeading___Toc1770_621937267" w:tooltip="3.5 Strategic Synthesis">
            <w:r>
              <w:rPr>
                <w:rStyle w:val="IndexLink"/>
                <w:webHidden/>
              </w:rPr>
              <w:t>3.5 Strategic Synthesis</w:t>
              <w:tab/>
              <w:t>19</w:t>
            </w:r>
          </w:hyperlink>
        </w:p>
        <w:p>
          <w:pPr>
            <w:pStyle w:val="TOC1"/>
            <w:tabs>
              <w:tab w:val="clear" w:pos="720"/>
              <w:tab w:val="right" w:pos="9025" w:leader="dot"/>
            </w:tabs>
            <w:rPr/>
          </w:pPr>
          <w:hyperlink w:anchor="__RefHeading___Toc1772_621937267" w:tooltip="4. Reflective Account Using Gibbs’ Reflective Cycle">
            <w:r>
              <w:rPr>
                <w:rStyle w:val="IndexLink"/>
                <w:webHidden/>
              </w:rPr>
              <w:t>4. Reflective Account Using Gibbs’ Reflective Cycle</w:t>
              <w:tab/>
              <w:t>20</w:t>
            </w:r>
          </w:hyperlink>
        </w:p>
        <w:p>
          <w:pPr>
            <w:pStyle w:val="TOC2"/>
            <w:tabs>
              <w:tab w:val="clear" w:pos="720"/>
              <w:tab w:val="right" w:pos="9025" w:leader="dot"/>
            </w:tabs>
            <w:rPr/>
          </w:pPr>
          <w:hyperlink w:anchor="__RefHeading___Toc1774_621937267" w:tooltip="4.1 Description">
            <w:r>
              <w:rPr>
                <w:rStyle w:val="IndexLink"/>
                <w:webHidden/>
              </w:rPr>
              <w:t>4.1 Description</w:t>
              <w:tab/>
              <w:t>20</w:t>
            </w:r>
          </w:hyperlink>
        </w:p>
        <w:p>
          <w:pPr>
            <w:pStyle w:val="TOC2"/>
            <w:tabs>
              <w:tab w:val="clear" w:pos="720"/>
              <w:tab w:val="right" w:pos="9025" w:leader="dot"/>
            </w:tabs>
            <w:rPr/>
          </w:pPr>
          <w:hyperlink w:anchor="__RefHeading___Toc1776_621937267" w:tooltip="4.2 Feelings">
            <w:r>
              <w:rPr>
                <w:rStyle w:val="IndexLink"/>
                <w:webHidden/>
              </w:rPr>
              <w:t>4.2 Feelings</w:t>
              <w:tab/>
              <w:t>21</w:t>
            </w:r>
          </w:hyperlink>
        </w:p>
        <w:p>
          <w:pPr>
            <w:pStyle w:val="TOC2"/>
            <w:tabs>
              <w:tab w:val="clear" w:pos="720"/>
              <w:tab w:val="right" w:pos="9025" w:leader="dot"/>
            </w:tabs>
            <w:rPr/>
          </w:pPr>
          <w:hyperlink w:anchor="__RefHeading___Toc1778_621937267" w:tooltip="4.3 Evaluation">
            <w:r>
              <w:rPr>
                <w:rStyle w:val="IndexLink"/>
                <w:webHidden/>
              </w:rPr>
              <w:t>4.3 Evaluation</w:t>
              <w:tab/>
              <w:t>21</w:t>
            </w:r>
          </w:hyperlink>
        </w:p>
        <w:p>
          <w:pPr>
            <w:pStyle w:val="TOC2"/>
            <w:tabs>
              <w:tab w:val="clear" w:pos="720"/>
              <w:tab w:val="right" w:pos="9025" w:leader="dot"/>
            </w:tabs>
            <w:rPr/>
          </w:pPr>
          <w:hyperlink w:anchor="__RefHeading___Toc1780_621937267" w:tooltip="4.4 Analysis">
            <w:r>
              <w:rPr>
                <w:rStyle w:val="IndexLink"/>
                <w:webHidden/>
              </w:rPr>
              <w:t>4.4 Analysis</w:t>
              <w:tab/>
              <w:t>22</w:t>
            </w:r>
          </w:hyperlink>
        </w:p>
        <w:p>
          <w:pPr>
            <w:pStyle w:val="TOC2"/>
            <w:tabs>
              <w:tab w:val="clear" w:pos="720"/>
              <w:tab w:val="right" w:pos="9025" w:leader="dot"/>
            </w:tabs>
            <w:rPr/>
          </w:pPr>
          <w:hyperlink w:anchor="__RefHeading___Toc1782_621937267" w:tooltip="4.5 Conclusion">
            <w:r>
              <w:rPr>
                <w:rStyle w:val="IndexLink"/>
                <w:webHidden/>
              </w:rPr>
              <w:t>4.5 Conclusion</w:t>
              <w:tab/>
              <w:t>23</w:t>
            </w:r>
          </w:hyperlink>
        </w:p>
        <w:p>
          <w:pPr>
            <w:pStyle w:val="TOC2"/>
            <w:tabs>
              <w:tab w:val="clear" w:pos="720"/>
              <w:tab w:val="right" w:pos="9025" w:leader="dot"/>
            </w:tabs>
            <w:rPr/>
          </w:pPr>
          <w:hyperlink w:anchor="__RefHeading___Toc1784_621937267" w:tooltip="4.6 Action Plan">
            <w:r>
              <w:rPr>
                <w:rStyle w:val="IndexLink"/>
                <w:webHidden/>
              </w:rPr>
              <w:t>4.6 Action Plan</w:t>
              <w:tab/>
              <w:t>23</w:t>
            </w:r>
          </w:hyperlink>
        </w:p>
        <w:p>
          <w:pPr>
            <w:pStyle w:val="TOC1"/>
            <w:tabs>
              <w:tab w:val="clear" w:pos="720"/>
              <w:tab w:val="right" w:pos="9025" w:leader="dot"/>
            </w:tabs>
            <w:rPr/>
          </w:pPr>
          <w:hyperlink w:anchor="__RefHeading___Toc1786_621937267" w:tooltip="5. REFERENCES">
            <w:r>
              <w:rPr>
                <w:rStyle w:val="IndexLink"/>
                <w:webHidden/>
              </w:rPr>
              <w:t>5. REFERENCES</w:t>
              <w:tab/>
              <w:t>25</w:t>
            </w:r>
          </w:hyperlink>
          <w:r>
            <w:rPr>
              <w:rStyle w:val="IndexLink"/>
            </w:rPr>
            <w:fldChar w:fldCharType="end"/>
          </w:r>
        </w:p>
      </w:sdtContent>
    </w:sdt>
    <w:p>
      <w:pPr>
        <w:pStyle w:val="Normal"/>
        <w:spacing w:lineRule="auto" w:line="259" w:before="0" w:after="160"/>
        <w:jc w:val="start"/>
        <w:rPr>
          <w:rFonts w:cs="Arial"/>
          <w:lang w:val="en-IN"/>
        </w:rPr>
      </w:pPr>
      <w:r>
        <w:rPr>
          <w:rFonts w:cs="Arial"/>
          <w:lang w:val="en-IN"/>
        </w:rPr>
      </w:r>
      <w:r>
        <w:br w:type="page"/>
      </w:r>
    </w:p>
    <w:p>
      <w:pPr>
        <w:pStyle w:val="Heading1"/>
        <w:spacing w:before="0" w:after="120"/>
        <w:rPr>
          <w:rFonts w:cs="Arial"/>
          <w:lang w:val="en-IN"/>
        </w:rPr>
      </w:pPr>
      <w:bookmarkStart w:id="0" w:name="__RefHeading___Toc1692_621937267"/>
      <w:bookmarkStart w:id="1" w:name="_Toc237504861"/>
      <w:bookmarkEnd w:id="0"/>
      <w:r>
        <w:rPr>
          <w:rFonts w:cs="Arial"/>
          <w:lang w:val="en-IN"/>
        </w:rPr>
        <w:t>1. Organisational Classification and Global Strategy</w:t>
      </w:r>
      <w:bookmarkEnd w:id="1"/>
    </w:p>
    <w:p>
      <w:pPr>
        <w:pStyle w:val="Heading2"/>
        <w:rPr>
          <w:rFonts w:cs="Arial"/>
          <w:lang w:val="en-IN"/>
        </w:rPr>
      </w:pPr>
      <w:bookmarkStart w:id="2" w:name="__RefHeading___Toc1694_621937267"/>
      <w:bookmarkStart w:id="3" w:name="_Toc237504862"/>
      <w:bookmarkEnd w:id="2"/>
      <w:r>
        <w:rPr>
          <w:rFonts w:cs="Arial"/>
          <w:lang w:val="en-IN"/>
        </w:rPr>
        <w:t>1.1 Costco’s Organisational and International Profile</w:t>
      </w:r>
      <w:bookmarkEnd w:id="3"/>
    </w:p>
    <w:p>
      <w:pPr>
        <w:pStyle w:val="Normal"/>
        <w:rPr>
          <w:rFonts w:cs="Arial"/>
          <w:lang w:val="en-IN"/>
        </w:rPr>
      </w:pPr>
      <w:r>
        <w:rPr>
          <w:rFonts w:cs="Arial"/>
          <w:lang w:val="en-IN"/>
        </w:rPr>
        <w:t>Costco Wholesale Corporation is a US-based multinational retailer operating a membership-warehouse business model (</w:t>
      </w:r>
      <w:r>
        <w:rPr>
          <w:rFonts w:cs="Arial"/>
        </w:rPr>
        <w:t>Costco, 2026</w:t>
      </w:r>
      <w:r>
        <w:rPr>
          <w:rFonts w:cs="Arial"/>
          <w:lang w:val="en-IN"/>
        </w:rPr>
        <w:t xml:space="preserve">). Its competitive proposition is based on offering members a relatively limited selection of branded and private-label products at low prices, supported by high sales volumes, rapid inventory turnover, volume purchasing and efficient distribution. Costco's model combines membership income with retail sales and operational efficiencies generated through large-scale purchasing and streamlined warehouse operations. </w:t>
      </w:r>
    </w:p>
    <w:p>
      <w:pPr>
        <w:pStyle w:val="Normal"/>
        <w:rPr>
          <w:rFonts w:cs="Arial"/>
          <w:lang w:val="en-IN"/>
        </w:rPr>
      </w:pPr>
      <w:r>
        <w:rPr/>
        <w:drawing>
          <wp:inline distT="0" distB="0" distL="0" distR="0">
            <wp:extent cx="5731510" cy="2863850"/>
            <wp:effectExtent l="0" t="0" r="0" b="0"/>
            <wp:docPr id="2" name="Image2" descr="Costco Wholesale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Costco Wholesale | LinkedIn"/>
                    <pic:cNvPicPr>
                      <a:picLocks noChangeAspect="1" noChangeArrowheads="1"/>
                    </pic:cNvPicPr>
                  </pic:nvPicPr>
                  <pic:blipFill>
                    <a:blip r:embed="rId3"/>
                    <a:stretch>
                      <a:fillRect/>
                    </a:stretch>
                  </pic:blipFill>
                  <pic:spPr bwMode="auto">
                    <a:xfrm>
                      <a:off x="0" y="0"/>
                      <a:ext cx="5731510" cy="2863850"/>
                    </a:xfrm>
                    <a:prstGeom prst="rect">
                      <a:avLst/>
                    </a:prstGeom>
                    <a:noFill/>
                  </pic:spPr>
                </pic:pic>
              </a:graphicData>
            </a:graphic>
          </wp:inline>
        </w:drawing>
      </w:r>
    </w:p>
    <w:p>
      <w:pPr>
        <w:pStyle w:val="Normal"/>
        <w:rPr>
          <w:rFonts w:cs="Arial"/>
          <w:lang w:val="en-IN"/>
        </w:rPr>
      </w:pPr>
      <w:r>
        <w:rPr>
          <w:rFonts w:cs="Arial"/>
          <w:lang w:val="en-IN"/>
        </w:rPr>
        <w:t xml:space="preserve">Costco has developed a substantial international footprint. As of 3 June 2026, it operated </w:t>
      </w:r>
      <w:r>
        <w:rPr>
          <w:rFonts w:cs="Arial"/>
          <w:b/>
          <w:bCs/>
          <w:lang w:val="en-IN"/>
        </w:rPr>
        <w:t>931 warehouses globally</w:t>
      </w:r>
      <w:r>
        <w:rPr>
          <w:rFonts w:cs="Arial"/>
          <w:lang w:val="en-IN"/>
        </w:rPr>
        <w:t>, including 639 in the United States and Puerto Rico, 115 in Canada, 42 in Mexico, 37 in Japan, 29 in the UK, 20 in Korea, 15 in Australia, 14 in Taiwan, seven in China, five in Spain, three in France, two in Sweden, and one each in Iceland and New Zealand (</w:t>
      </w:r>
      <w:r>
        <w:rPr>
          <w:rFonts w:cs="Arial"/>
        </w:rPr>
        <w:t>Costco, 2026a</w:t>
      </w:r>
      <w:r>
        <w:rPr>
          <w:rFonts w:cs="Arial"/>
          <w:lang w:val="en-IN"/>
        </w:rPr>
        <w:t xml:space="preserve">). Importantly for this report, </w:t>
      </w:r>
      <w:r>
        <w:rPr>
          <w:rFonts w:cs="Arial"/>
          <w:b/>
          <w:bCs/>
          <w:lang w:val="en-IN"/>
        </w:rPr>
        <w:t>South Africa does not appear in Costco's reported warehouse markets</w:t>
      </w:r>
      <w:r>
        <w:rPr>
          <w:rFonts w:cs="Arial"/>
          <w:lang w:val="en-IN"/>
        </w:rPr>
        <w:t xml:space="preserve">, supporting its suitability as a potential new market for analysis against the assessment's 1 June 2026 requirement. </w:t>
      </w:r>
    </w:p>
    <w:p>
      <w:pPr>
        <w:pStyle w:val="Heading2"/>
        <w:rPr>
          <w:rFonts w:cs="Arial"/>
          <w:lang w:val="en-IN"/>
        </w:rPr>
      </w:pPr>
      <w:bookmarkStart w:id="4" w:name="__RefHeading___Toc1696_621937267"/>
      <w:bookmarkStart w:id="5" w:name="_Toc237504863"/>
      <w:bookmarkEnd w:id="4"/>
      <w:r>
        <w:rPr>
          <w:rFonts w:cs="Arial"/>
          <w:lang w:val="en-IN"/>
        </w:rPr>
        <w:t>1.2 Bartlett and Ghoshal Strategic Classification</w:t>
      </w:r>
      <w:bookmarkEnd w:id="5"/>
    </w:p>
    <w:p>
      <w:pPr>
        <w:pStyle w:val="Normal"/>
        <w:rPr>
          <w:rFonts w:cs="Arial"/>
          <w:lang w:val="en-IN"/>
        </w:rPr>
      </w:pPr>
      <w:r>
        <w:rPr>
          <w:rFonts w:cs="Arial"/>
          <w:lang w:val="en-IN"/>
        </w:rPr>
        <w:t>Bartlett and Ghoshal's international strategy framework distinguishes organisations according to the competing pressures for global integration and local responsiveness (</w:t>
      </w:r>
      <w:r>
        <w:rPr>
          <w:rFonts w:cs="Arial"/>
        </w:rPr>
        <w:t xml:space="preserve">Blind </w:t>
      </w:r>
      <w:r>
        <w:rPr>
          <w:rFonts w:cs="Arial"/>
          <w:i/>
          <w:iCs/>
        </w:rPr>
        <w:t>et al.,</w:t>
      </w:r>
      <w:r>
        <w:rPr>
          <w:rFonts w:cs="Arial"/>
        </w:rPr>
        <w:t xml:space="preserve"> 2024</w:t>
      </w:r>
      <w:r>
        <w:rPr>
          <w:rFonts w:cs="Arial"/>
          <w:lang w:val="en-IN"/>
        </w:rPr>
        <w:t xml:space="preserve">). Costco can most appropriately be classified as pursuing a </w:t>
      </w:r>
      <w:r>
        <w:rPr>
          <w:rFonts w:cs="Arial"/>
          <w:b/>
          <w:bCs/>
          <w:lang w:val="en-IN"/>
        </w:rPr>
        <w:t>global strategy</w:t>
      </w:r>
      <w:r>
        <w:rPr>
          <w:rFonts w:cs="Arial"/>
          <w:lang w:val="en-IN"/>
        </w:rPr>
        <w:t>, although elements of local adaptation are evident. Its core business model is highly standardised across international markets, particularly through its membership system, warehouse format, limited-product-selection approach, purchasing scale and emphasis on value. This standardisation enables Costco to exploit economies of scale and maintain consistency in its customer proposition.</w:t>
      </w:r>
    </w:p>
    <w:p>
      <w:pPr>
        <w:pStyle w:val="Normal"/>
        <w:rPr>
          <w:rFonts w:cs="Arial"/>
          <w:lang w:val="en-IN"/>
        </w:rPr>
      </w:pPr>
      <w:r>
        <w:rPr>
          <w:rFonts w:cs="Arial"/>
          <w:lang w:val="en-IN"/>
        </w:rPr>
        <w:t xml:space="preserve">However, Costco does not operate through complete uniformity. Its presence across diverse markets demonstrates some adaptation to local consumer requirements, product preferences and regulatory environments. Local responsiveness appears secondary to the company's objective of maintaining a consistent value proposition and operational efficiency. This suggests that Costco's competitive advantage is primarily derived from </w:t>
      </w:r>
      <w:r>
        <w:rPr>
          <w:rFonts w:cs="Arial"/>
          <w:b/>
          <w:bCs/>
          <w:lang w:val="en-IN"/>
        </w:rPr>
        <w:t>global integration rather than extensive country-level customisation</w:t>
      </w:r>
      <w:r>
        <w:rPr>
          <w:rFonts w:cs="Arial"/>
          <w:lang w:val="en-IN"/>
        </w:rPr>
        <w:t xml:space="preserve">. Such a classification is particularly relevant to South Africa because Costco could transfer its established operating model while selectively adapting products and customer practices to local conditions. The assessment requires the firm's international strategy to be critically analysed rather than merely described. </w:t>
      </w:r>
    </w:p>
    <w:p>
      <w:pPr>
        <w:pStyle w:val="Heading2"/>
        <w:rPr>
          <w:rFonts w:cs="Arial"/>
          <w:lang w:val="en-IN"/>
        </w:rPr>
      </w:pPr>
      <w:bookmarkStart w:id="6" w:name="__RefHeading___Toc1698_621937267"/>
      <w:bookmarkStart w:id="7" w:name="_Toc237504864"/>
      <w:bookmarkEnd w:id="6"/>
      <w:r>
        <w:rPr>
          <w:rFonts w:cs="Arial"/>
          <w:lang w:val="en-IN"/>
        </w:rPr>
        <w:t>1.3 Global Geographic Configuration and Competitive Advantage</w:t>
      </w:r>
      <w:bookmarkEnd w:id="7"/>
    </w:p>
    <w:p>
      <w:pPr>
        <w:pStyle w:val="Normal"/>
        <w:rPr>
          <w:rFonts w:cs="Arial"/>
          <w:lang w:val="en-IN"/>
        </w:rPr>
      </w:pPr>
      <w:r>
        <w:rPr>
          <w:rFonts w:cs="Arial"/>
          <w:lang w:val="en-IN"/>
        </w:rPr>
        <w:t>Costco's international configuration provides several sources of competitive advantage. Its geographic expansion allows the company to leverage purchasing volumes across markets, strengthen supplier relationships and spread organisational capabilities internationally (</w:t>
      </w:r>
      <w:r>
        <w:rPr>
          <w:rFonts w:cs="Arial"/>
        </w:rPr>
        <w:t>Baek and Wang, 2018</w:t>
      </w:r>
      <w:r>
        <w:rPr>
          <w:rFonts w:cs="Arial"/>
          <w:lang w:val="en-IN"/>
        </w:rPr>
        <w:t xml:space="preserve">). The company states that volume purchasing, efficient distribution and reduced merchandise handling allow it to operate at relatively low gross margins while maintaining profitability. </w:t>
      </w:r>
    </w:p>
    <w:p>
      <w:pPr>
        <w:pStyle w:val="Normal"/>
        <w:rPr>
          <w:rFonts w:cs="Arial"/>
          <w:lang w:val="en-IN"/>
        </w:rPr>
      </w:pPr>
      <w:r>
        <w:rPr>
          <w:rFonts w:cs="Arial"/>
          <w:lang w:val="en-IN"/>
        </w:rPr>
        <w:t xml:space="preserve">A further advantage is Costco's </w:t>
      </w:r>
      <w:r>
        <w:rPr>
          <w:rFonts w:cs="Arial"/>
          <w:b/>
          <w:bCs/>
          <w:lang w:val="en-IN"/>
        </w:rPr>
        <w:t>private-label portfolio</w:t>
      </w:r>
      <w:r>
        <w:rPr>
          <w:rFonts w:cs="Arial"/>
          <w:lang w:val="en-IN"/>
        </w:rPr>
        <w:t>, particularly Kirkland Signature, alongside its membership model (</w:t>
      </w:r>
      <w:r>
        <w:rPr>
          <w:rFonts w:cs="Arial"/>
        </w:rPr>
        <w:t>Johnson, 2025</w:t>
      </w:r>
      <w:r>
        <w:rPr>
          <w:rFonts w:cs="Arial"/>
          <w:lang w:val="en-IN"/>
        </w:rPr>
        <w:t xml:space="preserve">). These capabilities can strengthen customer loyalty while supporting Costco's value proposition. Its international experience also reduces some of the organisational uncertainty associated with entering another foreign market. However, the existing global model may not be transferred to South Africa without modification. Differences in purchasing power, consumer shopping behaviour, regulatory requirements and preferences could challenge the assumption that bulk purchasing and membership-based retailing will generate the same customer response. Therefore, Costco's global strategy provides a strong foundation for South African expansion, but </w:t>
      </w:r>
      <w:r>
        <w:rPr>
          <w:rFonts w:cs="Arial"/>
          <w:b/>
          <w:bCs/>
          <w:lang w:val="en-IN"/>
        </w:rPr>
        <w:t>selective local adaptation will be necessary to protect strategic fit and market acceptance</w:t>
      </w:r>
      <w:r>
        <w:rPr>
          <w:rFonts w:cs="Arial"/>
          <w:lang w:val="en-IN"/>
        </w:rPr>
        <w:t>.</w:t>
      </w:r>
    </w:p>
    <w:p>
      <w:pPr>
        <w:pStyle w:val="Heading1"/>
        <w:rPr>
          <w:rFonts w:cs="Arial"/>
          <w:lang w:val="en-IN"/>
        </w:rPr>
      </w:pPr>
      <w:bookmarkStart w:id="8" w:name="__RefHeading___Toc1700_621937267"/>
      <w:bookmarkStart w:id="9" w:name="_Toc237504865"/>
      <w:bookmarkEnd w:id="8"/>
      <w:r>
        <w:rPr>
          <w:rFonts w:cs="Arial"/>
          <w:lang w:val="en-IN"/>
        </w:rPr>
        <w:t>2. Macro-Environmental Appraisal and Market Attractiveness</w:t>
      </w:r>
      <w:bookmarkEnd w:id="9"/>
    </w:p>
    <w:p>
      <w:pPr>
        <w:pStyle w:val="Heading2"/>
        <w:rPr>
          <w:rFonts w:cs="Arial"/>
          <w:lang w:val="en-IN"/>
        </w:rPr>
      </w:pPr>
      <w:bookmarkStart w:id="10" w:name="__RefHeading___Toc1702_621937267"/>
      <w:bookmarkStart w:id="11" w:name="_Toc237504866"/>
      <w:bookmarkEnd w:id="10"/>
      <w:r>
        <w:rPr>
          <w:rFonts w:cs="Arial"/>
          <w:lang w:val="en-IN"/>
        </w:rPr>
        <w:t>2.1 South African Market Overview</w:t>
      </w:r>
      <w:bookmarkEnd w:id="11"/>
    </w:p>
    <w:p>
      <w:pPr>
        <w:pStyle w:val="Normal"/>
        <w:rPr>
          <w:rFonts w:cs="Arial"/>
          <w:lang w:val="en-IN"/>
        </w:rPr>
      </w:pPr>
      <w:r>
        <w:rPr>
          <w:rFonts w:cs="Arial"/>
          <w:lang w:val="en-IN"/>
        </w:rPr>
        <w:t>South Africa represents a potentially attractive but strategically complex market for Costco Wholesale Corporation because it combines a sizeable urban consumer base, an established modern retail infrastructure and a relatively sophisticated financial system with low economic growth, high unemployment and substantial income inequality. The International Monetary Fund (IMF) reports a population of approximately 63.97 million and an urbanisation rate of 68%, while real GDP growth was estimated at 1.3% in 2025 and projected at 1.4% for 2026. Inflation had moderated substantially, with the IMF reporting an average of 3.9% in 2026 (</w:t>
      </w:r>
      <w:r>
        <w:rPr>
          <w:rFonts w:cs="Arial"/>
        </w:rPr>
        <w:t>IMF, 2026</w:t>
      </w:r>
      <w:r>
        <w:rPr>
          <w:rFonts w:cs="Arial"/>
          <w:lang w:val="en-IN"/>
        </w:rPr>
        <w:t xml:space="preserve">). </w:t>
      </w:r>
    </w:p>
    <w:p>
      <w:pPr>
        <w:pStyle w:val="Normal"/>
        <w:rPr>
          <w:rFonts w:cs="Arial"/>
          <w:lang w:val="en-IN"/>
        </w:rPr>
      </w:pPr>
      <w:r>
        <w:rPr/>
        <w:drawing>
          <wp:inline distT="0" distB="0" distL="0" distR="0">
            <wp:extent cx="5731510" cy="4549140"/>
            <wp:effectExtent l="0" t="0" r="0" b="0"/>
            <wp:docPr id="3"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pic:cNvPicPr>
                      <a:picLocks noChangeAspect="1" noChangeArrowheads="1"/>
                    </pic:cNvPicPr>
                  </pic:nvPicPr>
                  <pic:blipFill>
                    <a:blip r:embed="rId4"/>
                    <a:stretch>
                      <a:fillRect/>
                    </a:stretch>
                  </pic:blipFill>
                  <pic:spPr bwMode="auto">
                    <a:xfrm>
                      <a:off x="0" y="0"/>
                      <a:ext cx="5731510" cy="4549140"/>
                    </a:xfrm>
                    <a:prstGeom prst="rect">
                      <a:avLst/>
                    </a:prstGeom>
                    <a:noFill/>
                  </pic:spPr>
                </pic:pic>
              </a:graphicData>
            </a:graphic>
          </wp:inline>
        </w:drawing>
      </w:r>
    </w:p>
    <w:p>
      <w:pPr>
        <w:pStyle w:val="Normal"/>
        <w:rPr>
          <w:rFonts w:cs="Arial"/>
          <w:lang w:val="en-IN"/>
        </w:rPr>
      </w:pPr>
      <w:r>
        <w:rPr>
          <w:rFonts w:cs="Arial"/>
          <w:lang w:val="en-IN"/>
        </w:rPr>
        <w:t xml:space="preserve">The retail opportunity is supported by positive underlying sector performance. Statistics South Africa reported that real retail trade sales increased by </w:t>
      </w:r>
      <w:r>
        <w:rPr>
          <w:rFonts w:cs="Arial"/>
          <w:b/>
          <w:bCs/>
          <w:lang w:val="en-IN"/>
        </w:rPr>
        <w:t>3.7% in 2025</w:t>
      </w:r>
      <w:r>
        <w:rPr>
          <w:rFonts w:cs="Arial"/>
          <w:lang w:val="en-IN"/>
        </w:rPr>
        <w:t>, although the market remains highly competitive (Stats SA, 2026). For Costco, therefore, South Africa is not simply attractive because of market size; its relevance depends on whether the country's consumer structure, purchasing power and retail conditions can support Costco's membership-based warehouse model.</w:t>
      </w:r>
    </w:p>
    <w:p>
      <w:pPr>
        <w:pStyle w:val="Normal"/>
        <w:rPr>
          <w:rFonts w:cs="Arial"/>
          <w:lang w:val="en-IN"/>
        </w:rPr>
      </w:pPr>
      <w:r>
        <w:rPr/>
        <w:drawing>
          <wp:inline distT="0" distB="0" distL="0" distR="0">
            <wp:extent cx="5731510" cy="4084320"/>
            <wp:effectExtent l="0" t="0" r="0" b="0"/>
            <wp:docPr id="4"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
                    <pic:cNvPicPr>
                      <a:picLocks noChangeAspect="1" noChangeArrowheads="1"/>
                    </pic:cNvPicPr>
                  </pic:nvPicPr>
                  <pic:blipFill>
                    <a:blip r:embed="rId5"/>
                    <a:stretch>
                      <a:fillRect/>
                    </a:stretch>
                  </pic:blipFill>
                  <pic:spPr bwMode="auto">
                    <a:xfrm>
                      <a:off x="0" y="0"/>
                      <a:ext cx="5731510" cy="4084320"/>
                    </a:xfrm>
                    <a:prstGeom prst="rect">
                      <a:avLst/>
                    </a:prstGeom>
                    <a:noFill/>
                  </pic:spPr>
                </pic:pic>
              </a:graphicData>
            </a:graphic>
          </wp:inline>
        </w:drawing>
      </w:r>
    </w:p>
    <w:p>
      <w:pPr>
        <w:pStyle w:val="Heading2"/>
        <w:rPr>
          <w:rFonts w:cs="Arial"/>
          <w:lang w:val="en-IN"/>
        </w:rPr>
      </w:pPr>
      <w:bookmarkStart w:id="12" w:name="__RefHeading___Toc1704_621937267"/>
      <w:bookmarkStart w:id="13" w:name="_Toc237504867"/>
      <w:bookmarkEnd w:id="12"/>
      <w:r>
        <w:rPr>
          <w:rFonts w:cs="Arial"/>
          <w:lang w:val="en-IN"/>
        </w:rPr>
        <w:t>2.2 Political Environment</w:t>
      </w:r>
      <w:bookmarkEnd w:id="13"/>
    </w:p>
    <w:p>
      <w:pPr>
        <w:pStyle w:val="Heading3"/>
        <w:rPr>
          <w:rFonts w:cs="Arial"/>
          <w:lang w:val="en-IN"/>
        </w:rPr>
      </w:pPr>
      <w:bookmarkStart w:id="14" w:name="__RefHeading___Toc1706_621937267"/>
      <w:bookmarkStart w:id="15" w:name="_Toc237504868"/>
      <w:bookmarkEnd w:id="14"/>
      <w:r>
        <w:rPr>
          <w:rFonts w:cs="Arial"/>
          <w:lang w:val="en-IN"/>
        </w:rPr>
        <w:t>2.2.1 Political Stability and Governance</w:t>
      </w:r>
      <w:bookmarkEnd w:id="15"/>
    </w:p>
    <w:p>
      <w:pPr>
        <w:pStyle w:val="Normal"/>
        <w:rPr>
          <w:rFonts w:cs="Arial"/>
          <w:lang w:val="en-IN"/>
        </w:rPr>
      </w:pPr>
      <w:r>
        <w:rPr>
          <w:rFonts w:cs="Arial"/>
          <w:lang w:val="en-IN"/>
        </w:rPr>
        <w:t xml:space="preserve">South Africa provides a relatively mature institutional environment compared with many emerging markets, but political complexity remains relevant to a major foreign investor such as Costco. The </w:t>
      </w:r>
      <w:r>
        <w:rPr>
          <w:rFonts w:cs="Arial"/>
          <w:b/>
          <w:bCs/>
          <w:lang w:val="en-IN"/>
        </w:rPr>
        <w:t>Government of National Unity (GNU)</w:t>
      </w:r>
      <w:r>
        <w:rPr>
          <w:rFonts w:cs="Arial"/>
          <w:lang w:val="en-IN"/>
        </w:rPr>
        <w:t xml:space="preserve"> has created a broader political coalition following the 2024 elections (</w:t>
      </w:r>
      <w:r>
        <w:rPr>
          <w:rFonts w:cs="Arial"/>
        </w:rPr>
        <w:t>Thwala and Vilakazi, 2024</w:t>
      </w:r>
      <w:r>
        <w:rPr>
          <w:rFonts w:cs="Arial"/>
          <w:lang w:val="en-IN"/>
        </w:rPr>
        <w:t>). The South African government has stated that the GNU has provided political stability and is focused on unemployment, poverty, cost-of-living pressures, crime, corruption and economic growth. This can support investor confidence because policy-making is not dependent on a single-party majority and the government has prioritised economic reform.</w:t>
      </w:r>
    </w:p>
    <w:p>
      <w:pPr>
        <w:pStyle w:val="Normal"/>
        <w:rPr>
          <w:rFonts w:cs="Arial"/>
          <w:lang w:val="en-IN"/>
        </w:rPr>
      </w:pPr>
      <w:r>
        <w:rPr>
          <w:rFonts w:cs="Arial"/>
          <w:lang w:val="en-IN"/>
        </w:rPr>
        <w:t>However, political stability should not be interpreted as the absence of risk. The IMF identifies governance challenges, corruption, structural impediments and domestic reform fatigue as continuing constraints on South Africa's growth potential (</w:t>
      </w:r>
      <w:r>
        <w:rPr>
          <w:rFonts w:cs="Arial"/>
        </w:rPr>
        <w:t>IMF, 2026</w:t>
      </w:r>
      <w:r>
        <w:rPr>
          <w:rFonts w:cs="Arial"/>
          <w:lang w:val="en-IN"/>
        </w:rPr>
        <w:t xml:space="preserve">). For Costco, these issues could affect planning approvals, procurement relationships, infrastructure reliability and the predictability of operating conditions. Consequently, the political environment represents a </w:t>
      </w:r>
      <w:r>
        <w:rPr>
          <w:rFonts w:cs="Arial"/>
          <w:b/>
          <w:bCs/>
          <w:lang w:val="en-IN"/>
        </w:rPr>
        <w:t>moderate opportunity supported by institutional stability but accompanied by execution and governance risks</w:t>
      </w:r>
      <w:r>
        <w:rPr>
          <w:rFonts w:cs="Arial"/>
          <w:lang w:val="en-IN"/>
        </w:rPr>
        <w:t>.</w:t>
      </w:r>
    </w:p>
    <w:p>
      <w:pPr>
        <w:pStyle w:val="Heading3"/>
        <w:rPr>
          <w:rFonts w:cs="Arial"/>
          <w:lang w:val="en-IN"/>
        </w:rPr>
      </w:pPr>
      <w:bookmarkStart w:id="16" w:name="__RefHeading___Toc1708_621937267"/>
      <w:bookmarkStart w:id="17" w:name="_Toc237504869"/>
      <w:bookmarkEnd w:id="16"/>
      <w:r>
        <w:rPr>
          <w:rFonts w:cs="Arial"/>
          <w:lang w:val="en-IN"/>
        </w:rPr>
        <w:t>2.2.2 Government Policy and Foreign Investment</w:t>
      </w:r>
      <w:bookmarkEnd w:id="17"/>
    </w:p>
    <w:p>
      <w:pPr>
        <w:pStyle w:val="Normal"/>
        <w:rPr>
          <w:rFonts w:cs="Arial"/>
          <w:lang w:val="en-IN"/>
        </w:rPr>
      </w:pPr>
      <w:r>
        <w:rPr>
          <w:rFonts w:cs="Arial"/>
          <w:lang w:val="en-IN"/>
        </w:rPr>
        <w:t xml:space="preserve">South Africa's investment framework is broadly supportive of foreign investment. The </w:t>
      </w:r>
      <w:r>
        <w:rPr>
          <w:rFonts w:cs="Arial"/>
          <w:b/>
          <w:bCs/>
          <w:lang w:val="en-IN"/>
        </w:rPr>
        <w:t>Protection of Investment Act 2015</w:t>
      </w:r>
      <w:r>
        <w:rPr>
          <w:rFonts w:cs="Arial"/>
          <w:lang w:val="en-IN"/>
        </w:rPr>
        <w:t xml:space="preserve"> establishes a legislative framework for protecting and promoting investment and recognises the importance of investment for employment, economic growth and sustainable development (</w:t>
      </w:r>
      <w:r>
        <w:rPr>
          <w:rFonts w:cs="Arial"/>
        </w:rPr>
        <w:t xml:space="preserve">Cumming </w:t>
      </w:r>
      <w:r>
        <w:rPr>
          <w:rFonts w:cs="Arial"/>
          <w:i/>
          <w:iCs/>
        </w:rPr>
        <w:t>et al.,</w:t>
      </w:r>
      <w:r>
        <w:rPr>
          <w:rFonts w:cs="Arial"/>
        </w:rPr>
        <w:t xml:space="preserve"> 2017</w:t>
      </w:r>
      <w:r>
        <w:rPr>
          <w:rFonts w:cs="Arial"/>
          <w:lang w:val="en-IN"/>
        </w:rPr>
        <w:t>). The legislation also allows investors to repatriate funds subject to taxation and applicable legislation, which is relevant to Costco as a US multinational seeking long-term returns from South African operations. The government retains the right to regulate investments to address historical and socio-economic inequalities and other public-policy objectives. This is particularly relevant to Costco because market entry would involve substantial employment, procurement and supplier relationships. Costco should therefore view localisation and economic participation not merely as compliance requirements but as components of its stakeholder strategy.</w:t>
      </w:r>
    </w:p>
    <w:p>
      <w:pPr>
        <w:pStyle w:val="Heading3"/>
        <w:rPr>
          <w:rFonts w:cs="Arial"/>
          <w:lang w:val="en-IN"/>
        </w:rPr>
      </w:pPr>
      <w:bookmarkStart w:id="18" w:name="__RefHeading___Toc1710_621937267"/>
      <w:bookmarkStart w:id="19" w:name="_Toc237504870"/>
      <w:bookmarkEnd w:id="18"/>
      <w:r>
        <w:rPr>
          <w:rFonts w:cs="Arial"/>
          <w:lang w:val="en-IN"/>
        </w:rPr>
        <w:t>2.2.3 Infrastructure and Political Execution Risk</w:t>
      </w:r>
      <w:bookmarkEnd w:id="19"/>
    </w:p>
    <w:p>
      <w:pPr>
        <w:pStyle w:val="Normal"/>
        <w:rPr>
          <w:rFonts w:cs="Arial"/>
          <w:lang w:val="en-IN"/>
        </w:rPr>
      </w:pPr>
      <w:r>
        <w:rPr>
          <w:rFonts w:cs="Arial"/>
          <w:lang w:val="en-IN"/>
        </w:rPr>
        <w:t>Infrastructure is another political-economic consideration. The government is undertaking reforms involving ports, freight rail, roads and electricity, including greater private-sector participation (</w:t>
      </w:r>
      <w:r>
        <w:rPr>
          <w:rFonts w:cs="Arial"/>
        </w:rPr>
        <w:t>Mali, 2025</w:t>
      </w:r>
      <w:r>
        <w:rPr>
          <w:rFonts w:cs="Arial"/>
          <w:lang w:val="en-IN"/>
        </w:rPr>
        <w:t>). The government stated that these reforms were intended to improve logistics competitiveness and strengthen South Africa's position as a regional trade hub. The IMF similarly identifies electricity, freight rail, ports and water as important infrastructure constraints. This matters particularly to Costco because its business model depends on high-volume procurement, reliable distribution and efficient movement of merchandise. A warehouse retailer cannot maintain low prices of imported merchandise experiences persistent delays or if distribution costs become excessive. Infrastructure reforms therefore create a potential long-term opportunity, but Costco should not assume that improvements will occur immediately.</w:t>
      </w:r>
    </w:p>
    <w:p>
      <w:pPr>
        <w:pStyle w:val="Heading3"/>
        <w:rPr>
          <w:rFonts w:cs="Arial"/>
          <w:lang w:val="en-IN"/>
        </w:rPr>
      </w:pPr>
      <w:bookmarkStart w:id="20" w:name="__RefHeading___Toc1712_621937267"/>
      <w:bookmarkStart w:id="21" w:name="_Toc237504871"/>
      <w:bookmarkEnd w:id="20"/>
      <w:r>
        <w:rPr>
          <w:rFonts w:cs="Arial"/>
          <w:lang w:val="en-IN"/>
        </w:rPr>
        <w:t>2.2.4 Political Implications for Costco</w:t>
      </w:r>
      <w:bookmarkEnd w:id="21"/>
    </w:p>
    <w:p>
      <w:pPr>
        <w:pStyle w:val="Normal"/>
        <w:rPr>
          <w:rFonts w:cs="Arial"/>
          <w:lang w:val="en-IN"/>
        </w:rPr>
      </w:pPr>
      <w:r>
        <w:rPr>
          <w:rFonts w:cs="Arial"/>
          <w:lang w:val="en-IN"/>
        </w:rPr>
        <w:t xml:space="preserve">South Africa's political environment is sufficiently stable to support consideration of entry, but Costco would need strong compliance, government engagement and local stakeholder management. The political opportunity therefore exists primarily through </w:t>
      </w:r>
      <w:r>
        <w:rPr>
          <w:rFonts w:cs="Arial"/>
          <w:b/>
          <w:bCs/>
          <w:lang w:val="en-IN"/>
        </w:rPr>
        <w:t>reform and investment potential</w:t>
      </w:r>
      <w:r>
        <w:rPr>
          <w:rFonts w:cs="Arial"/>
          <w:lang w:val="en-IN"/>
        </w:rPr>
        <w:t>, while the principal risks are policy execution, governance and infrastructure reliability.</w:t>
      </w:r>
    </w:p>
    <w:p>
      <w:pPr>
        <w:pStyle w:val="Heading2"/>
        <w:rPr>
          <w:rFonts w:cs="Arial"/>
          <w:lang w:val="en-IN"/>
        </w:rPr>
      </w:pPr>
      <w:bookmarkStart w:id="22" w:name="__RefHeading___Toc1714_621937267"/>
      <w:bookmarkStart w:id="23" w:name="_Toc237504872"/>
      <w:bookmarkEnd w:id="22"/>
      <w:r>
        <w:rPr>
          <w:rFonts w:cs="Arial"/>
          <w:lang w:val="en-IN"/>
        </w:rPr>
        <w:t>2.3 Economic Environment</w:t>
      </w:r>
      <w:bookmarkEnd w:id="23"/>
    </w:p>
    <w:p>
      <w:pPr>
        <w:pStyle w:val="Heading3"/>
        <w:rPr>
          <w:rFonts w:cs="Arial"/>
          <w:lang w:val="en-IN"/>
        </w:rPr>
      </w:pPr>
      <w:bookmarkStart w:id="24" w:name="__RefHeading___Toc1716_621937267"/>
      <w:bookmarkStart w:id="25" w:name="_Toc237504873"/>
      <w:bookmarkEnd w:id="24"/>
      <w:r>
        <w:rPr>
          <w:rFonts w:cs="Arial"/>
          <w:lang w:val="en-IN"/>
        </w:rPr>
        <w:t>2.3.1 Economic Growth and Market Potential</w:t>
      </w:r>
      <w:bookmarkEnd w:id="25"/>
    </w:p>
    <w:p>
      <w:pPr>
        <w:pStyle w:val="Normal"/>
        <w:rPr>
          <w:rFonts w:cs="Arial"/>
          <w:lang w:val="en-IN"/>
        </w:rPr>
      </w:pPr>
      <w:r>
        <w:rPr>
          <w:rFonts w:cs="Arial"/>
          <w:lang w:val="en-IN"/>
        </w:rPr>
        <w:t>South Africa's economic outlook presents both opportunity and constraint. The IMF estimated GDP growth at 1.3% in 2025 and projected 1.4% for 2026 (</w:t>
      </w:r>
      <w:r>
        <w:rPr>
          <w:rFonts w:cs="Arial"/>
        </w:rPr>
        <w:t>IMF, 2026a</w:t>
      </w:r>
      <w:r>
        <w:rPr>
          <w:rFonts w:cs="Arial"/>
          <w:lang w:val="en-IN"/>
        </w:rPr>
        <w:t xml:space="preserve">). This indicates a relatively slow-growing economy rather than a high-growth emerging market. For Costco, this limits the argument that entry would be justified simply by rapid economic expansion. However, slow aggregate growth does not eliminate retail opportunity. South Africa remains one of the more developed consumer markets in Africa, with established modern retail infrastructure and a large urban population. The more relevant question is therefore whether Costco can identify </w:t>
      </w:r>
      <w:r>
        <w:rPr>
          <w:rFonts w:cs="Arial"/>
          <w:b/>
          <w:bCs/>
          <w:lang w:val="en-IN"/>
        </w:rPr>
        <w:t>specific higher-income urban consumer segments</w:t>
      </w:r>
      <w:r>
        <w:rPr>
          <w:rFonts w:cs="Arial"/>
          <w:lang w:val="en-IN"/>
        </w:rPr>
        <w:t xml:space="preserve"> capable of supporting membership fees and bulk purchases.</w:t>
      </w:r>
    </w:p>
    <w:p>
      <w:pPr>
        <w:pStyle w:val="Heading3"/>
        <w:rPr>
          <w:rFonts w:cs="Arial"/>
          <w:lang w:val="en-IN"/>
        </w:rPr>
      </w:pPr>
      <w:bookmarkStart w:id="26" w:name="__RefHeading___Toc1718_621937267"/>
      <w:bookmarkStart w:id="27" w:name="_Toc237504874"/>
      <w:bookmarkEnd w:id="26"/>
      <w:r>
        <w:rPr>
          <w:rFonts w:cs="Arial"/>
          <w:lang w:val="en-IN"/>
        </w:rPr>
        <w:t>2.3.2 Purchasing Power and Income Inequality</w:t>
      </w:r>
      <w:bookmarkEnd w:id="27"/>
    </w:p>
    <w:p>
      <w:pPr>
        <w:pStyle w:val="Normal"/>
        <w:rPr>
          <w:rFonts w:cs="Arial"/>
          <w:lang w:val="en-IN"/>
        </w:rPr>
      </w:pPr>
      <w:r>
        <w:rPr>
          <w:rFonts w:cs="Arial"/>
          <w:lang w:val="en-IN"/>
        </w:rPr>
        <w:t xml:space="preserve">Purchasing power is arguably one of the most important economic factors for Costco because its warehouse model is dependent on customers purchasing sufficient quantities to make membership economically worthwhile. Stats SA's 2022/23 Income and Expenditure Survey found that average annual household income was approximately </w:t>
      </w:r>
      <w:r>
        <w:rPr>
          <w:rFonts w:cs="Arial"/>
          <w:b/>
          <w:bCs/>
          <w:lang w:val="en-IN"/>
        </w:rPr>
        <w:t>R204,359 in 2023</w:t>
      </w:r>
      <w:r>
        <w:rPr>
          <w:rFonts w:cs="Arial"/>
          <w:lang w:val="en-IN"/>
        </w:rPr>
        <w:t xml:space="preserve">, while median household income was only </w:t>
      </w:r>
      <w:r>
        <w:rPr>
          <w:rFonts w:cs="Arial"/>
          <w:b/>
          <w:bCs/>
          <w:lang w:val="en-IN"/>
        </w:rPr>
        <w:t xml:space="preserve">R95,770 </w:t>
      </w:r>
      <w:r>
        <w:rPr>
          <w:rFonts w:cs="Arial"/>
          <w:lang w:val="en-IN"/>
        </w:rPr>
        <w:t>(Stats SA, 2025). Average annual household consumption expenditure was R143,691, compared with a median of R82,861. These figures demonstrate substantial variation between average and median households.</w:t>
      </w:r>
    </w:p>
    <w:p>
      <w:pPr>
        <w:pStyle w:val="Normal"/>
        <w:rPr>
          <w:rFonts w:cs="Arial"/>
          <w:lang w:val="en-IN"/>
        </w:rPr>
      </w:pPr>
      <w:r>
        <w:rPr>
          <w:rFonts w:cs="Arial"/>
          <w:lang w:val="en-IN"/>
        </w:rPr>
        <w:t>This creates a significant strategic challenge. Costco's bulk-buying model could generate value for affluent households with adequate storage capacity and predictable consumption, but a membership fee and large package sizes could be less attractive to lower-income households with constrained cash flow. Therefore, South Africa's population size does not automatically translate into Costco's addressable market. Costco would need to concentrate initially on affluent urban and suburban consumers rather than pursue mass-market penetration.</w:t>
      </w:r>
    </w:p>
    <w:p>
      <w:pPr>
        <w:pStyle w:val="Heading3"/>
        <w:rPr>
          <w:rFonts w:cs="Arial"/>
          <w:lang w:val="en-IN"/>
        </w:rPr>
      </w:pPr>
      <w:bookmarkStart w:id="28" w:name="__RefHeading___Toc1720_621937267"/>
      <w:bookmarkStart w:id="29" w:name="_Toc237504875"/>
      <w:bookmarkEnd w:id="28"/>
      <w:r>
        <w:rPr>
          <w:rFonts w:cs="Arial"/>
          <w:lang w:val="en-IN"/>
        </w:rPr>
        <w:t>2.3.3 Inflation and Interest Rates</w:t>
      </w:r>
      <w:bookmarkEnd w:id="29"/>
    </w:p>
    <w:p>
      <w:pPr>
        <w:pStyle w:val="Normal"/>
        <w:rPr>
          <w:rFonts w:cs="Arial"/>
          <w:lang w:val="en-IN"/>
        </w:rPr>
      </w:pPr>
      <w:r>
        <w:rPr>
          <w:rFonts w:cs="Arial"/>
          <w:lang w:val="en-IN"/>
        </w:rPr>
        <w:t xml:space="preserve">Inflation has become less threatening than during earlier periods. The IMF reported average inflation of 3.2% in 2025 and projected 3.6% for 2026. Lower inflation can improve consumer purchasing power and make price planning more predictable. This creates an opportunity for Costco because its competitive advantage is closely linked to </w:t>
      </w:r>
      <w:r>
        <w:rPr>
          <w:rFonts w:cs="Arial"/>
          <w:b/>
          <w:bCs/>
          <w:lang w:val="en-IN"/>
        </w:rPr>
        <w:t xml:space="preserve">value pricing </w:t>
      </w:r>
      <w:r>
        <w:rPr>
          <w:rFonts w:cs="Arial"/>
          <w:lang w:val="en-IN"/>
        </w:rPr>
        <w:t>(</w:t>
      </w:r>
      <w:r>
        <w:rPr>
          <w:rFonts w:cs="Arial"/>
        </w:rPr>
        <w:t>Johnson, 2025</w:t>
      </w:r>
      <w:r>
        <w:rPr>
          <w:rFonts w:cs="Arial"/>
          <w:lang w:val="en-IN"/>
        </w:rPr>
        <w:t>). If inflation remains controlled, Costco may be better positioned to communicate measurable savings against competing retailers. The company must remain sensitive to household affordability because lower inflation does not mean that consumers have high disposable income.</w:t>
      </w:r>
    </w:p>
    <w:p>
      <w:pPr>
        <w:pStyle w:val="Heading3"/>
        <w:rPr>
          <w:rFonts w:cs="Arial"/>
          <w:lang w:val="en-IN"/>
        </w:rPr>
      </w:pPr>
      <w:bookmarkStart w:id="30" w:name="__RefHeading___Toc1722_621937267"/>
      <w:bookmarkStart w:id="31" w:name="_Toc237504876"/>
      <w:bookmarkEnd w:id="30"/>
      <w:r>
        <w:rPr>
          <w:rFonts w:cs="Arial"/>
          <w:lang w:val="en-IN"/>
        </w:rPr>
        <w:t>2.3.4 Consumer Confidence and Spending</w:t>
      </w:r>
      <w:bookmarkEnd w:id="31"/>
    </w:p>
    <w:p>
      <w:pPr>
        <w:pStyle w:val="Normal"/>
        <w:rPr>
          <w:rFonts w:cs="Arial"/>
          <w:lang w:val="en-IN"/>
        </w:rPr>
      </w:pPr>
      <w:r>
        <w:rPr>
          <w:rFonts w:cs="Arial"/>
          <w:lang w:val="en-IN"/>
        </w:rPr>
        <w:t xml:space="preserve">Consumer confidence provides a more nuanced picture. The FNB/BER Consumer Confidence Index improved to </w:t>
      </w:r>
      <w:r>
        <w:rPr>
          <w:rFonts w:cs="Arial"/>
          <w:b/>
          <w:bCs/>
          <w:lang w:val="en-IN"/>
        </w:rPr>
        <w:t>-7 in Q1 2026</w:t>
      </w:r>
      <w:r>
        <w:rPr>
          <w:rFonts w:cs="Arial"/>
          <w:lang w:val="en-IN"/>
        </w:rPr>
        <w:t>, its strongest level in 15 months, partly reflecting improved sentiment among higher-income consumers (</w:t>
      </w:r>
      <w:r>
        <w:rPr>
          <w:rFonts w:cs="Arial"/>
        </w:rPr>
        <w:t>Carvalho, 2026</w:t>
      </w:r>
      <w:r>
        <w:rPr>
          <w:rFonts w:cs="Arial"/>
          <w:lang w:val="en-IN"/>
        </w:rPr>
        <w:t xml:space="preserve">). However, confidence remained negative overall, demonstrating continuing caution. This is significant for Costco because membership-based retail requires customers to make a deliberate commitment before receiving the full benefit of the proposition. A cautious consumer may compare prices carefully and question whether annual membership provides enough savings. Costco therefore needs to demonstrate a clear </w:t>
      </w:r>
      <w:r>
        <w:rPr>
          <w:rFonts w:cs="Arial"/>
          <w:b/>
          <w:bCs/>
          <w:lang w:val="en-IN"/>
        </w:rPr>
        <w:t>membership value proposition</w:t>
      </w:r>
      <w:r>
        <w:rPr>
          <w:rFonts w:cs="Arial"/>
          <w:lang w:val="en-IN"/>
        </w:rPr>
        <w:t>, rather than relying only on its international reputation.</w:t>
      </w:r>
    </w:p>
    <w:p>
      <w:pPr>
        <w:pStyle w:val="Heading3"/>
        <w:rPr>
          <w:rFonts w:cs="Arial"/>
          <w:lang w:val="en-IN"/>
        </w:rPr>
      </w:pPr>
      <w:bookmarkStart w:id="32" w:name="__RefHeading___Toc1724_621937267"/>
      <w:bookmarkStart w:id="33" w:name="_Toc237504877"/>
      <w:bookmarkEnd w:id="32"/>
      <w:r>
        <w:rPr>
          <w:rFonts w:cs="Arial"/>
          <w:lang w:val="en-IN"/>
        </w:rPr>
        <w:t>2.3.5 Retail Market and Competitive Intensity</w:t>
      </w:r>
      <w:bookmarkEnd w:id="33"/>
    </w:p>
    <w:p>
      <w:pPr>
        <w:pStyle w:val="Normal"/>
        <w:rPr>
          <w:rFonts w:cs="Arial"/>
          <w:lang w:val="en-IN"/>
        </w:rPr>
      </w:pPr>
      <w:r>
        <w:rPr>
          <w:rFonts w:cs="Arial"/>
          <w:lang w:val="en-IN"/>
        </w:rPr>
        <w:t>South Africa has an established and sophisticated grocery and general-merchandise retail sector. Statistics South Africa recorded 3.7% real retail-sales growth in 2025, indicating continued consumer activity. However, competition is intense. Euromonitor reports that the South African hypermarket market was highly concentrated in 2025, with Shoprite, Pick n Pay and Massmart collectively accounting for the entire market. Shoprite had increased its share substantially over 2020–2025 (</w:t>
      </w:r>
      <w:r>
        <w:rPr>
          <w:rFonts w:cs="Arial"/>
        </w:rPr>
        <w:t>Euromonitor, 2026</w:t>
      </w:r>
      <w:r>
        <w:rPr>
          <w:rFonts w:cs="Arial"/>
          <w:lang w:val="en-IN"/>
        </w:rPr>
        <w:t xml:space="preserve">). </w:t>
      </w:r>
    </w:p>
    <w:p>
      <w:pPr>
        <w:pStyle w:val="Normal"/>
        <w:rPr>
          <w:rFonts w:cs="Arial"/>
          <w:lang w:val="en-IN"/>
        </w:rPr>
      </w:pPr>
      <w:r>
        <w:rPr>
          <w:rFonts w:cs="Arial"/>
          <w:lang w:val="en-IN"/>
        </w:rPr>
        <w:t xml:space="preserve">This is particularly relevant because Massmart operates the Makro warehouse format, meaning Costco would not introduce warehouse-style bulk retailing into a completely unfamiliar market. Instead, Costco would face an incumbent competitor already offering elements of bulk purchasing and warehouse retail. The implication is important for Costco's competitive advantage would need to come from membership economics, purchasing scale, Kirkland Signature, product </w:t>
      </w:r>
      <w:r>
        <w:rPr>
          <w:rFonts w:cs="Arial"/>
          <w:b/>
          <w:bCs/>
          <w:lang w:val="en-IN"/>
        </w:rPr>
        <w:t>differentiation and customer experience</w:t>
      </w:r>
      <w:r>
        <w:rPr>
          <w:rFonts w:cs="Arial"/>
          <w:lang w:val="en-IN"/>
        </w:rPr>
        <w:t>, rather than simply offering large stores (</w:t>
      </w:r>
      <w:r>
        <w:rPr>
          <w:rFonts w:cs="Arial"/>
        </w:rPr>
        <w:t>Johnson, 2025</w:t>
      </w:r>
      <w:r>
        <w:rPr>
          <w:rFonts w:cs="Arial"/>
          <w:lang w:val="en-IN"/>
        </w:rPr>
        <w:t>).</w:t>
      </w:r>
    </w:p>
    <w:p>
      <w:pPr>
        <w:pStyle w:val="Heading3"/>
        <w:rPr>
          <w:rFonts w:cs="Arial"/>
          <w:lang w:val="en-IN"/>
        </w:rPr>
      </w:pPr>
      <w:bookmarkStart w:id="34" w:name="__RefHeading___Toc1726_621937267"/>
      <w:bookmarkStart w:id="35" w:name="_Toc237504878"/>
      <w:bookmarkEnd w:id="34"/>
      <w:r>
        <w:rPr>
          <w:rFonts w:cs="Arial"/>
          <w:lang w:val="en-IN"/>
        </w:rPr>
        <w:t>2.3.6 Strategic Economic Implications</w:t>
      </w:r>
      <w:bookmarkEnd w:id="35"/>
    </w:p>
    <w:p>
      <w:pPr>
        <w:pStyle w:val="Normal"/>
        <w:rPr>
          <w:rFonts w:cs="Arial"/>
          <w:lang w:val="en-IN"/>
        </w:rPr>
      </w:pPr>
      <w:r>
        <w:rPr>
          <w:rFonts w:cs="Arial"/>
          <w:lang w:val="en-IN"/>
        </w:rPr>
        <w:t xml:space="preserve">South Africa therefore offers Costco a </w:t>
      </w:r>
      <w:r>
        <w:rPr>
          <w:rFonts w:cs="Arial"/>
          <w:b/>
          <w:bCs/>
          <w:lang w:val="en-IN"/>
        </w:rPr>
        <w:t>selective rather than universal market opportunity</w:t>
      </w:r>
      <w:r>
        <w:rPr>
          <w:rFonts w:cs="Arial"/>
          <w:lang w:val="en-IN"/>
        </w:rPr>
        <w:t>. The positive factors are retail-sector growth, urbanisation, improving inflation and an established consumer economy. The major constraints are low GDP growth, unemployment, inequality and cautious consumer spending. Costco should consequently avoid a rapid nationwide rollout and instead test the model in carefully selected high-income urban markets.</w:t>
      </w:r>
    </w:p>
    <w:p>
      <w:pPr>
        <w:pStyle w:val="Heading2"/>
        <w:rPr>
          <w:rFonts w:cs="Arial"/>
          <w:lang w:val="en-IN"/>
        </w:rPr>
      </w:pPr>
      <w:bookmarkStart w:id="36" w:name="__RefHeading___Toc1728_621937267"/>
      <w:bookmarkStart w:id="37" w:name="_Toc237504879"/>
      <w:bookmarkEnd w:id="36"/>
      <w:r>
        <w:rPr>
          <w:rFonts w:cs="Arial"/>
          <w:lang w:val="en-IN"/>
        </w:rPr>
        <w:t>2.4 Legal and Regulatory Environment</w:t>
      </w:r>
      <w:bookmarkEnd w:id="37"/>
    </w:p>
    <w:p>
      <w:pPr>
        <w:pStyle w:val="Heading3"/>
        <w:rPr>
          <w:rFonts w:cs="Arial"/>
          <w:lang w:val="en-IN"/>
        </w:rPr>
      </w:pPr>
      <w:bookmarkStart w:id="38" w:name="__RefHeading___Toc1730_621937267"/>
      <w:bookmarkStart w:id="39" w:name="_Toc237504880"/>
      <w:bookmarkEnd w:id="38"/>
      <w:r>
        <w:rPr>
          <w:rFonts w:cs="Arial"/>
          <w:lang w:val="en-IN"/>
        </w:rPr>
        <w:t>2.4.1 Investment Protection and Regulatory Conditions</w:t>
      </w:r>
      <w:bookmarkEnd w:id="39"/>
    </w:p>
    <w:p>
      <w:pPr>
        <w:pStyle w:val="Normal"/>
        <w:rPr>
          <w:rFonts w:cs="Arial"/>
          <w:lang w:val="en-IN"/>
        </w:rPr>
      </w:pPr>
      <w:r>
        <w:rPr>
          <w:rFonts w:cs="Arial"/>
          <w:lang w:val="en-IN"/>
        </w:rPr>
        <w:t>South Africa's Protection of Investment Act provides a formal framework for investment protection and promotion (</w:t>
      </w:r>
      <w:r>
        <w:rPr>
          <w:rFonts w:cs="Arial"/>
        </w:rPr>
        <w:t>Khiba, 2021</w:t>
      </w:r>
      <w:r>
        <w:rPr>
          <w:rFonts w:cs="Arial"/>
          <w:lang w:val="en-IN"/>
        </w:rPr>
        <w:t>). It recognises foreign investment and provides mechanisms concerning investment rights and repatriation of funds, although these rights remain subject to taxation and other applicable legislation. For Costco, this reduces the institutional uncertainty associated with establishing a foreign operation. Nevertheless, Costco would still need to conduct detailed due diligence concerning property, taxation, employment, customs and sector-specific requirements before committing substantial capital.</w:t>
      </w:r>
    </w:p>
    <w:p>
      <w:pPr>
        <w:pStyle w:val="Heading3"/>
        <w:rPr>
          <w:rFonts w:cs="Arial"/>
          <w:lang w:val="en-IN"/>
        </w:rPr>
      </w:pPr>
      <w:bookmarkStart w:id="40" w:name="__RefHeading___Toc1732_621937267"/>
      <w:bookmarkStart w:id="41" w:name="_Toc237504881"/>
      <w:bookmarkEnd w:id="40"/>
      <w:r>
        <w:rPr>
          <w:rFonts w:cs="Arial"/>
          <w:lang w:val="en-IN"/>
        </w:rPr>
        <w:t>2.4.2 Competition Law</w:t>
      </w:r>
      <w:bookmarkEnd w:id="41"/>
    </w:p>
    <w:p>
      <w:pPr>
        <w:pStyle w:val="Normal"/>
        <w:rPr>
          <w:rFonts w:cs="Arial"/>
          <w:lang w:val="en-IN"/>
        </w:rPr>
      </w:pPr>
      <w:r>
        <w:rPr>
          <w:rFonts w:cs="Arial"/>
          <w:lang w:val="en-IN"/>
        </w:rPr>
        <w:t xml:space="preserve">The </w:t>
      </w:r>
      <w:r>
        <w:rPr>
          <w:rFonts w:cs="Arial"/>
          <w:b/>
          <w:bCs/>
          <w:lang w:val="en-IN"/>
        </w:rPr>
        <w:t>Competition Act 89 of 1998</w:t>
      </w:r>
      <w:r>
        <w:rPr>
          <w:rFonts w:cs="Arial"/>
          <w:lang w:val="en-IN"/>
        </w:rPr>
        <w:t xml:space="preserve"> establishes the Competition Commission and provides mechanisms dealing with restrictive practices, abuse of dominant positions and mergers (</w:t>
      </w:r>
      <w:r>
        <w:rPr>
          <w:rFonts w:cs="Arial"/>
        </w:rPr>
        <w:t>Sakata, 2025</w:t>
      </w:r>
      <w:r>
        <w:rPr>
          <w:rFonts w:cs="Arial"/>
          <w:lang w:val="en-IN"/>
        </w:rPr>
        <w:t>). This matters because Costco would enter a concentrated retail environment. If Costco pursued acquisition as an entry method, merger-control considerations could become particularly important. Even if Costco established a new warehouse organically, its purchasing power and relationships with suppliers could eventually attract regulatory scrutiny if its market share became substantial. Costco should therefore build competition-law compliance into its expansion strategy from the beginning rather than treating it as a post-entry issue.</w:t>
      </w:r>
    </w:p>
    <w:p>
      <w:pPr>
        <w:pStyle w:val="Heading3"/>
        <w:rPr>
          <w:rFonts w:cs="Arial"/>
          <w:lang w:val="en-IN"/>
        </w:rPr>
      </w:pPr>
      <w:bookmarkStart w:id="42" w:name="__RefHeading___Toc1734_621937267"/>
      <w:bookmarkStart w:id="43" w:name="_Toc237504882"/>
      <w:bookmarkEnd w:id="42"/>
      <w:r>
        <w:rPr>
          <w:rFonts w:cs="Arial"/>
          <w:lang w:val="en-IN"/>
        </w:rPr>
        <w:t>2.4.3 Consumer Protection</w:t>
      </w:r>
      <w:bookmarkEnd w:id="43"/>
    </w:p>
    <w:p>
      <w:pPr>
        <w:pStyle w:val="Normal"/>
        <w:rPr>
          <w:rFonts w:cs="Arial"/>
          <w:lang w:val="en-IN"/>
        </w:rPr>
      </w:pPr>
      <w:r>
        <w:rPr>
          <w:rFonts w:cs="Arial"/>
          <w:lang w:val="en-IN"/>
        </w:rPr>
        <w:t xml:space="preserve">The Consumer Protection Act establishes national consumer-protection standards, improves consumer information and prohibits unfair marketing and business practices. Importantly, South Africa also introduced </w:t>
      </w:r>
      <w:r>
        <w:rPr>
          <w:rFonts w:cs="Arial"/>
          <w:b/>
          <w:bCs/>
          <w:lang w:val="en-IN"/>
        </w:rPr>
        <w:t>Consumer Protection Act amendment regulations in April 2026</w:t>
      </w:r>
      <w:r>
        <w:rPr>
          <w:rFonts w:cs="Arial"/>
          <w:lang w:val="en-IN"/>
        </w:rPr>
        <w:t>, demonstrating that the regulatory environment continues to evolve (</w:t>
      </w:r>
      <w:r>
        <w:rPr>
          <w:rFonts w:cs="Arial"/>
        </w:rPr>
        <w:t>Raath, 2026</w:t>
      </w:r>
      <w:r>
        <w:rPr>
          <w:rFonts w:cs="Arial"/>
          <w:lang w:val="en-IN"/>
        </w:rPr>
        <w:t>). This is particularly relevant to Costco's membership proposition. Membership terms, pricing, product claims, refunds and marketing communications would need to be transparent and compliant with local requirements. Costco could not simply transfer its US membership terms without reviewing their legal compatibility with South African consumer law.</w:t>
      </w:r>
    </w:p>
    <w:p>
      <w:pPr>
        <w:pStyle w:val="Heading3"/>
        <w:rPr>
          <w:rFonts w:cs="Arial"/>
          <w:lang w:val="en-IN"/>
        </w:rPr>
      </w:pPr>
      <w:bookmarkStart w:id="44" w:name="__RefHeading___Toc1736_621937267"/>
      <w:bookmarkStart w:id="45" w:name="_Toc237504883"/>
      <w:bookmarkEnd w:id="44"/>
      <w:r>
        <w:rPr>
          <w:rFonts w:cs="Arial"/>
          <w:lang w:val="en-IN"/>
        </w:rPr>
        <w:t>2.4.4 Employment Regulation</w:t>
      </w:r>
      <w:bookmarkEnd w:id="45"/>
    </w:p>
    <w:p>
      <w:pPr>
        <w:pStyle w:val="Normal"/>
        <w:rPr>
          <w:rFonts w:cs="Arial"/>
          <w:lang w:val="en-IN"/>
        </w:rPr>
      </w:pPr>
      <w:r>
        <w:rPr>
          <w:rFonts w:cs="Arial"/>
          <w:lang w:val="en-IN"/>
        </w:rPr>
        <w:t xml:space="preserve">Labour costs and employment compliance are also important because Costco's warehouse model requires employees across retail, logistics, security, administration and customer service. South Africa's National Minimum Wage increased to </w:t>
      </w:r>
      <w:r>
        <w:rPr>
          <w:rFonts w:cs="Arial"/>
          <w:b/>
          <w:bCs/>
          <w:lang w:val="en-IN"/>
        </w:rPr>
        <w:t xml:space="preserve">R30.23 per hour from 1 March 2026 </w:t>
      </w:r>
      <w:r>
        <w:rPr>
          <w:rFonts w:cs="Arial"/>
          <w:lang w:val="en-IN"/>
        </w:rPr>
        <w:t>(</w:t>
      </w:r>
      <w:r>
        <w:rPr>
          <w:rFonts w:cs="Arial"/>
        </w:rPr>
        <w:t>SA GOV, 2026</w:t>
      </w:r>
      <w:r>
        <w:rPr>
          <w:rFonts w:cs="Arial"/>
          <w:lang w:val="en-IN"/>
        </w:rPr>
        <w:t>). While this statutory minimum does not necessarily represent Costco's actual wage structure, it establishes a regulatory floor. Costco would need to budget for wages, benefits, training and labour compliance when assessing store economics.</w:t>
      </w:r>
    </w:p>
    <w:p>
      <w:pPr>
        <w:pStyle w:val="Heading3"/>
        <w:rPr>
          <w:rFonts w:cs="Arial"/>
          <w:lang w:val="en-IN"/>
        </w:rPr>
      </w:pPr>
      <w:bookmarkStart w:id="46" w:name="__RefHeading___Toc1738_621937267"/>
      <w:bookmarkStart w:id="47" w:name="_Toc237504884"/>
      <w:bookmarkEnd w:id="46"/>
      <w:r>
        <w:rPr>
          <w:rFonts w:cs="Arial"/>
          <w:lang w:val="en-IN"/>
        </w:rPr>
        <w:t>2.4.5 Regulatory Implications</w:t>
      </w:r>
      <w:bookmarkEnd w:id="47"/>
    </w:p>
    <w:p>
      <w:pPr>
        <w:pStyle w:val="Normal"/>
        <w:rPr>
          <w:rFonts w:cs="Arial"/>
          <w:lang w:val="en-IN"/>
        </w:rPr>
      </w:pPr>
      <w:r>
        <w:rPr>
          <w:rFonts w:cs="Arial"/>
          <w:lang w:val="en-IN"/>
        </w:rPr>
        <w:t xml:space="preserve">The legal environment is manageable but requires localisation. Costco's strongest approach would be to establish a dedicated South African compliance structure covering consumer protection, employment, competition, taxation and investment regulation. The legal environment therefore represents a </w:t>
      </w:r>
      <w:r>
        <w:rPr>
          <w:rFonts w:cs="Arial"/>
          <w:b/>
          <w:bCs/>
          <w:lang w:val="en-IN"/>
        </w:rPr>
        <w:t>manageable risk rather than a fundamental barrier</w:t>
      </w:r>
      <w:r>
        <w:rPr>
          <w:rFonts w:cs="Arial"/>
          <w:lang w:val="en-IN"/>
        </w:rPr>
        <w:t>.</w:t>
      </w:r>
    </w:p>
    <w:p>
      <w:pPr>
        <w:pStyle w:val="Heading2"/>
        <w:rPr>
          <w:rFonts w:cs="Arial"/>
          <w:lang w:val="en-IN"/>
        </w:rPr>
      </w:pPr>
      <w:bookmarkStart w:id="48" w:name="__RefHeading___Toc1740_621937267"/>
      <w:bookmarkStart w:id="49" w:name="_Toc237504885"/>
      <w:bookmarkEnd w:id="48"/>
      <w:r>
        <w:rPr>
          <w:rFonts w:cs="Arial"/>
          <w:lang w:val="en-IN"/>
        </w:rPr>
        <w:t>2.5 Cultural Environment</w:t>
      </w:r>
      <w:bookmarkEnd w:id="49"/>
    </w:p>
    <w:p>
      <w:pPr>
        <w:pStyle w:val="Heading3"/>
        <w:rPr>
          <w:rFonts w:cs="Arial"/>
          <w:lang w:val="en-IN"/>
        </w:rPr>
      </w:pPr>
      <w:bookmarkStart w:id="50" w:name="__RefHeading___Toc1742_621937267"/>
      <w:bookmarkStart w:id="51" w:name="_Toc237504886"/>
      <w:bookmarkEnd w:id="50"/>
      <w:r>
        <w:rPr>
          <w:rFonts w:cs="Arial"/>
          <w:lang w:val="en-IN"/>
        </w:rPr>
        <w:t>2.5.1 Consumer Diversity and Shopping Behaviour</w:t>
      </w:r>
      <w:bookmarkEnd w:id="51"/>
    </w:p>
    <w:p>
      <w:pPr>
        <w:pStyle w:val="Normal"/>
        <w:rPr>
          <w:rFonts w:cs="Arial"/>
          <w:lang w:val="en-IN"/>
        </w:rPr>
      </w:pPr>
      <w:r>
        <w:rPr>
          <w:rFonts w:cs="Arial"/>
          <w:lang w:val="en-IN"/>
        </w:rPr>
        <w:t xml:space="preserve">Cultural factors are particularly important because Costco's success depends on changing consumer shopping behaviour rather than simply selling products. South Africa is culturally and economically diverse, meaning that a single standardised proposition may not appeal equally across the entire population. Costco's bulk-buying model is potentially attractive where consumers perceive meaningful savings, particularly for households with sufficient storage space and predictable consumption. However, South African household expenditure patterns show strong pressure from essential costs. Stats SA reports that housing, water, electricity, gas and other fuels accounted for </w:t>
      </w:r>
      <w:r>
        <w:rPr>
          <w:rFonts w:cs="Arial"/>
          <w:b/>
          <w:bCs/>
          <w:lang w:val="en-IN"/>
        </w:rPr>
        <w:t>34.7% of household consumption expenditure</w:t>
      </w:r>
      <w:r>
        <w:rPr>
          <w:rFonts w:cs="Arial"/>
          <w:lang w:val="en-IN"/>
        </w:rPr>
        <w:t xml:space="preserve">, while food and non-alcoholic beverages represented </w:t>
      </w:r>
      <w:r>
        <w:rPr>
          <w:rFonts w:cs="Arial"/>
          <w:b/>
          <w:bCs/>
          <w:lang w:val="en-IN"/>
        </w:rPr>
        <w:t xml:space="preserve">16.3% </w:t>
      </w:r>
      <w:r>
        <w:rPr>
          <w:rFonts w:cs="Arial"/>
          <w:lang w:val="en-IN"/>
        </w:rPr>
        <w:t xml:space="preserve">(Stats SA, 2025a).  This suggests that consumers are highly sensitive to the relationship between price and household necessity. Costco's proposition should therefore focus on </w:t>
      </w:r>
      <w:r>
        <w:rPr>
          <w:rFonts w:cs="Arial"/>
          <w:b/>
          <w:bCs/>
          <w:lang w:val="en-IN"/>
        </w:rPr>
        <w:t>demonstrable savings on frequently purchased essentials</w:t>
      </w:r>
      <w:r>
        <w:rPr>
          <w:rFonts w:cs="Arial"/>
          <w:lang w:val="en-IN"/>
        </w:rPr>
        <w:t>, rather than assuming consumers will pay a membership fee for premium or discretionary products.</w:t>
      </w:r>
    </w:p>
    <w:p>
      <w:pPr>
        <w:pStyle w:val="Heading3"/>
        <w:rPr>
          <w:rFonts w:cs="Arial"/>
          <w:lang w:val="en-IN"/>
        </w:rPr>
      </w:pPr>
      <w:bookmarkStart w:id="52" w:name="__RefHeading___Toc1744_621937267"/>
      <w:bookmarkStart w:id="53" w:name="_Toc237504887"/>
      <w:bookmarkEnd w:id="52"/>
      <w:r>
        <w:rPr>
          <w:rFonts w:cs="Arial"/>
          <w:lang w:val="en-IN"/>
        </w:rPr>
        <w:t>2.5.2 Affordability and Membership Acceptance</w:t>
      </w:r>
      <w:bookmarkEnd w:id="53"/>
    </w:p>
    <w:p>
      <w:pPr>
        <w:pStyle w:val="Normal"/>
        <w:rPr>
          <w:rFonts w:cs="Arial"/>
          <w:lang w:val="en-IN"/>
        </w:rPr>
      </w:pPr>
      <w:r>
        <w:rPr>
          <w:rFonts w:cs="Arial"/>
          <w:lang w:val="en-IN"/>
        </w:rPr>
        <w:t>Membership is both Costco's competitive strength and a cultural-market challenge. A customer must first believe that the membership fee will generate sufficient savings. In a market characterised by income inequality, the same proposition may produce very different perceptions of value. Therefore, Costco could initially target higher-income urban households and small businesses that purchase groceries, household supplies and other goods in larger quantities. The company could then use market testing to determine whether membership renewal rates justify broader expansion.</w:t>
      </w:r>
    </w:p>
    <w:p>
      <w:pPr>
        <w:pStyle w:val="Heading3"/>
        <w:rPr>
          <w:rFonts w:cs="Arial"/>
          <w:lang w:val="en-IN"/>
        </w:rPr>
      </w:pPr>
      <w:bookmarkStart w:id="54" w:name="__RefHeading___Toc1746_621937267"/>
      <w:bookmarkStart w:id="55" w:name="_Toc237504888"/>
      <w:bookmarkEnd w:id="54"/>
      <w:r>
        <w:rPr>
          <w:rFonts w:cs="Arial"/>
          <w:lang w:val="en-IN"/>
        </w:rPr>
        <w:t>2.5.3 Local Product Preferences</w:t>
      </w:r>
      <w:bookmarkEnd w:id="55"/>
    </w:p>
    <w:p>
      <w:pPr>
        <w:pStyle w:val="Normal"/>
        <w:rPr>
          <w:rFonts w:cs="Arial"/>
          <w:lang w:val="en-IN"/>
        </w:rPr>
      </w:pPr>
      <w:r>
        <w:rPr>
          <w:rFonts w:cs="Arial"/>
          <w:lang w:val="en-IN"/>
        </w:rPr>
        <w:t>Costco should also avoid excessive standardisation. Although global purchasing provides economies of scale, local product preferences can influence adoption. The company would need to balance international brands and Kirkland Signature with South African products and categories that consumers already understand and trust (</w:t>
      </w:r>
      <w:r>
        <w:rPr>
          <w:rFonts w:cs="Arial"/>
        </w:rPr>
        <w:t>Vaja, 2022</w:t>
      </w:r>
      <w:r>
        <w:rPr>
          <w:rFonts w:cs="Arial"/>
          <w:lang w:val="en-IN"/>
        </w:rPr>
        <w:t xml:space="preserve">). This creates an important strategic tension like </w:t>
      </w:r>
      <w:r>
        <w:rPr>
          <w:rFonts w:cs="Arial"/>
          <w:b/>
          <w:bCs/>
          <w:lang w:val="en-IN"/>
        </w:rPr>
        <w:t>global integration lowers costs, while local adaptation improves acceptance</w:t>
      </w:r>
      <w:r>
        <w:rPr>
          <w:rFonts w:cs="Arial"/>
          <w:lang w:val="en-IN"/>
        </w:rPr>
        <w:t>. Costco's South African strategy should therefore retain its standardised warehouse and membership model but adapt its product assortment, pack sizes and promotional communication.</w:t>
      </w:r>
    </w:p>
    <w:p>
      <w:pPr>
        <w:pStyle w:val="Heading3"/>
        <w:rPr>
          <w:rFonts w:cs="Arial"/>
          <w:lang w:val="en-IN"/>
        </w:rPr>
      </w:pPr>
      <w:bookmarkStart w:id="56" w:name="__RefHeading___Toc1748_621937267"/>
      <w:bookmarkStart w:id="57" w:name="_Toc237504889"/>
      <w:bookmarkEnd w:id="56"/>
      <w:r>
        <w:rPr>
          <w:rFonts w:cs="Arial"/>
          <w:lang w:val="en-IN"/>
        </w:rPr>
        <w:t>2.5.4 Cultural Implications for Costco</w:t>
      </w:r>
      <w:bookmarkEnd w:id="57"/>
    </w:p>
    <w:p>
      <w:pPr>
        <w:pStyle w:val="Normal"/>
        <w:rPr>
          <w:rFonts w:cs="Arial"/>
          <w:lang w:val="en-IN"/>
        </w:rPr>
      </w:pPr>
      <w:r>
        <w:rPr>
          <w:rFonts w:cs="Arial"/>
          <w:lang w:val="en-IN"/>
        </w:rPr>
        <w:t>The cultural environment therefore supports entry only if Costco treats localisation as complementary to, rather than contradictory with, its global model. The objective should not be to redesign Costco for South Africa, but to identify the minimum adaptations necessary to make its existing value proposition relevant to South African consumers.</w:t>
      </w:r>
    </w:p>
    <w:p>
      <w:pPr>
        <w:pStyle w:val="Heading2"/>
        <w:rPr>
          <w:rFonts w:cs="Arial"/>
          <w:lang w:val="en-IN"/>
        </w:rPr>
      </w:pPr>
      <w:bookmarkStart w:id="58" w:name="__RefHeading___Toc1750_621937267"/>
      <w:bookmarkStart w:id="59" w:name="_Toc237504890"/>
      <w:bookmarkEnd w:id="58"/>
      <w:r>
        <w:rPr>
          <w:rFonts w:cs="Arial"/>
          <w:lang w:val="en-IN"/>
        </w:rPr>
        <w:t>2.6 Overall Market Attractiveness</w:t>
      </w:r>
      <w:bookmarkEnd w:id="59"/>
    </w:p>
    <w:tbl>
      <w:tblPr>
        <w:tblStyle w:val="GridTable5Dark-Accent4"/>
        <w:tblW w:w="9016" w:type="dxa"/>
        <w:jc w:val="start"/>
        <w:tblInd w:w="0" w:type="dxa"/>
        <w:shd w:fill="CAEDFB" w:val="clear"/>
        <w:tblLayout w:type="fixed"/>
        <w:tblCellMar>
          <w:top w:w="0" w:type="dxa"/>
          <w:start w:w="108" w:type="dxa"/>
          <w:bottom w:w="0" w:type="dxa"/>
          <w:end w:w="108" w:type="dxa"/>
        </w:tblCellMar>
        <w:tblLook w:firstRow="1" w:noVBand="1" w:lastRow="0" w:firstColumn="1" w:lastColumn="0" w:noHBand="0" w:val="04a0"/>
      </w:tblPr>
      <w:tblGrid>
        <w:gridCol w:w="1363"/>
        <w:gridCol w:w="2892"/>
        <w:gridCol w:w="2879"/>
        <w:gridCol w:w="1882"/>
      </w:tblGrid>
      <w:tr>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3" w:type="dxa"/>
            <w:tcBorders/>
            <w:shd w:color="auto" w:fill="0F9ED5" w:themeFill="accent4" w:val="clear"/>
          </w:tcPr>
          <w:p>
            <w:pPr>
              <w:pStyle w:val="NoSpacing"/>
              <w:widowControl/>
              <w:spacing w:lineRule="auto" w:line="360" w:before="0" w:after="0"/>
              <w:rPr>
                <w:rFonts w:ascii="Arial" w:hAnsi="Arial" w:cs="Arial"/>
                <w:lang w:val="en-IN"/>
              </w:rPr>
            </w:pPr>
            <w:r>
              <w:rPr>
                <w:rFonts w:eastAsia="Aptos" w:cs="Arial" w:ascii="Arial" w:hAnsi="Arial"/>
                <w:b/>
                <w:bCs/>
                <w:color w:themeColor="background1" w:val="FFFFFF"/>
                <w:kern w:val="0"/>
                <w:szCs w:val="22"/>
                <w:lang w:val="en-IN" w:eastAsia="en-US" w:bidi="ar-SA"/>
              </w:rPr>
              <w:t>Factor</w:t>
            </w:r>
          </w:p>
        </w:tc>
        <w:tc>
          <w:tcPr>
            <w:tcW w:w="2892" w:type="dxa"/>
            <w:tcBorders>
              <w:bottom w:val="nil"/>
            </w:tcBorders>
            <w:shd w:color="auto" w:fill="0F9ED5" w:themeFill="accent4" w:val="clear"/>
          </w:tcPr>
          <w:p>
            <w:pPr>
              <w:pStyle w:val="NoSpacing"/>
              <w:widowControl/>
              <w:spacing w:lineRule="auto" w:line="360"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Key Opportunity</w:t>
            </w:r>
          </w:p>
        </w:tc>
        <w:tc>
          <w:tcPr>
            <w:tcW w:w="2879" w:type="dxa"/>
            <w:tcBorders>
              <w:bottom w:val="nil"/>
            </w:tcBorders>
            <w:shd w:color="auto" w:fill="0F9ED5" w:themeFill="accent4" w:val="clear"/>
          </w:tcPr>
          <w:p>
            <w:pPr>
              <w:pStyle w:val="NoSpacing"/>
              <w:widowControl/>
              <w:spacing w:lineRule="auto" w:line="360"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Key Risk</w:t>
            </w:r>
          </w:p>
        </w:tc>
        <w:tc>
          <w:tcPr>
            <w:tcW w:w="1882" w:type="dxa"/>
            <w:tcBorders>
              <w:bottom w:val="nil"/>
            </w:tcBorders>
            <w:shd w:color="auto" w:fill="0F9ED5" w:themeFill="accent4" w:val="clear"/>
          </w:tcPr>
          <w:p>
            <w:pPr>
              <w:pStyle w:val="NoSpacing"/>
              <w:widowControl/>
              <w:spacing w:lineRule="auto" w:line="360"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Overall Assessment</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3" w:type="dxa"/>
            <w:tcBorders>
              <w:end w:val="nil"/>
            </w:tcBorders>
            <w:shd w:color="auto" w:fill="0F9ED5" w:themeFill="accent4" w:val="clear"/>
          </w:tcPr>
          <w:p>
            <w:pPr>
              <w:pStyle w:val="NoSpacing"/>
              <w:widowControl/>
              <w:spacing w:lineRule="auto" w:line="360" w:before="0" w:after="0"/>
              <w:rPr>
                <w:rFonts w:ascii="Arial" w:hAnsi="Arial" w:cs="Arial"/>
                <w:lang w:val="en-IN"/>
              </w:rPr>
            </w:pPr>
            <w:r>
              <w:rPr>
                <w:rFonts w:eastAsia="Aptos" w:cs="Arial" w:ascii="Arial" w:hAnsi="Arial"/>
                <w:b/>
                <w:bCs/>
                <w:color w:themeColor="background1" w:val="FFFFFF"/>
                <w:kern w:val="0"/>
                <w:szCs w:val="22"/>
                <w:lang w:val="en-IN" w:eastAsia="en-US" w:bidi="ar-SA"/>
              </w:rPr>
              <w:t>Political</w:t>
            </w:r>
          </w:p>
        </w:tc>
        <w:tc>
          <w:tcPr>
            <w:tcW w:w="2892" w:type="dxa"/>
            <w:tcBorders/>
            <w:shd w:color="auto" w:fill="95DCF7" w:themeFill="accent4" w:themeFillTint="66" w:val="clear"/>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GNU stability and infrastructure reforms</w:t>
            </w:r>
          </w:p>
        </w:tc>
        <w:tc>
          <w:tcPr>
            <w:tcW w:w="2879" w:type="dxa"/>
            <w:tcBorders/>
            <w:shd w:color="auto" w:fill="95DCF7" w:themeFill="accent4" w:themeFillTint="66" w:val="clear"/>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Governance and implementation risks</w:t>
            </w:r>
          </w:p>
        </w:tc>
        <w:tc>
          <w:tcPr>
            <w:tcW w:w="1882" w:type="dxa"/>
            <w:tcBorders/>
            <w:shd w:color="auto" w:fill="95DCF7" w:themeFill="accent4" w:themeFillTint="66" w:val="clear"/>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Moderately attractive</w:t>
            </w:r>
          </w:p>
        </w:tc>
      </w:tr>
      <w:tr>
        <w:trPr/>
        <w:tc>
          <w:tcPr>
            <w:cnfStyle w:val="001000000000" w:firstRow="0" w:lastRow="0" w:firstColumn="1" w:lastColumn="0" w:oddVBand="0" w:evenVBand="0" w:oddHBand="0" w:evenHBand="0" w:firstRowFirstColumn="0" w:firstRowLastColumn="0" w:lastRowFirstColumn="0" w:lastRowLastColumn="0"/>
            <w:tcW w:w="1363" w:type="dxa"/>
            <w:tcBorders>
              <w:end w:val="nil"/>
            </w:tcBorders>
            <w:shd w:color="auto" w:fill="0F9ED5" w:themeFill="accent4" w:val="clear"/>
          </w:tcPr>
          <w:p>
            <w:pPr>
              <w:pStyle w:val="NoSpacing"/>
              <w:widowControl/>
              <w:spacing w:lineRule="auto" w:line="360" w:before="0" w:after="0"/>
              <w:rPr>
                <w:rFonts w:ascii="Arial" w:hAnsi="Arial" w:cs="Arial"/>
                <w:lang w:val="en-IN"/>
              </w:rPr>
            </w:pPr>
            <w:r>
              <w:rPr>
                <w:rFonts w:eastAsia="Aptos" w:cs="Arial" w:ascii="Arial" w:hAnsi="Arial"/>
                <w:b/>
                <w:bCs/>
                <w:color w:themeColor="background1" w:val="FFFFFF"/>
                <w:kern w:val="0"/>
                <w:szCs w:val="22"/>
                <w:lang w:val="en-IN" w:eastAsia="en-US" w:bidi="ar-SA"/>
              </w:rPr>
              <w:t>Economic</w:t>
            </w:r>
          </w:p>
        </w:tc>
        <w:tc>
          <w:tcPr>
            <w:tcW w:w="2892" w:type="dxa"/>
            <w:tcBorders/>
            <w:shd w:color="auto" w:fill="CAEDFB" w:themeFill="accent4" w:themeFillTint="33" w:val="clear"/>
          </w:tcPr>
          <w:p>
            <w:pPr>
              <w:pStyle w:val="NoSpacing"/>
              <w:widowControl/>
              <w:spacing w:lineRule="auto" w:line="360"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Growing retail sales and urban consumer base</w:t>
            </w:r>
          </w:p>
        </w:tc>
        <w:tc>
          <w:tcPr>
            <w:tcW w:w="2879" w:type="dxa"/>
            <w:tcBorders/>
            <w:shd w:color="auto" w:fill="CAEDFB" w:themeFill="accent4" w:themeFillTint="33" w:val="clear"/>
          </w:tcPr>
          <w:p>
            <w:pPr>
              <w:pStyle w:val="NoSpacing"/>
              <w:widowControl/>
              <w:spacing w:lineRule="auto" w:line="360"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Low growth, inequality and unemployment</w:t>
            </w:r>
          </w:p>
        </w:tc>
        <w:tc>
          <w:tcPr>
            <w:tcW w:w="1882" w:type="dxa"/>
            <w:tcBorders/>
            <w:shd w:color="auto" w:fill="CAEDFB" w:themeFill="accent4" w:themeFillTint="33" w:val="clear"/>
          </w:tcPr>
          <w:p>
            <w:pPr>
              <w:pStyle w:val="NoSpacing"/>
              <w:widowControl/>
              <w:spacing w:lineRule="auto" w:line="360"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Selectively attractive</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3" w:type="dxa"/>
            <w:tcBorders>
              <w:end w:val="nil"/>
            </w:tcBorders>
            <w:shd w:color="auto" w:fill="0F9ED5" w:themeFill="accent4" w:val="clear"/>
          </w:tcPr>
          <w:p>
            <w:pPr>
              <w:pStyle w:val="NoSpacing"/>
              <w:widowControl/>
              <w:spacing w:lineRule="auto" w:line="360" w:before="0" w:after="0"/>
              <w:rPr>
                <w:rFonts w:ascii="Arial" w:hAnsi="Arial" w:cs="Arial"/>
                <w:lang w:val="en-IN"/>
              </w:rPr>
            </w:pPr>
            <w:r>
              <w:rPr>
                <w:rFonts w:eastAsia="Aptos" w:cs="Arial" w:ascii="Arial" w:hAnsi="Arial"/>
                <w:b/>
                <w:bCs/>
                <w:color w:themeColor="background1" w:val="FFFFFF"/>
                <w:kern w:val="0"/>
                <w:szCs w:val="22"/>
                <w:lang w:val="en-IN" w:eastAsia="en-US" w:bidi="ar-SA"/>
              </w:rPr>
              <w:t>Legal</w:t>
            </w:r>
          </w:p>
        </w:tc>
        <w:tc>
          <w:tcPr>
            <w:tcW w:w="2892" w:type="dxa"/>
            <w:tcBorders/>
            <w:shd w:color="auto" w:fill="95DCF7" w:themeFill="accent4" w:themeFillTint="66" w:val="clear"/>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Formal investment and consumer-protection framework</w:t>
            </w:r>
          </w:p>
        </w:tc>
        <w:tc>
          <w:tcPr>
            <w:tcW w:w="2879" w:type="dxa"/>
            <w:tcBorders/>
            <w:shd w:color="auto" w:fill="95DCF7" w:themeFill="accent4" w:themeFillTint="66" w:val="clear"/>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Compliance and regulatory complexity</w:t>
            </w:r>
          </w:p>
        </w:tc>
        <w:tc>
          <w:tcPr>
            <w:tcW w:w="1882" w:type="dxa"/>
            <w:tcBorders/>
            <w:shd w:color="auto" w:fill="95DCF7" w:themeFill="accent4" w:themeFillTint="66" w:val="clear"/>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Manageable</w:t>
            </w:r>
          </w:p>
        </w:tc>
      </w:tr>
      <w:tr>
        <w:trPr/>
        <w:tc>
          <w:tcPr>
            <w:cnfStyle w:val="001000000000" w:firstRow="0" w:lastRow="0" w:firstColumn="1" w:lastColumn="0" w:oddVBand="0" w:evenVBand="0" w:oddHBand="0" w:evenHBand="0" w:firstRowFirstColumn="0" w:firstRowLastColumn="0" w:lastRowFirstColumn="0" w:lastRowLastColumn="0"/>
            <w:tcW w:w="1363" w:type="dxa"/>
            <w:tcBorders>
              <w:end w:val="nil"/>
            </w:tcBorders>
            <w:shd w:color="auto" w:fill="0F9ED5" w:themeFill="accent4" w:val="clear"/>
          </w:tcPr>
          <w:p>
            <w:pPr>
              <w:pStyle w:val="NoSpacing"/>
              <w:widowControl/>
              <w:spacing w:lineRule="auto" w:line="360" w:before="0" w:after="0"/>
              <w:rPr>
                <w:rFonts w:ascii="Arial" w:hAnsi="Arial" w:cs="Arial"/>
                <w:lang w:val="en-IN"/>
              </w:rPr>
            </w:pPr>
            <w:r>
              <w:rPr>
                <w:rFonts w:eastAsia="Aptos" w:cs="Arial" w:ascii="Arial" w:hAnsi="Arial"/>
                <w:b/>
                <w:bCs/>
                <w:color w:themeColor="background1" w:val="FFFFFF"/>
                <w:kern w:val="0"/>
                <w:szCs w:val="22"/>
                <w:lang w:val="en-IN" w:eastAsia="en-US" w:bidi="ar-SA"/>
              </w:rPr>
              <w:t>Cultural</w:t>
            </w:r>
          </w:p>
        </w:tc>
        <w:tc>
          <w:tcPr>
            <w:tcW w:w="2892" w:type="dxa"/>
            <w:tcBorders/>
            <w:shd w:color="auto" w:fill="CAEDFB" w:themeFill="accent4" w:themeFillTint="33" w:val="clear"/>
          </w:tcPr>
          <w:p>
            <w:pPr>
              <w:pStyle w:val="NoSpacing"/>
              <w:widowControl/>
              <w:spacing w:lineRule="auto" w:line="360"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Potential demand for value and bulk purchasing</w:t>
            </w:r>
          </w:p>
        </w:tc>
        <w:tc>
          <w:tcPr>
            <w:tcW w:w="2879" w:type="dxa"/>
            <w:tcBorders/>
            <w:shd w:color="auto" w:fill="CAEDFB" w:themeFill="accent4" w:themeFillTint="33" w:val="clear"/>
          </w:tcPr>
          <w:p>
            <w:pPr>
              <w:pStyle w:val="NoSpacing"/>
              <w:widowControl/>
              <w:spacing w:lineRule="auto" w:line="360"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Membership affordability and diverse preferences</w:t>
            </w:r>
          </w:p>
        </w:tc>
        <w:tc>
          <w:tcPr>
            <w:tcW w:w="1882" w:type="dxa"/>
            <w:tcBorders/>
            <w:shd w:color="auto" w:fill="CAEDFB" w:themeFill="accent4" w:themeFillTint="33" w:val="clear"/>
          </w:tcPr>
          <w:p>
            <w:pPr>
              <w:pStyle w:val="NoSpacing"/>
              <w:widowControl/>
              <w:spacing w:lineRule="auto" w:line="360"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Selectively attractive</w:t>
            </w:r>
          </w:p>
        </w:tc>
      </w:tr>
    </w:tbl>
    <w:p>
      <w:pPr>
        <w:pStyle w:val="Normal"/>
        <w:rPr>
          <w:rFonts w:cs="Arial"/>
          <w:lang w:val="en-IN"/>
        </w:rPr>
      </w:pPr>
      <w:r>
        <w:rPr>
          <w:rFonts w:cs="Arial"/>
          <w:lang w:val="en-IN"/>
        </w:rPr>
        <w:t xml:space="preserve">South Africa should be considered a </w:t>
      </w:r>
      <w:r>
        <w:rPr>
          <w:rFonts w:cs="Arial"/>
          <w:b/>
          <w:bCs/>
          <w:lang w:val="en-IN"/>
        </w:rPr>
        <w:t>moderately attractive but highly selective market</w:t>
      </w:r>
      <w:r>
        <w:rPr>
          <w:rFonts w:cs="Arial"/>
          <w:lang w:val="en-IN"/>
        </w:rPr>
        <w:t xml:space="preserve"> for Costco. The strongest case for entry is not based on rapid GDP growth but on the combination of urbanisation, established retail infrastructure, consumer demand for value and the possibility of positioning Costco towards higher-income households and small businesses. Conversely, income inequality, cautious consumer confidence and strong incumbents mean that a mass-market strategy would be inappropriate. The evidence therefore supports </w:t>
      </w:r>
      <w:r>
        <w:rPr>
          <w:rFonts w:cs="Arial"/>
          <w:b/>
          <w:bCs/>
          <w:lang w:val="en-IN"/>
        </w:rPr>
        <w:t>controlled market entry rather than immediate nationwide expansion</w:t>
      </w:r>
      <w:r>
        <w:rPr>
          <w:rFonts w:cs="Arial"/>
          <w:lang w:val="en-IN"/>
        </w:rPr>
        <w:t>.</w:t>
      </w:r>
    </w:p>
    <w:p>
      <w:pPr>
        <w:pStyle w:val="Heading2"/>
        <w:rPr>
          <w:rFonts w:cs="Arial"/>
          <w:lang w:val="en-IN"/>
        </w:rPr>
      </w:pPr>
      <w:bookmarkStart w:id="60" w:name="__RefHeading___Toc1752_621937267"/>
      <w:bookmarkStart w:id="61" w:name="_Toc237504891"/>
      <w:bookmarkEnd w:id="60"/>
      <w:r>
        <w:rPr>
          <w:rFonts w:cs="Arial"/>
          <w:lang w:val="en-IN"/>
        </w:rPr>
        <w:t>2.7 Dunning's Eclectic Paradigm (OLI)</w:t>
      </w:r>
      <w:bookmarkEnd w:id="61"/>
    </w:p>
    <w:p>
      <w:pPr>
        <w:pStyle w:val="Heading3"/>
        <w:rPr>
          <w:rFonts w:cs="Arial"/>
          <w:lang w:val="en-IN"/>
        </w:rPr>
      </w:pPr>
      <w:bookmarkStart w:id="62" w:name="__RefHeading___Toc1754_621937267"/>
      <w:bookmarkStart w:id="63" w:name="_Toc237504892"/>
      <w:bookmarkEnd w:id="62"/>
      <w:r>
        <w:rPr>
          <w:rFonts w:cs="Arial"/>
          <w:lang w:val="en-IN"/>
        </w:rPr>
        <w:t>2.7.1 Ownership Advantages (O)</w:t>
      </w:r>
      <w:bookmarkEnd w:id="63"/>
    </w:p>
    <w:p>
      <w:pPr>
        <w:pStyle w:val="Normal"/>
        <w:rPr>
          <w:rFonts w:cs="Arial"/>
          <w:lang w:val="en-IN"/>
        </w:rPr>
      </w:pPr>
      <w:r>
        <w:rPr>
          <w:rFonts w:cs="Arial"/>
          <w:lang w:val="en-IN"/>
        </w:rPr>
        <w:t>Costco possesses substantial ownership advantages that can be transferred to South Africa. These include its internationally recognised brand, membership-based business model, purchasing scale, supplier relationships, operational expertise and Kirkland Signature private-label proposition. Its large international network also provides accumulated knowledge of managing warehouses across different regulatory and consumer environments (</w:t>
      </w:r>
      <w:r>
        <w:rPr>
          <w:rFonts w:cs="Arial"/>
        </w:rPr>
        <w:t xml:space="preserve">Abyaneh </w:t>
      </w:r>
      <w:r>
        <w:rPr>
          <w:rFonts w:cs="Arial"/>
          <w:i/>
          <w:iCs/>
        </w:rPr>
        <w:t>et al.,</w:t>
      </w:r>
      <w:r>
        <w:rPr>
          <w:rFonts w:cs="Arial"/>
        </w:rPr>
        <w:t xml:space="preserve"> 2025</w:t>
      </w:r>
      <w:r>
        <w:rPr>
          <w:rFonts w:cs="Arial"/>
          <w:lang w:val="en-IN"/>
        </w:rPr>
        <w:t>). These intangible and organisational assets can differentiate Costco from established South African retailers.</w:t>
      </w:r>
    </w:p>
    <w:p>
      <w:pPr>
        <w:pStyle w:val="Heading3"/>
        <w:rPr>
          <w:rFonts w:cs="Arial"/>
          <w:lang w:val="en-IN"/>
        </w:rPr>
      </w:pPr>
      <w:bookmarkStart w:id="64" w:name="__RefHeading___Toc1756_621937267"/>
      <w:bookmarkStart w:id="65" w:name="_Toc237504893"/>
      <w:bookmarkEnd w:id="64"/>
      <w:r>
        <w:rPr>
          <w:rFonts w:cs="Arial"/>
          <w:lang w:val="en-IN"/>
        </w:rPr>
        <w:t>2.7.2 Location Advantages (L)</w:t>
      </w:r>
      <w:bookmarkEnd w:id="65"/>
    </w:p>
    <w:p>
      <w:pPr>
        <w:pStyle w:val="Normal"/>
        <w:rPr>
          <w:rFonts w:cs="Arial"/>
          <w:lang w:val="en-IN"/>
        </w:rPr>
      </w:pPr>
      <w:r>
        <w:rPr>
          <w:rFonts w:cs="Arial"/>
          <w:lang w:val="en-IN"/>
        </w:rPr>
        <w:t>South Africa offers location advantages through its sizeable population, high urbanisation and established modern retail infrastructure. The IMF reports that approximately 68% of the population is urban, while retail sales increased in real terms during 2025 (IMF, 2026). The country can also provide a potential regional platform because of its relatively developed logistics, financial and commercial infrastructure. However, location advantages are weakened by slow GDP growth, inequality and infrastructure constraints.</w:t>
      </w:r>
    </w:p>
    <w:p>
      <w:pPr>
        <w:pStyle w:val="Heading3"/>
        <w:rPr>
          <w:rFonts w:cs="Arial"/>
          <w:lang w:val="en-IN"/>
        </w:rPr>
      </w:pPr>
      <w:bookmarkStart w:id="66" w:name="__RefHeading___Toc1758_621937267"/>
      <w:bookmarkStart w:id="67" w:name="_Toc237504894"/>
      <w:bookmarkEnd w:id="66"/>
      <w:r>
        <w:rPr>
          <w:rFonts w:cs="Arial"/>
          <w:lang w:val="en-IN"/>
        </w:rPr>
        <w:t>2.7.3 Internalisation Advantages (I)</w:t>
      </w:r>
      <w:bookmarkEnd w:id="67"/>
    </w:p>
    <w:p>
      <w:pPr>
        <w:pStyle w:val="Normal"/>
        <w:rPr>
          <w:rFonts w:cs="Arial"/>
          <w:lang w:val="en-IN"/>
        </w:rPr>
      </w:pPr>
      <w:r>
        <w:rPr>
          <w:rFonts w:cs="Arial"/>
          <w:lang w:val="en-IN"/>
        </w:rPr>
        <w:t>Internalisation is particularly relevant because Costco's competitive advantage depends on maintaining control over its membership system, pricing, product quality, customer experience and supply chain (</w:t>
      </w:r>
      <w:r>
        <w:rPr>
          <w:rFonts w:cs="Arial"/>
        </w:rPr>
        <w:t>Pokharna, 2025</w:t>
      </w:r>
      <w:r>
        <w:rPr>
          <w:rFonts w:cs="Arial"/>
          <w:lang w:val="en-IN"/>
        </w:rPr>
        <w:t>). Licensing the Costco brand to an independent operator could reduce Costco's ability to protect these capabilities. Direct control would also allow Costco to integrate its global procurement systems with local operations and protect the consistency of the membership proposition.</w:t>
      </w:r>
    </w:p>
    <w:p>
      <w:pPr>
        <w:pStyle w:val="Normal"/>
        <w:rPr>
          <w:rFonts w:cs="Arial"/>
          <w:lang w:val="en-IN"/>
        </w:rPr>
      </w:pPr>
      <w:r>
        <w:rPr>
          <w:rFonts w:cs="Arial"/>
          <w:lang w:val="en-IN"/>
        </w:rPr>
        <w:t>It has been critically analysed that South Africa is attractive enough for Costco to investigate and enter, but not attractive enough to justify an aggressive nationwide rollout. The central strategic issue is therefore not whether South Africa has a market, but whether Costco can convert its global low-cost membership model into a locally relevant value proposition while protecting its margins and operational control.</w:t>
      </w:r>
    </w:p>
    <w:p>
      <w:pPr>
        <w:pStyle w:val="Heading1"/>
        <w:rPr>
          <w:rFonts w:cs="Arial"/>
          <w:lang w:val="en-IN"/>
        </w:rPr>
      </w:pPr>
      <w:bookmarkStart w:id="68" w:name="__RefHeading___Toc1760_621937267"/>
      <w:bookmarkStart w:id="69" w:name="_Toc237504895"/>
      <w:bookmarkEnd w:id="68"/>
      <w:r>
        <w:rPr>
          <w:rFonts w:cs="Arial"/>
          <w:lang w:val="en-IN"/>
        </w:rPr>
        <w:t>3. Entry Mode Strategy and Strategic Synthesis</w:t>
      </w:r>
      <w:bookmarkEnd w:id="69"/>
    </w:p>
    <w:p>
      <w:pPr>
        <w:pStyle w:val="Heading2"/>
        <w:rPr>
          <w:rFonts w:cs="Arial"/>
          <w:lang w:val="en-IN"/>
        </w:rPr>
      </w:pPr>
      <w:bookmarkStart w:id="70" w:name="__RefHeading___Toc1762_621937267"/>
      <w:bookmarkStart w:id="71" w:name="_Toc237504896"/>
      <w:bookmarkEnd w:id="70"/>
      <w:r>
        <w:rPr>
          <w:rFonts w:cs="Arial"/>
          <w:lang w:val="en-IN"/>
        </w:rPr>
        <w:t>3.1 Costco’s Historical International Entry Modes</w:t>
      </w:r>
      <w:bookmarkEnd w:id="71"/>
    </w:p>
    <w:p>
      <w:pPr>
        <w:pStyle w:val="Normal"/>
        <w:rPr>
          <w:rFonts w:cs="Arial"/>
          <w:lang w:val="en-IN"/>
        </w:rPr>
      </w:pPr>
      <w:r>
        <w:rPr>
          <w:rFonts w:cs="Arial"/>
          <w:lang w:val="en-IN"/>
        </w:rPr>
        <w:t xml:space="preserve">Costco’s international expansion demonstrates a preference for </w:t>
      </w:r>
      <w:r>
        <w:rPr>
          <w:rFonts w:cs="Arial"/>
          <w:b/>
          <w:bCs/>
          <w:lang w:val="en-IN"/>
        </w:rPr>
        <w:t>high-control ownership structures</w:t>
      </w:r>
      <w:r>
        <w:rPr>
          <w:rFonts w:cs="Arial"/>
          <w:lang w:val="en-IN"/>
        </w:rPr>
        <w:t xml:space="preserve">, although the company has also used joint ventures where local partnerships could facilitate market entry. This pattern is important because the assessment requires historical entry modes to be identified before determining their suitability for South Africa. </w:t>
      </w:r>
    </w:p>
    <w:p>
      <w:pPr>
        <w:pStyle w:val="Normal"/>
        <w:rPr>
          <w:rFonts w:cs="Arial"/>
          <w:lang w:val="en-IN"/>
        </w:rPr>
      </w:pPr>
      <w:r>
        <w:rPr>
          <w:rFonts w:cs="Arial"/>
          <w:lang w:val="en-IN"/>
        </w:rPr>
        <w:t xml:space="preserve">Costco’s historical experience in Mexico provides the clearest example of this evolution. Costco Mexico was originally established as a </w:t>
      </w:r>
      <w:r>
        <w:rPr>
          <w:rFonts w:cs="Arial"/>
          <w:b/>
          <w:bCs/>
          <w:lang w:val="en-IN"/>
        </w:rPr>
        <w:t>50:50 joint venture</w:t>
      </w:r>
      <w:r>
        <w:rPr>
          <w:rFonts w:cs="Arial"/>
          <w:lang w:val="en-IN"/>
        </w:rPr>
        <w:t xml:space="preserve"> with Controladora Comercial Mexicana (</w:t>
      </w:r>
      <w:r>
        <w:rPr>
          <w:rFonts w:cs="Arial"/>
        </w:rPr>
        <w:t>SEC Gov, 2012</w:t>
      </w:r>
      <w:r>
        <w:rPr>
          <w:rFonts w:cs="Arial"/>
          <w:lang w:val="en-IN"/>
        </w:rPr>
        <w:t>). The arrangement enabled Costco to operate the business while sharing ownership and market exposure with a local partner. However, in 2012 Costco purchased the partner’s remaining 50% interest for approximately MXN10.65 billion, converting the operation into a wholly controlled business. This transition is strategically significant because it suggests that Costco may initially accept shared ownership to facilitate market entry but can subsequently increase ownership when the market becomes sufficiently attractive and the benefits of greater control outweigh the cost of acquisition.</w:t>
      </w:r>
    </w:p>
    <w:p>
      <w:pPr>
        <w:pStyle w:val="Normal"/>
        <w:rPr>
          <w:rFonts w:cs="Arial"/>
          <w:lang w:val="en-IN"/>
        </w:rPr>
      </w:pPr>
      <w:r>
        <w:rPr>
          <w:rFonts w:cs="Arial"/>
          <w:lang w:val="en-IN"/>
        </w:rPr>
        <w:t>A similar evolution occurred in Taiwan. Costco acquired the remaining 45% minority interest in Costco-Taiwan in 2022 for approximately $1.05 billion, making the company the indirect sole owner of the operation (</w:t>
      </w:r>
      <w:r>
        <w:rPr>
          <w:rFonts w:cs="Arial"/>
        </w:rPr>
        <w:t>Reuters, 2022</w:t>
      </w:r>
      <w:r>
        <w:rPr>
          <w:rFonts w:cs="Arial"/>
          <w:lang w:val="en-IN"/>
        </w:rPr>
        <w:t xml:space="preserve">). Historically, Costco therefore used joint-venture and majority-owned structures in selected markets, but its current international portfolio is dominated by controlled operations. Costco’s May 2026 filing states that its consolidated financial statements include Costco and its wholly owned subsidiaries, while its international warehouse network covered 14 countries outside the US and Puerto Rico.  The historical pattern therefore indicates a </w:t>
      </w:r>
      <w:r>
        <w:rPr>
          <w:rFonts w:cs="Arial"/>
          <w:b/>
          <w:bCs/>
          <w:lang w:val="en-IN"/>
        </w:rPr>
        <w:t>progressive-control strategy</w:t>
      </w:r>
      <w:r>
        <w:rPr>
          <w:rFonts w:cs="Arial"/>
          <w:lang w:val="en-IN"/>
        </w:rPr>
        <w:t>: Costco can use local ownership arrangements where they provide market knowledge or reduce initial exposure, but successful markets may eventually move towards greater ownership and control.</w:t>
      </w:r>
    </w:p>
    <w:p>
      <w:pPr>
        <w:pStyle w:val="Heading2"/>
        <w:rPr>
          <w:rFonts w:cs="Arial"/>
          <w:lang w:val="en-IN"/>
        </w:rPr>
      </w:pPr>
      <w:bookmarkStart w:id="72" w:name="__RefHeading___Toc1764_621937267"/>
      <w:bookmarkStart w:id="73" w:name="_Toc237504897"/>
      <w:bookmarkEnd w:id="72"/>
      <w:r>
        <w:rPr>
          <w:rFonts w:cs="Arial"/>
          <w:lang w:val="en-IN"/>
        </w:rPr>
        <w:t>3.2 Suitability of Costco’s Historical Approach for South Africa</w:t>
      </w:r>
      <w:bookmarkEnd w:id="73"/>
    </w:p>
    <w:p>
      <w:pPr>
        <w:pStyle w:val="Normal"/>
        <w:rPr>
          <w:rFonts w:cs="Arial"/>
          <w:lang w:val="en-IN"/>
        </w:rPr>
      </w:pPr>
      <w:r>
        <w:rPr>
          <w:rFonts w:cs="Arial"/>
          <w:lang w:val="en-IN"/>
        </w:rPr>
        <w:t>Applying this historical pattern to South Africa suggests that Costco should avoid a purely low-commitment entry such as licensing. Costco’s competitive advantage is strongly connected to its membership model, purchasing scale, product selection, pricing discipline and customer experience (Pokharma, 2025). Excessive reliance on an independent operator could therefore weaken the company's ability to maintain these capabilities.</w:t>
      </w:r>
    </w:p>
    <w:p>
      <w:pPr>
        <w:pStyle w:val="Normal"/>
        <w:rPr>
          <w:rFonts w:cs="Arial"/>
          <w:lang w:val="en-IN"/>
        </w:rPr>
      </w:pPr>
      <w:r>
        <w:rPr>
          <w:rFonts w:cs="Arial"/>
          <w:lang w:val="en-IN"/>
        </w:rPr>
        <w:t>A wholly owned operation would provide Costco with maximum control over membership pricing, product assortment, supplier relationships, warehouse standards, employee practices and customer experience (</w:t>
      </w:r>
      <w:r>
        <w:rPr>
          <w:rFonts w:cs="Arial"/>
        </w:rPr>
        <w:t>Sarisa, 2021</w:t>
      </w:r>
      <w:r>
        <w:rPr>
          <w:rFonts w:cs="Arial"/>
          <w:lang w:val="en-IN"/>
        </w:rPr>
        <w:t xml:space="preserve">). This is particularly valuable because the South African market already contains strong established retailers, meaning Costco would need to differentiate itself rather than simply reproduce an existing warehouse format. South Africa’s Competition Act provides for the investigation and control of restrictive practices, abuse of dominance and mergers, making regulatory compliance an important consideration for any substantial investment. </w:t>
      </w:r>
    </w:p>
    <w:p>
      <w:pPr>
        <w:pStyle w:val="Normal"/>
        <w:rPr>
          <w:rFonts w:cs="Arial"/>
          <w:lang w:val="en-IN"/>
        </w:rPr>
      </w:pPr>
      <w:r>
        <w:rPr>
          <w:rFonts w:cs="Arial"/>
          <w:lang w:val="en-IN"/>
        </w:rPr>
        <w:t>However, direct ownership also creates substantial exposure. Costco would bear the full financial cost of property, warehouse construction, inventory, staffing, logistics and market development (Johnson, 2025). This matters because Costco itself identifies land, building, equipment, initial warehouse operations and working capital as major capital requirements for new warehouses. Entering an unfamiliar market through a large initial investment could therefore increase financial and operational risk before Costco has established whether South African consumers will accept its membership proposition.</w:t>
      </w:r>
    </w:p>
    <w:p>
      <w:pPr>
        <w:pStyle w:val="Normal"/>
        <w:rPr>
          <w:rFonts w:cs="Arial"/>
          <w:lang w:val="en-IN"/>
        </w:rPr>
      </w:pPr>
      <w:r>
        <w:rPr>
          <w:rFonts w:cs="Arial"/>
          <w:lang w:val="en-IN"/>
        </w:rPr>
        <w:t xml:space="preserve">The historical Mexican experience provides a useful lesson. Costco did not simply choose permanent shared ownership; it ultimately acquired full control after gaining experience in the market. Therefore, South Africa may justify a </w:t>
      </w:r>
      <w:r>
        <w:rPr>
          <w:rFonts w:cs="Arial"/>
          <w:b/>
          <w:bCs/>
          <w:lang w:val="en-IN"/>
        </w:rPr>
        <w:t>phased approach</w:t>
      </w:r>
      <w:r>
        <w:rPr>
          <w:rFonts w:cs="Arial"/>
          <w:lang w:val="en-IN"/>
        </w:rPr>
        <w:t>, rather than immediately replicating the highest-commitment structure.</w:t>
      </w:r>
    </w:p>
    <w:p>
      <w:pPr>
        <w:pStyle w:val="Heading2"/>
        <w:rPr>
          <w:rFonts w:cs="Arial"/>
          <w:lang w:val="en-IN"/>
        </w:rPr>
      </w:pPr>
      <w:bookmarkStart w:id="74" w:name="__RefHeading___Toc1766_621937267"/>
      <w:bookmarkStart w:id="75" w:name="_Toc237504898"/>
      <w:bookmarkEnd w:id="74"/>
      <w:r>
        <w:rPr>
          <w:rFonts w:cs="Arial"/>
          <w:lang w:val="en-IN"/>
        </w:rPr>
        <w:t>3.3 Alternative Entry Modes</w:t>
      </w:r>
      <w:bookmarkEnd w:id="75"/>
    </w:p>
    <w:tbl>
      <w:tblPr>
        <w:tblStyle w:val="ListTable3-Accent4"/>
        <w:tblW w:w="9016" w:type="dxa"/>
        <w:jc w:val="start"/>
        <w:tblInd w:w="0" w:type="dxa"/>
        <w:tblLayout w:type="fixed"/>
        <w:tblCellMar>
          <w:top w:w="0" w:type="dxa"/>
          <w:start w:w="108" w:type="dxa"/>
          <w:bottom w:w="0" w:type="dxa"/>
          <w:end w:w="108" w:type="dxa"/>
        </w:tblCellMar>
        <w:tblLook w:firstRow="1" w:noVBand="1" w:lastRow="0" w:firstColumn="1" w:lastColumn="0" w:noHBand="0" w:val="04a0"/>
      </w:tblPr>
      <w:tblGrid>
        <w:gridCol w:w="2525"/>
        <w:gridCol w:w="1086"/>
        <w:gridCol w:w="1503"/>
        <w:gridCol w:w="990"/>
        <w:gridCol w:w="1531"/>
        <w:gridCol w:w="1381"/>
      </w:tblGrid>
      <w:tr>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525" w:type="dxa"/>
            <w:tcBorders>
              <w:bottom w:val="nil"/>
              <w:end w:val="nil"/>
            </w:tcBorders>
            <w:shd w:color="auto" w:fill="0F9ED5" w:themeFill="accent4" w:val="clear"/>
          </w:tcPr>
          <w:p>
            <w:pPr>
              <w:pStyle w:val="NoSpacing"/>
              <w:widowControl/>
              <w:spacing w:lineRule="auto" w:line="360" w:before="0" w:after="0"/>
              <w:rPr>
                <w:rFonts w:ascii="Arial" w:hAnsi="Arial" w:cs="Arial"/>
                <w:lang w:val="en-IN"/>
              </w:rPr>
            </w:pPr>
            <w:r>
              <w:rPr>
                <w:rFonts w:eastAsia="Aptos" w:cs="Arial" w:ascii="Arial" w:hAnsi="Arial"/>
                <w:b/>
                <w:bCs/>
                <w:color w:themeColor="background1" w:val="FFFFFF"/>
                <w:kern w:val="0"/>
                <w:szCs w:val="22"/>
                <w:lang w:val="en-IN" w:eastAsia="en-US" w:bidi="ar-SA"/>
              </w:rPr>
              <w:t>Entry mode</w:t>
            </w:r>
          </w:p>
        </w:tc>
        <w:tc>
          <w:tcPr>
            <w:tcW w:w="1086" w:type="dxa"/>
            <w:tcBorders>
              <w:start w:val="nil"/>
              <w:bottom w:val="nil"/>
              <w:end w:val="nil"/>
            </w:tcBorders>
            <w:shd w:color="auto" w:fill="0F9ED5" w:themeFill="accent4" w:val="clear"/>
          </w:tcPr>
          <w:p>
            <w:pPr>
              <w:pStyle w:val="NoSpacing"/>
              <w:widowControl/>
              <w:spacing w:lineRule="auto" w:line="360"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Control</w:t>
            </w:r>
          </w:p>
        </w:tc>
        <w:tc>
          <w:tcPr>
            <w:tcW w:w="1503" w:type="dxa"/>
            <w:tcBorders>
              <w:start w:val="nil"/>
              <w:bottom w:val="nil"/>
              <w:end w:val="nil"/>
            </w:tcBorders>
            <w:shd w:color="auto" w:fill="0F9ED5" w:themeFill="accent4" w:val="clear"/>
          </w:tcPr>
          <w:p>
            <w:pPr>
              <w:pStyle w:val="NoSpacing"/>
              <w:widowControl/>
              <w:spacing w:lineRule="auto" w:line="360"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Investment</w:t>
            </w:r>
          </w:p>
        </w:tc>
        <w:tc>
          <w:tcPr>
            <w:tcW w:w="990" w:type="dxa"/>
            <w:tcBorders>
              <w:start w:val="nil"/>
              <w:bottom w:val="nil"/>
              <w:end w:val="nil"/>
            </w:tcBorders>
            <w:shd w:color="auto" w:fill="0F9ED5" w:themeFill="accent4" w:val="clear"/>
          </w:tcPr>
          <w:p>
            <w:pPr>
              <w:pStyle w:val="NoSpacing"/>
              <w:widowControl/>
              <w:spacing w:lineRule="auto" w:line="360"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Risk</w:t>
            </w:r>
          </w:p>
        </w:tc>
        <w:tc>
          <w:tcPr>
            <w:tcW w:w="1531" w:type="dxa"/>
            <w:tcBorders>
              <w:start w:val="nil"/>
              <w:bottom w:val="nil"/>
              <w:end w:val="nil"/>
            </w:tcBorders>
            <w:shd w:color="auto" w:fill="0F9ED5" w:themeFill="accent4" w:val="clear"/>
          </w:tcPr>
          <w:p>
            <w:pPr>
              <w:pStyle w:val="NoSpacing"/>
              <w:widowControl/>
              <w:spacing w:lineRule="auto" w:line="360"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Local knowledge</w:t>
            </w:r>
          </w:p>
        </w:tc>
        <w:tc>
          <w:tcPr>
            <w:tcW w:w="1381" w:type="dxa"/>
            <w:tcBorders>
              <w:start w:val="nil"/>
              <w:bottom w:val="nil"/>
            </w:tcBorders>
            <w:shd w:color="auto" w:fill="0F9ED5" w:themeFill="accent4" w:val="clear"/>
          </w:tcPr>
          <w:p>
            <w:pPr>
              <w:pStyle w:val="NoSpacing"/>
              <w:widowControl/>
              <w:spacing w:lineRule="auto" w:line="360"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Strategic fit</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5" w:type="dxa"/>
            <w:tcBorders>
              <w:end w:val="nil"/>
            </w:tcBorders>
            <w:shd w:color="auto" w:fill="FFFFFF" w:themeFill="background1" w:val="clear"/>
          </w:tcPr>
          <w:p>
            <w:pPr>
              <w:pStyle w:val="NoSpacing"/>
              <w:widowControl/>
              <w:spacing w:lineRule="auto" w:line="360" w:before="0" w:after="0"/>
              <w:rPr>
                <w:rFonts w:ascii="Arial" w:hAnsi="Arial" w:cs="Arial"/>
                <w:lang w:val="en-IN"/>
              </w:rPr>
            </w:pPr>
            <w:r>
              <w:rPr>
                <w:rFonts w:eastAsia="Aptos" w:cs="Arial" w:ascii="Arial" w:hAnsi="Arial"/>
                <w:b/>
                <w:bCs/>
                <w:kern w:val="0"/>
                <w:szCs w:val="22"/>
                <w:lang w:val="en-IN" w:eastAsia="en-US" w:bidi="ar-SA"/>
              </w:rPr>
              <w:t>Wholly owned subsidiary</w:t>
            </w:r>
          </w:p>
        </w:tc>
        <w:tc>
          <w:tcPr>
            <w:tcW w:w="1086" w:type="dxa"/>
            <w:tcBorders>
              <w:start w:val="nil"/>
              <w:end w:val="nil"/>
            </w:tcBorders>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Very high</w:t>
            </w:r>
          </w:p>
        </w:tc>
        <w:tc>
          <w:tcPr>
            <w:tcW w:w="1503" w:type="dxa"/>
            <w:tcBorders>
              <w:start w:val="nil"/>
              <w:end w:val="nil"/>
            </w:tcBorders>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Very high</w:t>
            </w:r>
          </w:p>
        </w:tc>
        <w:tc>
          <w:tcPr>
            <w:tcW w:w="990" w:type="dxa"/>
            <w:tcBorders>
              <w:start w:val="nil"/>
              <w:end w:val="nil"/>
            </w:tcBorders>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High</w:t>
            </w:r>
          </w:p>
        </w:tc>
        <w:tc>
          <w:tcPr>
            <w:tcW w:w="1531" w:type="dxa"/>
            <w:tcBorders>
              <w:start w:val="nil"/>
              <w:end w:val="nil"/>
            </w:tcBorders>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Low initially</w:t>
            </w:r>
          </w:p>
        </w:tc>
        <w:tc>
          <w:tcPr>
            <w:tcW w:w="1381" w:type="dxa"/>
            <w:tcBorders>
              <w:start w:val="nil"/>
            </w:tcBorders>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Very strong long term</w:t>
            </w:r>
          </w:p>
        </w:tc>
      </w:tr>
      <w:tr>
        <w:trPr/>
        <w:tc>
          <w:tcPr>
            <w:cnfStyle w:val="001000000000" w:firstRow="0" w:lastRow="0" w:firstColumn="1" w:lastColumn="0" w:oddVBand="0" w:evenVBand="0" w:oddHBand="0" w:evenHBand="0" w:firstRowFirstColumn="0" w:firstRowLastColumn="0" w:lastRowFirstColumn="0" w:lastRowLastColumn="0"/>
            <w:tcW w:w="2525" w:type="dxa"/>
            <w:tcBorders>
              <w:top w:val="nil"/>
              <w:bottom w:val="nil"/>
              <w:end w:val="nil"/>
            </w:tcBorders>
            <w:shd w:color="auto" w:fill="FFFFFF" w:themeFill="background1" w:val="clear"/>
          </w:tcPr>
          <w:p>
            <w:pPr>
              <w:pStyle w:val="NoSpacing"/>
              <w:widowControl/>
              <w:spacing w:lineRule="auto" w:line="360" w:before="0" w:after="0"/>
              <w:rPr>
                <w:rFonts w:ascii="Arial" w:hAnsi="Arial" w:cs="Arial"/>
                <w:lang w:val="en-IN"/>
              </w:rPr>
            </w:pPr>
            <w:r>
              <w:rPr>
                <w:rFonts w:eastAsia="Aptos" w:cs="Arial" w:ascii="Arial" w:hAnsi="Arial"/>
                <w:b/>
                <w:bCs/>
                <w:kern w:val="0"/>
                <w:szCs w:val="22"/>
                <w:lang w:val="en-IN" w:eastAsia="en-US" w:bidi="ar-SA"/>
              </w:rPr>
              <w:t>Joint venture</w:t>
            </w:r>
          </w:p>
        </w:tc>
        <w:tc>
          <w:tcPr>
            <w:tcW w:w="1086" w:type="dxa"/>
            <w:tcBorders>
              <w:top w:val="nil"/>
              <w:start w:val="nil"/>
              <w:bottom w:val="nil"/>
              <w:end w:val="nil"/>
            </w:tcBorders>
          </w:tcPr>
          <w:p>
            <w:pPr>
              <w:pStyle w:val="NoSpacing"/>
              <w:widowControl/>
              <w:spacing w:lineRule="auto" w:line="360"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Shared</w:t>
            </w:r>
          </w:p>
        </w:tc>
        <w:tc>
          <w:tcPr>
            <w:tcW w:w="1503" w:type="dxa"/>
            <w:tcBorders>
              <w:top w:val="nil"/>
              <w:start w:val="nil"/>
              <w:bottom w:val="nil"/>
              <w:end w:val="nil"/>
            </w:tcBorders>
          </w:tcPr>
          <w:p>
            <w:pPr>
              <w:pStyle w:val="NoSpacing"/>
              <w:widowControl/>
              <w:spacing w:lineRule="auto" w:line="360"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Medium–high</w:t>
            </w:r>
          </w:p>
        </w:tc>
        <w:tc>
          <w:tcPr>
            <w:tcW w:w="990" w:type="dxa"/>
            <w:tcBorders>
              <w:top w:val="nil"/>
              <w:start w:val="nil"/>
              <w:bottom w:val="nil"/>
              <w:end w:val="nil"/>
            </w:tcBorders>
          </w:tcPr>
          <w:p>
            <w:pPr>
              <w:pStyle w:val="NoSpacing"/>
              <w:widowControl/>
              <w:spacing w:lineRule="auto" w:line="360"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Shared</w:t>
            </w:r>
          </w:p>
        </w:tc>
        <w:tc>
          <w:tcPr>
            <w:tcW w:w="1531" w:type="dxa"/>
            <w:tcBorders>
              <w:top w:val="nil"/>
              <w:start w:val="nil"/>
              <w:bottom w:val="nil"/>
              <w:end w:val="nil"/>
            </w:tcBorders>
          </w:tcPr>
          <w:p>
            <w:pPr>
              <w:pStyle w:val="NoSpacing"/>
              <w:widowControl/>
              <w:spacing w:lineRule="auto" w:line="360"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High</w:t>
            </w:r>
          </w:p>
        </w:tc>
        <w:tc>
          <w:tcPr>
            <w:tcW w:w="1381" w:type="dxa"/>
            <w:tcBorders>
              <w:top w:val="nil"/>
              <w:start w:val="nil"/>
              <w:bottom w:val="nil"/>
            </w:tcBorders>
          </w:tcPr>
          <w:p>
            <w:pPr>
              <w:pStyle w:val="NoSpacing"/>
              <w:widowControl/>
              <w:spacing w:lineRule="auto" w:line="360"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Strong initial entry</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5" w:type="dxa"/>
            <w:tcBorders>
              <w:end w:val="nil"/>
            </w:tcBorders>
            <w:shd w:color="auto" w:fill="FFFFFF" w:themeFill="background1" w:val="clear"/>
          </w:tcPr>
          <w:p>
            <w:pPr>
              <w:pStyle w:val="NoSpacing"/>
              <w:widowControl/>
              <w:spacing w:lineRule="auto" w:line="360" w:before="0" w:after="0"/>
              <w:rPr>
                <w:rFonts w:ascii="Arial" w:hAnsi="Arial" w:cs="Arial"/>
                <w:lang w:val="en-IN"/>
              </w:rPr>
            </w:pPr>
            <w:r>
              <w:rPr>
                <w:rFonts w:eastAsia="Aptos" w:cs="Arial" w:ascii="Arial" w:hAnsi="Arial"/>
                <w:b/>
                <w:bCs/>
                <w:kern w:val="0"/>
                <w:szCs w:val="22"/>
                <w:lang w:val="en-IN" w:eastAsia="en-US" w:bidi="ar-SA"/>
              </w:rPr>
              <w:t>Franchise/licensing</w:t>
            </w:r>
          </w:p>
        </w:tc>
        <w:tc>
          <w:tcPr>
            <w:tcW w:w="1086" w:type="dxa"/>
            <w:tcBorders>
              <w:start w:val="nil"/>
              <w:end w:val="nil"/>
            </w:tcBorders>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Low</w:t>
            </w:r>
          </w:p>
        </w:tc>
        <w:tc>
          <w:tcPr>
            <w:tcW w:w="1503" w:type="dxa"/>
            <w:tcBorders>
              <w:start w:val="nil"/>
              <w:end w:val="nil"/>
            </w:tcBorders>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Low</w:t>
            </w:r>
          </w:p>
        </w:tc>
        <w:tc>
          <w:tcPr>
            <w:tcW w:w="990" w:type="dxa"/>
            <w:tcBorders>
              <w:start w:val="nil"/>
              <w:end w:val="nil"/>
            </w:tcBorders>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Lower</w:t>
            </w:r>
          </w:p>
        </w:tc>
        <w:tc>
          <w:tcPr>
            <w:tcW w:w="1531" w:type="dxa"/>
            <w:tcBorders>
              <w:start w:val="nil"/>
              <w:end w:val="nil"/>
            </w:tcBorders>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High</w:t>
            </w:r>
          </w:p>
        </w:tc>
        <w:tc>
          <w:tcPr>
            <w:tcW w:w="1381" w:type="dxa"/>
            <w:tcBorders>
              <w:start w:val="nil"/>
            </w:tcBorders>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Weak</w:t>
            </w:r>
          </w:p>
        </w:tc>
      </w:tr>
    </w:tbl>
    <w:p>
      <w:pPr>
        <w:pStyle w:val="Normal"/>
        <w:rPr>
          <w:rFonts w:cs="Arial"/>
          <w:b/>
          <w:bCs/>
          <w:lang w:val="en-IN"/>
        </w:rPr>
      </w:pPr>
      <w:r>
        <w:rPr>
          <w:rFonts w:cs="Arial"/>
          <w:b/>
          <w:bCs/>
          <w:lang w:val="en-IN"/>
        </w:rPr>
        <w:t>Wholly Owned Subsidiary</w:t>
      </w:r>
    </w:p>
    <w:p>
      <w:pPr>
        <w:pStyle w:val="Normal"/>
        <w:rPr>
          <w:rFonts w:cs="Arial"/>
          <w:lang w:val="en-IN"/>
        </w:rPr>
      </w:pPr>
      <w:r>
        <w:rPr>
          <w:rFonts w:cs="Arial"/>
          <w:lang w:val="en-IN"/>
        </w:rPr>
        <w:t>A wholly owned subsidiary offers Costco the greatest control and is therefore highly consistent with its ownership advantages. Costco could directly manage procurement, membership systems, warehouse operations and brand standards. It would also retain all future profits rather than sharing them with a partner. However, the company would absorb all market-entry costs and risks. For a market with economic inequality and relatively slow GDP growth, committing substantial capital immediately would be difficult to justify without prior evidence of demand.</w:t>
      </w:r>
    </w:p>
    <w:p>
      <w:pPr>
        <w:pStyle w:val="Normal"/>
        <w:rPr>
          <w:rFonts w:cs="Arial"/>
          <w:b/>
          <w:bCs/>
          <w:lang w:val="en-IN"/>
        </w:rPr>
      </w:pPr>
      <w:r>
        <w:rPr>
          <w:rFonts w:cs="Arial"/>
          <w:b/>
          <w:bCs/>
          <w:lang w:val="en-IN"/>
        </w:rPr>
        <w:t>Joint Venture</w:t>
      </w:r>
    </w:p>
    <w:p>
      <w:pPr>
        <w:pStyle w:val="Normal"/>
        <w:rPr>
          <w:rFonts w:cs="Arial"/>
          <w:lang w:val="en-IN"/>
        </w:rPr>
      </w:pPr>
      <w:r>
        <w:rPr>
          <w:rFonts w:cs="Arial"/>
          <w:lang w:val="en-IN"/>
        </w:rPr>
        <w:t xml:space="preserve">A joint venture provides a stronger balance between control and risk. A credible South African partner could contribute knowledge of consumer behaviour, property markets, regulatory procedures, labour practices and supplier networks. This could reduce Costco’s </w:t>
      </w:r>
      <w:r>
        <w:rPr>
          <w:rFonts w:cs="Arial"/>
          <w:b/>
          <w:bCs/>
          <w:lang w:val="en-IN"/>
        </w:rPr>
        <w:t>liability of foreignness</w:t>
      </w:r>
      <w:r>
        <w:rPr>
          <w:rFonts w:cs="Arial"/>
          <w:lang w:val="en-IN"/>
        </w:rPr>
        <w:t xml:space="preserve"> during the initial stage. The disadvantage is shared decision-making. Differences between Costco and a partner could affect pricing, sourcing, investment timing or strategic priorities (</w:t>
      </w:r>
      <w:r>
        <w:rPr>
          <w:rFonts w:cs="Arial"/>
        </w:rPr>
        <w:t>Al Monawer, 2022</w:t>
      </w:r>
      <w:r>
        <w:rPr>
          <w:rFonts w:cs="Arial"/>
          <w:lang w:val="en-IN"/>
        </w:rPr>
        <w:t xml:space="preserve">). Costco's historical experience demonstrates that this problem can potentially be managed: the company operated Mexico through a joint venture before eventually purchasing the partner’s interest and obtaining full ownership. </w:t>
      </w:r>
    </w:p>
    <w:p>
      <w:pPr>
        <w:pStyle w:val="Normal"/>
        <w:rPr>
          <w:rFonts w:cs="Arial"/>
          <w:b/>
          <w:bCs/>
          <w:lang w:val="en-IN"/>
        </w:rPr>
      </w:pPr>
      <w:r>
        <w:rPr>
          <w:rFonts w:cs="Arial"/>
          <w:b/>
          <w:bCs/>
          <w:lang w:val="en-IN"/>
        </w:rPr>
        <w:t>Licensing or Franchising</w:t>
      </w:r>
    </w:p>
    <w:p>
      <w:pPr>
        <w:pStyle w:val="Normal"/>
        <w:rPr>
          <w:rFonts w:cs="Arial"/>
          <w:lang w:val="en-IN"/>
        </w:rPr>
      </w:pPr>
      <w:r>
        <w:rPr>
          <w:rFonts w:cs="Arial"/>
          <w:lang w:val="en-IN"/>
        </w:rPr>
        <w:t>Licensing would require less capital and provide rapid access to local knowledge, but it is less suitable for Costco. Unlike a franchise-oriented restaurant model, Costco's value depends heavily on integrated procurement, warehouse economics and consistent membership experience. An independent operator could therefore make it more difficult to protect Costco’s operating standards and purchasing advantages.</w:t>
      </w:r>
    </w:p>
    <w:p>
      <w:pPr>
        <w:pStyle w:val="Heading2"/>
        <w:rPr>
          <w:rFonts w:cs="Arial"/>
          <w:lang w:val="en-IN"/>
        </w:rPr>
      </w:pPr>
      <w:bookmarkStart w:id="76" w:name="__RefHeading___Toc1768_621937267"/>
      <w:bookmarkStart w:id="77" w:name="_Toc237504899"/>
      <w:bookmarkEnd w:id="76"/>
      <w:r>
        <w:rPr>
          <w:rFonts w:cs="Arial"/>
          <w:lang w:val="en-IN"/>
        </w:rPr>
        <w:t>3.4 Recommended Entry Mode: Joint Venture with a Path to Greater Ownership</w:t>
      </w:r>
      <w:bookmarkEnd w:id="77"/>
    </w:p>
    <w:p>
      <w:pPr>
        <w:pStyle w:val="Normal"/>
        <w:rPr>
          <w:rFonts w:cs="Arial"/>
          <w:b/>
          <w:bCs/>
          <w:lang w:val="en-IN"/>
        </w:rPr>
      </w:pPr>
      <w:r>
        <w:rPr>
          <w:rFonts w:cs="Arial"/>
          <w:b/>
          <w:bCs/>
          <w:lang w:val="en-IN"/>
        </w:rPr>
        <w:t>Costco should enter South Africa through a strategically controlled joint venture, with an option to increase ownership after the initial market-development phase.</w:t>
      </w:r>
    </w:p>
    <w:p>
      <w:pPr>
        <w:pStyle w:val="Normal"/>
        <w:rPr>
          <w:rFonts w:cs="Arial"/>
          <w:lang w:val="en-IN"/>
        </w:rPr>
      </w:pPr>
      <w:r>
        <w:rPr>
          <w:rFonts w:cs="Arial"/>
          <w:lang w:val="en-IN"/>
        </w:rPr>
        <w:t>This recommendation provides a better risk-control balance than immediate full ownership. A South African partner could reduce Costco’s unfamiliarity with the local market and provide knowledge concerning property, suppliers, regulation and consumer behaviour. At the same time, Costco should retain substantial operational authority over core areas such as membership technology, purchasing standards, product quality, brand management and warehouse operations.</w:t>
      </w:r>
    </w:p>
    <w:p>
      <w:pPr>
        <w:pStyle w:val="Normal"/>
        <w:rPr>
          <w:rFonts w:cs="Arial"/>
          <w:lang w:val="en-IN"/>
        </w:rPr>
      </w:pPr>
      <w:r>
        <w:rPr>
          <w:rFonts w:cs="Arial"/>
          <w:lang w:val="en-IN"/>
        </w:rPr>
        <w:t xml:space="preserve">This approach is supported by Costco’s own international experience. Its Mexico operation demonstrates that a joint venture can provide an entry platform before ownership is increased once the market and operating model become better understood. Similarly, Costco’s later acquisition of the minority interest in Taiwan illustrates the strategic value it places on increased ownership and control when circumstances justify it. The recommended structure should therefore be </w:t>
      </w:r>
      <w:r>
        <w:rPr>
          <w:rFonts w:cs="Arial"/>
          <w:b/>
          <w:bCs/>
          <w:lang w:val="en-IN"/>
        </w:rPr>
        <w:t>phased rather than permanent</w:t>
      </w:r>
      <w:r>
        <w:rPr>
          <w:rFonts w:cs="Arial"/>
          <w:lang w:val="en-IN"/>
        </w:rPr>
        <w:t>. Costco could establish an initial warehouse in a high-income urban/suburban catchment, monitor membership acquisition, renewal, basket size and operating margins, and then consider increasing its ownership if performance meets predetermined thresholds.</w:t>
      </w:r>
    </w:p>
    <w:p>
      <w:pPr>
        <w:pStyle w:val="Heading2"/>
        <w:rPr>
          <w:rFonts w:cs="Arial"/>
          <w:lang w:val="en-IN"/>
        </w:rPr>
      </w:pPr>
      <w:bookmarkStart w:id="78" w:name="__RefHeading___Toc1770_621937267"/>
      <w:bookmarkStart w:id="79" w:name="_Toc237504900"/>
      <w:bookmarkEnd w:id="78"/>
      <w:r>
        <w:rPr>
          <w:rFonts w:cs="Arial"/>
          <w:lang w:val="en-IN"/>
        </w:rPr>
        <w:t>3.5 Strategic Synthesis</w:t>
      </w:r>
      <w:bookmarkEnd w:id="79"/>
    </w:p>
    <w:p>
      <w:pPr>
        <w:pStyle w:val="Normal"/>
        <w:rPr>
          <w:rFonts w:cs="Arial"/>
          <w:lang w:val="en-IN"/>
        </w:rPr>
      </w:pPr>
      <w:r>
        <w:rPr>
          <w:rFonts w:cs="Arial"/>
          <w:lang w:val="en-IN"/>
        </w:rPr>
        <w:t>The strategic analysis indicates that Costco possesses strong transferable ownership advantages, but South Africa presents both market opportunities and significant uncertainty. The political and regulatory environment is manageable, while economic inequality and established retail competition create greater uncertainty concerning membership adoption. Consequently, a high-commitment wholly owned entry from the outset would expose Costco to unnecessary risk.</w:t>
      </w:r>
    </w:p>
    <w:p>
      <w:pPr>
        <w:pStyle w:val="Normal"/>
        <w:rPr>
          <w:rFonts w:cs="Arial"/>
          <w:lang w:val="en-IN"/>
        </w:rPr>
      </w:pPr>
      <w:r>
        <w:rPr>
          <w:rFonts w:cs="Arial"/>
          <w:lang w:val="en-IN"/>
        </w:rPr>
        <w:t xml:space="preserve">The recommended </w:t>
      </w:r>
      <w:r>
        <w:rPr>
          <w:rFonts w:cs="Arial"/>
          <w:b/>
          <w:bCs/>
          <w:lang w:val="en-IN"/>
        </w:rPr>
        <w:t>joint venture with a pathway towards greater ownership</w:t>
      </w:r>
      <w:r>
        <w:rPr>
          <w:rFonts w:cs="Arial"/>
          <w:lang w:val="en-IN"/>
        </w:rPr>
        <w:t xml:space="preserve"> aligns Costco’s international experience with South Africa’s market conditions. It provides local knowledge and shared risk during the entry stage while preserving the possibility of greater control once market acceptance is demonstrated. This is more strategically defensible than either a low-control licensing arrangement or an immediate, high-cost wholly owned expansion. The recommendation therefore connects Costco’s historical entry experience, the South African environment and the OLI assessment into a </w:t>
      </w:r>
      <w:r>
        <w:rPr>
          <w:rFonts w:cs="Arial"/>
          <w:b/>
          <w:bCs/>
          <w:lang w:val="en-IN"/>
        </w:rPr>
        <w:t>phased market-entry strategy rather than a simple one-time entry decision</w:t>
      </w:r>
      <w:r>
        <w:rPr>
          <w:rFonts w:cs="Arial"/>
          <w:lang w:val="en-IN"/>
        </w:rPr>
        <w:t>.</w:t>
      </w:r>
    </w:p>
    <w:p>
      <w:pPr>
        <w:pStyle w:val="Heading1"/>
        <w:rPr>
          <w:rFonts w:cs="Arial"/>
          <w:lang w:val="en-IN"/>
        </w:rPr>
      </w:pPr>
      <w:bookmarkStart w:id="80" w:name="__RefHeading___Toc1772_621937267"/>
      <w:bookmarkStart w:id="81" w:name="_Toc237504901"/>
      <w:bookmarkEnd w:id="80"/>
      <w:r>
        <w:rPr>
          <w:rFonts w:cs="Arial"/>
          <w:lang w:val="en-IN"/>
        </w:rPr>
        <w:t>4. Reflective Account Using Gibbs’ Reflective Cycle</w:t>
      </w:r>
      <w:bookmarkEnd w:id="81"/>
    </w:p>
    <w:p>
      <w:pPr>
        <w:pStyle w:val="Normal"/>
        <w:rPr>
          <w:lang w:val="en-IN" w:eastAsia="en-IN"/>
        </w:rPr>
      </w:pPr>
      <w:r>
        <w:rPr/>
        <w:drawing>
          <wp:inline distT="0" distB="0" distL="0" distR="0">
            <wp:extent cx="5731510" cy="4100195"/>
            <wp:effectExtent l="0" t="0" r="0" b="0"/>
            <wp:docPr id="5"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
                    <pic:cNvPicPr>
                      <a:picLocks noChangeAspect="1" noChangeArrowheads="1"/>
                    </pic:cNvPicPr>
                  </pic:nvPicPr>
                  <pic:blipFill>
                    <a:blip r:embed="rId6"/>
                    <a:stretch>
                      <a:fillRect/>
                    </a:stretch>
                  </pic:blipFill>
                  <pic:spPr bwMode="auto">
                    <a:xfrm>
                      <a:off x="0" y="0"/>
                      <a:ext cx="5731510" cy="4100195"/>
                    </a:xfrm>
                    <a:prstGeom prst="rect">
                      <a:avLst/>
                    </a:prstGeom>
                    <a:noFill/>
                  </pic:spPr>
                </pic:pic>
              </a:graphicData>
            </a:graphic>
          </wp:inline>
        </w:drawing>
      </w:r>
    </w:p>
    <w:p>
      <w:pPr>
        <w:pStyle w:val="Heading2"/>
        <w:rPr>
          <w:rFonts w:cs="Arial"/>
          <w:lang w:val="en-IN"/>
        </w:rPr>
      </w:pPr>
      <w:bookmarkStart w:id="82" w:name="__RefHeading___Toc1774_621937267"/>
      <w:bookmarkStart w:id="83" w:name="_Toc237504902"/>
      <w:bookmarkEnd w:id="82"/>
      <w:r>
        <w:rPr>
          <w:rFonts w:cs="Arial"/>
          <w:lang w:val="en-IN"/>
        </w:rPr>
        <w:t>4.1 Description</w:t>
      </w:r>
      <w:bookmarkEnd w:id="83"/>
    </w:p>
    <w:p>
      <w:pPr>
        <w:pStyle w:val="Normal"/>
        <w:rPr>
          <w:rFonts w:cs="Arial"/>
          <w:lang w:val="en-IN"/>
        </w:rPr>
      </w:pPr>
      <w:r>
        <w:rPr>
          <w:rFonts w:cs="Arial"/>
          <w:lang w:val="en-IN"/>
        </w:rPr>
        <w:t xml:space="preserve">While preparing this assessment on Costco Wholesale Corporation’s potential entry into South Africa, I followed a structured research and analytical process. I initially focused on understanding the assessment requirements because I recognised that the task required more than describing the South African market. The brief required me to critically evaluate the political, economic, legal and cultural environment, apply Dunning’s OLI framework, examine Costco’s historical entry modes and provide an evidence-based market-entry recommendation. </w:t>
      </w:r>
    </w:p>
    <w:p>
      <w:pPr>
        <w:pStyle w:val="Normal"/>
        <w:rPr>
          <w:rFonts w:cs="Arial"/>
          <w:lang w:val="en-IN"/>
        </w:rPr>
      </w:pPr>
      <w:r>
        <w:rPr>
          <w:rFonts w:cs="Arial"/>
          <w:lang w:val="en-IN"/>
        </w:rPr>
        <w:t>I selected Costco and South Africa because the combination provided a meaningful internationalisation problem. Costco already has extensive international experience, while South Africa represents a potential new market rather than another established Costco location. I began by researching Costco’s international operations and then examined South Africa through the factors most relevant to Costco’s warehouse and membership-based business model. I subsequently used Bartlett and Ghoshal’s framework to understand Costco’s global strategy and OLI to connect Costco’s ownership advantages with South Africa’s location characteristics. Finally, I compared possible entry modes before developing a recommendation.</w:t>
      </w:r>
    </w:p>
    <w:p>
      <w:pPr>
        <w:pStyle w:val="Heading2"/>
        <w:rPr>
          <w:rFonts w:cs="Arial"/>
          <w:lang w:val="en-IN"/>
        </w:rPr>
      </w:pPr>
      <w:bookmarkStart w:id="84" w:name="__RefHeading___Toc1776_621937267"/>
      <w:bookmarkStart w:id="85" w:name="_Toc237504903"/>
      <w:bookmarkEnd w:id="84"/>
      <w:r>
        <w:rPr>
          <w:rFonts w:cs="Arial"/>
          <w:lang w:val="en-IN"/>
        </w:rPr>
        <w:t>4.2 Feelings</w:t>
      </w:r>
      <w:bookmarkEnd w:id="85"/>
    </w:p>
    <w:p>
      <w:pPr>
        <w:pStyle w:val="Normal"/>
        <w:rPr>
          <w:rFonts w:cs="Arial"/>
          <w:lang w:val="en-IN"/>
        </w:rPr>
      </w:pPr>
      <w:r>
        <w:rPr>
          <w:rFonts w:cs="Arial"/>
          <w:lang w:val="en-IN"/>
        </w:rPr>
        <w:t xml:space="preserve">At the beginning, I felt reasonably confident about researching Costco because the company has extensive publicly available information. However, I initially underestimated how difficult it would be to distinguish between </w:t>
      </w:r>
      <w:r>
        <w:rPr>
          <w:rFonts w:cs="Arial"/>
          <w:b/>
          <w:bCs/>
          <w:lang w:val="en-IN"/>
        </w:rPr>
        <w:t>general information about South Africa and information that was strategically relevant to Costco</w:t>
      </w:r>
      <w:r>
        <w:rPr>
          <w:rFonts w:cs="Arial"/>
          <w:lang w:val="en-IN"/>
        </w:rPr>
        <w:t>. I found myself collecting economic and political statistics without immediately understanding how each factor could influence Costco’s proposed entry.</w:t>
      </w:r>
    </w:p>
    <w:p>
      <w:pPr>
        <w:pStyle w:val="Normal"/>
        <w:rPr>
          <w:rFonts w:cs="Arial"/>
          <w:lang w:val="en-IN"/>
        </w:rPr>
      </w:pPr>
      <w:r>
        <w:rPr>
          <w:rFonts w:cs="Arial"/>
          <w:lang w:val="en-IN"/>
        </w:rPr>
        <w:t>As I progressed, I became more confident because applying the theories helped me organise the evidence. I particularly found the OLI framework useful because it changed my thinking from simply asking whether South Africa was an attractive country to asking whether Costco possessed advantages that could be successfully transferred to that market. I also initially assumed that a wholly owned subsidiary would automatically be the strongest entry mode because it would provide maximum control. However, researching Costco’s previous international expansion made me reconsider this assumption. I realised that control needs to be balanced against financial exposure, local knowledge and uncertainty.</w:t>
      </w:r>
    </w:p>
    <w:p>
      <w:pPr>
        <w:pStyle w:val="Heading2"/>
        <w:rPr>
          <w:rFonts w:cs="Arial"/>
          <w:lang w:val="en-IN"/>
        </w:rPr>
      </w:pPr>
      <w:bookmarkStart w:id="86" w:name="__RefHeading___Toc1778_621937267"/>
      <w:bookmarkStart w:id="87" w:name="_Toc237504904"/>
      <w:bookmarkEnd w:id="86"/>
      <w:r>
        <w:rPr>
          <w:rFonts w:cs="Arial"/>
          <w:lang w:val="en-IN"/>
        </w:rPr>
        <w:t>4.3 Evaluation</w:t>
      </w:r>
      <w:bookmarkEnd w:id="87"/>
    </w:p>
    <w:p>
      <w:pPr>
        <w:pStyle w:val="Normal"/>
        <w:rPr>
          <w:rFonts w:cs="Arial"/>
          <w:lang w:val="en-IN"/>
        </w:rPr>
      </w:pPr>
      <w:r>
        <w:rPr>
          <w:rFonts w:cs="Arial"/>
          <w:lang w:val="en-IN"/>
        </w:rPr>
        <w:t xml:space="preserve">One positive aspect of my approach was that I gradually moved towards using </w:t>
      </w:r>
      <w:r>
        <w:rPr>
          <w:rFonts w:cs="Arial"/>
          <w:b/>
          <w:bCs/>
          <w:lang w:val="en-IN"/>
        </w:rPr>
        <w:t>credible and current sources</w:t>
      </w:r>
      <w:r>
        <w:rPr>
          <w:rFonts w:cs="Arial"/>
          <w:lang w:val="en-IN"/>
        </w:rPr>
        <w:t xml:space="preserve"> rather than relying on general websites. The assessment guidance emphasises the importance of research-informed literature, primary sources and current evidence, with a minimum of 10–15 credible references expected. This encouraged me to become more selective about the evidence I used.</w:t>
      </w:r>
    </w:p>
    <w:p>
      <w:pPr>
        <w:pStyle w:val="Normal"/>
        <w:rPr>
          <w:rFonts w:cs="Arial"/>
          <w:lang w:val="en-IN"/>
        </w:rPr>
      </w:pPr>
      <w:r>
        <w:rPr>
          <w:rFonts w:cs="Arial"/>
          <w:lang w:val="en-IN"/>
        </w:rPr>
        <w:t>Another strength was the use of theory to interpret the evidence. Bartlett and Ghoshal helped me understand Costco’s international strategy, while OLI allowed me to connect Costco’s ownership advantages with South Africa’s location advantages and the benefits of internalisation. I also found comparing joint ventures and wholly owned operations useful because it prevented me from treating entry mode as a straightforward decision.</w:t>
      </w:r>
    </w:p>
    <w:p>
      <w:pPr>
        <w:pStyle w:val="Normal"/>
        <w:rPr>
          <w:rFonts w:cs="Arial"/>
          <w:lang w:val="en-IN"/>
        </w:rPr>
      </w:pPr>
      <w:r>
        <w:rPr>
          <w:rFonts w:cs="Arial"/>
          <w:lang w:val="en-IN"/>
        </w:rPr>
        <w:t xml:space="preserve">However, I identified weaknesses in my initial approach. I sometimes collected too much descriptive information, particularly when researching South Africa’s economic and political conditions. I also found it challenging to determine which factors were genuinely important for Costco. The assessment specifically requires environmental factors to be selected according to their relevance to the firm's industry and strategy rather than presented as a purely descriptive overview. </w:t>
      </w:r>
    </w:p>
    <w:p>
      <w:pPr>
        <w:pStyle w:val="Heading2"/>
        <w:rPr>
          <w:rFonts w:cs="Arial"/>
          <w:lang w:val="en-IN"/>
        </w:rPr>
      </w:pPr>
      <w:bookmarkStart w:id="88" w:name="__RefHeading___Toc1780_621937267"/>
      <w:bookmarkStart w:id="89" w:name="_Toc237504905"/>
      <w:bookmarkEnd w:id="88"/>
      <w:r>
        <w:rPr>
          <w:rFonts w:cs="Arial"/>
          <w:lang w:val="en-IN"/>
        </w:rPr>
        <w:t>4.4 Analysis</w:t>
      </w:r>
      <w:bookmarkEnd w:id="89"/>
    </w:p>
    <w:p>
      <w:pPr>
        <w:pStyle w:val="Normal"/>
        <w:rPr>
          <w:rFonts w:cs="Arial"/>
          <w:lang w:val="en-IN"/>
        </w:rPr>
      </w:pPr>
      <w:r>
        <w:rPr>
          <w:rFonts w:cs="Arial"/>
          <w:lang w:val="en-IN"/>
        </w:rPr>
        <w:t xml:space="preserve">The most important learning from this assessment was that </w:t>
      </w:r>
      <w:r>
        <w:rPr>
          <w:rFonts w:cs="Arial"/>
          <w:b/>
          <w:bCs/>
          <w:lang w:val="en-IN"/>
        </w:rPr>
        <w:t>international market attractiveness is relative to the organisation rather than absolute</w:t>
      </w:r>
      <w:r>
        <w:rPr>
          <w:rFonts w:cs="Arial"/>
          <w:lang w:val="en-IN"/>
        </w:rPr>
        <w:t>. Before completing the analysis, I was inclined to judge South Africa mainly by its population, retail market and economic potential. However, the research demonstrated that these factors alone cannot establish whether Costco should enter.</w:t>
      </w:r>
    </w:p>
    <w:p>
      <w:pPr>
        <w:pStyle w:val="Normal"/>
        <w:rPr>
          <w:rFonts w:cs="Arial"/>
          <w:lang w:val="en-IN"/>
        </w:rPr>
      </w:pPr>
      <w:r>
        <w:rPr>
          <w:rFonts w:cs="Arial"/>
          <w:lang w:val="en-IN"/>
        </w:rPr>
        <w:t>For example, South Africa's retail market may provide opportunities, but Costco's membership-based warehouse model creates specific requirements. Consumers must perceive sufficient value from membership and bulk purchasing, while Costco must maintain efficient procurement and distribution. Therefore, issues such as household purchasing power, income inequality, retail competition and infrastructure became more significant than general population statistics.</w:t>
      </w:r>
    </w:p>
    <w:p>
      <w:pPr>
        <w:pStyle w:val="Normal"/>
        <w:rPr>
          <w:rFonts w:cs="Arial"/>
          <w:lang w:val="en-IN"/>
        </w:rPr>
      </w:pPr>
      <w:r>
        <w:rPr>
          <w:rFonts w:cs="Arial"/>
          <w:lang w:val="en-IN"/>
        </w:rPr>
        <w:t>I also developed a stronger understanding of the relationship between theory and practical decision-making. OLI initially appeared to me as a theoretical framework that simply classified ownership, location and internalisation advantages. During the assessment, I realised that it could be used as a decision-making tool. Costco's brand, purchasing scale and membership model represent ownership advantages; South Africa's urban consumer market and retail infrastructure provide potential location advantages; while control over procurement, customer experience and brand standards supports internalisation.</w:t>
      </w:r>
    </w:p>
    <w:p>
      <w:pPr>
        <w:pStyle w:val="Normal"/>
        <w:rPr>
          <w:rFonts w:cs="Arial"/>
          <w:lang w:val="en-IN"/>
        </w:rPr>
      </w:pPr>
      <w:r>
        <w:rPr>
          <w:rFonts w:cs="Arial"/>
          <w:lang w:val="en-IN"/>
        </w:rPr>
        <w:t xml:space="preserve">The entry-mode analysis also changed my perspective. Costco's historical use of joint ventures followed by greater ownership in some markets showed me that internationalisation can be </w:t>
      </w:r>
      <w:r>
        <w:rPr>
          <w:rFonts w:cs="Arial"/>
          <w:b/>
          <w:bCs/>
          <w:lang w:val="en-IN"/>
        </w:rPr>
        <w:t>progressive rather than a single irreversible decision</w:t>
      </w:r>
      <w:r>
        <w:rPr>
          <w:rFonts w:cs="Arial"/>
          <w:lang w:val="en-IN"/>
        </w:rPr>
        <w:t>. Consequently, my recommendation of a joint venture with a pathway towards greater ownership became more convincing because it balances local knowledge and risk-sharing with Costco's longer-term preference for operational control.</w:t>
      </w:r>
    </w:p>
    <w:p>
      <w:pPr>
        <w:pStyle w:val="Normal"/>
        <w:rPr>
          <w:rFonts w:cs="Arial"/>
          <w:lang w:val="en-IN"/>
        </w:rPr>
      </w:pPr>
      <w:r>
        <w:rPr>
          <w:rFonts w:cs="Arial"/>
          <w:lang w:val="en-IN"/>
        </w:rPr>
        <w:t xml:space="preserve">This process also strengthened my critical thinking. Rather than asking only </w:t>
      </w:r>
      <w:r>
        <w:rPr>
          <w:rFonts w:cs="Arial"/>
          <w:b/>
          <w:bCs/>
          <w:lang w:val="en-IN"/>
        </w:rPr>
        <w:t>“Can Costco enter South Africa?”</w:t>
      </w:r>
      <w:r>
        <w:rPr>
          <w:rFonts w:cs="Arial"/>
          <w:lang w:val="en-IN"/>
        </w:rPr>
        <w:t xml:space="preserve">, I began asking </w:t>
      </w:r>
      <w:r>
        <w:rPr>
          <w:rFonts w:cs="Arial"/>
          <w:b/>
          <w:bCs/>
          <w:lang w:val="en-IN"/>
        </w:rPr>
        <w:t>“Under what conditions could Costco enter successfully?”</w:t>
      </w:r>
      <w:r>
        <w:rPr>
          <w:rFonts w:cs="Arial"/>
          <w:lang w:val="en-IN"/>
        </w:rPr>
        <w:t xml:space="preserve"> This resulted in a more cautious recommendation involving controlled expansion, market testing and selective localisation.</w:t>
      </w:r>
    </w:p>
    <w:p>
      <w:pPr>
        <w:pStyle w:val="Heading2"/>
        <w:rPr>
          <w:rFonts w:cs="Arial"/>
          <w:lang w:val="en-IN"/>
        </w:rPr>
      </w:pPr>
      <w:bookmarkStart w:id="90" w:name="__RefHeading___Toc1782_621937267"/>
      <w:bookmarkStart w:id="91" w:name="_Toc237504906"/>
      <w:bookmarkEnd w:id="90"/>
      <w:r>
        <w:rPr>
          <w:rFonts w:cs="Arial"/>
          <w:lang w:val="en-IN"/>
        </w:rPr>
        <w:t>4.5 Conclusion</w:t>
      </w:r>
      <w:bookmarkEnd w:id="91"/>
    </w:p>
    <w:p>
      <w:pPr>
        <w:pStyle w:val="Normal"/>
        <w:rPr>
          <w:rFonts w:cs="Arial"/>
          <w:lang w:val="en-IN"/>
        </w:rPr>
      </w:pPr>
      <w:r>
        <w:rPr>
          <w:rFonts w:cs="Arial"/>
          <w:lang w:val="en-IN"/>
        </w:rPr>
        <w:t>Overall, this assessment improved my understanding of international market-entry decisions considerably. I learned that a strong recommendation requires more than collecting facts about a country; the evidence must be connected to the organisation's capabilities, business model and strategic objectives. I also learned that theoretical frameworks are most valuable when they are applied to real business decisions rather than explained separately.</w:t>
      </w:r>
    </w:p>
    <w:p>
      <w:pPr>
        <w:pStyle w:val="Normal"/>
        <w:rPr>
          <w:rFonts w:cs="Arial"/>
          <w:lang w:val="en-IN"/>
        </w:rPr>
      </w:pPr>
      <w:r>
        <w:rPr>
          <w:rFonts w:cs="Arial"/>
          <w:lang w:val="en-IN"/>
        </w:rPr>
        <w:t xml:space="preserve">The biggest improvement in my approach was moving from description towards </w:t>
      </w:r>
      <w:r>
        <w:rPr>
          <w:rFonts w:cs="Arial"/>
          <w:b/>
          <w:bCs/>
          <w:lang w:val="en-IN"/>
        </w:rPr>
        <w:t>evidence-based evaluation and synthesis</w:t>
      </w:r>
      <w:r>
        <w:rPr>
          <w:rFonts w:cs="Arial"/>
          <w:lang w:val="en-IN"/>
        </w:rPr>
        <w:t>. I now understand that political, economic, legal and cultural factors are interconnected and that their importance depends on the company's specific strategy. I also developed greater confidence in comparing entry modes according to risk, control, resource commitment and long-term strategic fit. This learning will influence how I approach future international business research.</w:t>
      </w:r>
    </w:p>
    <w:p>
      <w:pPr>
        <w:pStyle w:val="Heading2"/>
        <w:rPr>
          <w:rFonts w:cs="Arial"/>
          <w:lang w:val="en-IN"/>
        </w:rPr>
      </w:pPr>
      <w:bookmarkStart w:id="92" w:name="__RefHeading___Toc1784_621937267"/>
      <w:bookmarkStart w:id="93" w:name="_Toc237504907"/>
      <w:bookmarkEnd w:id="92"/>
      <w:r>
        <w:rPr>
          <w:rFonts w:cs="Arial"/>
          <w:lang w:val="en-IN"/>
        </w:rPr>
        <w:t>4.6 Action Plan</w:t>
      </w:r>
      <w:bookmarkEnd w:id="93"/>
    </w:p>
    <w:p>
      <w:pPr>
        <w:pStyle w:val="Normal"/>
        <w:rPr>
          <w:rFonts w:cs="Arial"/>
          <w:lang w:val="en-IN"/>
        </w:rPr>
      </w:pPr>
      <w:r>
        <w:rPr>
          <w:rFonts w:cs="Arial"/>
          <w:lang w:val="en-IN"/>
        </w:rPr>
        <w:t>Based on my reflection, I have developed the following SMART action plan:</w:t>
      </w:r>
    </w:p>
    <w:tbl>
      <w:tblPr>
        <w:tblStyle w:val="ListTable3-Accent4"/>
        <w:tblW w:w="9016" w:type="dxa"/>
        <w:jc w:val="start"/>
        <w:tblInd w:w="0" w:type="dxa"/>
        <w:tblLayout w:type="fixed"/>
        <w:tblCellMar>
          <w:top w:w="0" w:type="dxa"/>
          <w:start w:w="108" w:type="dxa"/>
          <w:bottom w:w="0" w:type="dxa"/>
          <w:end w:w="108" w:type="dxa"/>
        </w:tblCellMar>
        <w:tblLook w:firstRow="1" w:noVBand="1" w:lastRow="0" w:firstColumn="1" w:lastColumn="0" w:noHBand="0" w:val="04a0"/>
      </w:tblPr>
      <w:tblGrid>
        <w:gridCol w:w="2367"/>
        <w:gridCol w:w="2223"/>
        <w:gridCol w:w="2823"/>
        <w:gridCol w:w="1603"/>
      </w:tblGrid>
      <w:tr>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367" w:type="dxa"/>
            <w:tcBorders>
              <w:top w:val="single" w:sz="4" w:space="0" w:color="4C94D8"/>
              <w:start w:val="single" w:sz="4" w:space="0" w:color="4C94D8"/>
              <w:bottom w:val="single" w:sz="4" w:space="0" w:color="4C94D8"/>
              <w:end w:val="single" w:sz="4" w:space="0" w:color="4C94D8"/>
            </w:tcBorders>
            <w:shd w:color="auto" w:fill="0F9ED5" w:themeFill="accent4" w:val="clear"/>
          </w:tcPr>
          <w:p>
            <w:pPr>
              <w:pStyle w:val="NoSpacing"/>
              <w:widowControl/>
              <w:spacing w:lineRule="auto" w:line="360" w:before="0" w:after="0"/>
              <w:rPr>
                <w:rFonts w:ascii="Arial" w:hAnsi="Arial" w:cs="Arial"/>
                <w:lang w:val="en-IN"/>
              </w:rPr>
            </w:pPr>
            <w:r>
              <w:rPr>
                <w:rFonts w:eastAsia="Aptos" w:cs="Arial" w:ascii="Arial" w:hAnsi="Arial"/>
                <w:b/>
                <w:bCs/>
                <w:color w:themeColor="background1" w:val="FFFFFF"/>
                <w:kern w:val="0"/>
                <w:szCs w:val="22"/>
                <w:lang w:val="en-IN" w:eastAsia="en-US" w:bidi="ar-SA"/>
              </w:rPr>
              <w:t>Development objective</w:t>
            </w:r>
          </w:p>
        </w:tc>
        <w:tc>
          <w:tcPr>
            <w:tcW w:w="2223" w:type="dxa"/>
            <w:tcBorders>
              <w:top w:val="single" w:sz="4" w:space="0" w:color="4C94D8"/>
              <w:start w:val="single" w:sz="4" w:space="0" w:color="4C94D8"/>
              <w:bottom w:val="single" w:sz="4" w:space="0" w:color="4C94D8"/>
              <w:end w:val="single" w:sz="4" w:space="0" w:color="4C94D8"/>
            </w:tcBorders>
            <w:shd w:color="auto" w:fill="0F9ED5" w:themeFill="accent4" w:val="clear"/>
          </w:tcPr>
          <w:p>
            <w:pPr>
              <w:pStyle w:val="NoSpacing"/>
              <w:widowControl/>
              <w:spacing w:lineRule="auto" w:line="360"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Specific action</w:t>
            </w:r>
          </w:p>
        </w:tc>
        <w:tc>
          <w:tcPr>
            <w:tcW w:w="2823" w:type="dxa"/>
            <w:tcBorders>
              <w:top w:val="single" w:sz="4" w:space="0" w:color="4C94D8"/>
              <w:start w:val="single" w:sz="4" w:space="0" w:color="4C94D8"/>
              <w:bottom w:val="single" w:sz="4" w:space="0" w:color="4C94D8"/>
              <w:end w:val="single" w:sz="4" w:space="0" w:color="4C94D8"/>
            </w:tcBorders>
            <w:shd w:color="auto" w:fill="0F9ED5" w:themeFill="accent4" w:val="clear"/>
          </w:tcPr>
          <w:p>
            <w:pPr>
              <w:pStyle w:val="NoSpacing"/>
              <w:widowControl/>
              <w:spacing w:lineRule="auto" w:line="360"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Measure of success</w:t>
            </w:r>
          </w:p>
        </w:tc>
        <w:tc>
          <w:tcPr>
            <w:tcW w:w="1603" w:type="dxa"/>
            <w:tcBorders>
              <w:top w:val="single" w:sz="4" w:space="0" w:color="4C94D8"/>
              <w:start w:val="single" w:sz="4" w:space="0" w:color="4C94D8"/>
              <w:bottom w:val="single" w:sz="4" w:space="0" w:color="4C94D8"/>
              <w:end w:val="single" w:sz="4" w:space="0" w:color="4C94D8"/>
            </w:tcBorders>
            <w:shd w:color="auto" w:fill="0F9ED5" w:themeFill="accent4" w:val="clear"/>
          </w:tcPr>
          <w:p>
            <w:pPr>
              <w:pStyle w:val="NoSpacing"/>
              <w:widowControl/>
              <w:spacing w:lineRule="auto" w:line="360" w:before="0" w:after="0"/>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b/>
                <w:bCs/>
                <w:color w:themeColor="background1" w:val="FFFFFF"/>
                <w:kern w:val="0"/>
                <w:szCs w:val="22"/>
                <w:lang w:val="en-IN" w:eastAsia="en-US" w:bidi="ar-SA"/>
              </w:rPr>
              <w:t>Time-bound target</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7" w:type="dxa"/>
            <w:tcBorders>
              <w:top w:val="nil"/>
              <w:start w:val="single" w:sz="4" w:space="0" w:color="4C94D8"/>
              <w:bottom w:val="nil"/>
              <w:end w:val="single" w:sz="4" w:space="0" w:color="4C94D8"/>
            </w:tcBorders>
            <w:shd w:color="auto" w:fill="FFFFFF" w:themeFill="background1" w:val="clear"/>
          </w:tcPr>
          <w:p>
            <w:pPr>
              <w:pStyle w:val="NoSpacing"/>
              <w:widowControl/>
              <w:spacing w:lineRule="auto" w:line="360" w:before="0" w:after="0"/>
              <w:rPr>
                <w:rFonts w:ascii="Arial" w:hAnsi="Arial" w:cs="Arial"/>
                <w:lang w:val="en-IN"/>
              </w:rPr>
            </w:pPr>
            <w:r>
              <w:rPr>
                <w:rFonts w:eastAsia="Aptos" w:cs="Arial" w:ascii="Arial" w:hAnsi="Arial"/>
                <w:b/>
                <w:bCs/>
                <w:kern w:val="0"/>
                <w:szCs w:val="22"/>
                <w:lang w:val="en-IN" w:eastAsia="en-US" w:bidi="ar-SA"/>
              </w:rPr>
              <w:t>Improve source evaluation</w:t>
            </w:r>
          </w:p>
        </w:tc>
        <w:tc>
          <w:tcPr>
            <w:tcW w:w="2223" w:type="dxa"/>
            <w:tcBorders>
              <w:top w:val="nil"/>
              <w:start w:val="single" w:sz="4" w:space="0" w:color="4C94D8"/>
              <w:bottom w:val="nil"/>
              <w:end w:val="single" w:sz="4" w:space="0" w:color="4C94D8"/>
            </w:tcBorders>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I will prioritise academic journals, company reports, government publications and recognised international organisations when conducting research.</w:t>
            </w:r>
          </w:p>
        </w:tc>
        <w:tc>
          <w:tcPr>
            <w:tcW w:w="2823" w:type="dxa"/>
            <w:tcBorders>
              <w:top w:val="nil"/>
              <w:start w:val="single" w:sz="4" w:space="0" w:color="4C94D8"/>
              <w:bottom w:val="nil"/>
              <w:end w:val="single" w:sz="4" w:space="0" w:color="4C94D8"/>
            </w:tcBorders>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At least 80% of core sources will come from credible academic, governmental or primary sources.</w:t>
            </w:r>
          </w:p>
        </w:tc>
        <w:tc>
          <w:tcPr>
            <w:tcW w:w="1603" w:type="dxa"/>
            <w:tcBorders>
              <w:top w:val="nil"/>
              <w:start w:val="single" w:sz="4" w:space="0" w:color="4C94D8"/>
              <w:bottom w:val="nil"/>
              <w:end w:val="single" w:sz="4" w:space="0" w:color="4C94D8"/>
            </w:tcBorders>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For my next major assignment</w:t>
            </w:r>
          </w:p>
        </w:tc>
      </w:tr>
      <w:tr>
        <w:trPr/>
        <w:tc>
          <w:tcPr>
            <w:cnfStyle w:val="001000000000" w:firstRow="0" w:lastRow="0" w:firstColumn="1" w:lastColumn="0" w:oddVBand="0" w:evenVBand="0" w:oddHBand="0" w:evenHBand="0" w:firstRowFirstColumn="0" w:firstRowLastColumn="0" w:lastRowFirstColumn="0" w:lastRowLastColumn="0"/>
            <w:tcW w:w="2367" w:type="dxa"/>
            <w:tcBorders>
              <w:top w:val="single" w:sz="4" w:space="0" w:color="4C94D8"/>
              <w:start w:val="single" w:sz="4" w:space="0" w:color="4C94D8"/>
              <w:bottom w:val="single" w:sz="4" w:space="0" w:color="4C94D8"/>
              <w:end w:val="single" w:sz="4" w:space="0" w:color="4C94D8"/>
            </w:tcBorders>
            <w:shd w:color="auto" w:fill="FFFFFF" w:themeFill="background1" w:val="clear"/>
          </w:tcPr>
          <w:p>
            <w:pPr>
              <w:pStyle w:val="NoSpacing"/>
              <w:widowControl/>
              <w:spacing w:lineRule="auto" w:line="360" w:before="0" w:after="0"/>
              <w:rPr>
                <w:rFonts w:ascii="Arial" w:hAnsi="Arial" w:cs="Arial"/>
                <w:lang w:val="en-IN"/>
              </w:rPr>
            </w:pPr>
            <w:r>
              <w:rPr>
                <w:rFonts w:eastAsia="Aptos" w:cs="Arial" w:ascii="Arial" w:hAnsi="Arial"/>
                <w:b/>
                <w:bCs/>
                <w:kern w:val="0"/>
                <w:szCs w:val="22"/>
                <w:lang w:val="en-IN" w:eastAsia="en-US" w:bidi="ar-SA"/>
              </w:rPr>
              <w:t>Reduce descriptive writing</w:t>
            </w:r>
          </w:p>
        </w:tc>
        <w:tc>
          <w:tcPr>
            <w:tcW w:w="2223" w:type="dxa"/>
            <w:tcBorders>
              <w:top w:val="single" w:sz="4" w:space="0" w:color="4C94D8"/>
              <w:start w:val="single" w:sz="4" w:space="0" w:color="4C94D8"/>
              <w:bottom w:val="single" w:sz="4" w:space="0" w:color="4C94D8"/>
              <w:end w:val="single" w:sz="4" w:space="0" w:color="4C94D8"/>
            </w:tcBorders>
          </w:tcPr>
          <w:p>
            <w:pPr>
              <w:pStyle w:val="NoSpacing"/>
              <w:widowControl/>
              <w:spacing w:lineRule="auto" w:line="360"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I will apply the sequence evidence → explanation → company impact → critical judgement to each major analytical paragraph.</w:t>
            </w:r>
          </w:p>
        </w:tc>
        <w:tc>
          <w:tcPr>
            <w:tcW w:w="2823" w:type="dxa"/>
            <w:tcBorders>
              <w:top w:val="single" w:sz="4" w:space="0" w:color="4C94D8"/>
              <w:start w:val="single" w:sz="4" w:space="0" w:color="4C94D8"/>
              <w:bottom w:val="single" w:sz="4" w:space="0" w:color="4C94D8"/>
              <w:end w:val="single" w:sz="4" w:space="0" w:color="4C94D8"/>
            </w:tcBorders>
          </w:tcPr>
          <w:p>
            <w:pPr>
              <w:pStyle w:val="NoSpacing"/>
              <w:widowControl/>
              <w:spacing w:lineRule="auto" w:line="360"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I will review every main section and identify at least one explicit analytical implication per paragraph.</w:t>
            </w:r>
          </w:p>
        </w:tc>
        <w:tc>
          <w:tcPr>
            <w:tcW w:w="1603" w:type="dxa"/>
            <w:tcBorders>
              <w:top w:val="single" w:sz="4" w:space="0" w:color="4C94D8"/>
              <w:start w:val="single" w:sz="4" w:space="0" w:color="4C94D8"/>
              <w:bottom w:val="single" w:sz="4" w:space="0" w:color="4C94D8"/>
              <w:end w:val="single" w:sz="4" w:space="0" w:color="4C94D8"/>
            </w:tcBorders>
          </w:tcPr>
          <w:p>
            <w:pPr>
              <w:pStyle w:val="NoSpacing"/>
              <w:widowControl/>
              <w:spacing w:lineRule="auto" w:line="360"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During the drafting stage of my next assignment</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7" w:type="dxa"/>
            <w:tcBorders>
              <w:top w:val="nil"/>
              <w:start w:val="single" w:sz="4" w:space="0" w:color="4C94D8"/>
              <w:bottom w:val="nil"/>
              <w:end w:val="single" w:sz="4" w:space="0" w:color="4C94D8"/>
            </w:tcBorders>
            <w:shd w:color="auto" w:fill="FFFFFF" w:themeFill="background1" w:val="clear"/>
          </w:tcPr>
          <w:p>
            <w:pPr>
              <w:pStyle w:val="NoSpacing"/>
              <w:widowControl/>
              <w:spacing w:lineRule="auto" w:line="360" w:before="0" w:after="0"/>
              <w:rPr>
                <w:rFonts w:ascii="Arial" w:hAnsi="Arial" w:cs="Arial"/>
                <w:lang w:val="en-IN"/>
              </w:rPr>
            </w:pPr>
            <w:r>
              <w:rPr>
                <w:rFonts w:eastAsia="Aptos" w:cs="Arial" w:ascii="Arial" w:hAnsi="Arial"/>
                <w:b/>
                <w:bCs/>
                <w:kern w:val="0"/>
                <w:szCs w:val="22"/>
                <w:lang w:val="en-IN" w:eastAsia="en-US" w:bidi="ar-SA"/>
              </w:rPr>
              <w:t>Strengthen theory application</w:t>
            </w:r>
          </w:p>
        </w:tc>
        <w:tc>
          <w:tcPr>
            <w:tcW w:w="2223" w:type="dxa"/>
            <w:tcBorders>
              <w:top w:val="nil"/>
              <w:start w:val="single" w:sz="4" w:space="0" w:color="4C94D8"/>
              <w:bottom w:val="nil"/>
              <w:end w:val="single" w:sz="4" w:space="0" w:color="4C94D8"/>
            </w:tcBorders>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I will identify the relevant theories before beginning detailed research and create an evidence-to-theory mapping table.</w:t>
            </w:r>
          </w:p>
        </w:tc>
        <w:tc>
          <w:tcPr>
            <w:tcW w:w="2823" w:type="dxa"/>
            <w:tcBorders>
              <w:top w:val="nil"/>
              <w:start w:val="single" w:sz="4" w:space="0" w:color="4C94D8"/>
              <w:bottom w:val="nil"/>
              <w:end w:val="single" w:sz="4" w:space="0" w:color="4C94D8"/>
            </w:tcBorders>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At least three major theories/frameworks will be explicitly connected to company evidence rather than separately described.</w:t>
            </w:r>
          </w:p>
        </w:tc>
        <w:tc>
          <w:tcPr>
            <w:tcW w:w="1603" w:type="dxa"/>
            <w:tcBorders>
              <w:top w:val="nil"/>
              <w:start w:val="single" w:sz="4" w:space="0" w:color="4C94D8"/>
              <w:bottom w:val="nil"/>
              <w:end w:val="single" w:sz="4" w:space="0" w:color="4C94D8"/>
            </w:tcBorders>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Before completing the first full draft</w:t>
            </w:r>
          </w:p>
        </w:tc>
      </w:tr>
      <w:tr>
        <w:trPr/>
        <w:tc>
          <w:tcPr>
            <w:cnfStyle w:val="001000000000" w:firstRow="0" w:lastRow="0" w:firstColumn="1" w:lastColumn="0" w:oddVBand="0" w:evenVBand="0" w:oddHBand="0" w:evenHBand="0" w:firstRowFirstColumn="0" w:firstRowLastColumn="0" w:lastRowFirstColumn="0" w:lastRowLastColumn="0"/>
            <w:tcW w:w="2367" w:type="dxa"/>
            <w:tcBorders>
              <w:top w:val="single" w:sz="4" w:space="0" w:color="4C94D8"/>
              <w:start w:val="single" w:sz="4" w:space="0" w:color="4C94D8"/>
              <w:bottom w:val="single" w:sz="4" w:space="0" w:color="4C94D8"/>
              <w:end w:val="single" w:sz="4" w:space="0" w:color="4C94D8"/>
            </w:tcBorders>
            <w:shd w:color="auto" w:fill="FFFFFF" w:themeFill="background1" w:val="clear"/>
          </w:tcPr>
          <w:p>
            <w:pPr>
              <w:pStyle w:val="NoSpacing"/>
              <w:widowControl/>
              <w:spacing w:lineRule="auto" w:line="360" w:before="0" w:after="0"/>
              <w:rPr>
                <w:rFonts w:ascii="Arial" w:hAnsi="Arial" w:cs="Arial"/>
                <w:lang w:val="en-IN"/>
              </w:rPr>
            </w:pPr>
            <w:r>
              <w:rPr>
                <w:rFonts w:eastAsia="Aptos" w:cs="Arial" w:ascii="Arial" w:hAnsi="Arial"/>
                <w:b/>
                <w:bCs/>
                <w:kern w:val="0"/>
                <w:szCs w:val="22"/>
                <w:lang w:val="en-IN" w:eastAsia="en-US" w:bidi="ar-SA"/>
              </w:rPr>
              <w:t>Improve strategic recommendations</w:t>
            </w:r>
          </w:p>
        </w:tc>
        <w:tc>
          <w:tcPr>
            <w:tcW w:w="2223" w:type="dxa"/>
            <w:tcBorders>
              <w:top w:val="single" w:sz="4" w:space="0" w:color="4C94D8"/>
              <w:start w:val="single" w:sz="4" w:space="0" w:color="4C94D8"/>
              <w:bottom w:val="single" w:sz="4" w:space="0" w:color="4C94D8"/>
              <w:end w:val="single" w:sz="4" w:space="0" w:color="4C94D8"/>
            </w:tcBorders>
          </w:tcPr>
          <w:p>
            <w:pPr>
              <w:pStyle w:val="NoSpacing"/>
              <w:widowControl/>
              <w:spacing w:lineRule="auto" w:line="360"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I will compare alternative options against risk, control, investment, flexibility and long-term strategic fit before selecting one.</w:t>
            </w:r>
          </w:p>
        </w:tc>
        <w:tc>
          <w:tcPr>
            <w:tcW w:w="2823" w:type="dxa"/>
            <w:tcBorders>
              <w:top w:val="single" w:sz="4" w:space="0" w:color="4C94D8"/>
              <w:start w:val="single" w:sz="4" w:space="0" w:color="4C94D8"/>
              <w:bottom w:val="single" w:sz="4" w:space="0" w:color="4C94D8"/>
              <w:end w:val="single" w:sz="4" w:space="0" w:color="4C94D8"/>
            </w:tcBorders>
          </w:tcPr>
          <w:p>
            <w:pPr>
              <w:pStyle w:val="NoSpacing"/>
              <w:widowControl/>
              <w:spacing w:lineRule="auto" w:line="360"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Every major recommendation will contain at least three evidence-based justifications.</w:t>
            </w:r>
          </w:p>
        </w:tc>
        <w:tc>
          <w:tcPr>
            <w:tcW w:w="1603" w:type="dxa"/>
            <w:tcBorders>
              <w:top w:val="single" w:sz="4" w:space="0" w:color="4C94D8"/>
              <w:start w:val="single" w:sz="4" w:space="0" w:color="4C94D8"/>
              <w:bottom w:val="single" w:sz="4" w:space="0" w:color="4C94D8"/>
              <w:end w:val="single" w:sz="4" w:space="0" w:color="4C94D8"/>
            </w:tcBorders>
          </w:tcPr>
          <w:p>
            <w:pPr>
              <w:pStyle w:val="NoSpacing"/>
              <w:widowControl/>
              <w:spacing w:lineRule="auto" w:line="360" w:before="0" w:after="0"/>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By the final draft submission</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7" w:type="dxa"/>
            <w:tcBorders>
              <w:top w:val="nil"/>
              <w:start w:val="single" w:sz="4" w:space="0" w:color="4C94D8"/>
              <w:bottom w:val="single" w:sz="4" w:space="0" w:color="4C94D8"/>
              <w:end w:val="single" w:sz="4" w:space="0" w:color="4C94D8"/>
            </w:tcBorders>
            <w:shd w:color="auto" w:fill="FFFFFF" w:themeFill="background1" w:val="clear"/>
          </w:tcPr>
          <w:p>
            <w:pPr>
              <w:pStyle w:val="NoSpacing"/>
              <w:widowControl/>
              <w:spacing w:lineRule="auto" w:line="360" w:before="0" w:after="0"/>
              <w:rPr>
                <w:rFonts w:ascii="Arial" w:hAnsi="Arial" w:cs="Arial"/>
                <w:lang w:val="en-IN"/>
              </w:rPr>
            </w:pPr>
            <w:r>
              <w:rPr>
                <w:rFonts w:eastAsia="Aptos" w:cs="Arial" w:ascii="Arial" w:hAnsi="Arial"/>
                <w:b/>
                <w:bCs/>
                <w:kern w:val="0"/>
                <w:szCs w:val="22"/>
                <w:lang w:val="en-IN" w:eastAsia="en-US" w:bidi="ar-SA"/>
              </w:rPr>
              <w:t>Develop critical reflection</w:t>
            </w:r>
          </w:p>
        </w:tc>
        <w:tc>
          <w:tcPr>
            <w:tcW w:w="2223" w:type="dxa"/>
            <w:tcBorders>
              <w:top w:val="nil"/>
              <w:start w:val="single" w:sz="4" w:space="0" w:color="4C94D8"/>
              <w:bottom w:val="single" w:sz="4" w:space="0" w:color="4C94D8"/>
              <w:end w:val="single" w:sz="4" w:space="0" w:color="4C94D8"/>
            </w:tcBorders>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I will maintain short research notes recording difficulties, decisions and changes in my thinking while completing future assignments.</w:t>
            </w:r>
          </w:p>
        </w:tc>
        <w:tc>
          <w:tcPr>
            <w:tcW w:w="2823" w:type="dxa"/>
            <w:tcBorders>
              <w:top w:val="nil"/>
              <w:start w:val="single" w:sz="4" w:space="0" w:color="4C94D8"/>
              <w:bottom w:val="single" w:sz="4" w:space="0" w:color="4C94D8"/>
              <w:end w:val="single" w:sz="4" w:space="0" w:color="4C94D8"/>
            </w:tcBorders>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I will record at least five significant learning points and use them in the final reflection.</w:t>
            </w:r>
          </w:p>
        </w:tc>
        <w:tc>
          <w:tcPr>
            <w:tcW w:w="1603" w:type="dxa"/>
            <w:tcBorders>
              <w:top w:val="nil"/>
              <w:start w:val="single" w:sz="4" w:space="0" w:color="4C94D8"/>
              <w:bottom w:val="single" w:sz="4" w:space="0" w:color="4C94D8"/>
              <w:end w:val="single" w:sz="4" w:space="0" w:color="4C94D8"/>
            </w:tcBorders>
          </w:tcPr>
          <w:p>
            <w:pPr>
              <w:pStyle w:val="NoSpacing"/>
              <w:widowControl/>
              <w:spacing w:lineRule="auto" w:line="360" w:before="0" w:after="0"/>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Pr>
                <w:rFonts w:eastAsia="Aptos" w:cs="Arial" w:ascii="Arial" w:hAnsi="Arial"/>
                <w:kern w:val="0"/>
                <w:szCs w:val="22"/>
                <w:lang w:val="en-IN" w:eastAsia="en-US" w:bidi="ar-SA"/>
              </w:rPr>
              <w:t>Throughout my next research project</w:t>
            </w:r>
          </w:p>
        </w:tc>
      </w:tr>
    </w:tbl>
    <w:p>
      <w:pPr>
        <w:pStyle w:val="Normal"/>
        <w:rPr>
          <w:rFonts w:cs="Arial"/>
        </w:rPr>
      </w:pPr>
      <w:r>
        <w:rPr>
          <w:rFonts w:cs="Arial"/>
        </w:rPr>
      </w:r>
    </w:p>
    <w:p>
      <w:pPr>
        <w:pStyle w:val="Heading1"/>
        <w:spacing w:before="0" w:after="120"/>
        <w:rPr/>
      </w:pPr>
      <w:bookmarkStart w:id="94" w:name="__RefHeading___Toc1786_621937267"/>
      <w:bookmarkStart w:id="95" w:name="_Toc237504908"/>
      <w:bookmarkEnd w:id="94"/>
      <w:r>
        <w:rPr/>
        <w:t>5. REFERENCES</w:t>
      </w:r>
      <w:bookmarkEnd w:id="95"/>
    </w:p>
    <w:p>
      <w:pPr>
        <w:pStyle w:val="Normal"/>
        <w:rPr>
          <w:rFonts w:cs="Arial"/>
        </w:rPr>
      </w:pPr>
      <w:r>
        <w:rPr>
          <w:rFonts w:cs="Arial"/>
        </w:rPr>
        <w:t>Abyaneh, A.G., Movahed, A.B., Abyari, A., Nodehfarahani, A. and Khakbazan, M., 2025. Evaluating the RFID technology in Costco company: A focus on logistics and supply chain management. </w:t>
      </w:r>
      <w:r>
        <w:rPr>
          <w:rFonts w:cs="Arial"/>
          <w:i/>
          <w:iCs/>
        </w:rPr>
        <w:t>Applied Innovations in Industrial Management</w:t>
      </w:r>
      <w:r>
        <w:rPr>
          <w:rFonts w:cs="Arial"/>
        </w:rPr>
        <w:t>, </w:t>
      </w:r>
      <w:r>
        <w:rPr>
          <w:rFonts w:cs="Arial"/>
          <w:i/>
          <w:iCs/>
        </w:rPr>
        <w:t>5</w:t>
      </w:r>
      <w:r>
        <w:rPr>
          <w:rFonts w:cs="Arial"/>
        </w:rPr>
        <w:t>(2), pp.34-51.</w:t>
      </w:r>
    </w:p>
    <w:p>
      <w:pPr>
        <w:pStyle w:val="Normal"/>
        <w:rPr>
          <w:rFonts w:cs="Arial"/>
        </w:rPr>
      </w:pPr>
      <w:r>
        <w:rPr>
          <w:rFonts w:cs="Arial"/>
        </w:rPr>
        <w:t>Al Monawer, N., 2022. </w:t>
      </w:r>
      <w:r>
        <w:rPr>
          <w:rFonts w:cs="Arial"/>
          <w:i/>
          <w:iCs/>
        </w:rPr>
        <w:t>Sourcing, Quality and Pricing Decisions for Store Brand Product Introduction</w:t>
      </w:r>
      <w:r>
        <w:rPr>
          <w:rFonts w:cs="Arial"/>
        </w:rPr>
        <w:t>. Rutgers The State University of New Jersey, Graduate School-Newark.</w:t>
      </w:r>
    </w:p>
    <w:p>
      <w:pPr>
        <w:pStyle w:val="Normal"/>
        <w:rPr>
          <w:rFonts w:cs="Arial"/>
        </w:rPr>
      </w:pPr>
      <w:r>
        <w:rPr>
          <w:rFonts w:cs="Arial"/>
        </w:rPr>
        <w:t>Baek, J.Y. and Wang, S., 2018. The localization strategies and success of Costco: focusing on a Japanese mature retail market. </w:t>
      </w:r>
      <w:r>
        <w:rPr>
          <w:rFonts w:ascii="Malgun Gothic" w:hAnsi="Malgun Gothic" w:cs="Malgun Gothic" w:hint="eastAsia" w:eastAsia="Malgun Gothic"/>
          <w:i/>
          <w:iCs/>
        </w:rPr>
        <w:t>산경연구논집</w:t>
      </w:r>
      <w:r>
        <w:rPr>
          <w:rFonts w:cs="Arial"/>
          <w:i/>
          <w:iCs/>
        </w:rPr>
        <w:t xml:space="preserve"> </w:t>
      </w:r>
      <w:r>
        <w:rPr>
          <w:rFonts w:cs="Arial"/>
          <w:i/>
          <w:iCs/>
        </w:rPr>
        <w:t>(JIDB)</w:t>
      </w:r>
      <w:r>
        <w:rPr>
          <w:rFonts w:cs="Arial"/>
        </w:rPr>
        <w:t>, </w:t>
      </w:r>
      <w:r>
        <w:rPr>
          <w:rFonts w:cs="Arial"/>
          <w:i/>
          <w:iCs/>
        </w:rPr>
        <w:t>9</w:t>
      </w:r>
      <w:r>
        <w:rPr>
          <w:rFonts w:cs="Arial"/>
        </w:rPr>
        <w:t>(2), pp.7-16.</w:t>
      </w:r>
    </w:p>
    <w:p>
      <w:pPr>
        <w:pStyle w:val="Normal"/>
        <w:rPr>
          <w:rFonts w:cs="Arial"/>
        </w:rPr>
      </w:pPr>
      <w:r>
        <w:rPr>
          <w:rFonts w:cs="Arial"/>
        </w:rPr>
        <w:t>Blind, K., Jastram, S.M. and Müller, J.A., 2024. Subsidiary strategy and importance of standards: An institutional development of the integration-responsiveness framework. </w:t>
      </w:r>
      <w:r>
        <w:rPr>
          <w:rFonts w:cs="Arial"/>
          <w:i/>
          <w:iCs/>
        </w:rPr>
        <w:t>European Management Journal</w:t>
      </w:r>
      <w:r>
        <w:rPr>
          <w:rFonts w:cs="Arial"/>
        </w:rPr>
        <w:t>.</w:t>
      </w:r>
    </w:p>
    <w:p>
      <w:pPr>
        <w:pStyle w:val="Normal"/>
        <w:rPr>
          <w:rFonts w:cs="Arial"/>
        </w:rPr>
      </w:pPr>
      <w:r>
        <w:rPr>
          <w:rFonts w:cs="Arial"/>
        </w:rPr>
        <w:t xml:space="preserve">Carvalho, L., 2026. </w:t>
      </w:r>
      <w:r>
        <w:rPr>
          <w:rFonts w:cs="Arial"/>
          <w:i/>
          <w:iCs/>
        </w:rPr>
        <w:t>South Africa Consumer Sentiment at Over 1-Year High</w:t>
      </w:r>
      <w:r>
        <w:rPr>
          <w:rFonts w:cs="Arial"/>
        </w:rPr>
        <w:t xml:space="preserve">. [online] available at </w:t>
      </w:r>
      <w:hyperlink r:id="rId7">
        <w:r>
          <w:rPr>
            <w:rStyle w:val="Hyperlink"/>
            <w:rFonts w:cs="Arial"/>
          </w:rPr>
          <w:t>https://tradingeconomics.com/south-africa/consumer-confidence/news/535890</w:t>
        </w:r>
      </w:hyperlink>
    </w:p>
    <w:p>
      <w:pPr>
        <w:pStyle w:val="Normal"/>
        <w:rPr>
          <w:rFonts w:cs="Arial"/>
        </w:rPr>
      </w:pPr>
      <w:r>
        <w:rPr>
          <w:rFonts w:cs="Arial"/>
        </w:rPr>
        <w:t xml:space="preserve">Costco, 2026. </w:t>
      </w:r>
      <w:r>
        <w:rPr>
          <w:rFonts w:cs="Arial"/>
          <w:i/>
          <w:iCs/>
        </w:rPr>
        <w:t>Company Profile.</w:t>
      </w:r>
      <w:r>
        <w:rPr>
          <w:rFonts w:cs="Arial"/>
        </w:rPr>
        <w:t xml:space="preserve"> [online] available at </w:t>
      </w:r>
      <w:hyperlink r:id="rId8">
        <w:r>
          <w:rPr>
            <w:rStyle w:val="Hyperlink"/>
            <w:rFonts w:cs="Arial"/>
          </w:rPr>
          <w:t>https://investor.costco.com/company-profile/default.aspx</w:t>
        </w:r>
      </w:hyperlink>
    </w:p>
    <w:p>
      <w:pPr>
        <w:pStyle w:val="Normal"/>
        <w:rPr>
          <w:rFonts w:cs="Arial"/>
        </w:rPr>
      </w:pPr>
      <w:r>
        <w:rPr>
          <w:rFonts w:cs="Arial"/>
        </w:rPr>
        <w:t xml:space="preserve">Costco, 2026a. </w:t>
      </w:r>
      <w:r>
        <w:rPr>
          <w:rFonts w:cs="Arial"/>
          <w:i/>
          <w:iCs/>
        </w:rPr>
        <w:t>Costco Wholesale Corporation Reports May Sales Results.</w:t>
      </w:r>
      <w:r>
        <w:rPr>
          <w:rFonts w:cs="Arial"/>
        </w:rPr>
        <w:t xml:space="preserve"> [online] available at </w:t>
      </w:r>
      <w:hyperlink r:id="rId9">
        <w:r>
          <w:rPr>
            <w:rStyle w:val="Hyperlink"/>
            <w:rFonts w:cs="Arial"/>
          </w:rPr>
          <w:t>https://investor.costco.com/news/news-details/2026/Costco-Wholesale-Corporation-Reports-May-Sales-Results/default.aspx</w:t>
        </w:r>
      </w:hyperlink>
    </w:p>
    <w:p>
      <w:pPr>
        <w:pStyle w:val="Normal"/>
        <w:rPr>
          <w:rFonts w:cs="Arial"/>
        </w:rPr>
      </w:pPr>
      <w:r>
        <w:rPr>
          <w:rFonts w:cs="Arial"/>
        </w:rPr>
        <w:t>Cumming, T.L., Shackleton, R.T., Förster, J., Dini, J., Khan, A., Gumula, M. and Kubiszewski, I., 2017. Achieving the national development agenda and the Sustainable Development Goals (SDGs) through investment in ecological infrastructure: A case study of South Africa. </w:t>
      </w:r>
      <w:r>
        <w:rPr>
          <w:rFonts w:cs="Arial"/>
          <w:i/>
          <w:iCs/>
        </w:rPr>
        <w:t>Ecosystem services</w:t>
      </w:r>
      <w:r>
        <w:rPr>
          <w:rFonts w:cs="Arial"/>
        </w:rPr>
        <w:t>, </w:t>
      </w:r>
      <w:r>
        <w:rPr>
          <w:rFonts w:cs="Arial"/>
          <w:i/>
          <w:iCs/>
        </w:rPr>
        <w:t>27</w:t>
      </w:r>
      <w:r>
        <w:rPr>
          <w:rFonts w:cs="Arial"/>
        </w:rPr>
        <w:t>, pp.253-260.</w:t>
      </w:r>
    </w:p>
    <w:p>
      <w:pPr>
        <w:pStyle w:val="Normal"/>
        <w:rPr>
          <w:rFonts w:cs="Arial"/>
        </w:rPr>
      </w:pPr>
      <w:r>
        <w:rPr>
          <w:rFonts w:cs="Arial"/>
        </w:rPr>
        <w:t xml:space="preserve">Euromonitor, 2026. </w:t>
      </w:r>
      <w:r>
        <w:rPr>
          <w:rFonts w:cs="Arial"/>
          <w:i/>
          <w:iCs/>
        </w:rPr>
        <w:t>Hypermarkets in South Africa</w:t>
      </w:r>
      <w:r>
        <w:rPr>
          <w:rFonts w:cs="Arial"/>
        </w:rPr>
        <w:t xml:space="preserve">. [online] available at </w:t>
      </w:r>
      <w:hyperlink r:id="rId10">
        <w:r>
          <w:rPr>
            <w:rStyle w:val="Hyperlink"/>
            <w:rFonts w:cs="Arial"/>
          </w:rPr>
          <w:t>https://www.euromonitor.com/hypermarkets-in-south-africa/report</w:t>
        </w:r>
      </w:hyperlink>
    </w:p>
    <w:p>
      <w:pPr>
        <w:pStyle w:val="Normal"/>
        <w:rPr>
          <w:rFonts w:cs="Arial"/>
        </w:rPr>
      </w:pPr>
      <w:r>
        <w:rPr>
          <w:rFonts w:cs="Arial"/>
        </w:rPr>
        <w:t xml:space="preserve">IMF, 2026. </w:t>
      </w:r>
      <w:r>
        <w:rPr>
          <w:rFonts w:cs="Arial"/>
          <w:i/>
          <w:iCs/>
        </w:rPr>
        <w:t>South Africa.</w:t>
      </w:r>
      <w:r>
        <w:rPr>
          <w:rFonts w:cs="Arial"/>
        </w:rPr>
        <w:t xml:space="preserve"> [online] available at </w:t>
      </w:r>
      <w:hyperlink r:id="rId11">
        <w:r>
          <w:rPr>
            <w:rStyle w:val="Hyperlink"/>
            <w:rFonts w:cs="Arial"/>
          </w:rPr>
          <w:t>https://www.imf.org/en/countries/zaf</w:t>
        </w:r>
      </w:hyperlink>
    </w:p>
    <w:p>
      <w:pPr>
        <w:pStyle w:val="Normal"/>
        <w:rPr>
          <w:rFonts w:cs="Arial"/>
        </w:rPr>
      </w:pPr>
      <w:r>
        <w:rPr>
          <w:rFonts w:cs="Arial"/>
        </w:rPr>
        <w:t xml:space="preserve">IMF, 2026a. </w:t>
      </w:r>
      <w:r>
        <w:rPr>
          <w:rFonts w:cs="Arial"/>
          <w:i/>
          <w:iCs/>
        </w:rPr>
        <w:t>IMF Executive Board Concludes 2025 Article IV Consultation with South Africa.</w:t>
      </w:r>
      <w:r>
        <w:rPr>
          <w:rFonts w:cs="Arial"/>
        </w:rPr>
        <w:t xml:space="preserve"> [online] available at </w:t>
      </w:r>
      <w:hyperlink r:id="rId12">
        <w:r>
          <w:rPr>
            <w:rStyle w:val="Hyperlink"/>
            <w:rFonts w:cs="Arial"/>
          </w:rPr>
          <w:t>https://www.imf.org/en/news/articles/2026/02/10/pr-26039-south-africa-imf-executive-board-concludes-2025-article-iv-consultation</w:t>
        </w:r>
      </w:hyperlink>
    </w:p>
    <w:p>
      <w:pPr>
        <w:pStyle w:val="Normal"/>
        <w:rPr>
          <w:rFonts w:cs="Arial"/>
        </w:rPr>
      </w:pPr>
      <w:r>
        <w:rPr>
          <w:rFonts w:cs="Arial"/>
        </w:rPr>
        <w:t>Johnson, S., 2025. Investment analysis of Costco: a comprehensive strategic and financial Evaluation.</w:t>
      </w:r>
    </w:p>
    <w:p>
      <w:pPr>
        <w:pStyle w:val="Normal"/>
        <w:rPr>
          <w:rFonts w:cs="Arial"/>
        </w:rPr>
      </w:pPr>
      <w:r>
        <w:rPr>
          <w:rFonts w:cs="Arial"/>
        </w:rPr>
        <w:t>Khiba, M., 2021. What are the implications of South Africa's Protection of Investment Act on the SADC regions' aims to harmonise investment policy within the region, and how can possible inconsistencies and challenges be overcome?.</w:t>
      </w:r>
    </w:p>
    <w:p>
      <w:pPr>
        <w:pStyle w:val="Normal"/>
        <w:rPr>
          <w:rFonts w:cs="Arial"/>
        </w:rPr>
      </w:pPr>
      <w:r>
        <w:rPr>
          <w:rFonts w:cs="Arial"/>
        </w:rPr>
        <w:t>Mali, K., 2025. </w:t>
      </w:r>
      <w:r>
        <w:rPr>
          <w:rFonts w:cs="Arial"/>
          <w:i/>
          <w:iCs/>
        </w:rPr>
        <w:t>South African infrastructure development: potential partners, obstacles, and growth prospects</w:t>
      </w:r>
      <w:r>
        <w:rPr>
          <w:rFonts w:cs="Arial"/>
        </w:rPr>
        <w:t> (Doctoral dissertation, University of the Western Cape).</w:t>
      </w:r>
    </w:p>
    <w:p>
      <w:pPr>
        <w:pStyle w:val="Normal"/>
        <w:rPr>
          <w:rFonts w:cs="Arial"/>
        </w:rPr>
      </w:pPr>
      <w:r>
        <w:rPr>
          <w:rFonts w:cs="Arial"/>
        </w:rPr>
        <w:t>Pokharna, S., 2025. Costco's Business Strategy. </w:t>
      </w:r>
      <w:r>
        <w:rPr>
          <w:rFonts w:cs="Arial"/>
          <w:i/>
          <w:iCs/>
        </w:rPr>
        <w:t>Available at SSRN 5287001</w:t>
      </w:r>
      <w:r>
        <w:rPr>
          <w:rFonts w:cs="Arial"/>
        </w:rPr>
        <w:t>.</w:t>
      </w:r>
    </w:p>
    <w:p>
      <w:pPr>
        <w:pStyle w:val="Normal"/>
        <w:rPr>
          <w:rFonts w:cs="Arial"/>
        </w:rPr>
      </w:pPr>
      <w:r>
        <w:rPr>
          <w:rFonts w:cs="Arial"/>
        </w:rPr>
        <w:t xml:space="preserve">Raath, P., 2026. </w:t>
      </w:r>
      <w:r>
        <w:rPr>
          <w:rFonts w:cs="Arial"/>
          <w:i/>
          <w:iCs/>
        </w:rPr>
        <w:t>Consumer Protection Act Amendment Regulations, 2026.</w:t>
      </w:r>
      <w:r>
        <w:rPr>
          <w:rFonts w:cs="Arial"/>
        </w:rPr>
        <w:t xml:space="preserve"> [online] available at </w:t>
      </w:r>
      <w:hyperlink r:id="rId13">
        <w:r>
          <w:rPr>
            <w:rStyle w:val="Hyperlink"/>
            <w:rFonts w:cs="Arial"/>
          </w:rPr>
          <w:t>https://www.ensafrica.com/news/detail/11656/newsflash-consumer-protection-act-amendment-r</w:t>
        </w:r>
      </w:hyperlink>
    </w:p>
    <w:p>
      <w:pPr>
        <w:pStyle w:val="Normal"/>
        <w:rPr>
          <w:rFonts w:cs="Arial"/>
        </w:rPr>
      </w:pPr>
      <w:r>
        <w:rPr>
          <w:rFonts w:cs="Arial"/>
        </w:rPr>
        <w:t xml:space="preserve">Reuters, 2022. </w:t>
      </w:r>
      <w:r>
        <w:rPr>
          <w:rFonts w:cs="Arial"/>
          <w:i/>
          <w:iCs/>
        </w:rPr>
        <w:t xml:space="preserve">Costco buys remaining stake in Taiwan joint venture for $1.05 bln.  </w:t>
      </w:r>
      <w:r>
        <w:rPr>
          <w:rFonts w:cs="Arial"/>
        </w:rPr>
        <w:t xml:space="preserve">[online] available at </w:t>
      </w:r>
      <w:hyperlink r:id="rId14">
        <w:r>
          <w:rPr>
            <w:rStyle w:val="Hyperlink"/>
            <w:rFonts w:cs="Arial"/>
          </w:rPr>
          <w:t>https://www.sec.gov/Archives/edgar/data/909832/000119312512273757/d368711dex991.htm</w:t>
        </w:r>
      </w:hyperlink>
    </w:p>
    <w:p>
      <w:pPr>
        <w:pStyle w:val="Normal"/>
        <w:rPr>
          <w:rFonts w:cs="Arial"/>
        </w:rPr>
      </w:pPr>
      <w:r>
        <w:rPr>
          <w:rFonts w:cs="Arial"/>
        </w:rPr>
        <w:t xml:space="preserve">SA GOV, 2026. </w:t>
      </w:r>
      <w:r>
        <w:rPr>
          <w:rFonts w:cs="Arial"/>
          <w:i/>
          <w:iCs/>
        </w:rPr>
        <w:t>Minister Nomakhosazana Meth increases statutory National Minimum Wage to R30,23 per hour.</w:t>
      </w:r>
      <w:r>
        <w:rPr>
          <w:rFonts w:cs="Arial"/>
        </w:rPr>
        <w:t xml:space="preserve"> [online] available at </w:t>
      </w:r>
      <w:hyperlink r:id="rId15">
        <w:r>
          <w:rPr>
            <w:rStyle w:val="Hyperlink"/>
            <w:rFonts w:cs="Arial"/>
          </w:rPr>
          <w:t>https://www.gov.za/news/media-statements/minister-nomakhosazana-meth-increases-statutory-national-minimum-wage-r3023</w:t>
        </w:r>
      </w:hyperlink>
    </w:p>
    <w:p>
      <w:pPr>
        <w:pStyle w:val="Normal"/>
        <w:rPr>
          <w:rFonts w:cs="Arial"/>
        </w:rPr>
      </w:pPr>
      <w:r>
        <w:rPr>
          <w:rFonts w:cs="Arial"/>
        </w:rPr>
        <w:t>SAKATA, B.N., 2025. </w:t>
      </w:r>
      <w:r>
        <w:rPr>
          <w:rFonts w:cs="Arial"/>
          <w:i/>
          <w:iCs/>
        </w:rPr>
        <w:t>The provisions of the South African Competition Act 89 of 1998 relating to small and medium-sized enterprises</w:t>
      </w:r>
      <w:r>
        <w:rPr>
          <w:rFonts w:cs="Arial"/>
        </w:rPr>
        <w:t> (Doctoral dissertation, University of Pretoria).</w:t>
      </w:r>
    </w:p>
    <w:p>
      <w:pPr>
        <w:pStyle w:val="Normal"/>
        <w:rPr>
          <w:rFonts w:cs="Arial"/>
        </w:rPr>
      </w:pPr>
      <w:r>
        <w:rPr>
          <w:rFonts w:cs="Arial"/>
        </w:rPr>
        <w:t>Sarisa, L., 2021. Business strategies in the retail supermarkets industry: A comparative case study analysis of Costco and Aldi.</w:t>
      </w:r>
    </w:p>
    <w:p>
      <w:pPr>
        <w:pStyle w:val="Normal"/>
        <w:rPr>
          <w:rFonts w:cs="Arial"/>
        </w:rPr>
      </w:pPr>
      <w:r>
        <w:rPr>
          <w:rFonts w:cs="Arial"/>
        </w:rPr>
        <w:t xml:space="preserve">SEC Gov, 2012. </w:t>
      </w:r>
      <w:r>
        <w:rPr>
          <w:rFonts w:cs="Arial"/>
          <w:i/>
          <w:iCs/>
        </w:rPr>
        <w:t>COSTCO WHOLESALE CORPORATION AND CONTROLADORA COMERCIAL MEXICANA - AGREE TO TRANSACTION CONCERNING COSTCO DE MÉXICO.</w:t>
      </w:r>
      <w:r>
        <w:rPr>
          <w:rFonts w:cs="Arial"/>
        </w:rPr>
        <w:t xml:space="preserve"> [online] available at </w:t>
      </w:r>
      <w:hyperlink r:id="rId16">
        <w:r>
          <w:rPr>
            <w:rStyle w:val="Hyperlink"/>
            <w:rFonts w:cs="Arial"/>
          </w:rPr>
          <w:t>https://www.sec.gov/Archives/edgar/data/909832/000119312512273757/d368711dex991.htm</w:t>
        </w:r>
      </w:hyperlink>
    </w:p>
    <w:p>
      <w:pPr>
        <w:pStyle w:val="Normal"/>
        <w:rPr>
          <w:rFonts w:cs="Arial"/>
        </w:rPr>
      </w:pPr>
      <w:r>
        <w:rPr>
          <w:rFonts w:cs="Arial"/>
          <w:lang w:val="en-IN"/>
        </w:rPr>
        <w:t xml:space="preserve">Stats SA, 2025. </w:t>
      </w:r>
      <w:r>
        <w:rPr>
          <w:rFonts w:cs="Arial"/>
          <w:i/>
          <w:iCs/>
          <w:lang w:val="en-IN"/>
        </w:rPr>
        <w:t>Income &amp; Expenditure Survey (IES) 2022/2023</w:t>
      </w:r>
      <w:r>
        <w:rPr>
          <w:rFonts w:cs="Arial"/>
          <w:lang w:val="en-IN"/>
        </w:rPr>
        <w:t xml:space="preserve">. </w:t>
      </w:r>
      <w:r>
        <w:rPr>
          <w:rFonts w:cs="Arial"/>
        </w:rPr>
        <w:t xml:space="preserve">[online] available at </w:t>
      </w:r>
      <w:hyperlink r:id="rId17">
        <w:r>
          <w:rPr>
            <w:rStyle w:val="Hyperlink"/>
            <w:rFonts w:cs="Arial"/>
          </w:rPr>
          <w:t>https://www.statssa.gov.za/?p=17995</w:t>
        </w:r>
      </w:hyperlink>
    </w:p>
    <w:p>
      <w:pPr>
        <w:pStyle w:val="Normal"/>
        <w:rPr>
          <w:rFonts w:cs="Arial"/>
        </w:rPr>
      </w:pPr>
      <w:r>
        <w:rPr>
          <w:rFonts w:cs="Arial"/>
          <w:lang w:val="en-IN"/>
        </w:rPr>
        <w:t xml:space="preserve">Stats SA, 2025a. </w:t>
      </w:r>
      <w:r>
        <w:rPr>
          <w:rFonts w:cs="Arial"/>
          <w:i/>
          <w:iCs/>
          <w:lang w:val="en-IN"/>
        </w:rPr>
        <w:t>Mbalo Brief – February 2025</w:t>
      </w:r>
      <w:r>
        <w:rPr>
          <w:rFonts w:cs="Arial"/>
          <w:lang w:val="en-IN"/>
        </w:rPr>
        <w:t xml:space="preserve">. </w:t>
      </w:r>
      <w:r>
        <w:rPr>
          <w:rFonts w:cs="Arial"/>
        </w:rPr>
        <w:t xml:space="preserve">[online] available at </w:t>
      </w:r>
      <w:hyperlink r:id="rId18">
        <w:r>
          <w:rPr>
            <w:rStyle w:val="Hyperlink"/>
            <w:rFonts w:cs="Arial"/>
          </w:rPr>
          <w:t>https://www.statssa.gov.za/?p=18021</w:t>
        </w:r>
      </w:hyperlink>
    </w:p>
    <w:p>
      <w:pPr>
        <w:pStyle w:val="Normal"/>
        <w:rPr>
          <w:rFonts w:cs="Arial"/>
        </w:rPr>
      </w:pPr>
      <w:r>
        <w:rPr>
          <w:rFonts w:cs="Arial"/>
          <w:lang w:val="en-IN"/>
        </w:rPr>
        <w:t xml:space="preserve">Stats SA, 2026. </w:t>
      </w:r>
      <w:r>
        <w:rPr>
          <w:rFonts w:cs="Arial"/>
          <w:i/>
          <w:iCs/>
          <w:lang w:val="en-IN"/>
        </w:rPr>
        <w:t>Economic wrap-up for February 2026</w:t>
      </w:r>
      <w:r>
        <w:rPr>
          <w:rFonts w:cs="Arial"/>
          <w:lang w:val="en-IN"/>
        </w:rPr>
        <w:t xml:space="preserve">. </w:t>
      </w:r>
      <w:r>
        <w:rPr>
          <w:rFonts w:cs="Arial"/>
        </w:rPr>
        <w:t xml:space="preserve">[online] available at </w:t>
      </w:r>
      <w:hyperlink r:id="rId19">
        <w:r>
          <w:rPr>
            <w:rStyle w:val="Hyperlink"/>
            <w:rFonts w:cs="Arial"/>
          </w:rPr>
          <w:t>https://www.statssa.gov.za/?p=19259</w:t>
        </w:r>
      </w:hyperlink>
    </w:p>
    <w:p>
      <w:pPr>
        <w:pStyle w:val="Normal"/>
        <w:rPr>
          <w:rFonts w:cs="Arial"/>
        </w:rPr>
      </w:pPr>
      <w:r>
        <w:rPr>
          <w:rFonts w:cs="Arial"/>
        </w:rPr>
        <w:t>Thwala, P. and Vilakazi, M., 2024. The Government of National Unity in South Africa 2024: A threat or an opportunity?. </w:t>
      </w:r>
      <w:r>
        <w:rPr>
          <w:rFonts w:cs="Arial"/>
          <w:i/>
          <w:iCs/>
        </w:rPr>
        <w:t>Available at SSRN 5015643</w:t>
      </w:r>
      <w:r>
        <w:rPr>
          <w:rFonts w:cs="Arial"/>
        </w:rPr>
        <w:t>.</w:t>
      </w:r>
    </w:p>
    <w:p>
      <w:pPr>
        <w:pStyle w:val="Normal"/>
        <w:rPr>
          <w:rFonts w:cs="Arial"/>
        </w:rPr>
      </w:pPr>
      <w:r>
        <w:rPr>
          <w:rFonts w:cs="Arial"/>
        </w:rPr>
        <w:t>Vaja, J.R., 2022. How branding have major role play as Marketing Strategy?. </w:t>
      </w:r>
      <w:r>
        <w:rPr>
          <w:rFonts w:cs="Arial"/>
          <w:i/>
          <w:iCs/>
        </w:rPr>
        <w:t>TECHNO REVIEW Journal of Technology and Management</w:t>
      </w:r>
      <w:r>
        <w:rPr>
          <w:rFonts w:cs="Arial"/>
        </w:rPr>
        <w:t>, </w:t>
      </w:r>
      <w:r>
        <w:rPr>
          <w:rFonts w:cs="Arial"/>
          <w:i/>
          <w:iCs/>
        </w:rPr>
        <w:t>2</w:t>
      </w:r>
      <w:r>
        <w:rPr>
          <w:rFonts w:cs="Arial"/>
        </w:rPr>
        <w:t>(2), pp.21-26.</w:t>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rPr>
          <w:rFonts w:cs="Arial"/>
        </w:rPr>
      </w:pPr>
      <w:r>
        <w:rPr>
          <w:rFonts w:cs="Arial"/>
        </w:rPr>
      </w:r>
    </w:p>
    <w:p>
      <w:pPr>
        <w:pStyle w:val="Normal"/>
        <w:spacing w:before="120" w:after="120"/>
        <w:rPr>
          <w:rFonts w:cs="Arial"/>
        </w:rPr>
      </w:pPr>
      <w:r>
        <w:rPr>
          <w:rFonts w:cs="Arial"/>
        </w:rPr>
      </w:r>
    </w:p>
    <w:sectPr>
      <w:footerReference w:type="even" r:id="rId20"/>
      <w:footerReference w:type="default" r:id="rId21"/>
      <w:footerReference w:type="first" r:id="rId22"/>
      <w:type w:val="nextPage"/>
      <w:pgSz w:w="11906" w:h="16838"/>
      <w:pgMar w:left="1440" w:right="1440" w:gutter="0" w:header="0" w:top="1440" w:footer="708" w:bottom="1440"/>
      <w:pgBorders w:display="allPages" w:offsetFrom="page">
        <w:top w:val="single" w:sz="4" w:space="24" w:color="000000"/>
        <w:left w:val="single" w:sz="4" w:space="24" w:color="000000"/>
        <w:bottom w:val="single" w:sz="4" w:space="24" w:color="000000"/>
        <w:right w:val="single" w:sz="4" w:space="24" w:color="000000"/>
      </w:pgBorders>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Aptos">
    <w:charset w:val="00" w:characterSet="windows-1252"/>
    <w:family w:val="roman"/>
    <w:pitch w:val="variable"/>
  </w:font>
  <w:font w:name="Aptos">
    <w:charset w:val="00" w:characterSet="windows-1252"/>
    <w:family w:val="swiss"/>
    <w:pitch w:val="variable"/>
  </w:font>
  <w:font w:name="Aptos Display">
    <w:charset w:val="00" w:characterSet="windows-1252"/>
    <w:family w:val="roman"/>
    <w:pitch w:val="variable"/>
  </w:font>
  <w:font w:name="Liberation Sans">
    <w:altName w:val="Arial"/>
    <w:charset w:val="00" w:characterSet="windows-1252"/>
    <w:family w:val="swiss"/>
    <w:pitch w:val="variable"/>
  </w:font>
  <w:font w:name="Aptos Display">
    <w:charset w:val="00" w:characterSet="windows-1252"/>
    <w:family w:val="swiss"/>
    <w:pitch w:val="variable"/>
  </w:font>
  <w:font w:name="Malgun Gothic">
    <w:charset w:val="00" w:characterSet="windows-1252"/>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id w:val="2098902145"/>
      <w:docPartObj>
        <w:docPartGallery w:val="Page Numbers (Bottom of Page)"/>
        <w:docPartUnique w:val="true"/>
      </w:docPartObj>
    </w:sdtPr>
    <w:sdtContent>
      <w:p>
        <w:pPr>
          <w:pStyle w:val="Footer"/>
          <w:jc w:val="end"/>
          <w:rPr/>
        </w:pPr>
        <w:r>
          <w:rPr/>
          <w:fldChar w:fldCharType="begin"/>
        </w:r>
        <w:r>
          <w:rPr/>
          <w:instrText xml:space="preserve"> PAGE </w:instrText>
        </w:r>
        <w:r>
          <w:rPr/>
          <w:fldChar w:fldCharType="separate"/>
        </w:r>
        <w:r>
          <w:rPr/>
          <w:t>27</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id w:val="2098902145"/>
      <w:docPartObj>
        <w:docPartGallery w:val="Page Numbers (Bottom of Page)"/>
        <w:docPartUnique w:val="true"/>
      </w:docPartObj>
    </w:sdtPr>
    <w:sdtContent>
      <w:p>
        <w:pPr>
          <w:pStyle w:val="Footer"/>
          <w:jc w:val="end"/>
          <w:rPr/>
        </w:pPr>
        <w:r>
          <w:rPr/>
          <w:fldChar w:fldCharType="begin"/>
        </w:r>
        <w:r>
          <w:rPr/>
          <w:instrText xml:space="preserve"> PAGE </w:instrText>
        </w:r>
        <w:r>
          <w:rPr/>
          <w:fldChar w:fldCharType="separate"/>
        </w:r>
        <w:r>
          <w:rPr/>
          <w:t>27</w:t>
        </w:r>
        <w:r>
          <w:rPr/>
          <w:fldChar w:fldCharType="end"/>
        </w:r>
      </w:p>
    </w:sdtContent>
  </w:sdt>
  <w:p>
    <w:pPr>
      <w:pStyle w:val="Footer"/>
      <w:rPr/>
    </w:pPr>
    <w:r>
      <w:rPr/>
    </w:r>
  </w:p>
</w:ftr>
</file>

<file path=word/settings.xml><?xml version="1.0" encoding="utf-8"?>
<w:settings xmlns:w="http://schemas.openxmlformats.org/wordprocessingml/2006/main">
  <w:zoom w:percent="60"/>
  <w:defaultTabStop w:val="720"/>
  <w:autoHyphenation w:val="true"/>
  <w:hyphenationZone w:val="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QwNrE0sbQwMDKyMLdU0lEKTi0uzszPAykwqgUAOfTdWCwAAAA="/>
  </w:docVars>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Aptos" w:cs="" w:asciiTheme="minorHAnsi" w:cstheme="minorBidi" w:eastAsiaTheme="minorHAnsi" w:hAnsiTheme="minorHAnsi"/>
        <w:sz w:val="22"/>
        <w:szCs w:val="22"/>
        <w:lang w:val="en-IN"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748e6"/>
    <w:pPr>
      <w:widowControl/>
      <w:bidi w:val="0"/>
      <w:spacing w:lineRule="auto" w:line="360" w:before="120" w:after="120"/>
      <w:jc w:val="both"/>
    </w:pPr>
    <w:rPr>
      <w:rFonts w:ascii="Arial" w:hAnsi="Arial" w:eastAsia="Aptos" w:cs="" w:cstheme="minorBidi" w:eastAsiaTheme="minorHAnsi"/>
      <w:color w:val="auto"/>
      <w:kern w:val="0"/>
      <w:sz w:val="24"/>
      <w:szCs w:val="22"/>
      <w:lang w:val="en-GB" w:eastAsia="en-US" w:bidi="ar-SA"/>
    </w:rPr>
  </w:style>
  <w:style w:type="paragraph" w:styleId="Heading1">
    <w:name w:val="heading 1"/>
    <w:basedOn w:val="Normal"/>
    <w:next w:val="Normal"/>
    <w:link w:val="Heading1Char"/>
    <w:autoRedefine/>
    <w:uiPriority w:val="9"/>
    <w:qFormat/>
    <w:rsid w:val="00d93aa0"/>
    <w:pPr>
      <w:keepNext w:val="true"/>
      <w:keepLines/>
      <w:outlineLvl w:val="0"/>
    </w:pPr>
    <w:rPr>
      <w:rFonts w:eastAsia="" w:eastAsiaTheme="majorEastAsia"/>
      <w:b/>
      <w:bCs/>
      <w:color w:themeColor="text1" w:val="000000"/>
      <w:kern w:val="2"/>
      <w:szCs w:val="48"/>
      <w:lang w:eastAsia="en-IN"/>
    </w:rPr>
  </w:style>
  <w:style w:type="paragraph" w:styleId="Heading2">
    <w:name w:val="heading 2"/>
    <w:basedOn w:val="Normal"/>
    <w:next w:val="Normal"/>
    <w:link w:val="Heading2Char"/>
    <w:autoRedefine/>
    <w:uiPriority w:val="9"/>
    <w:unhideWhenUsed/>
    <w:qFormat/>
    <w:rsid w:val="00bb768a"/>
    <w:pPr>
      <w:keepNext w:val="true"/>
      <w:keepLines/>
      <w:outlineLvl w:val="1"/>
    </w:pPr>
    <w:rPr>
      <w:rFonts w:eastAsia="" w:cs="" w:cstheme="majorBidi" w:eastAsiaTheme="majorEastAsia"/>
      <w:b/>
      <w:i/>
      <w:szCs w:val="32"/>
    </w:rPr>
  </w:style>
  <w:style w:type="paragraph" w:styleId="Heading3">
    <w:name w:val="heading 3"/>
    <w:basedOn w:val="Normal"/>
    <w:next w:val="Normal"/>
    <w:link w:val="Heading3Char"/>
    <w:uiPriority w:val="9"/>
    <w:unhideWhenUsed/>
    <w:qFormat/>
    <w:rsid w:val="00440c86"/>
    <w:pPr>
      <w:keepNext w:val="true"/>
      <w:keepLines/>
      <w:outlineLvl w:val="2"/>
    </w:pPr>
    <w:rPr>
      <w:rFonts w:eastAsia="" w:cs="" w:cstheme="majorBidi" w:eastAsiaTheme="majorEastAsia"/>
      <w:i/>
      <w:color w:themeColor="text1" w:val="000000"/>
      <w:szCs w:val="28"/>
      <w:u w:val="single"/>
    </w:rPr>
  </w:style>
  <w:style w:type="paragraph" w:styleId="Heading4">
    <w:name w:val="heading 4"/>
    <w:basedOn w:val="Normal"/>
    <w:next w:val="Normal"/>
    <w:link w:val="Heading4Char"/>
    <w:uiPriority w:val="9"/>
    <w:semiHidden/>
    <w:unhideWhenUsed/>
    <w:qFormat/>
    <w:rsid w:val="00bb768a"/>
    <w:pPr>
      <w:keepNext w:val="true"/>
      <w:keepLines/>
      <w:spacing w:before="80" w:after="40"/>
      <w:outlineLvl w:val="3"/>
    </w:pPr>
    <w:rPr>
      <w:rFonts w:ascii="Aptos" w:hAnsi="Aptos" w:eastAsia="" w:cs="" w:asciiTheme="minorHAnsi" w:cstheme="majorBidi" w:eastAsiaTheme="majorEastAsia" w:hAnsiTheme="minorHAnsi"/>
      <w:i/>
      <w:iCs/>
      <w:color w:themeColor="accent1" w:themeShade="bf" w:val="0F4761"/>
    </w:rPr>
  </w:style>
  <w:style w:type="paragraph" w:styleId="Heading5">
    <w:name w:val="heading 5"/>
    <w:basedOn w:val="Normal"/>
    <w:next w:val="Normal"/>
    <w:link w:val="Heading5Char"/>
    <w:uiPriority w:val="9"/>
    <w:semiHidden/>
    <w:unhideWhenUsed/>
    <w:qFormat/>
    <w:rsid w:val="00bb768a"/>
    <w:pPr>
      <w:keepNext w:val="true"/>
      <w:keepLines/>
      <w:spacing w:before="80" w:after="40"/>
      <w:outlineLvl w:val="4"/>
    </w:pPr>
    <w:rPr>
      <w:rFonts w:ascii="Aptos" w:hAnsi="Aptos" w:eastAsia="" w:cs="" w:asciiTheme="minorHAnsi" w:cstheme="majorBidi" w:eastAsiaTheme="majorEastAsia" w:hAnsiTheme="minorHAnsi"/>
      <w:color w:themeColor="accent1" w:themeShade="bf" w:val="0F4761"/>
    </w:rPr>
  </w:style>
  <w:style w:type="paragraph" w:styleId="Heading6">
    <w:name w:val="heading 6"/>
    <w:basedOn w:val="Normal"/>
    <w:next w:val="Normal"/>
    <w:link w:val="Heading6Char"/>
    <w:uiPriority w:val="9"/>
    <w:semiHidden/>
    <w:unhideWhenUsed/>
    <w:qFormat/>
    <w:rsid w:val="00bb768a"/>
    <w:pPr>
      <w:keepNext w:val="true"/>
      <w:keepLines/>
      <w:spacing w:before="40" w:after="0"/>
      <w:outlineLvl w:val="5"/>
    </w:pPr>
    <w:rPr>
      <w:rFonts w:ascii="Aptos" w:hAnsi="Aptos" w:eastAsia="" w:cs="" w:asciiTheme="minorHAnsi" w:cstheme="majorBidi" w:eastAsiaTheme="majorEastAsia" w:hAnsiTheme="minorHAnsi"/>
      <w:i/>
      <w:iCs/>
      <w:color w:themeColor="text1" w:themeTint="a6" w:val="595959"/>
    </w:rPr>
  </w:style>
  <w:style w:type="paragraph" w:styleId="Heading7">
    <w:name w:val="heading 7"/>
    <w:basedOn w:val="Normal"/>
    <w:next w:val="Normal"/>
    <w:link w:val="Heading7Char"/>
    <w:uiPriority w:val="9"/>
    <w:semiHidden/>
    <w:unhideWhenUsed/>
    <w:qFormat/>
    <w:rsid w:val="00bb768a"/>
    <w:pPr>
      <w:keepNext w:val="true"/>
      <w:keepLines/>
      <w:spacing w:before="40" w:after="0"/>
      <w:outlineLvl w:val="6"/>
    </w:pPr>
    <w:rPr>
      <w:rFonts w:ascii="Aptos" w:hAnsi="Aptos" w:eastAsia="" w:cs="" w:asciiTheme="minorHAnsi" w:cstheme="majorBidi" w:eastAsiaTheme="majorEastAsia" w:hAnsiTheme="minorHAnsi"/>
      <w:color w:themeColor="text1" w:themeTint="a6" w:val="595959"/>
    </w:rPr>
  </w:style>
  <w:style w:type="paragraph" w:styleId="Heading8">
    <w:name w:val="heading 8"/>
    <w:basedOn w:val="Normal"/>
    <w:next w:val="Normal"/>
    <w:link w:val="Heading8Char"/>
    <w:uiPriority w:val="9"/>
    <w:semiHidden/>
    <w:unhideWhenUsed/>
    <w:qFormat/>
    <w:rsid w:val="00bb768a"/>
    <w:pPr>
      <w:keepNext w:val="true"/>
      <w:keepLines/>
      <w:spacing w:before="0" w:after="0"/>
      <w:outlineLvl w:val="7"/>
    </w:pPr>
    <w:rPr>
      <w:rFonts w:ascii="Aptos" w:hAnsi="Aptos" w:eastAsia="" w:cs="" w:asciiTheme="minorHAnsi" w:cstheme="majorBidi" w:eastAsiaTheme="majorEastAsia" w:hAnsiTheme="minorHAnsi"/>
      <w:i/>
      <w:iCs/>
      <w:color w:themeColor="text1" w:themeTint="d8" w:val="272727"/>
    </w:rPr>
  </w:style>
  <w:style w:type="paragraph" w:styleId="Heading9">
    <w:name w:val="heading 9"/>
    <w:basedOn w:val="Normal"/>
    <w:next w:val="Normal"/>
    <w:link w:val="Heading9Char"/>
    <w:uiPriority w:val="9"/>
    <w:semiHidden/>
    <w:unhideWhenUsed/>
    <w:qFormat/>
    <w:rsid w:val="00bb768a"/>
    <w:pPr>
      <w:keepNext w:val="true"/>
      <w:keepLines/>
      <w:spacing w:before="0" w:after="0"/>
      <w:outlineLvl w:val="8"/>
    </w:pPr>
    <w:rPr>
      <w:rFonts w:ascii="Aptos" w:hAnsi="Aptos" w:eastAsia="" w:cs="" w:asciiTheme="minorHAnsi" w:cstheme="majorBidi" w:eastAsiaTheme="majorEastAsia" w:hAnsiTheme="minorHAnsi"/>
      <w:color w:themeColor="text1" w:themeTint="d8" w:val="272727"/>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d93aa0"/>
    <w:rPr>
      <w:rFonts w:ascii="Times New Roman" w:hAnsi="Times New Roman" w:eastAsia="" w:eastAsiaTheme="majorEastAsia"/>
      <w:b/>
      <w:bCs/>
      <w:color w:themeColor="text1" w:val="000000"/>
      <w:kern w:val="2"/>
      <w:sz w:val="24"/>
      <w:szCs w:val="48"/>
      <w:lang w:eastAsia="en-IN"/>
    </w:rPr>
  </w:style>
  <w:style w:type="character" w:styleId="Heading2Char" w:customStyle="1">
    <w:name w:val="Heading 2 Char"/>
    <w:basedOn w:val="DefaultParagraphFont"/>
    <w:link w:val="Heading2"/>
    <w:uiPriority w:val="9"/>
    <w:qFormat/>
    <w:rsid w:val="00bb768a"/>
    <w:rPr>
      <w:rFonts w:ascii="Times New Roman" w:hAnsi="Times New Roman" w:eastAsia="" w:cs="" w:cstheme="majorBidi" w:eastAsiaTheme="majorEastAsia"/>
      <w:b/>
      <w:i/>
      <w:sz w:val="24"/>
      <w:szCs w:val="32"/>
      <w:lang w:val="en-GB"/>
    </w:rPr>
  </w:style>
  <w:style w:type="character" w:styleId="BodyTextChar" w:customStyle="1">
    <w:name w:val="Body Text Char"/>
    <w:basedOn w:val="DefaultParagraphFont"/>
    <w:uiPriority w:val="1"/>
    <w:qFormat/>
    <w:rsid w:val="00c77653"/>
    <w:rPr>
      <w:rFonts w:ascii="Times New Roman" w:hAnsi="Times New Roman" w:eastAsia="Times New Roman" w:cs="Times New Roman"/>
      <w:lang w:val="en-US"/>
    </w:rPr>
  </w:style>
  <w:style w:type="character" w:styleId="Heading3Char" w:customStyle="1">
    <w:name w:val="Heading 3 Char"/>
    <w:basedOn w:val="DefaultParagraphFont"/>
    <w:link w:val="Heading3"/>
    <w:uiPriority w:val="9"/>
    <w:qFormat/>
    <w:rsid w:val="00440c86"/>
    <w:rPr>
      <w:rFonts w:ascii="Times New Roman" w:hAnsi="Times New Roman" w:eastAsia="" w:cs="" w:cstheme="majorBidi" w:eastAsiaTheme="majorEastAsia"/>
      <w:i/>
      <w:color w:themeColor="text1" w:val="000000"/>
      <w:sz w:val="24"/>
      <w:szCs w:val="28"/>
      <w:u w:val="single"/>
      <w:lang w:val="en-GB"/>
    </w:rPr>
  </w:style>
  <w:style w:type="character" w:styleId="Heading4Char" w:customStyle="1">
    <w:name w:val="Heading 4 Char"/>
    <w:basedOn w:val="DefaultParagraphFont"/>
    <w:link w:val="Heading4"/>
    <w:uiPriority w:val="9"/>
    <w:semiHidden/>
    <w:qFormat/>
    <w:rsid w:val="00bb768a"/>
    <w:rPr>
      <w:rFonts w:eastAsia="" w:cs="" w:cstheme="majorBidi" w:eastAsiaTheme="majorEastAsia"/>
      <w:i/>
      <w:iCs/>
      <w:color w:themeColor="accent1" w:themeShade="bf" w:val="0F4761"/>
      <w:sz w:val="24"/>
      <w:lang w:val="en-GB"/>
    </w:rPr>
  </w:style>
  <w:style w:type="character" w:styleId="Heading5Char" w:customStyle="1">
    <w:name w:val="Heading 5 Char"/>
    <w:basedOn w:val="DefaultParagraphFont"/>
    <w:link w:val="Heading5"/>
    <w:uiPriority w:val="9"/>
    <w:semiHidden/>
    <w:qFormat/>
    <w:rsid w:val="00bb768a"/>
    <w:rPr>
      <w:rFonts w:eastAsia="" w:cs="" w:cstheme="majorBidi" w:eastAsiaTheme="majorEastAsia"/>
      <w:color w:themeColor="accent1" w:themeShade="bf" w:val="0F4761"/>
      <w:sz w:val="24"/>
      <w:lang w:val="en-GB"/>
    </w:rPr>
  </w:style>
  <w:style w:type="character" w:styleId="Heading6Char" w:customStyle="1">
    <w:name w:val="Heading 6 Char"/>
    <w:basedOn w:val="DefaultParagraphFont"/>
    <w:link w:val="Heading6"/>
    <w:uiPriority w:val="9"/>
    <w:semiHidden/>
    <w:qFormat/>
    <w:rsid w:val="00bb768a"/>
    <w:rPr>
      <w:rFonts w:eastAsia="" w:cs="" w:cstheme="majorBidi" w:eastAsiaTheme="majorEastAsia"/>
      <w:i/>
      <w:iCs/>
      <w:color w:themeColor="text1" w:themeTint="a6" w:val="595959"/>
      <w:sz w:val="24"/>
      <w:lang w:val="en-GB"/>
    </w:rPr>
  </w:style>
  <w:style w:type="character" w:styleId="Heading7Char" w:customStyle="1">
    <w:name w:val="Heading 7 Char"/>
    <w:basedOn w:val="DefaultParagraphFont"/>
    <w:link w:val="Heading7"/>
    <w:uiPriority w:val="9"/>
    <w:semiHidden/>
    <w:qFormat/>
    <w:rsid w:val="00bb768a"/>
    <w:rPr>
      <w:rFonts w:eastAsia="" w:cs="" w:cstheme="majorBidi" w:eastAsiaTheme="majorEastAsia"/>
      <w:color w:themeColor="text1" w:themeTint="a6" w:val="595959"/>
      <w:sz w:val="24"/>
      <w:lang w:val="en-GB"/>
    </w:rPr>
  </w:style>
  <w:style w:type="character" w:styleId="Heading8Char" w:customStyle="1">
    <w:name w:val="Heading 8 Char"/>
    <w:basedOn w:val="DefaultParagraphFont"/>
    <w:link w:val="Heading8"/>
    <w:uiPriority w:val="9"/>
    <w:semiHidden/>
    <w:qFormat/>
    <w:rsid w:val="00bb768a"/>
    <w:rPr>
      <w:rFonts w:eastAsia="" w:cs="" w:cstheme="majorBidi" w:eastAsiaTheme="majorEastAsia"/>
      <w:i/>
      <w:iCs/>
      <w:color w:themeColor="text1" w:themeTint="d8" w:val="272727"/>
      <w:sz w:val="24"/>
      <w:lang w:val="en-GB"/>
    </w:rPr>
  </w:style>
  <w:style w:type="character" w:styleId="Heading9Char" w:customStyle="1">
    <w:name w:val="Heading 9 Char"/>
    <w:basedOn w:val="DefaultParagraphFont"/>
    <w:link w:val="Heading9"/>
    <w:uiPriority w:val="9"/>
    <w:semiHidden/>
    <w:qFormat/>
    <w:rsid w:val="00bb768a"/>
    <w:rPr>
      <w:rFonts w:eastAsia="" w:cs="" w:cstheme="majorBidi" w:eastAsiaTheme="majorEastAsia"/>
      <w:color w:themeColor="text1" w:themeTint="d8" w:val="272727"/>
      <w:sz w:val="24"/>
      <w:lang w:val="en-GB"/>
    </w:rPr>
  </w:style>
  <w:style w:type="character" w:styleId="TitleChar" w:customStyle="1">
    <w:name w:val="Title Char"/>
    <w:basedOn w:val="DefaultParagraphFont"/>
    <w:link w:val="Title"/>
    <w:uiPriority w:val="10"/>
    <w:qFormat/>
    <w:rsid w:val="00bb768a"/>
    <w:rPr>
      <w:rFonts w:ascii="Aptos Display" w:hAnsi="Aptos Display" w:eastAsia="" w:cs="" w:asciiTheme="majorHAnsi" w:cstheme="majorBidi" w:eastAsiaTheme="majorEastAsia" w:hAnsiTheme="majorHAnsi"/>
      <w:spacing w:val="-10"/>
      <w:kern w:val="2"/>
      <w:sz w:val="56"/>
      <w:szCs w:val="56"/>
      <w:lang w:val="en-GB"/>
    </w:rPr>
  </w:style>
  <w:style w:type="character" w:styleId="SubtitleChar" w:customStyle="1">
    <w:name w:val="Subtitle Char"/>
    <w:basedOn w:val="DefaultParagraphFont"/>
    <w:link w:val="Subtitle"/>
    <w:uiPriority w:val="11"/>
    <w:qFormat/>
    <w:rsid w:val="00bb768a"/>
    <w:rPr>
      <w:rFonts w:eastAsia="" w:cs="" w:cstheme="majorBidi" w:eastAsiaTheme="majorEastAsia"/>
      <w:color w:themeColor="text1" w:themeTint="a6" w:val="595959"/>
      <w:spacing w:val="15"/>
      <w:sz w:val="28"/>
      <w:szCs w:val="28"/>
      <w:lang w:val="en-GB"/>
    </w:rPr>
  </w:style>
  <w:style w:type="character" w:styleId="QuoteChar" w:customStyle="1">
    <w:name w:val="Quote Char"/>
    <w:basedOn w:val="DefaultParagraphFont"/>
    <w:link w:val="Quote"/>
    <w:uiPriority w:val="29"/>
    <w:qFormat/>
    <w:rsid w:val="00bb768a"/>
    <w:rPr>
      <w:rFonts w:ascii="Times New Roman" w:hAnsi="Times New Roman"/>
      <w:i/>
      <w:iCs/>
      <w:color w:themeColor="text1" w:themeTint="bf" w:val="404040"/>
      <w:sz w:val="24"/>
      <w:lang w:val="en-GB"/>
    </w:rPr>
  </w:style>
  <w:style w:type="character" w:styleId="IntenseEmphasis">
    <w:name w:val="Intense Emphasis"/>
    <w:basedOn w:val="DefaultParagraphFont"/>
    <w:uiPriority w:val="21"/>
    <w:qFormat/>
    <w:rsid w:val="00bb768a"/>
    <w:rPr>
      <w:i/>
      <w:iCs/>
      <w:color w:themeColor="accent1" w:themeShade="bf" w:val="0F4761"/>
    </w:rPr>
  </w:style>
  <w:style w:type="character" w:styleId="IntenseQuoteChar" w:customStyle="1">
    <w:name w:val="Intense Quote Char"/>
    <w:basedOn w:val="DefaultParagraphFont"/>
    <w:link w:val="IntenseQuote"/>
    <w:uiPriority w:val="30"/>
    <w:qFormat/>
    <w:rsid w:val="00bb768a"/>
    <w:rPr>
      <w:rFonts w:ascii="Times New Roman" w:hAnsi="Times New Roman"/>
      <w:i/>
      <w:iCs/>
      <w:color w:themeColor="accent1" w:themeShade="bf" w:val="0F4761"/>
      <w:sz w:val="24"/>
      <w:lang w:val="en-GB"/>
    </w:rPr>
  </w:style>
  <w:style w:type="character" w:styleId="IntenseReference">
    <w:name w:val="Intense Reference"/>
    <w:basedOn w:val="DefaultParagraphFont"/>
    <w:uiPriority w:val="32"/>
    <w:qFormat/>
    <w:rsid w:val="00bb768a"/>
    <w:rPr>
      <w:b/>
      <w:bCs/>
      <w:smallCaps/>
      <w:color w:themeColor="accent1" w:themeShade="bf" w:val="0F4761"/>
      <w:spacing w:val="5"/>
    </w:rPr>
  </w:style>
  <w:style w:type="character" w:styleId="HeaderChar" w:customStyle="1">
    <w:name w:val="Header Char"/>
    <w:basedOn w:val="DefaultParagraphFont"/>
    <w:link w:val="Header"/>
    <w:uiPriority w:val="99"/>
    <w:qFormat/>
    <w:rsid w:val="00bb768a"/>
    <w:rPr>
      <w:rFonts w:ascii="Times New Roman" w:hAnsi="Times New Roman"/>
      <w:sz w:val="24"/>
      <w:lang w:val="en-GB"/>
    </w:rPr>
  </w:style>
  <w:style w:type="character" w:styleId="FooterChar" w:customStyle="1">
    <w:name w:val="Footer Char"/>
    <w:basedOn w:val="DefaultParagraphFont"/>
    <w:link w:val="Footer"/>
    <w:uiPriority w:val="99"/>
    <w:qFormat/>
    <w:rsid w:val="00bb768a"/>
    <w:rPr>
      <w:rFonts w:ascii="Times New Roman" w:hAnsi="Times New Roman"/>
      <w:sz w:val="24"/>
      <w:lang w:val="en-GB"/>
    </w:rPr>
  </w:style>
  <w:style w:type="character" w:styleId="Hyperlink">
    <w:name w:val="Hyperlink"/>
    <w:basedOn w:val="DefaultParagraphFont"/>
    <w:uiPriority w:val="99"/>
    <w:unhideWhenUsed/>
    <w:rsid w:val="000e6f6f"/>
    <w:rPr>
      <w:color w:themeColor="hyperlink" w:val="467886"/>
      <w:u w:val="single"/>
    </w:rPr>
  </w:style>
  <w:style w:type="character" w:styleId="UnresolvedMention">
    <w:name w:val="Unresolved Mention"/>
    <w:basedOn w:val="DefaultParagraphFont"/>
    <w:uiPriority w:val="99"/>
    <w:semiHidden/>
    <w:unhideWhenUsed/>
    <w:qFormat/>
    <w:rsid w:val="009d7ab2"/>
    <w:rPr>
      <w:color w:val="605E5C"/>
      <w:shd w:fill="E1DFDD" w:val="clear"/>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link w:val="BodyTextChar"/>
    <w:uiPriority w:val="1"/>
    <w:qFormat/>
    <w:rsid w:val="00c77653"/>
    <w:pPr>
      <w:widowControl w:val="false"/>
    </w:pPr>
    <w:rPr>
      <w:sz w:val="22"/>
      <w:lang w:val="en-US"/>
    </w:rPr>
  </w:style>
  <w:style w:type="paragraph" w:styleId="List">
    <w:name w:val="List"/>
    <w:basedOn w:val="BodyText"/>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itle">
    <w:name w:val="Title"/>
    <w:basedOn w:val="Normal"/>
    <w:next w:val="Normal"/>
    <w:link w:val="TitleChar"/>
    <w:uiPriority w:val="10"/>
    <w:qFormat/>
    <w:rsid w:val="00bb768a"/>
    <w:pPr>
      <w:spacing w:lineRule="auto" w:line="240" w:before="0" w:after="80"/>
      <w:contextualSpacing/>
    </w:pPr>
    <w:rPr>
      <w:rFonts w:ascii="Aptos Display" w:hAnsi="Aptos Display" w:eastAsia="" w:cs=""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bb768a"/>
    <w:pPr>
      <w:spacing w:before="120" w:after="160"/>
    </w:pPr>
    <w:rPr>
      <w:rFonts w:ascii="Aptos" w:hAnsi="Aptos" w:eastAsia="" w:cs="" w:asciiTheme="minorHAnsi" w:cstheme="majorBidi" w:eastAsiaTheme="majorEastAsia" w:hAnsiTheme="minorHAnsi"/>
      <w:color w:themeColor="text1" w:themeTint="a6" w:val="595959"/>
      <w:spacing w:val="15"/>
      <w:sz w:val="28"/>
      <w:szCs w:val="28"/>
    </w:rPr>
  </w:style>
  <w:style w:type="paragraph" w:styleId="Quote">
    <w:name w:val="Quote"/>
    <w:basedOn w:val="Normal"/>
    <w:next w:val="Normal"/>
    <w:link w:val="QuoteChar"/>
    <w:uiPriority w:val="29"/>
    <w:qFormat/>
    <w:rsid w:val="00bb768a"/>
    <w:pPr>
      <w:spacing w:before="160" w:after="160"/>
      <w:jc w:val="center"/>
    </w:pPr>
    <w:rPr>
      <w:i/>
      <w:iCs/>
      <w:color w:themeColor="text1" w:themeTint="bf" w:val="404040"/>
    </w:rPr>
  </w:style>
  <w:style w:type="paragraph" w:styleId="ListParagraph">
    <w:name w:val="List Paragraph"/>
    <w:basedOn w:val="Normal"/>
    <w:uiPriority w:val="34"/>
    <w:qFormat/>
    <w:rsid w:val="00bb768a"/>
    <w:pPr>
      <w:spacing w:before="120" w:after="120"/>
      <w:ind w:start="720"/>
      <w:contextualSpacing/>
    </w:pPr>
    <w:rPr/>
  </w:style>
  <w:style w:type="paragraph" w:styleId="IntenseQuote">
    <w:name w:val="Intense Quote"/>
    <w:basedOn w:val="Normal"/>
    <w:next w:val="Normal"/>
    <w:link w:val="IntenseQuoteChar"/>
    <w:uiPriority w:val="30"/>
    <w:qFormat/>
    <w:rsid w:val="00bb768a"/>
    <w:pPr>
      <w:pBdr>
        <w:top w:val="single" w:sz="4" w:space="10" w:color="0F4761" w:themeColor="accent1" w:themeShade="bf"/>
        <w:bottom w:val="single" w:sz="4" w:space="10" w:color="0F4761" w:themeColor="accent1" w:themeShade="bf"/>
      </w:pBdr>
      <w:spacing w:before="360" w:after="360"/>
      <w:ind w:start="864" w:end="864"/>
      <w:jc w:val="center"/>
    </w:pPr>
    <w:rPr>
      <w:i/>
      <w:iCs/>
      <w:color w:themeColor="accent1" w:themeShade="bf" w:val="0F4761"/>
    </w:rPr>
  </w:style>
  <w:style w:type="paragraph" w:styleId="HeaderandFooter">
    <w:name w:val="Header and Footer"/>
    <w:basedOn w:val="Normal"/>
    <w:qFormat/>
    <w:pPr/>
    <w:rPr/>
  </w:style>
  <w:style w:type="paragraph" w:styleId="Header">
    <w:name w:val="header"/>
    <w:basedOn w:val="Normal"/>
    <w:link w:val="HeaderChar"/>
    <w:uiPriority w:val="99"/>
    <w:unhideWhenUsed/>
    <w:rsid w:val="00bb768a"/>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bb768a"/>
    <w:pPr>
      <w:tabs>
        <w:tab w:val="clear" w:pos="720"/>
        <w:tab w:val="center" w:pos="4513" w:leader="none"/>
        <w:tab w:val="right" w:pos="9026" w:leader="none"/>
      </w:tabs>
      <w:spacing w:lineRule="auto" w:line="240" w:before="0" w:after="0"/>
    </w:pPr>
    <w:rPr/>
  </w:style>
  <w:style w:type="paragraph" w:styleId="NoSpacing">
    <w:name w:val="No Spacing"/>
    <w:uiPriority w:val="1"/>
    <w:qFormat/>
    <w:rsid w:val="00440c86"/>
    <w:pPr>
      <w:widowControl/>
      <w:bidi w:val="0"/>
      <w:spacing w:lineRule="auto" w:line="240" w:before="0" w:after="0"/>
      <w:jc w:val="both"/>
    </w:pPr>
    <w:rPr>
      <w:rFonts w:ascii="Times New Roman" w:hAnsi="Times New Roman" w:eastAsia="Aptos" w:cs="" w:cstheme="minorBidi" w:eastAsiaTheme="minorHAnsi"/>
      <w:color w:val="auto"/>
      <w:kern w:val="0"/>
      <w:sz w:val="24"/>
      <w:szCs w:val="22"/>
      <w:lang w:val="en-GB" w:eastAsia="en-US" w:bidi="ar-SA"/>
    </w:rPr>
  </w:style>
  <w:style w:type="paragraph" w:styleId="IndexHeading">
    <w:name w:val="index heading"/>
    <w:basedOn w:val="Heading"/>
    <w:pPr/>
    <w:rPr/>
  </w:style>
  <w:style w:type="paragraph" w:styleId="TOCHeading">
    <w:name w:val="TOC Heading"/>
    <w:basedOn w:val="Heading1"/>
    <w:next w:val="Normal"/>
    <w:uiPriority w:val="39"/>
    <w:unhideWhenUsed/>
    <w:qFormat/>
    <w:rsid w:val="000e6f6f"/>
    <w:pPr>
      <w:spacing w:lineRule="auto" w:line="259" w:before="240" w:after="0"/>
      <w:jc w:val="start"/>
      <w:outlineLvl w:val="9"/>
    </w:pPr>
    <w:rPr>
      <w:rFonts w:ascii="Aptos Display" w:hAnsi="Aptos Display" w:cs="" w:asciiTheme="majorHAnsi" w:cstheme="majorBidi" w:hAnsiTheme="majorHAnsi"/>
      <w:b w:val="false"/>
      <w:bCs w:val="false"/>
      <w:color w:themeColor="accent1" w:themeShade="bf" w:val="0F4761"/>
      <w:kern w:val="0"/>
      <w:sz w:val="32"/>
      <w:szCs w:val="32"/>
      <w:lang w:val="en-US" w:eastAsia="en-US"/>
    </w:rPr>
  </w:style>
  <w:style w:type="paragraph" w:styleId="TOC1">
    <w:name w:val="toc 1"/>
    <w:basedOn w:val="Normal"/>
    <w:next w:val="Normal"/>
    <w:autoRedefine/>
    <w:uiPriority w:val="39"/>
    <w:unhideWhenUsed/>
    <w:rsid w:val="000e6f6f"/>
    <w:pPr>
      <w:spacing w:before="120" w:after="100"/>
    </w:pPr>
    <w:rPr/>
  </w:style>
  <w:style w:type="paragraph" w:styleId="TOC2">
    <w:name w:val="toc 2"/>
    <w:basedOn w:val="Normal"/>
    <w:next w:val="Normal"/>
    <w:autoRedefine/>
    <w:uiPriority w:val="39"/>
    <w:unhideWhenUsed/>
    <w:rsid w:val="000e6f6f"/>
    <w:pPr>
      <w:spacing w:before="120" w:after="100"/>
      <w:ind w:start="240"/>
    </w:pPr>
    <w:rPr/>
  </w:style>
  <w:style w:type="paragraph" w:styleId="TOC3">
    <w:name w:val="toc 3"/>
    <w:basedOn w:val="Normal"/>
    <w:next w:val="Normal"/>
    <w:autoRedefine/>
    <w:uiPriority w:val="39"/>
    <w:unhideWhenUsed/>
    <w:rsid w:val="000e6f6f"/>
    <w:pPr>
      <w:spacing w:before="120" w:after="100"/>
      <w:ind w:start="48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GridTable5Dark-Accent4">
    <w:name w:val="Grid Table 5 Dark Accent 4"/>
    <w:basedOn w:val="TableNormal"/>
    <w:uiPriority w:val="50"/>
    <w:rsid w:val="00440c86"/>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AEDFB"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F9ED5"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F9ED5"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F9ED5"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ListTable3-Accent4">
    <w:name w:val="List Table 3 Accent 4"/>
    <w:basedOn w:val="TableNormal"/>
    <w:uiPriority w:val="48"/>
    <w:rsid w:val="006c18a5"/>
    <w:pPr>
      <w:spacing w:after="0" w:line="240" w:lineRule="auto"/>
    </w:pPr>
    <w:tblPr>
      <w:tblStyleRowBandSize w:val="1"/>
      <w:tblStyleColBandSize w:val="1"/>
      <w:tblBorders>
        <w:top w:val="single" w:color="0F9ED5" w:themeColor="accent4" w:sz="4" w:space="0"/>
        <w:left w:val="single" w:color="0F9ED5" w:themeColor="accent4" w:sz="4" w:space="0"/>
        <w:bottom w:val="single" w:color="0F9ED5" w:themeColor="accent4" w:sz="4" w:space="0"/>
        <w:right w:val="single" w:color="0F9ED5" w:themeColor="accent4" w:sz="4" w:space="0"/>
      </w:tblBorders>
    </w:tblPr>
    <w:tblStylePr w:type="firstRow">
      <w:rPr>
        <w:b/>
        <w:bCs/>
        <w:color w:val="ffffff" w:themeColor="background1"/>
      </w:rPr>
      <w:tblPr/>
      <w:tcPr>
        <w:shd w:val="clear" w:color="auto" w:fill="0F9ED5" w:themeFill="accent4"/>
      </w:tcPr>
    </w:tblStylePr>
    <w:tblStylePr w:type="lastRow">
      <w:rPr>
        <w:b/>
        <w:bCs/>
      </w:rPr>
      <w:tblPr/>
      <w:tcPr>
        <w:tcBorders>
          <w:top w:val="double" w:color="0F9ED5"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F9ED5" w:themeColor="accent4" w:sz="4" w:space="0"/>
          <w:right w:val="single" w:color="0F9ED5" w:themeColor="accent4" w:sz="4" w:space="0"/>
        </w:tcBorders>
      </w:tcPr>
    </w:tblStylePr>
    <w:tblStylePr w:type="band1Horz">
      <w:tblPr/>
      <w:tcPr>
        <w:tcBorders>
          <w:top w:val="single" w:color="0F9ED5" w:themeColor="accent4" w:sz="4" w:space="0"/>
          <w:bottom w:val="single" w:color="0F9ED5"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F9ED5" w:themeColor="accent4" w:sz="4" w:space="0"/>
          <w:left w:val="nil"/>
        </w:tcBorders>
      </w:tcPr>
    </w:tblStylePr>
    <w:tblStylePr w:type="swCell">
      <w:tblPr/>
      <w:tcPr>
        <w:tcBorders>
          <w:top w:val="double" w:color="0F9ED5" w:themeColor="accent4" w:sz="4" w:space="0"/>
          <w:right w:val="nil"/>
        </w:tcBorders>
      </w:tcPr>
    </w:tblStyle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hyperlink" Target="https://tradingeconomics.com/south-africa/consumer-confidence/news/535890" TargetMode="External"/><Relationship Id="rId8" Type="http://schemas.openxmlformats.org/officeDocument/2006/relationships/hyperlink" Target="https://investor.costco.com/company-profile/default.aspx" TargetMode="External"/><Relationship Id="rId9" Type="http://schemas.openxmlformats.org/officeDocument/2006/relationships/hyperlink" Target="https://investor.costco.com/news/news-details/2026/Costco-Wholesale-Corporation-Reports-May-Sales-Results/default.aspx" TargetMode="External"/><Relationship Id="rId10" Type="http://schemas.openxmlformats.org/officeDocument/2006/relationships/hyperlink" Target="https://www.euromonitor.com/hypermarkets-in-south-africa/report" TargetMode="External"/><Relationship Id="rId11" Type="http://schemas.openxmlformats.org/officeDocument/2006/relationships/hyperlink" Target="https://www.imf.org/en/countries/zaf" TargetMode="External"/><Relationship Id="rId12" Type="http://schemas.openxmlformats.org/officeDocument/2006/relationships/hyperlink" Target="https://www.imf.org/en/news/articles/2026/02/10/pr-26039-south-africa-imf-executive-board-concludes-2025-article-iv-consultation" TargetMode="External"/><Relationship Id="rId13" Type="http://schemas.openxmlformats.org/officeDocument/2006/relationships/hyperlink" Target="https://www.ensafrica.com/news/detail/11656/newsflash-consumer-protection-act-amendment-r" TargetMode="External"/><Relationship Id="rId14" Type="http://schemas.openxmlformats.org/officeDocument/2006/relationships/hyperlink" Target="https://www.sec.gov/Archives/edgar/data/909832/000119312512273757/d368711dex991.htm" TargetMode="External"/><Relationship Id="rId15" Type="http://schemas.openxmlformats.org/officeDocument/2006/relationships/hyperlink" Target="https://www.gov.za/news/media-statements/minister-nomakhosazana-meth-increases-statutory-national-minimum-wage-r3023" TargetMode="External"/><Relationship Id="rId16" Type="http://schemas.openxmlformats.org/officeDocument/2006/relationships/hyperlink" Target="https://www.sec.gov/Archives/edgar/data/909832/000119312512273757/d368711dex991.htm" TargetMode="External"/><Relationship Id="rId17" Type="http://schemas.openxmlformats.org/officeDocument/2006/relationships/hyperlink" Target="https://www.statssa.gov.za/?p=17995" TargetMode="External"/><Relationship Id="rId18" Type="http://schemas.openxmlformats.org/officeDocument/2006/relationships/hyperlink" Target="https://www.statssa.gov.za/?p=18021" TargetMode="External"/><Relationship Id="rId19" Type="http://schemas.openxmlformats.org/officeDocument/2006/relationships/hyperlink" Target="https://www.statssa.gov.za/?p=19259" TargetMode="External"/><Relationship Id="rId20" Type="http://schemas.openxmlformats.org/officeDocument/2006/relationships/footer" Target="footer1.xml"/><Relationship Id="rId21" Type="http://schemas.openxmlformats.org/officeDocument/2006/relationships/footer" Target="footer2.xml"/><Relationship Id="rId22" Type="http://schemas.openxmlformats.org/officeDocument/2006/relationships/footer" Target="footer3.xml"/><Relationship Id="rId23" Type="http://schemas.openxmlformats.org/officeDocument/2006/relationships/fontTable" Target="fontTable.xml"/><Relationship Id="rId24" Type="http://schemas.openxmlformats.org/officeDocument/2006/relationships/settings" Target="settings.xml"/><Relationship Id="rId25" Type="http://schemas.openxmlformats.org/officeDocument/2006/relationships/theme" Target="theme/theme1.xml"/><Relationship Id="rId26"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pitchFamily="0" charset="1"/>
        <a:ea typeface=""/>
        <a:cs typeface=""/>
      </a:majorFont>
      <a:minorFont>
        <a:latin typeface="Aptos" panose="0211000402020202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5E3E2E-D27F-4E79-B202-AF12879D28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531</TotalTime>
  <Application>LibreOffice/26.2.1.2$Windows_X86_64 LibreOffice_project/620$Build-2</Application>
  <AppVersion>15.0000</AppVersion>
  <Pages>27</Pages>
  <Words>6235</Words>
  <Characters>41477</Characters>
  <CharactersWithSpaces>47453</CharactersWithSpaces>
  <Paragraphs>272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2026-08-12T19:02:00Z</dcterms:created>
  <dc:creator/>
  <dc:description/>
  <dc:language>en-IN</dc:language>
  <cp:lastModifiedBy/>
  <dcterms:modified xsi:type="dcterms:W3CDTF">2026-08-14T12:01:28Z</dcterms:modified>
  <cp:revision>1</cp:revision>
  <dc:subject/>
  <dc:title/>
</cp:coreProperties>
</file>

<file path=docProps/custom.xml><?xml version="1.0" encoding="utf-8"?>
<Properties xmlns="http://schemas.openxmlformats.org/officeDocument/2006/custom-properties" xmlns:vt="http://schemas.openxmlformats.org/officeDocument/2006/docPropsVTypes"/>
</file>