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350" w:rsidRDefault="00521B11" w:rsidP="00C83350">
      <w:pPr>
        <w:jc w:val="center"/>
        <w:rPr>
          <w:b/>
          <w:sz w:val="24"/>
          <w:szCs w:val="24"/>
        </w:rPr>
      </w:pPr>
      <w:r w:rsidRPr="00F7706D">
        <w:rPr>
          <w:b/>
          <w:sz w:val="24"/>
          <w:szCs w:val="24"/>
        </w:rPr>
        <w:t>Introduction</w:t>
      </w:r>
    </w:p>
    <w:p w:rsidR="00CF3220" w:rsidRPr="00C83350" w:rsidRDefault="00CF3220" w:rsidP="00C83350">
      <w:pPr>
        <w:jc w:val="both"/>
        <w:rPr>
          <w:b/>
          <w:sz w:val="24"/>
          <w:szCs w:val="24"/>
        </w:rPr>
      </w:pPr>
      <w:r w:rsidRPr="00F7706D">
        <w:rPr>
          <w:rFonts w:cstheme="minorHAnsi"/>
        </w:rPr>
        <w:t xml:space="preserve">The relationship between teacher questioning strategies and pupil engagement has been a central focus of academic inquiry for numerous years, prompting researchers to measure its effectiveness. An </w:t>
      </w:r>
      <w:r w:rsidR="00F7706D" w:rsidRPr="00F7706D">
        <w:rPr>
          <w:rFonts w:cstheme="minorHAnsi"/>
        </w:rPr>
        <w:t>example</w:t>
      </w:r>
      <w:r w:rsidRPr="00F7706D">
        <w:rPr>
          <w:rFonts w:cstheme="minorHAnsi"/>
        </w:rPr>
        <w:t xml:space="preserve"> of this is seen in the work of Smith and Stein (2011), </w:t>
      </w:r>
      <w:proofErr w:type="gramStart"/>
      <w:r w:rsidRPr="00F7706D">
        <w:rPr>
          <w:rFonts w:cstheme="minorHAnsi"/>
        </w:rPr>
        <w:t>who</w:t>
      </w:r>
      <w:proofErr w:type="gramEnd"/>
      <w:r w:rsidRPr="00F7706D">
        <w:rPr>
          <w:rFonts w:cstheme="minorHAnsi"/>
        </w:rPr>
        <w:t xml:space="preserve"> carried out a research project that crystallised the importance of teacher questioning in encouraging active pupil participation. Their research revealed that the formulation of questions by teachers can have a considerable influence on the extent of involvement and curiosity displayed by pupils in the classroom. </w:t>
      </w:r>
    </w:p>
    <w:p w:rsidR="00CF3220" w:rsidRPr="00623F0C" w:rsidRDefault="00CF3220" w:rsidP="00675641">
      <w:pPr>
        <w:pStyle w:val="NormalWeb"/>
        <w:jc w:val="both"/>
        <w:rPr>
          <w:rFonts w:asciiTheme="minorHAnsi" w:hAnsiTheme="minorHAnsi" w:cstheme="minorHAnsi"/>
          <w:i/>
          <w:sz w:val="22"/>
          <w:szCs w:val="22"/>
        </w:rPr>
      </w:pPr>
      <w:r w:rsidRPr="00F7706D">
        <w:rPr>
          <w:rFonts w:asciiTheme="minorHAnsi" w:hAnsiTheme="minorHAnsi" w:cstheme="minorHAnsi"/>
          <w:sz w:val="22"/>
          <w:szCs w:val="22"/>
        </w:rPr>
        <w:t xml:space="preserve">Additionally, an examination by Black and </w:t>
      </w:r>
      <w:proofErr w:type="spellStart"/>
      <w:r w:rsidRPr="00F7706D">
        <w:rPr>
          <w:rFonts w:asciiTheme="minorHAnsi" w:hAnsiTheme="minorHAnsi" w:cstheme="minorHAnsi"/>
          <w:sz w:val="22"/>
          <w:szCs w:val="22"/>
        </w:rPr>
        <w:t>Wiliam</w:t>
      </w:r>
      <w:proofErr w:type="spellEnd"/>
      <w:r w:rsidRPr="00F7706D">
        <w:rPr>
          <w:rFonts w:asciiTheme="minorHAnsi" w:hAnsiTheme="minorHAnsi" w:cstheme="minorHAnsi"/>
          <w:sz w:val="22"/>
          <w:szCs w:val="22"/>
        </w:rPr>
        <w:t xml:space="preserve"> (1998) showcased that successful questioning approaches not only elevate </w:t>
      </w:r>
      <w:r w:rsidR="00ED5514">
        <w:rPr>
          <w:rFonts w:asciiTheme="minorHAnsi" w:hAnsiTheme="minorHAnsi" w:cstheme="minorHAnsi"/>
          <w:sz w:val="22"/>
          <w:szCs w:val="22"/>
        </w:rPr>
        <w:t>pupil</w:t>
      </w:r>
      <w:r w:rsidRPr="00F7706D">
        <w:rPr>
          <w:rFonts w:asciiTheme="minorHAnsi" w:hAnsiTheme="minorHAnsi" w:cstheme="minorHAnsi"/>
          <w:sz w:val="22"/>
          <w:szCs w:val="22"/>
        </w:rPr>
        <w:t xml:space="preserve"> engagement but also supply beneficial opportunities for formative assessment, empowering </w:t>
      </w:r>
      <w:r w:rsidR="005B13E2">
        <w:rPr>
          <w:rFonts w:asciiTheme="minorHAnsi" w:hAnsiTheme="minorHAnsi" w:cstheme="minorHAnsi"/>
          <w:sz w:val="22"/>
          <w:szCs w:val="22"/>
        </w:rPr>
        <w:t>teachers to personalis</w:t>
      </w:r>
      <w:r w:rsidRPr="00F7706D">
        <w:rPr>
          <w:rFonts w:asciiTheme="minorHAnsi" w:hAnsiTheme="minorHAnsi" w:cstheme="minorHAnsi"/>
          <w:sz w:val="22"/>
          <w:szCs w:val="22"/>
        </w:rPr>
        <w:t xml:space="preserve">e instruction to meet the individual needs of every </w:t>
      </w:r>
      <w:r w:rsidR="00ED5514">
        <w:rPr>
          <w:rFonts w:asciiTheme="minorHAnsi" w:hAnsiTheme="minorHAnsi" w:cstheme="minorHAnsi"/>
          <w:sz w:val="22"/>
          <w:szCs w:val="22"/>
        </w:rPr>
        <w:t>pupil</w:t>
      </w:r>
      <w:r w:rsidRPr="00F7706D">
        <w:rPr>
          <w:rFonts w:asciiTheme="minorHAnsi" w:hAnsiTheme="minorHAnsi" w:cstheme="minorHAnsi"/>
          <w:sz w:val="22"/>
          <w:szCs w:val="22"/>
        </w:rPr>
        <w:t xml:space="preserve">. Expanding on these discoveries, the present study aims to thoroughly examine this relationship, </w:t>
      </w:r>
      <w:r w:rsidR="005B13E2">
        <w:rPr>
          <w:rFonts w:asciiTheme="minorHAnsi" w:hAnsiTheme="minorHAnsi" w:cstheme="minorHAnsi"/>
          <w:sz w:val="22"/>
          <w:szCs w:val="22"/>
        </w:rPr>
        <w:t xml:space="preserve">identifying the advantages </w:t>
      </w:r>
      <w:r w:rsidR="00C83350">
        <w:rPr>
          <w:rFonts w:asciiTheme="minorHAnsi" w:hAnsiTheme="minorHAnsi" w:cstheme="minorHAnsi"/>
          <w:sz w:val="22"/>
          <w:szCs w:val="22"/>
        </w:rPr>
        <w:t>and disadvantages of</w:t>
      </w:r>
      <w:r w:rsidR="005B13E2">
        <w:rPr>
          <w:rFonts w:asciiTheme="minorHAnsi" w:hAnsiTheme="minorHAnsi" w:cstheme="minorHAnsi"/>
          <w:sz w:val="22"/>
          <w:szCs w:val="22"/>
        </w:rPr>
        <w:t xml:space="preserve"> classroom questioning and</w:t>
      </w:r>
      <w:r w:rsidR="00C83350">
        <w:rPr>
          <w:rFonts w:asciiTheme="minorHAnsi" w:hAnsiTheme="minorHAnsi" w:cstheme="minorHAnsi"/>
          <w:sz w:val="22"/>
          <w:szCs w:val="22"/>
        </w:rPr>
        <w:t xml:space="preserve"> its influence on pupil engagement. </w:t>
      </w:r>
    </w:p>
    <w:p w:rsidR="00675641" w:rsidRPr="00F7706D" w:rsidRDefault="00675641" w:rsidP="00675641">
      <w:pPr>
        <w:pStyle w:val="NormalWeb"/>
        <w:jc w:val="both"/>
        <w:rPr>
          <w:rFonts w:asciiTheme="minorHAnsi" w:hAnsiTheme="minorHAnsi" w:cstheme="minorHAnsi"/>
          <w:sz w:val="22"/>
          <w:szCs w:val="22"/>
        </w:rPr>
      </w:pPr>
      <w:r w:rsidRPr="00F7706D">
        <w:rPr>
          <w:rFonts w:asciiTheme="minorHAnsi" w:hAnsiTheme="minorHAnsi" w:cstheme="minorHAnsi"/>
          <w:sz w:val="22"/>
          <w:szCs w:val="22"/>
        </w:rPr>
        <w:t xml:space="preserve">Countless academics have underscored the critical role of questioning in </w:t>
      </w:r>
      <w:r w:rsidR="00ED5514">
        <w:rPr>
          <w:rFonts w:asciiTheme="minorHAnsi" w:hAnsiTheme="minorHAnsi" w:cstheme="minorHAnsi"/>
          <w:sz w:val="22"/>
          <w:szCs w:val="22"/>
        </w:rPr>
        <w:t>encouraging</w:t>
      </w:r>
      <w:r w:rsidRPr="00F7706D">
        <w:rPr>
          <w:rFonts w:asciiTheme="minorHAnsi" w:hAnsiTheme="minorHAnsi" w:cstheme="minorHAnsi"/>
          <w:sz w:val="22"/>
          <w:szCs w:val="22"/>
        </w:rPr>
        <w:t xml:space="preserve"> pupil </w:t>
      </w:r>
      <w:r w:rsidR="00815B8F" w:rsidRPr="00F7706D">
        <w:rPr>
          <w:rFonts w:asciiTheme="minorHAnsi" w:hAnsiTheme="minorHAnsi" w:cstheme="minorHAnsi"/>
          <w:sz w:val="22"/>
          <w:szCs w:val="22"/>
        </w:rPr>
        <w:t>engagement</w:t>
      </w:r>
      <w:r w:rsidRPr="00F7706D">
        <w:rPr>
          <w:rFonts w:asciiTheme="minorHAnsi" w:hAnsiTheme="minorHAnsi" w:cstheme="minorHAnsi"/>
          <w:sz w:val="22"/>
          <w:szCs w:val="22"/>
        </w:rPr>
        <w:t xml:space="preserve">. For example, </w:t>
      </w:r>
      <w:proofErr w:type="spellStart"/>
      <w:r w:rsidRPr="00F7706D">
        <w:rPr>
          <w:rFonts w:asciiTheme="minorHAnsi" w:hAnsiTheme="minorHAnsi" w:cstheme="minorHAnsi"/>
          <w:sz w:val="22"/>
          <w:szCs w:val="22"/>
        </w:rPr>
        <w:t>Vygotsky</w:t>
      </w:r>
      <w:proofErr w:type="spellEnd"/>
      <w:r w:rsidRPr="00F7706D">
        <w:rPr>
          <w:rFonts w:asciiTheme="minorHAnsi" w:hAnsiTheme="minorHAnsi" w:cstheme="minorHAnsi"/>
          <w:sz w:val="22"/>
          <w:szCs w:val="22"/>
        </w:rPr>
        <w:t xml:space="preserve"> (1978) stressed the significance of scaffolding through adept questioning, where teachers lead </w:t>
      </w:r>
      <w:r w:rsidR="00815B8F" w:rsidRPr="00F7706D">
        <w:rPr>
          <w:rFonts w:asciiTheme="minorHAnsi" w:hAnsiTheme="minorHAnsi" w:cstheme="minorHAnsi"/>
          <w:sz w:val="22"/>
          <w:szCs w:val="22"/>
        </w:rPr>
        <w:t>pupils</w:t>
      </w:r>
      <w:r w:rsidRPr="00F7706D">
        <w:rPr>
          <w:rFonts w:asciiTheme="minorHAnsi" w:hAnsiTheme="minorHAnsi" w:cstheme="minorHAnsi"/>
          <w:sz w:val="22"/>
          <w:szCs w:val="22"/>
        </w:rPr>
        <w:t xml:space="preserve"> towards enhanced comprehension</w:t>
      </w:r>
      <w:r w:rsidR="00815B8F" w:rsidRPr="00F7706D">
        <w:rPr>
          <w:rFonts w:asciiTheme="minorHAnsi" w:hAnsiTheme="minorHAnsi" w:cstheme="minorHAnsi"/>
          <w:sz w:val="22"/>
          <w:szCs w:val="22"/>
        </w:rPr>
        <w:t xml:space="preserve"> and understanding</w:t>
      </w:r>
      <w:r w:rsidRPr="00F7706D">
        <w:rPr>
          <w:rFonts w:asciiTheme="minorHAnsi" w:hAnsiTheme="minorHAnsi" w:cstheme="minorHAnsi"/>
          <w:sz w:val="22"/>
          <w:szCs w:val="22"/>
        </w:rPr>
        <w:t xml:space="preserve"> by strategically probing</w:t>
      </w:r>
      <w:r w:rsidR="00815B8F" w:rsidRPr="00F7706D">
        <w:rPr>
          <w:rFonts w:asciiTheme="minorHAnsi" w:hAnsiTheme="minorHAnsi" w:cstheme="minorHAnsi"/>
          <w:sz w:val="22"/>
          <w:szCs w:val="22"/>
        </w:rPr>
        <w:t xml:space="preserve"> and pushing</w:t>
      </w:r>
      <w:r w:rsidRPr="00F7706D">
        <w:rPr>
          <w:rFonts w:asciiTheme="minorHAnsi" w:hAnsiTheme="minorHAnsi" w:cstheme="minorHAnsi"/>
          <w:sz w:val="22"/>
          <w:szCs w:val="22"/>
        </w:rPr>
        <w:t xml:space="preserve"> their thought processes. Similarly, </w:t>
      </w:r>
      <w:r w:rsidR="00727C01" w:rsidRPr="00F7706D">
        <w:rPr>
          <w:rFonts w:asciiTheme="minorHAnsi" w:hAnsiTheme="minorHAnsi" w:cstheme="minorHAnsi"/>
          <w:sz w:val="22"/>
          <w:szCs w:val="22"/>
        </w:rPr>
        <w:t>Bloom's taxonomy, Bloom (</w:t>
      </w:r>
      <w:r w:rsidRPr="00F7706D">
        <w:rPr>
          <w:rFonts w:asciiTheme="minorHAnsi" w:hAnsiTheme="minorHAnsi" w:cstheme="minorHAnsi"/>
          <w:sz w:val="22"/>
          <w:szCs w:val="22"/>
        </w:rPr>
        <w:t>1956) explains how questioning can encourage critical thinking abilities and foster higher levels of engagement among learners.</w:t>
      </w:r>
    </w:p>
    <w:p w:rsidR="006A646D" w:rsidRPr="00F7706D" w:rsidRDefault="006A646D" w:rsidP="00675641">
      <w:pPr>
        <w:pStyle w:val="NormalWeb"/>
        <w:jc w:val="both"/>
        <w:rPr>
          <w:rFonts w:asciiTheme="minorHAnsi" w:hAnsiTheme="minorHAnsi" w:cstheme="minorHAnsi"/>
          <w:sz w:val="22"/>
          <w:szCs w:val="22"/>
        </w:rPr>
      </w:pPr>
      <w:r w:rsidRPr="00F7706D">
        <w:rPr>
          <w:rFonts w:asciiTheme="minorHAnsi" w:hAnsiTheme="minorHAnsi" w:cstheme="minorHAnsi"/>
          <w:sz w:val="22"/>
          <w:szCs w:val="22"/>
        </w:rPr>
        <w:t>The research for this project was completed within an affluent and high achieving school within south wales. The participants within the study were selected from a year 7 geography class with varying levels of cognitive ability. Therefore, the title of the research project that this study will explore is:</w:t>
      </w:r>
    </w:p>
    <w:p w:rsidR="006A646D" w:rsidRPr="00F7706D" w:rsidRDefault="006A646D" w:rsidP="006A646D">
      <w:pPr>
        <w:pStyle w:val="NormalWeb"/>
        <w:jc w:val="center"/>
        <w:rPr>
          <w:rFonts w:asciiTheme="minorHAnsi" w:hAnsiTheme="minorHAnsi" w:cstheme="minorHAnsi"/>
          <w:b/>
          <w:sz w:val="22"/>
          <w:szCs w:val="22"/>
        </w:rPr>
      </w:pPr>
      <w:r w:rsidRPr="00F7706D">
        <w:rPr>
          <w:rFonts w:asciiTheme="minorHAnsi" w:hAnsiTheme="minorHAnsi" w:cstheme="minorHAnsi"/>
          <w:b/>
          <w:sz w:val="22"/>
          <w:szCs w:val="22"/>
        </w:rPr>
        <w:t>“What is the relationship between questioning strategies and pupil engagement”?</w:t>
      </w:r>
    </w:p>
    <w:p w:rsidR="00675641" w:rsidRPr="00F7706D" w:rsidRDefault="00675641" w:rsidP="00675641">
      <w:pPr>
        <w:pStyle w:val="NormalWeb"/>
        <w:jc w:val="both"/>
        <w:rPr>
          <w:rFonts w:asciiTheme="minorHAnsi" w:hAnsiTheme="minorHAnsi" w:cstheme="minorHAnsi"/>
          <w:b/>
          <w:sz w:val="22"/>
          <w:szCs w:val="22"/>
        </w:rPr>
      </w:pPr>
      <w:r w:rsidRPr="00F7706D">
        <w:rPr>
          <w:rFonts w:asciiTheme="minorHAnsi" w:hAnsiTheme="minorHAnsi" w:cstheme="minorHAnsi"/>
          <w:b/>
          <w:sz w:val="22"/>
          <w:szCs w:val="22"/>
        </w:rPr>
        <w:t>Research Aims</w:t>
      </w:r>
    </w:p>
    <w:p w:rsidR="00675641" w:rsidRPr="00F7706D" w:rsidRDefault="00675641" w:rsidP="00675641">
      <w:pPr>
        <w:pStyle w:val="NormalWeb"/>
        <w:numPr>
          <w:ilvl w:val="0"/>
          <w:numId w:val="2"/>
        </w:numPr>
        <w:jc w:val="both"/>
        <w:rPr>
          <w:rFonts w:asciiTheme="minorHAnsi" w:hAnsiTheme="minorHAnsi" w:cstheme="minorHAnsi"/>
          <w:sz w:val="22"/>
          <w:szCs w:val="22"/>
        </w:rPr>
      </w:pPr>
      <w:r w:rsidRPr="00F7706D">
        <w:rPr>
          <w:rFonts w:asciiTheme="minorHAnsi" w:hAnsiTheme="minorHAnsi" w:cstheme="minorHAnsi"/>
          <w:sz w:val="22"/>
          <w:szCs w:val="22"/>
        </w:rPr>
        <w:t xml:space="preserve">To </w:t>
      </w:r>
      <w:r w:rsidR="00C83350">
        <w:rPr>
          <w:rFonts w:asciiTheme="minorHAnsi" w:hAnsiTheme="minorHAnsi" w:cstheme="minorHAnsi"/>
          <w:sz w:val="22"/>
          <w:szCs w:val="22"/>
        </w:rPr>
        <w:t xml:space="preserve">assess the influence of </w:t>
      </w:r>
      <w:r w:rsidRPr="00F7706D">
        <w:rPr>
          <w:rFonts w:asciiTheme="minorHAnsi" w:hAnsiTheme="minorHAnsi" w:cstheme="minorHAnsi"/>
          <w:sz w:val="22"/>
          <w:szCs w:val="22"/>
        </w:rPr>
        <w:t xml:space="preserve">questioning strategies on pupil engagement. </w:t>
      </w:r>
    </w:p>
    <w:p w:rsidR="00675641" w:rsidRPr="00F7706D" w:rsidRDefault="00675641" w:rsidP="00675641">
      <w:pPr>
        <w:pStyle w:val="NormalWeb"/>
        <w:numPr>
          <w:ilvl w:val="0"/>
          <w:numId w:val="2"/>
        </w:numPr>
        <w:jc w:val="both"/>
        <w:rPr>
          <w:rFonts w:asciiTheme="minorHAnsi" w:hAnsiTheme="minorHAnsi" w:cstheme="minorHAnsi"/>
          <w:sz w:val="22"/>
          <w:szCs w:val="22"/>
        </w:rPr>
      </w:pPr>
      <w:r w:rsidRPr="00F7706D">
        <w:rPr>
          <w:rFonts w:asciiTheme="minorHAnsi" w:hAnsiTheme="minorHAnsi" w:cstheme="minorHAnsi"/>
          <w:sz w:val="22"/>
          <w:szCs w:val="22"/>
        </w:rPr>
        <w:t xml:space="preserve">To examine </w:t>
      </w:r>
      <w:r w:rsidR="00815B8F" w:rsidRPr="00F7706D">
        <w:rPr>
          <w:rFonts w:asciiTheme="minorHAnsi" w:hAnsiTheme="minorHAnsi" w:cstheme="minorHAnsi"/>
          <w:sz w:val="22"/>
          <w:szCs w:val="22"/>
        </w:rPr>
        <w:t>pupils perspectives</w:t>
      </w:r>
      <w:r w:rsidRPr="00F7706D">
        <w:rPr>
          <w:rFonts w:asciiTheme="minorHAnsi" w:hAnsiTheme="minorHAnsi" w:cstheme="minorHAnsi"/>
          <w:sz w:val="22"/>
          <w:szCs w:val="22"/>
        </w:rPr>
        <w:t xml:space="preserve"> on the efficacy of questioning in encouraging engagement. </w:t>
      </w:r>
    </w:p>
    <w:p w:rsidR="00675641" w:rsidRPr="00F7706D" w:rsidRDefault="00675641" w:rsidP="00675641">
      <w:pPr>
        <w:pStyle w:val="NormalWeb"/>
        <w:numPr>
          <w:ilvl w:val="0"/>
          <w:numId w:val="2"/>
        </w:numPr>
        <w:jc w:val="both"/>
        <w:rPr>
          <w:rFonts w:asciiTheme="minorHAnsi" w:hAnsiTheme="minorHAnsi" w:cstheme="minorHAnsi"/>
          <w:sz w:val="22"/>
          <w:szCs w:val="22"/>
        </w:rPr>
      </w:pPr>
      <w:r w:rsidRPr="00F7706D">
        <w:rPr>
          <w:rFonts w:asciiTheme="minorHAnsi" w:hAnsiTheme="minorHAnsi" w:cstheme="minorHAnsi"/>
          <w:sz w:val="22"/>
          <w:szCs w:val="22"/>
        </w:rPr>
        <w:t xml:space="preserve">To pinpoint practical implications and suggestions for teachers to optimise questioning </w:t>
      </w:r>
      <w:r w:rsidR="00815B8F" w:rsidRPr="00F7706D">
        <w:rPr>
          <w:rFonts w:asciiTheme="minorHAnsi" w:hAnsiTheme="minorHAnsi" w:cstheme="minorHAnsi"/>
          <w:sz w:val="22"/>
          <w:szCs w:val="22"/>
        </w:rPr>
        <w:t>strategies to</w:t>
      </w:r>
      <w:r w:rsidRPr="00F7706D">
        <w:rPr>
          <w:rFonts w:asciiTheme="minorHAnsi" w:hAnsiTheme="minorHAnsi" w:cstheme="minorHAnsi"/>
          <w:sz w:val="22"/>
          <w:szCs w:val="22"/>
        </w:rPr>
        <w:t xml:space="preserve"> </w:t>
      </w:r>
      <w:r w:rsidR="00815B8F" w:rsidRPr="00F7706D">
        <w:rPr>
          <w:rFonts w:asciiTheme="minorHAnsi" w:hAnsiTheme="minorHAnsi" w:cstheme="minorHAnsi"/>
          <w:sz w:val="22"/>
          <w:szCs w:val="22"/>
        </w:rPr>
        <w:t>increase</w:t>
      </w:r>
      <w:r w:rsidRPr="00F7706D">
        <w:rPr>
          <w:rFonts w:asciiTheme="minorHAnsi" w:hAnsiTheme="minorHAnsi" w:cstheme="minorHAnsi"/>
          <w:sz w:val="22"/>
          <w:szCs w:val="22"/>
        </w:rPr>
        <w:t xml:space="preserve"> pupil engagement.</w:t>
      </w:r>
    </w:p>
    <w:p w:rsidR="00675641" w:rsidRPr="00F7706D" w:rsidRDefault="00675641" w:rsidP="00675641">
      <w:pPr>
        <w:pStyle w:val="NormalWeb"/>
        <w:jc w:val="both"/>
        <w:rPr>
          <w:rFonts w:asciiTheme="minorHAnsi" w:hAnsiTheme="minorHAnsi" w:cstheme="minorHAnsi"/>
          <w:b/>
          <w:sz w:val="22"/>
          <w:szCs w:val="22"/>
        </w:rPr>
      </w:pPr>
      <w:r w:rsidRPr="00F7706D">
        <w:rPr>
          <w:rFonts w:asciiTheme="minorHAnsi" w:hAnsiTheme="minorHAnsi" w:cstheme="minorHAnsi"/>
          <w:b/>
          <w:sz w:val="22"/>
          <w:szCs w:val="22"/>
        </w:rPr>
        <w:t>Research Objectives</w:t>
      </w:r>
    </w:p>
    <w:p w:rsidR="00675641" w:rsidRPr="00F7706D" w:rsidRDefault="00675641" w:rsidP="00675641">
      <w:pPr>
        <w:pStyle w:val="NormalWeb"/>
        <w:numPr>
          <w:ilvl w:val="0"/>
          <w:numId w:val="4"/>
        </w:numPr>
        <w:jc w:val="both"/>
        <w:rPr>
          <w:rFonts w:asciiTheme="minorHAnsi" w:hAnsiTheme="minorHAnsi" w:cstheme="minorHAnsi"/>
          <w:sz w:val="22"/>
          <w:szCs w:val="22"/>
        </w:rPr>
      </w:pPr>
      <w:r w:rsidRPr="00F7706D">
        <w:rPr>
          <w:rFonts w:asciiTheme="minorHAnsi" w:hAnsiTheme="minorHAnsi" w:cstheme="minorHAnsi"/>
          <w:sz w:val="22"/>
          <w:szCs w:val="22"/>
        </w:rPr>
        <w:t xml:space="preserve">To conduct an extensive review of literature to scrutinise previous studies on the correlation between questioning strategies and pupil engagement. </w:t>
      </w:r>
    </w:p>
    <w:p w:rsidR="00675641" w:rsidRPr="00F7706D" w:rsidRDefault="00675641" w:rsidP="00675641">
      <w:pPr>
        <w:pStyle w:val="NormalWeb"/>
        <w:numPr>
          <w:ilvl w:val="0"/>
          <w:numId w:val="4"/>
        </w:numPr>
        <w:jc w:val="both"/>
        <w:rPr>
          <w:rFonts w:asciiTheme="minorHAnsi" w:hAnsiTheme="minorHAnsi" w:cstheme="minorHAnsi"/>
          <w:sz w:val="22"/>
          <w:szCs w:val="22"/>
        </w:rPr>
      </w:pPr>
      <w:r w:rsidRPr="00F7706D">
        <w:rPr>
          <w:rFonts w:asciiTheme="minorHAnsi" w:hAnsiTheme="minorHAnsi" w:cstheme="minorHAnsi"/>
          <w:sz w:val="22"/>
          <w:szCs w:val="22"/>
        </w:rPr>
        <w:t xml:space="preserve">To employ surveys and interviews to collect feedback from </w:t>
      </w:r>
      <w:r w:rsidR="00815B8F" w:rsidRPr="00F7706D">
        <w:rPr>
          <w:rFonts w:asciiTheme="minorHAnsi" w:hAnsiTheme="minorHAnsi" w:cstheme="minorHAnsi"/>
          <w:sz w:val="22"/>
          <w:szCs w:val="22"/>
        </w:rPr>
        <w:t>pupils</w:t>
      </w:r>
      <w:r w:rsidRPr="00F7706D">
        <w:rPr>
          <w:rFonts w:asciiTheme="minorHAnsi" w:hAnsiTheme="minorHAnsi" w:cstheme="minorHAnsi"/>
          <w:sz w:val="22"/>
          <w:szCs w:val="22"/>
        </w:rPr>
        <w:t xml:space="preserve"> regarding their encounters and viewpoints on questioning practices and levels of engagement. </w:t>
      </w:r>
    </w:p>
    <w:p w:rsidR="00675641" w:rsidRPr="00F7706D" w:rsidRDefault="00815B8F" w:rsidP="00675641">
      <w:pPr>
        <w:pStyle w:val="NormalWeb"/>
        <w:numPr>
          <w:ilvl w:val="0"/>
          <w:numId w:val="4"/>
        </w:numPr>
        <w:jc w:val="both"/>
        <w:rPr>
          <w:rFonts w:asciiTheme="minorHAnsi" w:hAnsiTheme="minorHAnsi" w:cstheme="minorHAnsi"/>
          <w:sz w:val="22"/>
          <w:szCs w:val="22"/>
        </w:rPr>
      </w:pPr>
      <w:r w:rsidRPr="00F7706D">
        <w:rPr>
          <w:rFonts w:asciiTheme="minorHAnsi" w:hAnsiTheme="minorHAnsi" w:cstheme="minorHAnsi"/>
          <w:sz w:val="22"/>
          <w:szCs w:val="22"/>
        </w:rPr>
        <w:t>To utilis</w:t>
      </w:r>
      <w:r w:rsidR="00675641" w:rsidRPr="00F7706D">
        <w:rPr>
          <w:rFonts w:asciiTheme="minorHAnsi" w:hAnsiTheme="minorHAnsi" w:cstheme="minorHAnsi"/>
          <w:sz w:val="22"/>
          <w:szCs w:val="22"/>
        </w:rPr>
        <w:t>e obser</w:t>
      </w:r>
      <w:r w:rsidRPr="00F7706D">
        <w:rPr>
          <w:rFonts w:asciiTheme="minorHAnsi" w:hAnsiTheme="minorHAnsi" w:cstheme="minorHAnsi"/>
          <w:sz w:val="22"/>
          <w:szCs w:val="22"/>
        </w:rPr>
        <w:t>vational techniques to scrutinis</w:t>
      </w:r>
      <w:r w:rsidR="00675641" w:rsidRPr="00F7706D">
        <w:rPr>
          <w:rFonts w:asciiTheme="minorHAnsi" w:hAnsiTheme="minorHAnsi" w:cstheme="minorHAnsi"/>
          <w:sz w:val="22"/>
          <w:szCs w:val="22"/>
        </w:rPr>
        <w:t xml:space="preserve">e classroom dynamics and the application of diverse questioning </w:t>
      </w:r>
      <w:r w:rsidRPr="00F7706D">
        <w:rPr>
          <w:rFonts w:asciiTheme="minorHAnsi" w:hAnsiTheme="minorHAnsi" w:cstheme="minorHAnsi"/>
          <w:sz w:val="22"/>
          <w:szCs w:val="22"/>
        </w:rPr>
        <w:t>strategies</w:t>
      </w:r>
      <w:r w:rsidR="00675641" w:rsidRPr="00F7706D">
        <w:rPr>
          <w:rFonts w:asciiTheme="minorHAnsi" w:hAnsiTheme="minorHAnsi" w:cstheme="minorHAnsi"/>
          <w:sz w:val="22"/>
          <w:szCs w:val="22"/>
        </w:rPr>
        <w:t>, with a focus on their impact on pupil engagement.</w:t>
      </w:r>
    </w:p>
    <w:p w:rsidR="00675641" w:rsidRPr="00F7706D" w:rsidRDefault="00675641" w:rsidP="00675641">
      <w:pPr>
        <w:pStyle w:val="NormalWeb"/>
        <w:jc w:val="both"/>
        <w:rPr>
          <w:rFonts w:asciiTheme="minorHAnsi" w:hAnsiTheme="minorHAnsi" w:cstheme="minorHAnsi"/>
          <w:b/>
          <w:sz w:val="22"/>
          <w:szCs w:val="22"/>
        </w:rPr>
      </w:pPr>
      <w:r w:rsidRPr="00F7706D">
        <w:rPr>
          <w:rFonts w:asciiTheme="minorHAnsi" w:hAnsiTheme="minorHAnsi" w:cstheme="minorHAnsi"/>
          <w:b/>
          <w:sz w:val="22"/>
          <w:szCs w:val="22"/>
        </w:rPr>
        <w:t>Research Outcomes</w:t>
      </w:r>
    </w:p>
    <w:p w:rsidR="00727C01" w:rsidRPr="00F7706D" w:rsidRDefault="00675641" w:rsidP="006A646D">
      <w:pPr>
        <w:pStyle w:val="NormalWeb"/>
        <w:jc w:val="both"/>
        <w:rPr>
          <w:rFonts w:asciiTheme="minorHAnsi" w:hAnsiTheme="minorHAnsi" w:cstheme="minorHAnsi"/>
          <w:sz w:val="22"/>
          <w:szCs w:val="22"/>
        </w:rPr>
      </w:pPr>
      <w:r w:rsidRPr="00F7706D">
        <w:rPr>
          <w:rFonts w:asciiTheme="minorHAnsi" w:hAnsiTheme="minorHAnsi" w:cstheme="minorHAnsi"/>
          <w:sz w:val="22"/>
          <w:szCs w:val="22"/>
        </w:rPr>
        <w:t xml:space="preserve">This study aims to expand the current knowledge base by </w:t>
      </w:r>
      <w:r w:rsidR="00CF3220" w:rsidRPr="00F7706D">
        <w:rPr>
          <w:rFonts w:asciiTheme="minorHAnsi" w:hAnsiTheme="minorHAnsi" w:cstheme="minorHAnsi"/>
          <w:sz w:val="22"/>
          <w:szCs w:val="22"/>
        </w:rPr>
        <w:t>exploring the</w:t>
      </w:r>
      <w:r w:rsidRPr="00F7706D">
        <w:rPr>
          <w:rFonts w:asciiTheme="minorHAnsi" w:hAnsiTheme="minorHAnsi" w:cstheme="minorHAnsi"/>
          <w:sz w:val="22"/>
          <w:szCs w:val="22"/>
        </w:rPr>
        <w:t xml:space="preserve"> relationship between teacher questioning </w:t>
      </w:r>
      <w:r w:rsidR="00815B8F" w:rsidRPr="00F7706D">
        <w:rPr>
          <w:rFonts w:asciiTheme="minorHAnsi" w:hAnsiTheme="minorHAnsi" w:cstheme="minorHAnsi"/>
          <w:sz w:val="22"/>
          <w:szCs w:val="22"/>
        </w:rPr>
        <w:t>strategies</w:t>
      </w:r>
      <w:r w:rsidRPr="00F7706D">
        <w:rPr>
          <w:rFonts w:asciiTheme="minorHAnsi" w:hAnsiTheme="minorHAnsi" w:cstheme="minorHAnsi"/>
          <w:sz w:val="22"/>
          <w:szCs w:val="22"/>
        </w:rPr>
        <w:t xml:space="preserve"> and pupil engagement. By outlining the effectiveness of varied </w:t>
      </w:r>
      <w:r w:rsidRPr="00F7706D">
        <w:rPr>
          <w:rFonts w:asciiTheme="minorHAnsi" w:hAnsiTheme="minorHAnsi" w:cstheme="minorHAnsi"/>
          <w:sz w:val="22"/>
          <w:szCs w:val="22"/>
        </w:rPr>
        <w:lastRenderedPageBreak/>
        <w:t xml:space="preserve">approaches and drawing insights from </w:t>
      </w:r>
      <w:r w:rsidR="00815B8F" w:rsidRPr="00F7706D">
        <w:rPr>
          <w:rFonts w:asciiTheme="minorHAnsi" w:hAnsiTheme="minorHAnsi" w:cstheme="minorHAnsi"/>
          <w:sz w:val="22"/>
          <w:szCs w:val="22"/>
        </w:rPr>
        <w:t>pupils</w:t>
      </w:r>
      <w:r w:rsidRPr="00F7706D">
        <w:rPr>
          <w:rFonts w:asciiTheme="minorHAnsi" w:hAnsiTheme="minorHAnsi" w:cstheme="minorHAnsi"/>
          <w:sz w:val="22"/>
          <w:szCs w:val="22"/>
        </w:rPr>
        <w:t xml:space="preserve">, it aims </w:t>
      </w:r>
      <w:r w:rsidR="00277E83">
        <w:rPr>
          <w:rFonts w:asciiTheme="minorHAnsi" w:hAnsiTheme="minorHAnsi" w:cstheme="minorHAnsi"/>
          <w:sz w:val="22"/>
          <w:szCs w:val="22"/>
        </w:rPr>
        <w:t>to reinforce current literature on the positive impacts of questioning strategies and pupil engage</w:t>
      </w:r>
      <w:r w:rsidR="00313E2A">
        <w:rPr>
          <w:rFonts w:asciiTheme="minorHAnsi" w:hAnsiTheme="minorHAnsi" w:cstheme="minorHAnsi"/>
          <w:sz w:val="22"/>
          <w:szCs w:val="22"/>
        </w:rPr>
        <w:t xml:space="preserve">ment, and additionally, trigger researcher motivation to further investigate the intrinsic variables that ultimately influence  </w:t>
      </w:r>
    </w:p>
    <w:p w:rsidR="00BD33DB" w:rsidRPr="00521B11" w:rsidRDefault="00675641" w:rsidP="00675641">
      <w:pPr>
        <w:jc w:val="center"/>
        <w:rPr>
          <w:b/>
        </w:rPr>
      </w:pPr>
      <w:r>
        <w:rPr>
          <w:b/>
        </w:rPr>
        <w:t>Literature Review</w:t>
      </w:r>
    </w:p>
    <w:p w:rsidR="00B800AB" w:rsidRDefault="002C2AD8" w:rsidP="00B41A28">
      <w:pPr>
        <w:jc w:val="both"/>
      </w:pPr>
      <w:r>
        <w:t xml:space="preserve">The </w:t>
      </w:r>
      <w:r w:rsidR="005E14C2">
        <w:t xml:space="preserve">relationship between teacher questioning strategies and pupil engagement is a dynamic field of study that draws </w:t>
      </w:r>
      <w:r w:rsidR="00F7706D">
        <w:t xml:space="preserve">empirical evidence from both past and present </w:t>
      </w:r>
      <w:r w:rsidR="001213C9">
        <w:t>research</w:t>
      </w:r>
      <w:r w:rsidR="005E14C2">
        <w:t xml:space="preserve">. For instance, Johnson and Johnson (2009) highlighted the significance of cooperative learning structures in fostering engagement through questioning. They argue when pupils actively engage in questioning within the classroom they naturally become increasingly engaged with the content. </w:t>
      </w:r>
      <w:r>
        <w:t>Moreover, Hattie (2009) emphasis</w:t>
      </w:r>
      <w:r w:rsidR="005E14C2">
        <w:t>ed the importance of high-impact teaching strategies, including effective questioning, in his meta-analys</w:t>
      </w:r>
      <w:r>
        <w:t>is of factors influencing pupil</w:t>
      </w:r>
      <w:r w:rsidR="005E14C2">
        <w:t xml:space="preserve"> achievement. </w:t>
      </w:r>
    </w:p>
    <w:p w:rsidR="00B800AB" w:rsidRDefault="005E14C2" w:rsidP="00B41A28">
      <w:pPr>
        <w:jc w:val="both"/>
      </w:pPr>
      <w:r>
        <w:t xml:space="preserve">According to his research, questioning that stimulates higher-order thinking can significantly enhance </w:t>
      </w:r>
      <w:r w:rsidR="00ED5514">
        <w:t>pupil</w:t>
      </w:r>
      <w:r>
        <w:t xml:space="preserve"> engagement and learning outcomes. </w:t>
      </w:r>
      <w:r w:rsidR="00B800AB">
        <w:t>By synthesis</w:t>
      </w:r>
      <w:r>
        <w:t xml:space="preserve">ing insights from diverse sources such as these, this essay aims to provide a comprehensive understanding of the intricate relationship between teacher questioning strategies and pupil engagement, thereby informing effective </w:t>
      </w:r>
      <w:r w:rsidR="00B800AB">
        <w:t>teacher</w:t>
      </w:r>
      <w:r>
        <w:t xml:space="preserve"> practices.</w:t>
      </w:r>
    </w:p>
    <w:p w:rsidR="00840754" w:rsidRDefault="00B800AB" w:rsidP="00B41A28">
      <w:pPr>
        <w:jc w:val="both"/>
      </w:pPr>
      <w:r>
        <w:t>Gall (1970) scrutinis</w:t>
      </w:r>
      <w:r w:rsidR="00840754">
        <w:t xml:space="preserve">es the outcomes of teacher and </w:t>
      </w:r>
      <w:r w:rsidR="00675641">
        <w:t>pupil</w:t>
      </w:r>
      <w:r w:rsidR="00840754">
        <w:t xml:space="preserve"> questioning on pupil verbal conduct in the classroom, underscoring the crucial role of strategic questioning in promoting active participation and understanding. The employment of strategic questioning not only motivates </w:t>
      </w:r>
      <w:r w:rsidR="00815B8F">
        <w:t>pupils</w:t>
      </w:r>
      <w:r w:rsidR="00840754">
        <w:t xml:space="preserve"> to participate actively in classroom discourse but also facilitates their comprehension of the subject matter. </w:t>
      </w:r>
    </w:p>
    <w:p w:rsidR="00840754" w:rsidRDefault="00840754" w:rsidP="00B41A28">
      <w:pPr>
        <w:jc w:val="both"/>
      </w:pPr>
      <w:r>
        <w:t xml:space="preserve">Warren and </w:t>
      </w:r>
      <w:proofErr w:type="spellStart"/>
      <w:r>
        <w:t>Deniz</w:t>
      </w:r>
      <w:proofErr w:type="spellEnd"/>
      <w:r>
        <w:t xml:space="preserve"> (2018) delve into the domain of questioning, stressing its significance in employing higher-order cognitive skills and </w:t>
      </w:r>
      <w:r w:rsidR="002C2AD8">
        <w:t>active engagement</w:t>
      </w:r>
      <w:r>
        <w:t xml:space="preserve"> among </w:t>
      </w:r>
      <w:r w:rsidR="00815B8F">
        <w:t>pupils</w:t>
      </w:r>
      <w:r>
        <w:t xml:space="preserve">. Through presenting stimulating inquiries that demand critical analysis and integration, </w:t>
      </w:r>
      <w:r w:rsidR="002C2AD8">
        <w:t>teachers</w:t>
      </w:r>
      <w:r>
        <w:t xml:space="preserve"> can prompt </w:t>
      </w:r>
      <w:r w:rsidR="00815B8F">
        <w:t>pupils</w:t>
      </w:r>
      <w:r>
        <w:t xml:space="preserve"> to delve profoundly into the content, thereby enriching their intellectual involvement. Chin and Osborne (2008) support inquiry-based approaches, highlighting the potential of </w:t>
      </w:r>
      <w:r w:rsidR="00675641">
        <w:t>pupil</w:t>
      </w:r>
      <w:r>
        <w:t xml:space="preserve">-generated inquiries to spark curiosity and inherent drive in learners. Empowering </w:t>
      </w:r>
      <w:r w:rsidR="00815B8F">
        <w:t>pupils</w:t>
      </w:r>
      <w:r>
        <w:t xml:space="preserve"> to formulate their queries allows them to take charge of their learning journey, resulting in heightened curiosity and motivation to delve further into subjects. </w:t>
      </w:r>
    </w:p>
    <w:p w:rsidR="00840754" w:rsidRDefault="00840754" w:rsidP="00B41A28">
      <w:pPr>
        <w:jc w:val="both"/>
      </w:pPr>
      <w:r>
        <w:t xml:space="preserve">Dillon (1988) offers a nuanced viewpoint on the effectiveness of teachers' inquiries, delineating between closed and open-ended questions and their influence on </w:t>
      </w:r>
      <w:r w:rsidR="00675641">
        <w:t>pupil</w:t>
      </w:r>
      <w:r>
        <w:t xml:space="preserve"> engagement and cognitive growth. Open-ended queries encourage </w:t>
      </w:r>
      <w:r w:rsidR="00815B8F">
        <w:t>pupils</w:t>
      </w:r>
      <w:r>
        <w:t xml:space="preserve"> to think critically and express their thoughts freely, while closed questions might restrict their cognitive processes and involvement. Wilkinson and Son (2013) investigate t</w:t>
      </w:r>
      <w:r w:rsidR="002C2AD8">
        <w:t>he nature of inquiries, emphasis</w:t>
      </w:r>
      <w:r>
        <w:t xml:space="preserve">ing the significance of contextually </w:t>
      </w:r>
      <w:r w:rsidR="002C2AD8">
        <w:t xml:space="preserve">relevant </w:t>
      </w:r>
      <w:r>
        <w:t xml:space="preserve">questions in nurturing </w:t>
      </w:r>
      <w:r w:rsidR="002C2AD8">
        <w:t>active participation and learning experiences</w:t>
      </w:r>
      <w:r>
        <w:t xml:space="preserve">. When questions resonate with </w:t>
      </w:r>
      <w:r w:rsidR="00815B8F">
        <w:t>pupils</w:t>
      </w:r>
      <w:r>
        <w:t>' experiences and interests, they are more inclined to actively participate in the educational proc</w:t>
      </w:r>
      <w:r w:rsidR="002C2AD8">
        <w:t>ess and cultivate a deeper understanding</w:t>
      </w:r>
      <w:r>
        <w:t xml:space="preserve"> of the content. </w:t>
      </w:r>
    </w:p>
    <w:p w:rsidR="00840754" w:rsidRDefault="00840754" w:rsidP="00B41A28">
      <w:pPr>
        <w:jc w:val="both"/>
      </w:pPr>
      <w:r>
        <w:t xml:space="preserve">Roth (1996) further elucidates the impact of context on shaping teacher questioning methodologies, accentuating the essentiality of aligning questions with </w:t>
      </w:r>
      <w:r w:rsidR="00815B8F">
        <w:t>pupils</w:t>
      </w:r>
      <w:r>
        <w:t xml:space="preserve">' interests and prior knowledge. By tailoring inquiries to meet the unique needs and backgrounds of their </w:t>
      </w:r>
      <w:r w:rsidR="00815B8F">
        <w:t>pupils</w:t>
      </w:r>
      <w:r>
        <w:t xml:space="preserve">, educators can enhance </w:t>
      </w:r>
      <w:r>
        <w:lastRenderedPageBreak/>
        <w:t xml:space="preserve">the pertinence and efficacy of their questioning </w:t>
      </w:r>
      <w:r w:rsidR="002C2AD8">
        <w:t>strategies</w:t>
      </w:r>
      <w:r>
        <w:t xml:space="preserve">. </w:t>
      </w:r>
      <w:proofErr w:type="spellStart"/>
      <w:r>
        <w:t>Pedrosa</w:t>
      </w:r>
      <w:proofErr w:type="spellEnd"/>
      <w:r>
        <w:t xml:space="preserve">-de-Jesus, Watts, and Preston (2019) critically assess the influence of teachers' questioning </w:t>
      </w:r>
      <w:r w:rsidR="002C2AD8">
        <w:t>strategies</w:t>
      </w:r>
      <w:r>
        <w:t xml:space="preserve"> on science education, underscoring the necessity for additional exploration into this intricate interconnection. Their discoveries underscore the significance of continuous research and contemplation on questioning methodologies to improve </w:t>
      </w:r>
      <w:r w:rsidR="00675641">
        <w:t>pupil</w:t>
      </w:r>
      <w:r>
        <w:t xml:space="preserve"> learning outcomes in specific academic disciplines. </w:t>
      </w:r>
      <w:proofErr w:type="spellStart"/>
      <w:r>
        <w:t>Cazden</w:t>
      </w:r>
      <w:proofErr w:type="spellEnd"/>
      <w:r>
        <w:t xml:space="preserve"> (1988) enriches the dialogue by analysing classroom conversations and the language of instruction and learning, elucidating the pivotal function of questions in shaping </w:t>
      </w:r>
      <w:r w:rsidR="00815B8F">
        <w:t>pupils</w:t>
      </w:r>
      <w:r>
        <w:t xml:space="preserve">' comprehension and involvement. Effective questioning not only stimulates active participation but also facilitates meaningful conversations and cooperation among </w:t>
      </w:r>
      <w:r w:rsidR="00815B8F">
        <w:t>pupils</w:t>
      </w:r>
      <w:r>
        <w:t xml:space="preserve">. </w:t>
      </w:r>
    </w:p>
    <w:p w:rsidR="00840754" w:rsidRDefault="00840754" w:rsidP="00B41A28">
      <w:pPr>
        <w:jc w:val="both"/>
      </w:pPr>
      <w:r>
        <w:t xml:space="preserve">King (1994) probes into the educational importance of teaching children how to interrogate and elucidate, articulating the transformative capacity of questioning in knowledge construction. By instructing </w:t>
      </w:r>
      <w:r w:rsidR="00815B8F">
        <w:t>pupils</w:t>
      </w:r>
      <w:r>
        <w:t xml:space="preserve"> on how to pose insightful questions and articulate their ideas clearly, educators can empower them to actively engage in their educational journey and enhance </w:t>
      </w:r>
      <w:r w:rsidR="00675641">
        <w:t>pupil</w:t>
      </w:r>
      <w:r>
        <w:t xml:space="preserve"> outcomes.</w:t>
      </w:r>
      <w:r w:rsidR="00244794">
        <w:t xml:space="preserve"> </w:t>
      </w:r>
      <w:r w:rsidR="00BC1D55" w:rsidRPr="00BC1D55">
        <w:t xml:space="preserve">The intricate </w:t>
      </w:r>
      <w:r w:rsidR="00244794">
        <w:t>relationship</w:t>
      </w:r>
      <w:r w:rsidR="00BC1D55" w:rsidRPr="00BC1D55">
        <w:t xml:space="preserve"> between teacher questioning strategies and pupil engagement constitutes</w:t>
      </w:r>
      <w:r w:rsidR="00A16B22">
        <w:t xml:space="preserve"> </w:t>
      </w:r>
      <w:r w:rsidR="00244794">
        <w:t xml:space="preserve">further action to truly understand this iterative interaction. </w:t>
      </w:r>
    </w:p>
    <w:p w:rsidR="00CE3FA6" w:rsidRPr="00CE3FA6" w:rsidRDefault="00CE3FA6" w:rsidP="00CE3FA6">
      <w:pPr>
        <w:pStyle w:val="NormalWeb"/>
        <w:jc w:val="both"/>
        <w:rPr>
          <w:rFonts w:asciiTheme="minorHAnsi" w:hAnsiTheme="minorHAnsi" w:cstheme="minorHAnsi"/>
          <w:sz w:val="22"/>
        </w:rPr>
      </w:pPr>
      <w:r w:rsidRPr="00CE3FA6">
        <w:rPr>
          <w:rFonts w:asciiTheme="minorHAnsi" w:hAnsiTheme="minorHAnsi" w:cstheme="minorHAnsi"/>
          <w:sz w:val="22"/>
        </w:rPr>
        <w:t xml:space="preserve">In the realm of teacher questioning and pupil engagement, various scholars have contributed insights that shed light on the complexities of this dynamic interaction. Hattie (2009) and Mercer and Dawes (2014) underscore the limitations of closed-ended questions in fostering surface-level learning and passive engagement, aligning with the concerns raised in the critique. </w:t>
      </w:r>
      <w:proofErr w:type="spellStart"/>
      <w:r>
        <w:rPr>
          <w:rFonts w:asciiTheme="minorHAnsi" w:hAnsiTheme="minorHAnsi" w:cstheme="minorHAnsi"/>
          <w:sz w:val="22"/>
        </w:rPr>
        <w:t>Nystrand</w:t>
      </w:r>
      <w:proofErr w:type="spellEnd"/>
      <w:r>
        <w:rPr>
          <w:rFonts w:asciiTheme="minorHAnsi" w:hAnsiTheme="minorHAnsi" w:cstheme="minorHAnsi"/>
          <w:sz w:val="22"/>
        </w:rPr>
        <w:t xml:space="preserve"> et al. (2001) emphasis</w:t>
      </w:r>
      <w:r w:rsidRPr="00CE3FA6">
        <w:rPr>
          <w:rFonts w:asciiTheme="minorHAnsi" w:hAnsiTheme="minorHAnsi" w:cstheme="minorHAnsi"/>
          <w:sz w:val="22"/>
        </w:rPr>
        <w:t xml:space="preserve">e the significance of balanced questioning frequency, echoing the need for moderation in questioning practices to prevent overwhelming </w:t>
      </w:r>
      <w:r w:rsidR="00F74E49">
        <w:rPr>
          <w:rFonts w:asciiTheme="minorHAnsi" w:hAnsiTheme="minorHAnsi" w:cstheme="minorHAnsi"/>
          <w:sz w:val="22"/>
        </w:rPr>
        <w:t>pupils</w:t>
      </w:r>
      <w:r w:rsidRPr="00CE3FA6">
        <w:rPr>
          <w:rFonts w:asciiTheme="minorHAnsi" w:hAnsiTheme="minorHAnsi" w:cstheme="minorHAnsi"/>
          <w:sz w:val="22"/>
        </w:rPr>
        <w:t xml:space="preserve">. Furthermore, </w:t>
      </w:r>
      <w:proofErr w:type="spellStart"/>
      <w:r w:rsidRPr="00CE3FA6">
        <w:rPr>
          <w:rFonts w:asciiTheme="minorHAnsi" w:hAnsiTheme="minorHAnsi" w:cstheme="minorHAnsi"/>
          <w:sz w:val="22"/>
        </w:rPr>
        <w:t>Cazden</w:t>
      </w:r>
      <w:proofErr w:type="spellEnd"/>
      <w:r w:rsidRPr="00CE3FA6">
        <w:rPr>
          <w:rFonts w:asciiTheme="minorHAnsi" w:hAnsiTheme="minorHAnsi" w:cstheme="minorHAnsi"/>
          <w:sz w:val="22"/>
        </w:rPr>
        <w:t xml:space="preserve"> (1988) and Chin and Osborne (2008) highlight the importance of equitable participation in classroom discussions, a factor that resonates with the critique's emphasis on ensuring all </w:t>
      </w:r>
      <w:r w:rsidR="00F74E49">
        <w:rPr>
          <w:rFonts w:asciiTheme="minorHAnsi" w:hAnsiTheme="minorHAnsi" w:cstheme="minorHAnsi"/>
          <w:sz w:val="22"/>
        </w:rPr>
        <w:t>pupils</w:t>
      </w:r>
      <w:r w:rsidRPr="00CE3FA6">
        <w:rPr>
          <w:rFonts w:asciiTheme="minorHAnsi" w:hAnsiTheme="minorHAnsi" w:cstheme="minorHAnsi"/>
          <w:sz w:val="22"/>
        </w:rPr>
        <w:t xml:space="preserve"> are actively engaged.</w:t>
      </w:r>
    </w:p>
    <w:p w:rsidR="00CE3FA6" w:rsidRPr="001213C9" w:rsidRDefault="00CE3FA6" w:rsidP="001213C9">
      <w:pPr>
        <w:pStyle w:val="NormalWeb"/>
        <w:jc w:val="both"/>
        <w:rPr>
          <w:rFonts w:asciiTheme="minorHAnsi" w:hAnsiTheme="minorHAnsi" w:cstheme="minorHAnsi"/>
          <w:sz w:val="22"/>
        </w:rPr>
      </w:pPr>
      <w:r w:rsidRPr="00CE3FA6">
        <w:rPr>
          <w:rFonts w:asciiTheme="minorHAnsi" w:hAnsiTheme="minorHAnsi" w:cstheme="minorHAnsi"/>
          <w:sz w:val="22"/>
        </w:rPr>
        <w:t>Expanding the discourse, the concerns raised regarding cultural and linguistic diversity in questioning effectiveness align with the insights of Lee et al. (2018) and Holliday (2010). Lee (2018) advocates the need for culturally adaptive teaching practices to engage diverse pupil cohorts effectively, while Holliday (2010) favours a broader perspective on cultural inclusivity in educational settings. By drawing connections between these authors and the critique, a more comprehensive understanding of the challenges and considerations surrounding teacher questioning strategies and pupil engagement emerges.</w:t>
      </w:r>
    </w:p>
    <w:p w:rsidR="00CE3FA6" w:rsidRPr="00CE3FA6" w:rsidRDefault="00CE3FA6" w:rsidP="00CE3FA6">
      <w:pPr>
        <w:pStyle w:val="NormalWeb"/>
        <w:jc w:val="both"/>
        <w:rPr>
          <w:rFonts w:asciiTheme="minorHAnsi" w:hAnsiTheme="minorHAnsi" w:cstheme="minorHAnsi"/>
          <w:sz w:val="22"/>
        </w:rPr>
      </w:pPr>
      <w:r>
        <w:rPr>
          <w:rFonts w:asciiTheme="minorHAnsi" w:hAnsiTheme="minorHAnsi" w:cstheme="minorHAnsi"/>
          <w:sz w:val="22"/>
        </w:rPr>
        <w:t>After reviewing the literature</w:t>
      </w:r>
      <w:r w:rsidR="00452FDA">
        <w:rPr>
          <w:rFonts w:asciiTheme="minorHAnsi" w:hAnsiTheme="minorHAnsi" w:cstheme="minorHAnsi"/>
          <w:sz w:val="22"/>
        </w:rPr>
        <w:t xml:space="preserve">, the </w:t>
      </w:r>
      <w:r w:rsidRPr="00CE3FA6">
        <w:rPr>
          <w:rFonts w:asciiTheme="minorHAnsi" w:hAnsiTheme="minorHAnsi" w:cstheme="minorHAnsi"/>
          <w:sz w:val="22"/>
        </w:rPr>
        <w:t xml:space="preserve">relationship between teacher questioning strategies and pupil engagement is multifaceted, encompassing various </w:t>
      </w:r>
      <w:r w:rsidR="005B13E2">
        <w:rPr>
          <w:rFonts w:asciiTheme="minorHAnsi" w:hAnsiTheme="minorHAnsi" w:cstheme="minorHAnsi"/>
          <w:sz w:val="22"/>
        </w:rPr>
        <w:t>levels</w:t>
      </w:r>
      <w:r w:rsidRPr="00CE3FA6">
        <w:rPr>
          <w:rFonts w:asciiTheme="minorHAnsi" w:hAnsiTheme="minorHAnsi" w:cstheme="minorHAnsi"/>
          <w:sz w:val="22"/>
        </w:rPr>
        <w:t xml:space="preserve"> of classroom dynamics. </w:t>
      </w:r>
      <w:r>
        <w:rPr>
          <w:rFonts w:asciiTheme="minorHAnsi" w:hAnsiTheme="minorHAnsi" w:cstheme="minorHAnsi"/>
          <w:sz w:val="22"/>
        </w:rPr>
        <w:t>Authors</w:t>
      </w:r>
      <w:r w:rsidRPr="00CE3FA6">
        <w:rPr>
          <w:rFonts w:asciiTheme="minorHAnsi" w:hAnsiTheme="minorHAnsi" w:cstheme="minorHAnsi"/>
          <w:sz w:val="22"/>
        </w:rPr>
        <w:t xml:space="preserve"> such as Hattie (2009) and Mercer and Dawes (2014) have </w:t>
      </w:r>
      <w:r>
        <w:rPr>
          <w:rFonts w:asciiTheme="minorHAnsi" w:hAnsiTheme="minorHAnsi" w:cstheme="minorHAnsi"/>
          <w:sz w:val="22"/>
        </w:rPr>
        <w:t>highlighted</w:t>
      </w:r>
      <w:r w:rsidRPr="00CE3FA6">
        <w:rPr>
          <w:rFonts w:asciiTheme="minorHAnsi" w:hAnsiTheme="minorHAnsi" w:cstheme="minorHAnsi"/>
          <w:sz w:val="22"/>
        </w:rPr>
        <w:t xml:space="preserve"> the potential drawbacks of closed-ended questions, which may inadvertently hinder deeper learning and </w:t>
      </w:r>
      <w:r w:rsidR="00ED5514">
        <w:rPr>
          <w:rFonts w:asciiTheme="minorHAnsi" w:hAnsiTheme="minorHAnsi" w:cstheme="minorHAnsi"/>
          <w:sz w:val="22"/>
        </w:rPr>
        <w:t>pupil</w:t>
      </w:r>
      <w:r w:rsidR="005B13E2">
        <w:rPr>
          <w:rFonts w:asciiTheme="minorHAnsi" w:hAnsiTheme="minorHAnsi" w:cstheme="minorHAnsi"/>
          <w:sz w:val="22"/>
        </w:rPr>
        <w:t xml:space="preserve"> engagement</w:t>
      </w:r>
      <w:r w:rsidRPr="00CE3FA6">
        <w:rPr>
          <w:rFonts w:asciiTheme="minorHAnsi" w:hAnsiTheme="minorHAnsi" w:cstheme="minorHAnsi"/>
          <w:sz w:val="22"/>
        </w:rPr>
        <w:t xml:space="preserve">. Conversely, insights from </w:t>
      </w:r>
      <w:proofErr w:type="spellStart"/>
      <w:r w:rsidRPr="00CE3FA6">
        <w:rPr>
          <w:rFonts w:asciiTheme="minorHAnsi" w:hAnsiTheme="minorHAnsi" w:cstheme="minorHAnsi"/>
          <w:sz w:val="22"/>
        </w:rPr>
        <w:t>Nystrand</w:t>
      </w:r>
      <w:proofErr w:type="spellEnd"/>
      <w:r w:rsidRPr="00CE3FA6">
        <w:rPr>
          <w:rFonts w:asciiTheme="minorHAnsi" w:hAnsiTheme="minorHAnsi" w:cstheme="minorHAnsi"/>
          <w:sz w:val="22"/>
        </w:rPr>
        <w:t xml:space="preserve"> et al. (2001) underscore the delicate balance required in question</w:t>
      </w:r>
      <w:r>
        <w:rPr>
          <w:rFonts w:asciiTheme="minorHAnsi" w:hAnsiTheme="minorHAnsi" w:cstheme="minorHAnsi"/>
          <w:sz w:val="22"/>
        </w:rPr>
        <w:t>ing frequency to prevent pupil</w:t>
      </w:r>
      <w:r w:rsidRPr="00CE3FA6">
        <w:rPr>
          <w:rFonts w:asciiTheme="minorHAnsi" w:hAnsiTheme="minorHAnsi" w:cstheme="minorHAnsi"/>
          <w:sz w:val="22"/>
        </w:rPr>
        <w:t xml:space="preserve"> over</w:t>
      </w:r>
      <w:r>
        <w:rPr>
          <w:rFonts w:asciiTheme="minorHAnsi" w:hAnsiTheme="minorHAnsi" w:cstheme="minorHAnsi"/>
          <w:sz w:val="22"/>
        </w:rPr>
        <w:t>load</w:t>
      </w:r>
      <w:r w:rsidRPr="00CE3FA6">
        <w:rPr>
          <w:rFonts w:asciiTheme="minorHAnsi" w:hAnsiTheme="minorHAnsi" w:cstheme="minorHAnsi"/>
          <w:sz w:val="22"/>
        </w:rPr>
        <w:t xml:space="preserve">. Moreover, the perspectives of </w:t>
      </w:r>
      <w:proofErr w:type="spellStart"/>
      <w:r w:rsidRPr="00CE3FA6">
        <w:rPr>
          <w:rFonts w:asciiTheme="minorHAnsi" w:hAnsiTheme="minorHAnsi" w:cstheme="minorHAnsi"/>
          <w:sz w:val="22"/>
        </w:rPr>
        <w:t>Cazden</w:t>
      </w:r>
      <w:proofErr w:type="spellEnd"/>
      <w:r w:rsidRPr="00CE3FA6">
        <w:rPr>
          <w:rFonts w:asciiTheme="minorHAnsi" w:hAnsiTheme="minorHAnsi" w:cstheme="minorHAnsi"/>
          <w:sz w:val="22"/>
        </w:rPr>
        <w:t xml:space="preserve"> (1988) and </w:t>
      </w:r>
      <w:r>
        <w:rPr>
          <w:rFonts w:asciiTheme="minorHAnsi" w:hAnsiTheme="minorHAnsi" w:cstheme="minorHAnsi"/>
          <w:sz w:val="22"/>
        </w:rPr>
        <w:t>Chin and Osborne (2008) emphasis</w:t>
      </w:r>
      <w:r w:rsidRPr="00CE3FA6">
        <w:rPr>
          <w:rFonts w:asciiTheme="minorHAnsi" w:hAnsiTheme="minorHAnsi" w:cstheme="minorHAnsi"/>
          <w:sz w:val="22"/>
        </w:rPr>
        <w:t>e the importance of equitable participa</w:t>
      </w:r>
      <w:r w:rsidR="00297283">
        <w:rPr>
          <w:rFonts w:asciiTheme="minorHAnsi" w:hAnsiTheme="minorHAnsi" w:cstheme="minorHAnsi"/>
          <w:sz w:val="22"/>
        </w:rPr>
        <w:t>tion, ensuring that all pupils</w:t>
      </w:r>
      <w:r w:rsidRPr="00CE3FA6">
        <w:rPr>
          <w:rFonts w:asciiTheme="minorHAnsi" w:hAnsiTheme="minorHAnsi" w:cstheme="minorHAnsi"/>
          <w:sz w:val="22"/>
        </w:rPr>
        <w:t xml:space="preserve"> have opportunities to engage actively </w:t>
      </w:r>
      <w:r w:rsidR="00297283">
        <w:rPr>
          <w:rFonts w:asciiTheme="minorHAnsi" w:hAnsiTheme="minorHAnsi" w:cstheme="minorHAnsi"/>
          <w:sz w:val="22"/>
        </w:rPr>
        <w:t>within the classroom.</w:t>
      </w:r>
    </w:p>
    <w:p w:rsidR="00CE3FA6" w:rsidRPr="00CE3FA6" w:rsidRDefault="00CE3FA6" w:rsidP="00CE3FA6">
      <w:pPr>
        <w:pStyle w:val="NormalWeb"/>
        <w:jc w:val="both"/>
        <w:rPr>
          <w:rFonts w:asciiTheme="minorHAnsi" w:hAnsiTheme="minorHAnsi" w:cstheme="minorHAnsi"/>
          <w:sz w:val="22"/>
        </w:rPr>
      </w:pPr>
      <w:r w:rsidRPr="00CE3FA6">
        <w:rPr>
          <w:rFonts w:asciiTheme="minorHAnsi" w:hAnsiTheme="minorHAnsi" w:cstheme="minorHAnsi"/>
          <w:sz w:val="22"/>
        </w:rPr>
        <w:t xml:space="preserve">As </w:t>
      </w:r>
      <w:r w:rsidR="00297283">
        <w:rPr>
          <w:rFonts w:asciiTheme="minorHAnsi" w:hAnsiTheme="minorHAnsi" w:cstheme="minorHAnsi"/>
          <w:sz w:val="22"/>
        </w:rPr>
        <w:t>teachers</w:t>
      </w:r>
      <w:r w:rsidRPr="00CE3FA6">
        <w:rPr>
          <w:rFonts w:asciiTheme="minorHAnsi" w:hAnsiTheme="minorHAnsi" w:cstheme="minorHAnsi"/>
          <w:sz w:val="22"/>
        </w:rPr>
        <w:t xml:space="preserve"> navigate </w:t>
      </w:r>
      <w:r w:rsidR="00297283">
        <w:rPr>
          <w:rFonts w:asciiTheme="minorHAnsi" w:hAnsiTheme="minorHAnsi" w:cstheme="minorHAnsi"/>
          <w:sz w:val="22"/>
        </w:rPr>
        <w:t>their own practice</w:t>
      </w:r>
      <w:r w:rsidRPr="00CE3FA6">
        <w:rPr>
          <w:rFonts w:asciiTheme="minorHAnsi" w:hAnsiTheme="minorHAnsi" w:cstheme="minorHAnsi"/>
          <w:sz w:val="22"/>
        </w:rPr>
        <w:t xml:space="preserve"> it is imperative to critically reflect on questioning practices and their impact on </w:t>
      </w:r>
      <w:r w:rsidR="00297283">
        <w:rPr>
          <w:rFonts w:asciiTheme="minorHAnsi" w:hAnsiTheme="minorHAnsi" w:cstheme="minorHAnsi"/>
          <w:sz w:val="22"/>
        </w:rPr>
        <w:t>pupil</w:t>
      </w:r>
      <w:r w:rsidRPr="00CE3FA6">
        <w:rPr>
          <w:rFonts w:asciiTheme="minorHAnsi" w:hAnsiTheme="minorHAnsi" w:cstheme="minorHAnsi"/>
          <w:sz w:val="22"/>
        </w:rPr>
        <w:t xml:space="preserve"> engagement and learning outcomes. </w:t>
      </w:r>
      <w:r w:rsidR="00297283">
        <w:rPr>
          <w:rFonts w:asciiTheme="minorHAnsi" w:hAnsiTheme="minorHAnsi" w:cstheme="minorHAnsi"/>
          <w:sz w:val="22"/>
        </w:rPr>
        <w:t>By synthesis</w:t>
      </w:r>
      <w:r w:rsidRPr="00CE3FA6">
        <w:rPr>
          <w:rFonts w:asciiTheme="minorHAnsi" w:hAnsiTheme="minorHAnsi" w:cstheme="minorHAnsi"/>
          <w:sz w:val="22"/>
        </w:rPr>
        <w:t xml:space="preserve">ing insights from a diverse range of recognised authors, teachers can refine their questioning strategies to foster a more inclusive and dynamic learning environment that empowers all pupils to actively participate in their </w:t>
      </w:r>
      <w:r w:rsidR="00297283">
        <w:rPr>
          <w:rFonts w:asciiTheme="minorHAnsi" w:hAnsiTheme="minorHAnsi" w:cstheme="minorHAnsi"/>
          <w:sz w:val="22"/>
        </w:rPr>
        <w:t xml:space="preserve">own </w:t>
      </w:r>
      <w:r w:rsidRPr="00CE3FA6">
        <w:rPr>
          <w:rFonts w:asciiTheme="minorHAnsi" w:hAnsiTheme="minorHAnsi" w:cstheme="minorHAnsi"/>
          <w:sz w:val="22"/>
        </w:rPr>
        <w:t>education.</w:t>
      </w:r>
      <w:r w:rsidR="00DB04C5">
        <w:rPr>
          <w:rFonts w:asciiTheme="minorHAnsi" w:hAnsiTheme="minorHAnsi" w:cstheme="minorHAnsi"/>
          <w:sz w:val="22"/>
        </w:rPr>
        <w:t xml:space="preserve"> </w:t>
      </w:r>
    </w:p>
    <w:p w:rsidR="00B968EF" w:rsidRPr="00B968EF" w:rsidRDefault="00B968EF" w:rsidP="00B968EF">
      <w:pPr>
        <w:jc w:val="center"/>
        <w:rPr>
          <w:b/>
        </w:rPr>
      </w:pPr>
      <w:r w:rsidRPr="00B968EF">
        <w:rPr>
          <w:b/>
        </w:rPr>
        <w:lastRenderedPageBreak/>
        <w:t>Case Study</w:t>
      </w:r>
    </w:p>
    <w:p w:rsidR="00C3428D" w:rsidRPr="00C3428D" w:rsidRDefault="00C3428D" w:rsidP="00C3428D">
      <w:pPr>
        <w:spacing w:before="100" w:beforeAutospacing="1" w:after="100" w:afterAutospacing="1" w:line="240" w:lineRule="auto"/>
        <w:jc w:val="both"/>
        <w:rPr>
          <w:rFonts w:eastAsia="Times New Roman" w:cstheme="minorHAnsi"/>
          <w:szCs w:val="24"/>
          <w:lang w:eastAsia="en-GB"/>
        </w:rPr>
      </w:pPr>
      <w:r w:rsidRPr="00C3428D">
        <w:rPr>
          <w:rFonts w:eastAsia="Times New Roman" w:cstheme="minorHAnsi"/>
          <w:szCs w:val="24"/>
          <w:lang w:eastAsia="en-GB"/>
        </w:rPr>
        <w:t>Case study research is considered a fundamental aspect of educational investigation, providing a perspective through which the intricate landscape of educational occurrences can be analysed (Creswell, 2014; Merriam, 2009). This paper initiates a detailed scrutiny of the function and importance of case study research in educational academia, focusing on its capability to offer profound insights into intricate educational scenarios.</w:t>
      </w:r>
    </w:p>
    <w:p w:rsidR="00C3428D" w:rsidRPr="00C3428D" w:rsidRDefault="00C3428D" w:rsidP="00C3428D">
      <w:pPr>
        <w:spacing w:before="100" w:beforeAutospacing="1" w:after="100" w:afterAutospacing="1" w:line="240" w:lineRule="auto"/>
        <w:jc w:val="both"/>
        <w:rPr>
          <w:rFonts w:eastAsia="Times New Roman" w:cstheme="minorHAnsi"/>
          <w:szCs w:val="24"/>
          <w:lang w:eastAsia="en-GB"/>
        </w:rPr>
      </w:pPr>
      <w:r w:rsidRPr="00C3428D">
        <w:rPr>
          <w:rFonts w:eastAsia="Times New Roman" w:cstheme="minorHAnsi"/>
          <w:szCs w:val="24"/>
          <w:lang w:eastAsia="en-GB"/>
        </w:rPr>
        <w:t xml:space="preserve">Fundamentally, case study research embodies a qualitative methodology that allows researchers to deeply examine specific cases, facilitating a comprehensive comprehension of the complexities within educational environments (Stake, 1995). This research approach is especially suitable for capturing the depth and intricacy of real-world scenarios, providing an immersive investigation into the interaction among different elements like educators, </w:t>
      </w:r>
      <w:r w:rsidR="00F74E49">
        <w:rPr>
          <w:rFonts w:eastAsia="Times New Roman" w:cstheme="minorHAnsi"/>
          <w:szCs w:val="24"/>
          <w:lang w:eastAsia="en-GB"/>
        </w:rPr>
        <w:t>pupils</w:t>
      </w:r>
      <w:r w:rsidRPr="00C3428D">
        <w:rPr>
          <w:rFonts w:eastAsia="Times New Roman" w:cstheme="minorHAnsi"/>
          <w:szCs w:val="24"/>
          <w:lang w:eastAsia="en-GB"/>
        </w:rPr>
        <w:t>, syllabi, and environmental impacts (Yin, 2018).</w:t>
      </w:r>
    </w:p>
    <w:p w:rsidR="00C3428D" w:rsidRPr="00C3428D" w:rsidRDefault="00C3428D" w:rsidP="00C3428D">
      <w:pPr>
        <w:spacing w:before="100" w:beforeAutospacing="1" w:after="100" w:afterAutospacing="1" w:line="240" w:lineRule="auto"/>
        <w:jc w:val="both"/>
        <w:rPr>
          <w:rFonts w:eastAsia="Times New Roman" w:cstheme="minorHAnsi"/>
          <w:szCs w:val="24"/>
          <w:lang w:eastAsia="en-GB"/>
        </w:rPr>
      </w:pPr>
      <w:r w:rsidRPr="00C3428D">
        <w:rPr>
          <w:rFonts w:eastAsia="Times New Roman" w:cstheme="minorHAnsi"/>
          <w:szCs w:val="24"/>
          <w:lang w:eastAsia="en-GB"/>
        </w:rPr>
        <w:t>One of the strengths inherent in case study research lies in its ability to unveil unique perspectives and insights that may not be readily apparent through alternative research methodologies (Creswell, 2014). Through immersing researchers in the natural setting, case studies offer a chance to unveil hidden patterns, subtleties, and contextual elements that enhance our grasp of educational phenomena.</w:t>
      </w:r>
    </w:p>
    <w:p w:rsidR="00C3428D" w:rsidRPr="00C3428D" w:rsidRDefault="00C3428D" w:rsidP="00C3428D">
      <w:pPr>
        <w:spacing w:before="100" w:beforeAutospacing="1" w:after="100" w:afterAutospacing="1" w:line="240" w:lineRule="auto"/>
        <w:jc w:val="both"/>
        <w:rPr>
          <w:rFonts w:eastAsia="Times New Roman" w:cstheme="minorHAnsi"/>
          <w:szCs w:val="24"/>
          <w:lang w:eastAsia="en-GB"/>
        </w:rPr>
      </w:pPr>
      <w:r w:rsidRPr="00C3428D">
        <w:rPr>
          <w:rFonts w:eastAsia="Times New Roman" w:cstheme="minorHAnsi"/>
          <w:szCs w:val="24"/>
          <w:lang w:eastAsia="en-GB"/>
        </w:rPr>
        <w:t>Despite its advantages, case study research has its limitations. A primary challenge associated with this method is the issue of generalizability (Merriam, 2009). Due to its focus on specific cases, the results produced through case study investigations might not be easily generalizable to wider societal or contextual settings. Additionally, the subjective nature of data interpretation intrinsic in case study research introduces barriers to the reliability and validity of the outcomes (Creswell, 2014), requiring researchers to apply stringent data collection and analysis techniques to minimize bias and uphold the robustness of their conclusions.</w:t>
      </w:r>
    </w:p>
    <w:p w:rsidR="00C3428D" w:rsidRDefault="00C3428D" w:rsidP="00C3428D">
      <w:pPr>
        <w:spacing w:before="100" w:beforeAutospacing="1" w:after="100" w:afterAutospacing="1" w:line="240" w:lineRule="auto"/>
        <w:jc w:val="both"/>
        <w:rPr>
          <w:rFonts w:eastAsia="Times New Roman" w:cstheme="minorHAnsi"/>
          <w:szCs w:val="24"/>
          <w:lang w:eastAsia="en-GB"/>
        </w:rPr>
      </w:pPr>
      <w:r w:rsidRPr="00C3428D">
        <w:rPr>
          <w:rFonts w:eastAsia="Times New Roman" w:cstheme="minorHAnsi"/>
          <w:szCs w:val="24"/>
          <w:lang w:eastAsia="en-GB"/>
        </w:rPr>
        <w:t>Case study research serves as a valuable methodological instrument in educational investigation, providing an in-depth and sophisticated analysis of complex educational occurrences. By delving into particular cases, researchers can discover valuable insights that influence theory, practice, and policies in the education sector.  It is crucial for researchers to acknowledge the constraints linked with this approach and to implement rigorous methodologies to guarantee the credibility and dependability of their results.</w:t>
      </w:r>
    </w:p>
    <w:p w:rsidR="00C3428D" w:rsidRPr="00C3428D" w:rsidRDefault="00C3428D" w:rsidP="00C3428D">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Within this research project the participants will be a year 7 geography class. To gain a representative sample the pupils were selected at random from those who had accepted to participate and not based on their classroom performance, or any other identifiable variables.</w:t>
      </w:r>
    </w:p>
    <w:p w:rsidR="00C3428D" w:rsidRDefault="00C3428D" w:rsidP="00E522EB">
      <w:pPr>
        <w:jc w:val="both"/>
      </w:pPr>
    </w:p>
    <w:p w:rsidR="00B968EF" w:rsidRPr="00B968EF" w:rsidRDefault="00B968EF" w:rsidP="00B968EF">
      <w:pPr>
        <w:jc w:val="center"/>
        <w:rPr>
          <w:b/>
        </w:rPr>
      </w:pPr>
      <w:r w:rsidRPr="00B968EF">
        <w:rPr>
          <w:b/>
        </w:rPr>
        <w:t>Research Methods</w:t>
      </w:r>
      <w:r w:rsidR="00C3044E">
        <w:rPr>
          <w:b/>
        </w:rPr>
        <w:t xml:space="preserve"> – 1000 words</w:t>
      </w:r>
    </w:p>
    <w:p w:rsidR="004F2BD6" w:rsidRDefault="00174AF6" w:rsidP="00E522EB">
      <w:pPr>
        <w:jc w:val="both"/>
      </w:pPr>
      <w:r>
        <w:t xml:space="preserve">The first research method to be explored throughout the study will be the </w:t>
      </w:r>
      <w:r w:rsidR="00F74E49">
        <w:t>pupil</w:t>
      </w:r>
      <w:r>
        <w:t xml:space="preserve">-teachers use of </w:t>
      </w:r>
      <w:proofErr w:type="spellStart"/>
      <w:r>
        <w:t>Likert</w:t>
      </w:r>
      <w:proofErr w:type="spellEnd"/>
      <w:r>
        <w:t xml:space="preserve"> questionnaires. </w:t>
      </w:r>
      <w:r w:rsidR="00511CAA">
        <w:t xml:space="preserve">A </w:t>
      </w:r>
      <w:proofErr w:type="spellStart"/>
      <w:r w:rsidR="00511CAA">
        <w:t>Likert</w:t>
      </w:r>
      <w:proofErr w:type="spellEnd"/>
      <w:r w:rsidR="00511CAA">
        <w:t xml:space="preserve"> questionnaire is commonly used in academic research for assessing the attitudes, opinions, and perceptions of participants within clearly defined variables and is</w:t>
      </w:r>
      <w:r w:rsidR="00293ACF">
        <w:t xml:space="preserve"> </w:t>
      </w:r>
      <w:r w:rsidR="004F2BD6">
        <w:t xml:space="preserve">widely used to collect </w:t>
      </w:r>
      <w:r w:rsidR="00293ACF">
        <w:t>high frequency</w:t>
      </w:r>
      <w:r w:rsidR="004F2BD6">
        <w:t xml:space="preserve"> participant data with </w:t>
      </w:r>
      <w:r w:rsidR="00511CAA">
        <w:t>minimal support or guidance</w:t>
      </w:r>
      <w:r w:rsidR="007E2F46">
        <w:t xml:space="preserve">. </w:t>
      </w:r>
      <w:r w:rsidR="00511CAA">
        <w:t>Named</w:t>
      </w:r>
      <w:r w:rsidR="007E2F46">
        <w:t xml:space="preserve"> after its </w:t>
      </w:r>
      <w:r w:rsidR="00511CAA">
        <w:t>creator</w:t>
      </w:r>
      <w:r w:rsidR="007E2F46">
        <w:t xml:space="preserve">, psychologist </w:t>
      </w:r>
      <w:proofErr w:type="spellStart"/>
      <w:r w:rsidR="007E2F46">
        <w:t>Rensis</w:t>
      </w:r>
      <w:proofErr w:type="spellEnd"/>
      <w:r w:rsidR="007E2F46">
        <w:t xml:space="preserve"> </w:t>
      </w:r>
      <w:proofErr w:type="spellStart"/>
      <w:r w:rsidR="007E2F46">
        <w:t>Likert</w:t>
      </w:r>
      <w:proofErr w:type="spellEnd"/>
      <w:r w:rsidR="007E2F46">
        <w:t xml:space="preserve">, this form of questionnaire introduces a sequence of statements or items </w:t>
      </w:r>
      <w:r w:rsidR="00511CAA">
        <w:t>directly related</w:t>
      </w:r>
      <w:r w:rsidR="007E2F46">
        <w:t xml:space="preserve"> to the area of interest. Respondents are then instructed to express their </w:t>
      </w:r>
      <w:r w:rsidR="007E2F46">
        <w:lastRenderedPageBreak/>
        <w:t xml:space="preserve">degree of concurrence or discord with each statement using a predetermined scale, typically varying from "strongly agree" to "strongly disagree." </w:t>
      </w:r>
    </w:p>
    <w:p w:rsidR="004F2BD6" w:rsidRDefault="007E2F46" w:rsidP="00E522EB">
      <w:pPr>
        <w:jc w:val="both"/>
      </w:pPr>
      <w:r>
        <w:t xml:space="preserve">One benefit of </w:t>
      </w:r>
      <w:proofErr w:type="spellStart"/>
      <w:r>
        <w:t>Likert</w:t>
      </w:r>
      <w:proofErr w:type="spellEnd"/>
      <w:r>
        <w:t xml:space="preserve"> questionnaires lies in their straightforwardness of implementation and interpretation. They are uncomplicated for participants to </w:t>
      </w:r>
      <w:r w:rsidR="00511CAA">
        <w:t>comprehend and complete</w:t>
      </w:r>
      <w:r>
        <w:t>, rendering them a</w:t>
      </w:r>
      <w:r w:rsidR="00511CAA">
        <w:t>s a</w:t>
      </w:r>
      <w:r>
        <w:t xml:space="preserve"> favo</w:t>
      </w:r>
      <w:r w:rsidR="00293ACF">
        <w:t>u</w:t>
      </w:r>
      <w:r>
        <w:t xml:space="preserve">red option for surveys and </w:t>
      </w:r>
      <w:r w:rsidR="00511CAA">
        <w:t>data collection</w:t>
      </w:r>
      <w:r>
        <w:t xml:space="preserve"> (Sullivan &amp; </w:t>
      </w:r>
      <w:proofErr w:type="spellStart"/>
      <w:r>
        <w:t>Artino</w:t>
      </w:r>
      <w:proofErr w:type="spellEnd"/>
      <w:r>
        <w:t xml:space="preserve">, 2013; </w:t>
      </w:r>
      <w:proofErr w:type="spellStart"/>
      <w:r>
        <w:t>DeVellis</w:t>
      </w:r>
      <w:proofErr w:type="spellEnd"/>
      <w:r>
        <w:t xml:space="preserve">, 2016; </w:t>
      </w:r>
      <w:proofErr w:type="spellStart"/>
      <w:r>
        <w:t>Babbie</w:t>
      </w:r>
      <w:proofErr w:type="spellEnd"/>
      <w:r>
        <w:t xml:space="preserve">, 2015). Moreover, </w:t>
      </w:r>
      <w:proofErr w:type="spellStart"/>
      <w:r>
        <w:t>Likert</w:t>
      </w:r>
      <w:proofErr w:type="spellEnd"/>
      <w:r>
        <w:t xml:space="preserve"> scales produce quantitative data that can be readily condensed and statistically scru</w:t>
      </w:r>
      <w:r w:rsidR="00293ACF">
        <w:t>tinis</w:t>
      </w:r>
      <w:r>
        <w:t xml:space="preserve">ed, enabling researchers to detect trends, patterns, and correlations </w:t>
      </w:r>
      <w:r w:rsidR="00511CAA">
        <w:t xml:space="preserve">within small-large datasets relatively easy </w:t>
      </w:r>
      <w:r>
        <w:t xml:space="preserve">(Sullivan &amp; </w:t>
      </w:r>
      <w:proofErr w:type="spellStart"/>
      <w:r>
        <w:t>Artino</w:t>
      </w:r>
      <w:proofErr w:type="spellEnd"/>
      <w:r>
        <w:t xml:space="preserve">, 2013; </w:t>
      </w:r>
      <w:proofErr w:type="spellStart"/>
      <w:r>
        <w:t>DeVellis</w:t>
      </w:r>
      <w:proofErr w:type="spellEnd"/>
      <w:r>
        <w:t xml:space="preserve">, 2016; </w:t>
      </w:r>
      <w:proofErr w:type="spellStart"/>
      <w:r>
        <w:t>Babbie</w:t>
      </w:r>
      <w:proofErr w:type="spellEnd"/>
      <w:r>
        <w:t xml:space="preserve">, 2015). </w:t>
      </w:r>
    </w:p>
    <w:p w:rsidR="004F2BD6" w:rsidRDefault="004F2BD6" w:rsidP="00E522EB">
      <w:pPr>
        <w:jc w:val="both"/>
      </w:pPr>
      <w:r>
        <w:t>However</w:t>
      </w:r>
      <w:r w:rsidR="007E2F46">
        <w:t xml:space="preserve">, </w:t>
      </w:r>
      <w:proofErr w:type="spellStart"/>
      <w:r w:rsidR="007E2F46">
        <w:t>Likert</w:t>
      </w:r>
      <w:proofErr w:type="spellEnd"/>
      <w:r w:rsidR="007E2F46">
        <w:t xml:space="preserve"> questionnaires </w:t>
      </w:r>
      <w:r w:rsidR="00293ACF">
        <w:t xml:space="preserve">are not immune to researcher scrutiny and </w:t>
      </w:r>
      <w:proofErr w:type="gramStart"/>
      <w:r w:rsidR="00002480">
        <w:t xml:space="preserve">its </w:t>
      </w:r>
      <w:r>
        <w:t>own</w:t>
      </w:r>
      <w:proofErr w:type="gramEnd"/>
      <w:r>
        <w:t xml:space="preserve"> limitations</w:t>
      </w:r>
      <w:r w:rsidR="00293ACF">
        <w:t xml:space="preserve"> or challenges</w:t>
      </w:r>
      <w:r w:rsidR="007E2F46">
        <w:t xml:space="preserve">. The predetermined response choices of the scale may not invariably encompass the entire spectrum of participants' attitudes or opinions, potentially resulting in oversimplification or misinterpretation of their feedback (Sullivan &amp; </w:t>
      </w:r>
      <w:proofErr w:type="spellStart"/>
      <w:r w:rsidR="007E2F46">
        <w:t>Artino</w:t>
      </w:r>
      <w:proofErr w:type="spellEnd"/>
      <w:r w:rsidR="007E2F46">
        <w:t xml:space="preserve">, 2013; </w:t>
      </w:r>
      <w:proofErr w:type="spellStart"/>
      <w:r w:rsidR="007E2F46">
        <w:t>DeVellis</w:t>
      </w:r>
      <w:proofErr w:type="spellEnd"/>
      <w:r w:rsidR="007E2F46">
        <w:t xml:space="preserve">, 2016; </w:t>
      </w:r>
      <w:proofErr w:type="spellStart"/>
      <w:r w:rsidR="007E2F46">
        <w:t>Babbie</w:t>
      </w:r>
      <w:proofErr w:type="spellEnd"/>
      <w:r w:rsidR="007E2F46">
        <w:t xml:space="preserve">, 2015). Additionally, </w:t>
      </w:r>
      <w:proofErr w:type="spellStart"/>
      <w:r w:rsidR="007E2F46">
        <w:t>Likert</w:t>
      </w:r>
      <w:proofErr w:type="spellEnd"/>
      <w:r w:rsidR="007E2F46">
        <w:t xml:space="preserve"> scales hinge on self-disclosure, which could introduce predisposition or social desirability biases, wherein participants might offer responses they perceive as socially acceptable rather than their genuine viewpoints (Sullivan &amp; </w:t>
      </w:r>
      <w:proofErr w:type="spellStart"/>
      <w:r w:rsidR="007E2F46">
        <w:t>Artino</w:t>
      </w:r>
      <w:proofErr w:type="spellEnd"/>
      <w:r w:rsidR="007E2F46">
        <w:t xml:space="preserve">, 2013; </w:t>
      </w:r>
      <w:proofErr w:type="spellStart"/>
      <w:r w:rsidR="007E2F46">
        <w:t>DeVellis</w:t>
      </w:r>
      <w:proofErr w:type="spellEnd"/>
      <w:r w:rsidR="007E2F46">
        <w:t xml:space="preserve">, 2016; </w:t>
      </w:r>
      <w:proofErr w:type="spellStart"/>
      <w:r w:rsidR="007E2F46">
        <w:t>Babbie</w:t>
      </w:r>
      <w:proofErr w:type="spellEnd"/>
      <w:r w:rsidR="007E2F46">
        <w:t xml:space="preserve">, 2015). </w:t>
      </w:r>
    </w:p>
    <w:p w:rsidR="00021DDE" w:rsidRDefault="007E2F46" w:rsidP="00E522EB">
      <w:pPr>
        <w:jc w:val="both"/>
      </w:pPr>
      <w:r>
        <w:t xml:space="preserve">To conclude, </w:t>
      </w:r>
      <w:proofErr w:type="spellStart"/>
      <w:r>
        <w:t>Likert</w:t>
      </w:r>
      <w:proofErr w:type="spellEnd"/>
      <w:r>
        <w:t xml:space="preserve"> questionnaires furnish a pragmatic and effective approach for amassing and evaluating data on attitudes and opinions. While they furnish valuable perspectives into participants' standpoints, researchers should be cognizant of their limitations and contemplate supplementing </w:t>
      </w:r>
      <w:proofErr w:type="spellStart"/>
      <w:r>
        <w:t>Likert</w:t>
      </w:r>
      <w:proofErr w:type="spellEnd"/>
      <w:r>
        <w:t xml:space="preserve"> scales with alternative research methodologies to achieve a comprehensive comprehension of the subject being examined.</w:t>
      </w:r>
    </w:p>
    <w:p w:rsidR="00ED5514" w:rsidRPr="00ED5514" w:rsidRDefault="00ED5514" w:rsidP="00ED5514">
      <w:pPr>
        <w:pStyle w:val="NormalWeb"/>
        <w:jc w:val="both"/>
        <w:rPr>
          <w:rFonts w:asciiTheme="minorHAnsi" w:hAnsiTheme="minorHAnsi" w:cstheme="minorHAnsi"/>
          <w:sz w:val="22"/>
        </w:rPr>
      </w:pPr>
      <w:r>
        <w:rPr>
          <w:rFonts w:asciiTheme="minorHAnsi" w:hAnsiTheme="minorHAnsi" w:cstheme="minorHAnsi"/>
          <w:sz w:val="22"/>
        </w:rPr>
        <w:t xml:space="preserve">Direct observation has the ability to offer first-hand </w:t>
      </w:r>
      <w:r w:rsidRPr="00ED5514">
        <w:rPr>
          <w:rFonts w:asciiTheme="minorHAnsi" w:hAnsiTheme="minorHAnsi" w:cstheme="minorHAnsi"/>
          <w:sz w:val="22"/>
        </w:rPr>
        <w:t xml:space="preserve">insights into the function and dynamics of the classroom environment, interactions between teachers and pupils, and the efficacy of questioning strategies. </w:t>
      </w:r>
      <w:r>
        <w:rPr>
          <w:rFonts w:asciiTheme="minorHAnsi" w:hAnsiTheme="minorHAnsi" w:cstheme="minorHAnsi"/>
          <w:sz w:val="22"/>
        </w:rPr>
        <w:t>Researchers and practitioners utilis</w:t>
      </w:r>
      <w:r w:rsidRPr="00ED5514">
        <w:rPr>
          <w:rFonts w:asciiTheme="minorHAnsi" w:hAnsiTheme="minorHAnsi" w:cstheme="minorHAnsi"/>
          <w:sz w:val="22"/>
        </w:rPr>
        <w:t xml:space="preserve">e a variety of observation approaches to collect data, spanning from structured classroom observations to informal walkthroughs. The structured classroom observations entail methodical monitoring of predetermined </w:t>
      </w:r>
      <w:proofErr w:type="spellStart"/>
      <w:r w:rsidRPr="00ED5514">
        <w:rPr>
          <w:rFonts w:asciiTheme="minorHAnsi" w:hAnsiTheme="minorHAnsi" w:cstheme="minorHAnsi"/>
          <w:sz w:val="22"/>
        </w:rPr>
        <w:t>behaviors</w:t>
      </w:r>
      <w:proofErr w:type="spellEnd"/>
      <w:r w:rsidRPr="00ED5514">
        <w:rPr>
          <w:rFonts w:asciiTheme="minorHAnsi" w:hAnsiTheme="minorHAnsi" w:cstheme="minorHAnsi"/>
          <w:sz w:val="22"/>
        </w:rPr>
        <w:t xml:space="preserve"> or occurrences, typically guided by a specific observation protocol or checklist (</w:t>
      </w:r>
      <w:proofErr w:type="spellStart"/>
      <w:r w:rsidRPr="00ED5514">
        <w:rPr>
          <w:rFonts w:asciiTheme="minorHAnsi" w:hAnsiTheme="minorHAnsi" w:cstheme="minorHAnsi"/>
          <w:sz w:val="22"/>
        </w:rPr>
        <w:t>Kazdin</w:t>
      </w:r>
      <w:proofErr w:type="spellEnd"/>
      <w:r w:rsidRPr="00ED5514">
        <w:rPr>
          <w:rFonts w:asciiTheme="minorHAnsi" w:hAnsiTheme="minorHAnsi" w:cstheme="minorHAnsi"/>
          <w:sz w:val="22"/>
        </w:rPr>
        <w:t>, 2016). These protocols enable researchers t</w:t>
      </w:r>
      <w:r>
        <w:rPr>
          <w:rFonts w:asciiTheme="minorHAnsi" w:hAnsiTheme="minorHAnsi" w:cstheme="minorHAnsi"/>
          <w:sz w:val="22"/>
        </w:rPr>
        <w:t>o quantify and scrutinis</w:t>
      </w:r>
      <w:r w:rsidRPr="00ED5514">
        <w:rPr>
          <w:rFonts w:asciiTheme="minorHAnsi" w:hAnsiTheme="minorHAnsi" w:cstheme="minorHAnsi"/>
          <w:sz w:val="22"/>
        </w:rPr>
        <w:t xml:space="preserve">e classroom activities, teacher conduct, and </w:t>
      </w:r>
      <w:r>
        <w:rPr>
          <w:rFonts w:asciiTheme="minorHAnsi" w:hAnsiTheme="minorHAnsi" w:cstheme="minorHAnsi"/>
          <w:sz w:val="22"/>
        </w:rPr>
        <w:t>pupil</w:t>
      </w:r>
      <w:r w:rsidRPr="00ED5514">
        <w:rPr>
          <w:rFonts w:asciiTheme="minorHAnsi" w:hAnsiTheme="minorHAnsi" w:cstheme="minorHAnsi"/>
          <w:sz w:val="22"/>
        </w:rPr>
        <w:t xml:space="preserve"> engagement levels (Morgan &amp; Saxton, 1990; </w:t>
      </w:r>
      <w:proofErr w:type="spellStart"/>
      <w:r w:rsidRPr="00ED5514">
        <w:rPr>
          <w:rFonts w:asciiTheme="minorHAnsi" w:hAnsiTheme="minorHAnsi" w:cstheme="minorHAnsi"/>
          <w:sz w:val="22"/>
        </w:rPr>
        <w:t>Creemers</w:t>
      </w:r>
      <w:proofErr w:type="spellEnd"/>
      <w:r w:rsidRPr="00ED5514">
        <w:rPr>
          <w:rFonts w:asciiTheme="minorHAnsi" w:hAnsiTheme="minorHAnsi" w:cstheme="minorHAnsi"/>
          <w:sz w:val="22"/>
        </w:rPr>
        <w:t xml:space="preserve">, 1994). Through the observation of particular teaching </w:t>
      </w:r>
      <w:r>
        <w:rPr>
          <w:rFonts w:asciiTheme="minorHAnsi" w:hAnsiTheme="minorHAnsi" w:cstheme="minorHAnsi"/>
          <w:sz w:val="22"/>
        </w:rPr>
        <w:t xml:space="preserve">practices, </w:t>
      </w:r>
      <w:r w:rsidRPr="00ED5514">
        <w:rPr>
          <w:rFonts w:asciiTheme="minorHAnsi" w:hAnsiTheme="minorHAnsi" w:cstheme="minorHAnsi"/>
          <w:sz w:val="22"/>
        </w:rPr>
        <w:t xml:space="preserve">types of questioning or classroom management strategies, researchers can discern recurring patterns and tendencies in </w:t>
      </w:r>
      <w:r>
        <w:rPr>
          <w:rFonts w:asciiTheme="minorHAnsi" w:hAnsiTheme="minorHAnsi" w:cstheme="minorHAnsi"/>
          <w:sz w:val="22"/>
        </w:rPr>
        <w:t>pupil behaviour.</w:t>
      </w:r>
    </w:p>
    <w:p w:rsidR="00ED5514" w:rsidRPr="00ED5514" w:rsidRDefault="00ED5514" w:rsidP="00ED5514">
      <w:pPr>
        <w:pStyle w:val="NormalWeb"/>
        <w:jc w:val="both"/>
        <w:rPr>
          <w:rFonts w:asciiTheme="minorHAnsi" w:hAnsiTheme="minorHAnsi" w:cstheme="minorHAnsi"/>
          <w:sz w:val="22"/>
        </w:rPr>
      </w:pPr>
      <w:r w:rsidRPr="00ED5514">
        <w:rPr>
          <w:rFonts w:asciiTheme="minorHAnsi" w:hAnsiTheme="minorHAnsi" w:cstheme="minorHAnsi"/>
          <w:sz w:val="22"/>
        </w:rPr>
        <w:t>Conversely, informal walkthroughs present a more adaptable method of observation, permitting researchers or administrators to obtain a general understanding of classroom dynamics and pedagogical approaches (</w:t>
      </w:r>
      <w:proofErr w:type="spellStart"/>
      <w:r w:rsidRPr="00ED5514">
        <w:rPr>
          <w:rFonts w:asciiTheme="minorHAnsi" w:hAnsiTheme="minorHAnsi" w:cstheme="minorHAnsi"/>
          <w:sz w:val="22"/>
        </w:rPr>
        <w:t>Leithwood</w:t>
      </w:r>
      <w:proofErr w:type="spellEnd"/>
      <w:r w:rsidRPr="00ED5514">
        <w:rPr>
          <w:rFonts w:asciiTheme="minorHAnsi" w:hAnsiTheme="minorHAnsi" w:cstheme="minorHAnsi"/>
          <w:sz w:val="22"/>
        </w:rPr>
        <w:t xml:space="preserve"> et al., 2006). These observations typically comprise brief visits to multiple classrooms, concentrating on overall teacher-</w:t>
      </w:r>
      <w:r>
        <w:rPr>
          <w:rFonts w:asciiTheme="minorHAnsi" w:hAnsiTheme="minorHAnsi" w:cstheme="minorHAnsi"/>
          <w:sz w:val="22"/>
        </w:rPr>
        <w:t>pupil</w:t>
      </w:r>
      <w:r w:rsidRPr="00ED5514">
        <w:rPr>
          <w:rFonts w:asciiTheme="minorHAnsi" w:hAnsiTheme="minorHAnsi" w:cstheme="minorHAnsi"/>
          <w:sz w:val="22"/>
        </w:rPr>
        <w:t xml:space="preserve"> interactions, classroom atmosphere, and instructional methodologies (Fisher et al., 2016). Although less structured compared to formal observations, walkthroughs furnish valuable context for comprehending the teaching-learning process and pinpointing areas for enhancement.</w:t>
      </w:r>
    </w:p>
    <w:p w:rsidR="00ED5514" w:rsidRDefault="00ED5514" w:rsidP="00ED5514">
      <w:pPr>
        <w:pStyle w:val="NormalWeb"/>
        <w:jc w:val="both"/>
        <w:rPr>
          <w:rFonts w:asciiTheme="minorHAnsi" w:hAnsiTheme="minorHAnsi" w:cstheme="minorHAnsi"/>
          <w:sz w:val="22"/>
        </w:rPr>
      </w:pPr>
      <w:r w:rsidRPr="00ED5514">
        <w:rPr>
          <w:rFonts w:asciiTheme="minorHAnsi" w:hAnsiTheme="minorHAnsi" w:cstheme="minorHAnsi"/>
          <w:sz w:val="22"/>
        </w:rPr>
        <w:t xml:space="preserve">Moreover, direct observation techniques facilitate the evaluation of teacher effectiveness and the identification of professional development requirements. Through the systematic observation of teachers in action, researchers can pinpoint strengths and weaknesses in instructional practices and offer tailored feedback for enhancement (Hargreaves &amp; </w:t>
      </w:r>
      <w:proofErr w:type="spellStart"/>
      <w:r w:rsidRPr="00ED5514">
        <w:rPr>
          <w:rFonts w:asciiTheme="minorHAnsi" w:hAnsiTheme="minorHAnsi" w:cstheme="minorHAnsi"/>
          <w:sz w:val="22"/>
        </w:rPr>
        <w:t>Fullan</w:t>
      </w:r>
      <w:proofErr w:type="spellEnd"/>
      <w:r w:rsidRPr="00ED5514">
        <w:rPr>
          <w:rFonts w:asciiTheme="minorHAnsi" w:hAnsiTheme="minorHAnsi" w:cstheme="minorHAnsi"/>
          <w:sz w:val="22"/>
        </w:rPr>
        <w:t xml:space="preserve">, 2012). Additionally, direct observation empowers educators to contemplate their teaching methods and make well-informed </w:t>
      </w:r>
      <w:r w:rsidRPr="00ED5514">
        <w:rPr>
          <w:rFonts w:asciiTheme="minorHAnsi" w:hAnsiTheme="minorHAnsi" w:cstheme="minorHAnsi"/>
          <w:sz w:val="22"/>
        </w:rPr>
        <w:lastRenderedPageBreak/>
        <w:t>decisions regarding instructional approaches and classroom management strategies (</w:t>
      </w:r>
      <w:proofErr w:type="spellStart"/>
      <w:r w:rsidRPr="00ED5514">
        <w:rPr>
          <w:rFonts w:asciiTheme="minorHAnsi" w:hAnsiTheme="minorHAnsi" w:cstheme="minorHAnsi"/>
          <w:sz w:val="22"/>
        </w:rPr>
        <w:t>Hanushek</w:t>
      </w:r>
      <w:proofErr w:type="spellEnd"/>
      <w:r w:rsidRPr="00ED5514">
        <w:rPr>
          <w:rFonts w:asciiTheme="minorHAnsi" w:hAnsiTheme="minorHAnsi" w:cstheme="minorHAnsi"/>
          <w:sz w:val="22"/>
        </w:rPr>
        <w:t xml:space="preserve"> et al., 2007).</w:t>
      </w:r>
    </w:p>
    <w:p w:rsidR="00174AF6" w:rsidRPr="00174AF6" w:rsidRDefault="00174AF6" w:rsidP="00174AF6">
      <w:pPr>
        <w:spacing w:before="100" w:beforeAutospacing="1" w:after="100" w:afterAutospacing="1" w:line="240" w:lineRule="auto"/>
        <w:jc w:val="both"/>
        <w:rPr>
          <w:rFonts w:eastAsia="Times New Roman" w:cstheme="minorHAnsi"/>
          <w:szCs w:val="24"/>
          <w:lang w:eastAsia="en-GB"/>
        </w:rPr>
      </w:pPr>
      <w:r w:rsidRPr="00174AF6">
        <w:rPr>
          <w:rFonts w:eastAsia="Times New Roman" w:cstheme="minorHAnsi"/>
          <w:szCs w:val="24"/>
          <w:lang w:eastAsia="en-GB"/>
        </w:rPr>
        <w:t>Semi-structured in</w:t>
      </w:r>
      <w:r w:rsidR="00CB7517">
        <w:rPr>
          <w:rFonts w:eastAsia="Times New Roman" w:cstheme="minorHAnsi"/>
          <w:szCs w:val="24"/>
          <w:lang w:eastAsia="en-GB"/>
        </w:rPr>
        <w:t>terviews are frequently recognis</w:t>
      </w:r>
      <w:r w:rsidRPr="00174AF6">
        <w:rPr>
          <w:rFonts w:eastAsia="Times New Roman" w:cstheme="minorHAnsi"/>
          <w:szCs w:val="24"/>
          <w:lang w:eastAsia="en-GB"/>
        </w:rPr>
        <w:t xml:space="preserve">ed as valuable instruments in qualitative research due to their capacity to enrich the comprehension of participants' viewpoints, opinions, and encounters (Merriam, 2009). In comparison to highly structured interviews, semi-structured interviews establish a </w:t>
      </w:r>
      <w:r w:rsidR="002700B1">
        <w:rPr>
          <w:rFonts w:eastAsia="Times New Roman" w:cstheme="minorHAnsi"/>
          <w:szCs w:val="24"/>
          <w:lang w:eastAsia="en-GB"/>
        </w:rPr>
        <w:t>this structure by providing a level of organis</w:t>
      </w:r>
      <w:r w:rsidRPr="00174AF6">
        <w:rPr>
          <w:rFonts w:eastAsia="Times New Roman" w:cstheme="minorHAnsi"/>
          <w:szCs w:val="24"/>
          <w:lang w:eastAsia="en-GB"/>
        </w:rPr>
        <w:t>ation and allowing for adaptability, enabling researchers</w:t>
      </w:r>
      <w:r w:rsidR="002700B1">
        <w:rPr>
          <w:rFonts w:eastAsia="Times New Roman" w:cstheme="minorHAnsi"/>
          <w:szCs w:val="24"/>
          <w:lang w:eastAsia="en-GB"/>
        </w:rPr>
        <w:t xml:space="preserve"> and or teachers</w:t>
      </w:r>
      <w:r w:rsidRPr="00174AF6">
        <w:rPr>
          <w:rFonts w:eastAsia="Times New Roman" w:cstheme="minorHAnsi"/>
          <w:szCs w:val="24"/>
          <w:lang w:eastAsia="en-GB"/>
        </w:rPr>
        <w:t xml:space="preserve"> to guide discussions while remaining receptive to participants' contributions (</w:t>
      </w:r>
      <w:proofErr w:type="spellStart"/>
      <w:r w:rsidRPr="00174AF6">
        <w:rPr>
          <w:rFonts w:eastAsia="Times New Roman" w:cstheme="minorHAnsi"/>
          <w:szCs w:val="24"/>
          <w:lang w:eastAsia="en-GB"/>
        </w:rPr>
        <w:t>Denzin</w:t>
      </w:r>
      <w:proofErr w:type="spellEnd"/>
      <w:r w:rsidRPr="00174AF6">
        <w:rPr>
          <w:rFonts w:eastAsia="Times New Roman" w:cstheme="minorHAnsi"/>
          <w:szCs w:val="24"/>
          <w:lang w:eastAsia="en-GB"/>
        </w:rPr>
        <w:t xml:space="preserve"> &amp; Lincoln, 2011).</w:t>
      </w:r>
    </w:p>
    <w:p w:rsidR="00174AF6" w:rsidRPr="00174AF6" w:rsidRDefault="00174AF6" w:rsidP="00174AF6">
      <w:pPr>
        <w:spacing w:before="100" w:beforeAutospacing="1" w:after="100" w:afterAutospacing="1" w:line="240" w:lineRule="auto"/>
        <w:jc w:val="both"/>
        <w:rPr>
          <w:rFonts w:eastAsia="Times New Roman" w:cstheme="minorHAnsi"/>
          <w:szCs w:val="24"/>
          <w:lang w:eastAsia="en-GB"/>
        </w:rPr>
      </w:pPr>
      <w:r w:rsidRPr="00174AF6">
        <w:rPr>
          <w:rFonts w:eastAsia="Times New Roman" w:cstheme="minorHAnsi"/>
          <w:szCs w:val="24"/>
          <w:lang w:eastAsia="en-GB"/>
        </w:rPr>
        <w:t xml:space="preserve">An essential advantage of semi-structured interviews is their ability to produce thorough and </w:t>
      </w:r>
      <w:r w:rsidR="002700B1">
        <w:rPr>
          <w:rFonts w:eastAsia="Times New Roman" w:cstheme="minorHAnsi"/>
          <w:szCs w:val="24"/>
          <w:lang w:eastAsia="en-GB"/>
        </w:rPr>
        <w:t>detailed</w:t>
      </w:r>
      <w:r w:rsidRPr="00174AF6">
        <w:rPr>
          <w:rFonts w:eastAsia="Times New Roman" w:cstheme="minorHAnsi"/>
          <w:szCs w:val="24"/>
          <w:lang w:eastAsia="en-GB"/>
        </w:rPr>
        <w:t xml:space="preserve"> data by encouraging participants to expand on their responses (Rubin &amp; Rubin, 2012). This approach enables researchers to grasp the participants' perspectives and gain profound insights into the topic under scrutiny (Patton, 2015).</w:t>
      </w:r>
    </w:p>
    <w:p w:rsidR="00174AF6" w:rsidRPr="00DB04C5" w:rsidRDefault="00174AF6" w:rsidP="00DB04C5">
      <w:pPr>
        <w:spacing w:before="100" w:beforeAutospacing="1" w:after="100" w:afterAutospacing="1" w:line="240" w:lineRule="auto"/>
        <w:jc w:val="both"/>
        <w:rPr>
          <w:rFonts w:eastAsia="Times New Roman" w:cstheme="minorHAnsi"/>
          <w:szCs w:val="24"/>
          <w:lang w:eastAsia="en-GB"/>
        </w:rPr>
      </w:pPr>
      <w:r w:rsidRPr="00174AF6">
        <w:rPr>
          <w:rFonts w:eastAsia="Times New Roman" w:cstheme="minorHAnsi"/>
          <w:szCs w:val="24"/>
          <w:lang w:eastAsia="en-GB"/>
        </w:rPr>
        <w:t>Semi-structured interviews are unique in that they offer researchers the flexibility to adjust their questions based on participants' answers, thereby allowing for researchers to inquire down emerging themes in the questions and answers (Merriam, 2009). This adaptability empowers researchers to pursue innovative avenues of inquiry and reveal new viewpoints (</w:t>
      </w:r>
      <w:proofErr w:type="spellStart"/>
      <w:r w:rsidRPr="00174AF6">
        <w:rPr>
          <w:rFonts w:eastAsia="Times New Roman" w:cstheme="minorHAnsi"/>
          <w:szCs w:val="24"/>
          <w:lang w:eastAsia="en-GB"/>
        </w:rPr>
        <w:t>Denzin</w:t>
      </w:r>
      <w:proofErr w:type="spellEnd"/>
      <w:r w:rsidRPr="00174AF6">
        <w:rPr>
          <w:rFonts w:eastAsia="Times New Roman" w:cstheme="minorHAnsi"/>
          <w:szCs w:val="24"/>
          <w:lang w:eastAsia="en-GB"/>
        </w:rPr>
        <w:t xml:space="preserve"> &amp; Lincoln, 2011).</w:t>
      </w:r>
      <w:r>
        <w:rPr>
          <w:rFonts w:eastAsia="Times New Roman" w:cstheme="minorHAnsi"/>
          <w:szCs w:val="24"/>
          <w:lang w:eastAsia="en-GB"/>
        </w:rPr>
        <w:t xml:space="preserve"> </w:t>
      </w:r>
      <w:r w:rsidRPr="00174AF6">
        <w:rPr>
          <w:rFonts w:eastAsia="Times New Roman" w:cstheme="minorHAnsi"/>
          <w:szCs w:val="24"/>
          <w:lang w:eastAsia="en-GB"/>
        </w:rPr>
        <w:t>However, it is crucial to recognise the challenges associated with semi-structured interviews, such as the risk of interviewer bias and the requirements of data collection and interpretation (Rubin &amp; Rubin, 2012; Patton, 2015). Researchers must be conscientious in mitigating bias and ensuring thorough data analysis to maintain the credibility of their results.</w:t>
      </w:r>
    </w:p>
    <w:p w:rsidR="00B968EF" w:rsidRDefault="00B968EF" w:rsidP="00B968EF">
      <w:pPr>
        <w:jc w:val="center"/>
        <w:rPr>
          <w:b/>
        </w:rPr>
      </w:pPr>
      <w:r w:rsidRPr="00B968EF">
        <w:rPr>
          <w:b/>
        </w:rPr>
        <w:t>Data Presentation and Analysis Methods</w:t>
      </w:r>
      <w:r w:rsidR="00C3044E">
        <w:rPr>
          <w:b/>
        </w:rPr>
        <w:t xml:space="preserve"> - 400</w:t>
      </w:r>
    </w:p>
    <w:p w:rsidR="00F30513" w:rsidRDefault="00F30513" w:rsidP="00F30513">
      <w:pPr>
        <w:jc w:val="both"/>
      </w:pPr>
      <w:r>
        <w:t xml:space="preserve">The presentation and analysis of data methodologies are pivotal in transforming raw data into actionable insights, aiding researchers in discerning patterns, trends, and relationships within their data. </w:t>
      </w:r>
      <w:proofErr w:type="gramStart"/>
      <w:r>
        <w:t xml:space="preserve">In </w:t>
      </w:r>
      <w:r>
        <w:t>the research project</w:t>
      </w:r>
      <w:r>
        <w:t xml:space="preserve"> on questioning str</w:t>
      </w:r>
      <w:r>
        <w:t>ategies and pupil engagement, the student-teacher</w:t>
      </w:r>
      <w:r>
        <w:t xml:space="preserve"> have opted to employ bar graphs as the primary method for data presentation.</w:t>
      </w:r>
      <w:proofErr w:type="gramEnd"/>
      <w:r>
        <w:t xml:space="preserve"> This choice stems from their effectiveness in conveying both qualitative and quantitative information (Creswell, 2014; Rubin &amp; Rubin, 2012).</w:t>
      </w:r>
    </w:p>
    <w:p w:rsidR="00F30513" w:rsidRDefault="00F30513" w:rsidP="00F30513">
      <w:pPr>
        <w:jc w:val="both"/>
      </w:pPr>
      <w:r>
        <w:t xml:space="preserve">Bar graphs offer distinct advantages in illustrating comparisons among different categories or groups, such as the frequency of responses to each </w:t>
      </w:r>
      <w:proofErr w:type="spellStart"/>
      <w:r>
        <w:t>Likert</w:t>
      </w:r>
      <w:proofErr w:type="spellEnd"/>
      <w:r>
        <w:t xml:space="preserve"> scale item in our survey (Creswell, 2014). By visually representing the distribution of responses across categories, bar graphs provide a clear and concise summary of the data, facilitating the identi</w:t>
      </w:r>
      <w:r>
        <w:t>fication of trends or patterns.</w:t>
      </w:r>
    </w:p>
    <w:p w:rsidR="00B968EF" w:rsidRPr="00F30513" w:rsidRDefault="00F30513" w:rsidP="00F30513">
      <w:pPr>
        <w:jc w:val="both"/>
      </w:pPr>
      <w:r>
        <w:t>The selection of this data presentation technique</w:t>
      </w:r>
      <w:r>
        <w:t xml:space="preserve"> adheres to established standards in research methodology and aims to enhance the clar</w:t>
      </w:r>
      <w:r>
        <w:t>ity and comprehensibility of the</w:t>
      </w:r>
      <w:r>
        <w:t xml:space="preserve"> findings (Rubin &amp; R</w:t>
      </w:r>
      <w:r>
        <w:t xml:space="preserve">ubin, 2012). By leveraging </w:t>
      </w:r>
      <w:proofErr w:type="gramStart"/>
      <w:r>
        <w:t>this</w:t>
      </w:r>
      <w:proofErr w:type="gramEnd"/>
      <w:r>
        <w:t xml:space="preserve"> visual aids, we</w:t>
      </w:r>
      <w:r>
        <w:t xml:space="preserve"> can effectively communicate the</w:t>
      </w:r>
      <w:r>
        <w:t xml:space="preserve"> research results to </w:t>
      </w:r>
      <w:r>
        <w:t>the reader</w:t>
      </w:r>
      <w:r>
        <w:t>, thereby expediting evidence-based decision-making and fostering positive changes in educational practices.</w:t>
      </w:r>
    </w:p>
    <w:p w:rsidR="00B968EF" w:rsidRDefault="00B968EF" w:rsidP="00B968EF">
      <w:pPr>
        <w:jc w:val="center"/>
        <w:rPr>
          <w:b/>
        </w:rPr>
      </w:pPr>
      <w:r>
        <w:rPr>
          <w:b/>
        </w:rPr>
        <w:t>Ethical Considerations</w:t>
      </w:r>
      <w:r w:rsidR="00C3044E">
        <w:rPr>
          <w:b/>
        </w:rPr>
        <w:t xml:space="preserve"> - 300</w:t>
      </w:r>
    </w:p>
    <w:p w:rsidR="00DB04C5" w:rsidRPr="00DB04C5" w:rsidRDefault="00DB04C5" w:rsidP="00DB04C5">
      <w:pPr>
        <w:spacing w:before="100" w:beforeAutospacing="1" w:after="100" w:afterAutospacing="1" w:line="240" w:lineRule="auto"/>
        <w:jc w:val="both"/>
        <w:rPr>
          <w:rFonts w:eastAsia="Times New Roman" w:cstheme="minorHAnsi"/>
          <w:szCs w:val="24"/>
          <w:lang w:eastAsia="en-GB"/>
        </w:rPr>
      </w:pPr>
      <w:r w:rsidRPr="00DB04C5">
        <w:rPr>
          <w:rFonts w:eastAsia="Times New Roman" w:cstheme="minorHAnsi"/>
          <w:szCs w:val="24"/>
          <w:lang w:eastAsia="en-GB"/>
        </w:rPr>
        <w:t xml:space="preserve">When engaging in research regarding questioning techniques and </w:t>
      </w:r>
      <w:r w:rsidR="00F74E49">
        <w:rPr>
          <w:rFonts w:eastAsia="Times New Roman" w:cstheme="minorHAnsi"/>
          <w:szCs w:val="24"/>
          <w:lang w:eastAsia="en-GB"/>
        </w:rPr>
        <w:t>pupil</w:t>
      </w:r>
      <w:r w:rsidRPr="00DB04C5">
        <w:rPr>
          <w:rFonts w:eastAsia="Times New Roman" w:cstheme="minorHAnsi"/>
          <w:szCs w:val="24"/>
          <w:lang w:eastAsia="en-GB"/>
        </w:rPr>
        <w:t xml:space="preserve"> involvement, it is essential to consider various ethical aspects to protect the welfare and rights of those involved. Preserving anonymity and confidentiality is crucial to safeguard the privacy of </w:t>
      </w:r>
      <w:r w:rsidR="00F74E49">
        <w:rPr>
          <w:rFonts w:eastAsia="Times New Roman" w:cstheme="minorHAnsi"/>
          <w:szCs w:val="24"/>
          <w:lang w:eastAsia="en-GB"/>
        </w:rPr>
        <w:t>pupils</w:t>
      </w:r>
      <w:r w:rsidRPr="00DB04C5">
        <w:rPr>
          <w:rFonts w:eastAsia="Times New Roman" w:cstheme="minorHAnsi"/>
          <w:szCs w:val="24"/>
          <w:lang w:eastAsia="en-GB"/>
        </w:rPr>
        <w:t xml:space="preserve"> and maintain trust in the research process. All informatio</w:t>
      </w:r>
      <w:r w:rsidR="00CB7517">
        <w:rPr>
          <w:rFonts w:eastAsia="Times New Roman" w:cstheme="minorHAnsi"/>
          <w:szCs w:val="24"/>
          <w:lang w:eastAsia="en-GB"/>
        </w:rPr>
        <w:t xml:space="preserve">n gathered must be </w:t>
      </w:r>
      <w:proofErr w:type="spellStart"/>
      <w:r w:rsidR="00CB7517">
        <w:rPr>
          <w:rFonts w:eastAsia="Times New Roman" w:cstheme="minorHAnsi"/>
          <w:szCs w:val="24"/>
          <w:lang w:eastAsia="en-GB"/>
        </w:rPr>
        <w:t>anonymised</w:t>
      </w:r>
      <w:proofErr w:type="spellEnd"/>
      <w:r w:rsidRPr="00DB04C5">
        <w:rPr>
          <w:rFonts w:eastAsia="Times New Roman" w:cstheme="minorHAnsi"/>
          <w:szCs w:val="24"/>
          <w:lang w:eastAsia="en-GB"/>
        </w:rPr>
        <w:t xml:space="preserve"> to prevent the disclosure of </w:t>
      </w:r>
      <w:r w:rsidRPr="00DB04C5">
        <w:rPr>
          <w:rFonts w:eastAsia="Times New Roman" w:cstheme="minorHAnsi"/>
          <w:szCs w:val="24"/>
          <w:lang w:eastAsia="en-GB"/>
        </w:rPr>
        <w:lastRenderedPageBreak/>
        <w:t>individual participants, and robust confidentiality measures should be put in place to protect sensitive data (Johnson, 2015). This includes securely storing data, utilizing codes or pseudonyms instead of real names, and restricting data access to authorized individuals only (Smith &amp; Brown, 2018).</w:t>
      </w:r>
    </w:p>
    <w:p w:rsidR="00DB04C5" w:rsidRPr="00DB04C5" w:rsidRDefault="00CB7517" w:rsidP="00DB04C5">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Securing pupil</w:t>
      </w:r>
      <w:r w:rsidR="00DB04C5" w:rsidRPr="00DB04C5">
        <w:rPr>
          <w:rFonts w:eastAsia="Times New Roman" w:cstheme="minorHAnsi"/>
          <w:szCs w:val="24"/>
          <w:lang w:eastAsia="en-GB"/>
        </w:rPr>
        <w:t xml:space="preserve"> agreement is another pivotal ethical aspect</w:t>
      </w:r>
      <w:r>
        <w:rPr>
          <w:rFonts w:eastAsia="Times New Roman" w:cstheme="minorHAnsi"/>
          <w:szCs w:val="24"/>
          <w:lang w:eastAsia="en-GB"/>
        </w:rPr>
        <w:t xml:space="preserve"> for this research project to be undertaken</w:t>
      </w:r>
      <w:r w:rsidR="00DB04C5" w:rsidRPr="00DB04C5">
        <w:rPr>
          <w:rFonts w:eastAsia="Times New Roman" w:cstheme="minorHAnsi"/>
          <w:szCs w:val="24"/>
          <w:lang w:eastAsia="en-GB"/>
        </w:rPr>
        <w:t>. Prior</w:t>
      </w:r>
      <w:r>
        <w:rPr>
          <w:rFonts w:eastAsia="Times New Roman" w:cstheme="minorHAnsi"/>
          <w:szCs w:val="24"/>
          <w:lang w:eastAsia="en-GB"/>
        </w:rPr>
        <w:t xml:space="preserve"> to initiating the research, pupils will</w:t>
      </w:r>
      <w:r w:rsidR="00DB04C5" w:rsidRPr="00DB04C5">
        <w:rPr>
          <w:rFonts w:eastAsia="Times New Roman" w:cstheme="minorHAnsi"/>
          <w:szCs w:val="24"/>
          <w:lang w:eastAsia="en-GB"/>
        </w:rPr>
        <w:t xml:space="preserve"> be briefed on the research objectives, procedures, and potential advantages and risks in a manner suitable for their age (J</w:t>
      </w:r>
      <w:r>
        <w:rPr>
          <w:rFonts w:eastAsia="Times New Roman" w:cstheme="minorHAnsi"/>
          <w:szCs w:val="24"/>
          <w:lang w:eastAsia="en-GB"/>
        </w:rPr>
        <w:t xml:space="preserve">ones &amp; Robinson, 2016). Pupil </w:t>
      </w:r>
      <w:r w:rsidR="00DB04C5" w:rsidRPr="00DB04C5">
        <w:rPr>
          <w:rFonts w:eastAsia="Times New Roman" w:cstheme="minorHAnsi"/>
          <w:szCs w:val="24"/>
          <w:lang w:eastAsia="en-GB"/>
        </w:rPr>
        <w:t xml:space="preserve">agreement entails seeking their voluntary participation, acknowledging their right to withdraw at any point without repercussions (Harris, 2017). This procedure guarantees that </w:t>
      </w:r>
      <w:r w:rsidR="00F74E49">
        <w:rPr>
          <w:rFonts w:eastAsia="Times New Roman" w:cstheme="minorHAnsi"/>
          <w:szCs w:val="24"/>
          <w:lang w:eastAsia="en-GB"/>
        </w:rPr>
        <w:t>pupils</w:t>
      </w:r>
      <w:r w:rsidR="00DB04C5" w:rsidRPr="00DB04C5">
        <w:rPr>
          <w:rFonts w:eastAsia="Times New Roman" w:cstheme="minorHAnsi"/>
          <w:szCs w:val="24"/>
          <w:lang w:eastAsia="en-GB"/>
        </w:rPr>
        <w:t xml:space="preserve"> comprehend their role in the research and have the chance to voice their consent or refusal.</w:t>
      </w:r>
    </w:p>
    <w:p w:rsidR="00DB04C5" w:rsidRPr="00DB04C5" w:rsidRDefault="00DB04C5" w:rsidP="00DB04C5">
      <w:pPr>
        <w:spacing w:before="100" w:beforeAutospacing="1" w:after="100" w:afterAutospacing="1" w:line="240" w:lineRule="auto"/>
        <w:jc w:val="both"/>
        <w:rPr>
          <w:rFonts w:eastAsia="Times New Roman" w:cstheme="minorHAnsi"/>
          <w:szCs w:val="24"/>
          <w:lang w:eastAsia="en-GB"/>
        </w:rPr>
      </w:pPr>
      <w:r w:rsidRPr="00DB04C5">
        <w:rPr>
          <w:rFonts w:eastAsia="Times New Roman" w:cstheme="minorHAnsi"/>
          <w:szCs w:val="24"/>
          <w:lang w:eastAsia="en-GB"/>
        </w:rPr>
        <w:t>The ethical considerations delineated in the Ethics Form presented for approval are crucial for upholding ethical standards throughout the research. This document lays out a comprehensive strategy for handling ethical concerns, encompassing protocols for ensuring confidentiality, acquiring informed consent, and managing data responsibly (Brown &amp; Smith, 2019). Adhering to the directives outlined in the Ethics Form indicates a dedication to ethical research practices and guarantees the protection of participants' rights and welfare.</w:t>
      </w:r>
      <w:r w:rsidR="00CB7517">
        <w:rPr>
          <w:rFonts w:eastAsia="Times New Roman" w:cstheme="minorHAnsi"/>
          <w:szCs w:val="24"/>
          <w:lang w:eastAsia="en-GB"/>
        </w:rPr>
        <w:t xml:space="preserve"> Information on the ethics form can be </w:t>
      </w:r>
      <w:proofErr w:type="gramStart"/>
      <w:r w:rsidR="00CB7517">
        <w:rPr>
          <w:rFonts w:eastAsia="Times New Roman" w:cstheme="minorHAnsi"/>
          <w:szCs w:val="24"/>
          <w:lang w:eastAsia="en-GB"/>
        </w:rPr>
        <w:t>found</w:t>
      </w:r>
      <w:proofErr w:type="gramEnd"/>
      <w:r w:rsidR="00CB7517">
        <w:rPr>
          <w:rFonts w:eastAsia="Times New Roman" w:cstheme="minorHAnsi"/>
          <w:szCs w:val="24"/>
          <w:lang w:eastAsia="en-GB"/>
        </w:rPr>
        <w:t xml:space="preserve"> an appendix 1a.</w:t>
      </w:r>
    </w:p>
    <w:p w:rsidR="00B968EF" w:rsidRDefault="00B968EF" w:rsidP="00B968EF">
      <w:pPr>
        <w:jc w:val="center"/>
        <w:rPr>
          <w:b/>
        </w:rPr>
      </w:pPr>
    </w:p>
    <w:p w:rsidR="002700B1" w:rsidRDefault="00B968EF" w:rsidP="002700B1">
      <w:pPr>
        <w:jc w:val="center"/>
        <w:rPr>
          <w:b/>
        </w:rPr>
      </w:pPr>
      <w:r>
        <w:rPr>
          <w:b/>
        </w:rPr>
        <w:t xml:space="preserve">Results / </w:t>
      </w:r>
      <w:r w:rsidR="00B62D33">
        <w:rPr>
          <w:b/>
        </w:rPr>
        <w:t>Analysis of results / Discussion</w:t>
      </w:r>
    </w:p>
    <w:p w:rsidR="002700B1" w:rsidRPr="002700B1" w:rsidRDefault="002700B1" w:rsidP="002700B1">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 xml:space="preserve">Upon </w:t>
      </w:r>
      <w:proofErr w:type="spellStart"/>
      <w:r>
        <w:rPr>
          <w:rFonts w:eastAsia="Times New Roman" w:cstheme="minorHAnsi"/>
          <w:szCs w:val="24"/>
          <w:lang w:eastAsia="en-GB"/>
        </w:rPr>
        <w:t>examing</w:t>
      </w:r>
      <w:proofErr w:type="spellEnd"/>
      <w:r w:rsidRPr="002700B1">
        <w:rPr>
          <w:rFonts w:eastAsia="Times New Roman" w:cstheme="minorHAnsi"/>
          <w:szCs w:val="24"/>
          <w:lang w:eastAsia="en-GB"/>
        </w:rPr>
        <w:t xml:space="preserve"> the </w:t>
      </w:r>
      <w:r>
        <w:rPr>
          <w:rFonts w:eastAsia="Times New Roman" w:cstheme="minorHAnsi"/>
          <w:szCs w:val="24"/>
          <w:lang w:eastAsia="en-GB"/>
        </w:rPr>
        <w:t>dataset, a strong</w:t>
      </w:r>
      <w:r w:rsidRPr="002700B1">
        <w:rPr>
          <w:rFonts w:eastAsia="Times New Roman" w:cstheme="minorHAnsi"/>
          <w:szCs w:val="24"/>
          <w:lang w:eastAsia="en-GB"/>
        </w:rPr>
        <w:t xml:space="preserve"> correlation is evident between the perceptions of </w:t>
      </w:r>
      <w:r w:rsidR="00F74E49">
        <w:rPr>
          <w:rFonts w:eastAsia="Times New Roman" w:cstheme="minorHAnsi"/>
          <w:szCs w:val="24"/>
          <w:lang w:eastAsia="en-GB"/>
        </w:rPr>
        <w:t>pupils</w:t>
      </w:r>
      <w:r w:rsidRPr="002700B1">
        <w:rPr>
          <w:rFonts w:eastAsia="Times New Roman" w:cstheme="minorHAnsi"/>
          <w:szCs w:val="24"/>
          <w:lang w:eastAsia="en-GB"/>
        </w:rPr>
        <w:t xml:space="preserve"> and the current academic discourse regarding strategies for questioning and </w:t>
      </w:r>
      <w:r>
        <w:rPr>
          <w:rFonts w:eastAsia="Times New Roman" w:cstheme="minorHAnsi"/>
          <w:szCs w:val="24"/>
          <w:lang w:eastAsia="en-GB"/>
        </w:rPr>
        <w:t>pupil</w:t>
      </w:r>
      <w:r w:rsidRPr="002700B1">
        <w:rPr>
          <w:rFonts w:eastAsia="Times New Roman" w:cstheme="minorHAnsi"/>
          <w:szCs w:val="24"/>
          <w:lang w:eastAsia="en-GB"/>
        </w:rPr>
        <w:t xml:space="preserve"> engagement. The results of the survey</w:t>
      </w:r>
      <w:r w:rsidR="00784B80">
        <w:rPr>
          <w:rFonts w:eastAsia="Times New Roman" w:cstheme="minorHAnsi"/>
          <w:szCs w:val="24"/>
          <w:lang w:eastAsia="en-GB"/>
        </w:rPr>
        <w:t xml:space="preserve"> which can been found in the appendix and within figure 1</w:t>
      </w:r>
      <w:r w:rsidRPr="002700B1">
        <w:rPr>
          <w:rFonts w:eastAsia="Times New Roman" w:cstheme="minorHAnsi"/>
          <w:szCs w:val="24"/>
          <w:lang w:eastAsia="en-GB"/>
        </w:rPr>
        <w:t xml:space="preserve"> show a notable consensus among </w:t>
      </w:r>
      <w:r w:rsidR="00F74E49">
        <w:rPr>
          <w:rFonts w:eastAsia="Times New Roman" w:cstheme="minorHAnsi"/>
          <w:szCs w:val="24"/>
          <w:lang w:eastAsia="en-GB"/>
        </w:rPr>
        <w:t>pupils</w:t>
      </w:r>
      <w:r w:rsidRPr="002700B1">
        <w:rPr>
          <w:rFonts w:eastAsia="Times New Roman" w:cstheme="minorHAnsi"/>
          <w:szCs w:val="24"/>
          <w:lang w:eastAsia="en-GB"/>
        </w:rPr>
        <w:t xml:space="preserve">, with a significant 87.5% expressing either agreement or strong agreement with the idea that effective questioning contributes to their comprehension of classroom subjects. This unanimous agreement reflects similar </w:t>
      </w:r>
      <w:r>
        <w:rPr>
          <w:rFonts w:eastAsia="Times New Roman" w:cstheme="minorHAnsi"/>
          <w:szCs w:val="24"/>
          <w:lang w:eastAsia="en-GB"/>
        </w:rPr>
        <w:t>findings</w:t>
      </w:r>
      <w:r w:rsidRPr="002700B1">
        <w:rPr>
          <w:rFonts w:eastAsia="Times New Roman" w:cstheme="minorHAnsi"/>
          <w:szCs w:val="24"/>
          <w:lang w:eastAsia="en-GB"/>
        </w:rPr>
        <w:t xml:space="preserve"> in earlier studies conducted by Anderson (2015) and Wilson (2017), who highlighted the crucial role of well-structured inquiries in facilitating meaningful learning experiences.</w:t>
      </w:r>
    </w:p>
    <w:p w:rsidR="002700B1" w:rsidRPr="002700B1" w:rsidRDefault="002700B1" w:rsidP="002700B1">
      <w:pPr>
        <w:spacing w:before="100" w:beforeAutospacing="1" w:after="100" w:afterAutospacing="1" w:line="240" w:lineRule="auto"/>
        <w:jc w:val="both"/>
        <w:rPr>
          <w:rFonts w:eastAsia="Times New Roman" w:cstheme="minorHAnsi"/>
          <w:szCs w:val="24"/>
          <w:lang w:eastAsia="en-GB"/>
        </w:rPr>
      </w:pPr>
      <w:r w:rsidRPr="002700B1">
        <w:rPr>
          <w:rFonts w:eastAsia="Times New Roman" w:cstheme="minorHAnsi"/>
          <w:szCs w:val="24"/>
          <w:lang w:eastAsia="en-GB"/>
        </w:rPr>
        <w:t xml:space="preserve">Additionally, when asked about the influence of questioning on their engagement during class discussions, an impressive 82.3% of participants indicated agreement or strong agreement. This high level of consensus emphasizes the widely acknowledged potential of questioning to encourage active involvement and stimulate critical thinking among </w:t>
      </w:r>
      <w:r w:rsidR="00F74E49">
        <w:rPr>
          <w:rFonts w:eastAsia="Times New Roman" w:cstheme="minorHAnsi"/>
          <w:szCs w:val="24"/>
          <w:lang w:eastAsia="en-GB"/>
        </w:rPr>
        <w:t>pupils</w:t>
      </w:r>
      <w:r w:rsidRPr="002700B1">
        <w:rPr>
          <w:rFonts w:eastAsia="Times New Roman" w:cstheme="minorHAnsi"/>
          <w:szCs w:val="24"/>
          <w:lang w:eastAsia="en-GB"/>
        </w:rPr>
        <w:t>, in line with the research of Harris (2019) and Lee (2020).</w:t>
      </w:r>
    </w:p>
    <w:p w:rsidR="002700B1" w:rsidRPr="002700B1" w:rsidRDefault="002700B1" w:rsidP="002700B1">
      <w:pPr>
        <w:spacing w:before="100" w:beforeAutospacing="1" w:after="100" w:afterAutospacing="1" w:line="240" w:lineRule="auto"/>
        <w:jc w:val="both"/>
        <w:rPr>
          <w:rFonts w:eastAsia="Times New Roman" w:cstheme="minorHAnsi"/>
          <w:szCs w:val="24"/>
          <w:lang w:eastAsia="en-GB"/>
        </w:rPr>
      </w:pPr>
      <w:r w:rsidRPr="002700B1">
        <w:rPr>
          <w:rFonts w:eastAsia="Times New Roman" w:cstheme="minorHAnsi"/>
          <w:szCs w:val="24"/>
          <w:lang w:eastAsia="en-GB"/>
        </w:rPr>
        <w:t xml:space="preserve">Upon further examination of the dataset, it becomes apparent that a majority of </w:t>
      </w:r>
      <w:r w:rsidR="00F74E49">
        <w:rPr>
          <w:rFonts w:eastAsia="Times New Roman" w:cstheme="minorHAnsi"/>
          <w:szCs w:val="24"/>
          <w:lang w:eastAsia="en-GB"/>
        </w:rPr>
        <w:t>pupils</w:t>
      </w:r>
      <w:r w:rsidRPr="002700B1">
        <w:rPr>
          <w:rFonts w:eastAsia="Times New Roman" w:cstheme="minorHAnsi"/>
          <w:szCs w:val="24"/>
          <w:lang w:eastAsia="en-GB"/>
        </w:rPr>
        <w:t xml:space="preserve"> (76.8%) also agreed or strongly agr</w:t>
      </w:r>
      <w:r>
        <w:rPr>
          <w:rFonts w:eastAsia="Times New Roman" w:cstheme="minorHAnsi"/>
          <w:szCs w:val="24"/>
          <w:lang w:eastAsia="en-GB"/>
        </w:rPr>
        <w:t>eed that instructors who utilis</w:t>
      </w:r>
      <w:r w:rsidRPr="002700B1">
        <w:rPr>
          <w:rFonts w:eastAsia="Times New Roman" w:cstheme="minorHAnsi"/>
          <w:szCs w:val="24"/>
          <w:lang w:eastAsia="en-GB"/>
        </w:rPr>
        <w:t>e diverse questioning methods establish a more dynamic and engaging learning atmosphere. This discovery resonates with the insights provided by Thompson (2018) and Jackson (2021), who emphasized the significance of incorporating various questioning strategies to accommodate different learning preferences and promote inclusive participation.</w:t>
      </w:r>
    </w:p>
    <w:p w:rsidR="002700B1" w:rsidRPr="002700B1" w:rsidRDefault="00B368B9" w:rsidP="002700B1">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In addition, the questionnaire</w:t>
      </w:r>
      <w:r w:rsidR="002700B1" w:rsidRPr="002700B1">
        <w:rPr>
          <w:rFonts w:eastAsia="Times New Roman" w:cstheme="minorHAnsi"/>
          <w:szCs w:val="24"/>
          <w:lang w:eastAsia="en-GB"/>
        </w:rPr>
        <w:t xml:space="preserve"> findin</w:t>
      </w:r>
      <w:r>
        <w:rPr>
          <w:rFonts w:eastAsia="Times New Roman" w:cstheme="minorHAnsi"/>
          <w:szCs w:val="24"/>
          <w:lang w:eastAsia="en-GB"/>
        </w:rPr>
        <w:t>gs demonstrated a robust pupil</w:t>
      </w:r>
      <w:r w:rsidR="002700B1" w:rsidRPr="002700B1">
        <w:rPr>
          <w:rFonts w:eastAsia="Times New Roman" w:cstheme="minorHAnsi"/>
          <w:szCs w:val="24"/>
          <w:lang w:eastAsia="en-GB"/>
        </w:rPr>
        <w:t xml:space="preserve"> preference for peer-led discussions, with 81.4% expressing agreement or strong agreement with the concept that questions initiated by peers contribute to their learning experience. This viewpoint is consistent with the perspectives advocated by Roberts (2016) and Hall (2019), who championed collaborative learning </w:t>
      </w:r>
      <w:r w:rsidR="002700B1" w:rsidRPr="002700B1">
        <w:rPr>
          <w:rFonts w:eastAsia="Times New Roman" w:cstheme="minorHAnsi"/>
          <w:szCs w:val="24"/>
          <w:lang w:eastAsia="en-GB"/>
        </w:rPr>
        <w:lastRenderedPageBreak/>
        <w:t xml:space="preserve">methods that empower </w:t>
      </w:r>
      <w:r w:rsidR="00F74E49">
        <w:rPr>
          <w:rFonts w:eastAsia="Times New Roman" w:cstheme="minorHAnsi"/>
          <w:szCs w:val="24"/>
          <w:lang w:eastAsia="en-GB"/>
        </w:rPr>
        <w:t>pupils</w:t>
      </w:r>
      <w:r w:rsidR="002700B1" w:rsidRPr="002700B1">
        <w:rPr>
          <w:rFonts w:eastAsia="Times New Roman" w:cstheme="minorHAnsi"/>
          <w:szCs w:val="24"/>
          <w:lang w:eastAsia="en-GB"/>
        </w:rPr>
        <w:t xml:space="preserve"> to take control of their educational path and nurture a sense of responsibility and participation.</w:t>
      </w:r>
    </w:p>
    <w:p w:rsidR="002700B1" w:rsidRPr="002700B1" w:rsidRDefault="002700B1" w:rsidP="002700B1">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However, it is crucial to recognis</w:t>
      </w:r>
      <w:r w:rsidRPr="002700B1">
        <w:rPr>
          <w:rFonts w:eastAsia="Times New Roman" w:cstheme="minorHAnsi"/>
          <w:szCs w:val="24"/>
          <w:lang w:eastAsia="en-GB"/>
        </w:rPr>
        <w:t xml:space="preserve">e that a small percentage of </w:t>
      </w:r>
      <w:r w:rsidR="00F74E49">
        <w:rPr>
          <w:rFonts w:eastAsia="Times New Roman" w:cstheme="minorHAnsi"/>
          <w:szCs w:val="24"/>
          <w:lang w:eastAsia="en-GB"/>
        </w:rPr>
        <w:t>pupils</w:t>
      </w:r>
      <w:r w:rsidRPr="002700B1">
        <w:rPr>
          <w:rFonts w:eastAsia="Times New Roman" w:cstheme="minorHAnsi"/>
          <w:szCs w:val="24"/>
          <w:lang w:eastAsia="en-GB"/>
        </w:rPr>
        <w:t xml:space="preserve"> (12.5%) expressed disagreement or strong disagreement regarding the effectiveness of questioning in improving their comprehension. This differing viewpoint underscores the necessity for </w:t>
      </w:r>
      <w:r>
        <w:rPr>
          <w:rFonts w:eastAsia="Times New Roman" w:cstheme="minorHAnsi"/>
          <w:szCs w:val="24"/>
          <w:lang w:eastAsia="en-GB"/>
        </w:rPr>
        <w:t>teachers</w:t>
      </w:r>
      <w:r w:rsidRPr="002700B1">
        <w:rPr>
          <w:rFonts w:eastAsia="Times New Roman" w:cstheme="minorHAnsi"/>
          <w:szCs w:val="24"/>
          <w:lang w:eastAsia="en-GB"/>
        </w:rPr>
        <w:t xml:space="preserve"> to embrace a comprehensive approach to questioning that acknowledges individual disparities and preferences, as recommended by Johnson (2018) and White (2020).</w:t>
      </w:r>
    </w:p>
    <w:p w:rsidR="002700B1" w:rsidRPr="002700B1" w:rsidRDefault="002700B1" w:rsidP="002700B1"/>
    <w:p w:rsidR="00B968EF" w:rsidRDefault="00784B80" w:rsidP="00B968EF">
      <w:pPr>
        <w:jc w:val="center"/>
        <w:rPr>
          <w:b/>
        </w:rPr>
      </w:pPr>
      <w:r>
        <w:rPr>
          <w:noProof/>
        </w:rPr>
        <mc:AlternateContent>
          <mc:Choice Requires="wps">
            <w:drawing>
              <wp:anchor distT="0" distB="0" distL="114300" distR="114300" simplePos="0" relativeHeight="251660288" behindDoc="0" locked="0" layoutInCell="1" allowOverlap="1" wp14:anchorId="53CE563A" wp14:editId="2DCED619">
                <wp:simplePos x="0" y="0"/>
                <wp:positionH relativeFrom="column">
                  <wp:posOffset>-723900</wp:posOffset>
                </wp:positionH>
                <wp:positionV relativeFrom="paragraph">
                  <wp:posOffset>2647315</wp:posOffset>
                </wp:positionV>
                <wp:extent cx="731520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7315200" cy="635"/>
                        </a:xfrm>
                        <a:prstGeom prst="rect">
                          <a:avLst/>
                        </a:prstGeom>
                        <a:solidFill>
                          <a:prstClr val="white"/>
                        </a:solidFill>
                        <a:ln>
                          <a:noFill/>
                        </a:ln>
                        <a:effectLst/>
                      </wps:spPr>
                      <wps:txbx>
                        <w:txbxContent>
                          <w:p w:rsidR="00784B80" w:rsidRPr="00244F7B" w:rsidRDefault="00784B80" w:rsidP="00784B80">
                            <w:pPr>
                              <w:pStyle w:val="Caption"/>
                              <w:rPr>
                                <w:noProof/>
                              </w:rPr>
                            </w:pPr>
                            <w:proofErr w:type="gramStart"/>
                            <w:r>
                              <w:t xml:space="preserve">Figure </w:t>
                            </w:r>
                            <w:proofErr w:type="gramEnd"/>
                            <w:r>
                              <w:fldChar w:fldCharType="begin"/>
                            </w:r>
                            <w:r>
                              <w:instrText xml:space="preserve"> SEQ Figure \* ARABIC </w:instrText>
                            </w:r>
                            <w:r>
                              <w:fldChar w:fldCharType="separate"/>
                            </w:r>
                            <w:r>
                              <w:rPr>
                                <w:noProof/>
                              </w:rPr>
                              <w:t>1</w:t>
                            </w:r>
                            <w:r>
                              <w:fldChar w:fldCharType="end"/>
                            </w:r>
                            <w:proofErr w:type="gramStart"/>
                            <w:r>
                              <w:t>.</w:t>
                            </w:r>
                            <w:proofErr w:type="gramEnd"/>
                            <w:r>
                              <w:t xml:space="preserve"> Showcasing the results </w:t>
                            </w:r>
                            <w:proofErr w:type="spellStart"/>
                            <w:r>
                              <w:t>form</w:t>
                            </w:r>
                            <w:proofErr w:type="spellEnd"/>
                            <w:r>
                              <w:t xml:space="preserve"> the questionnaire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7pt;margin-top:208.45pt;width:8in;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" stroked="f">
                <v:textbox style="mso-fit-shape-to-text:t" inset="0,0,0,0">
                  <w:txbxContent>
                    <w:p w:rsidR="00784B80" w:rsidRPr="00244F7B" w:rsidRDefault="00784B80" w:rsidP="00784B80">
                      <w:pPr>
                        <w:pStyle w:val="Caption"/>
                        <w:rPr>
                          <w:noProof/>
                        </w:rPr>
                      </w:pPr>
                      <w:proofErr w:type="gramStart"/>
                      <w:r>
                        <w:t xml:space="preserve">Figure </w:t>
                      </w:r>
                      <w:proofErr w:type="gramEnd"/>
                      <w:r>
                        <w:fldChar w:fldCharType="begin"/>
                      </w:r>
                      <w:r>
                        <w:instrText xml:space="preserve"> SEQ Figure \* ARABIC </w:instrText>
                      </w:r>
                      <w:r>
                        <w:fldChar w:fldCharType="separate"/>
                      </w:r>
                      <w:r>
                        <w:rPr>
                          <w:noProof/>
                        </w:rPr>
                        <w:t>1</w:t>
                      </w:r>
                      <w:r>
                        <w:fldChar w:fldCharType="end"/>
                      </w:r>
                      <w:proofErr w:type="gramStart"/>
                      <w:r>
                        <w:t>.</w:t>
                      </w:r>
                      <w:proofErr w:type="gramEnd"/>
                      <w:r>
                        <w:t xml:space="preserve"> Showcasing the results </w:t>
                      </w:r>
                      <w:proofErr w:type="spellStart"/>
                      <w:r>
                        <w:t>form</w:t>
                      </w:r>
                      <w:proofErr w:type="spellEnd"/>
                      <w:r>
                        <w:t xml:space="preserve"> the questionnaire</w:t>
                      </w:r>
                    </w:p>
                  </w:txbxContent>
                </v:textbox>
                <w10:wrap type="tight"/>
              </v:shape>
            </w:pict>
          </mc:Fallback>
        </mc:AlternateContent>
      </w:r>
      <w:r w:rsidR="00277E83">
        <w:rPr>
          <w:noProof/>
          <w:lang w:eastAsia="en-GB"/>
        </w:rPr>
        <w:drawing>
          <wp:anchor distT="0" distB="0" distL="114300" distR="114300" simplePos="0" relativeHeight="251658240" behindDoc="1" locked="0" layoutInCell="1" allowOverlap="1" wp14:anchorId="72F84D8D" wp14:editId="3AC41D93">
            <wp:simplePos x="0" y="0"/>
            <wp:positionH relativeFrom="column">
              <wp:posOffset>-723900</wp:posOffset>
            </wp:positionH>
            <wp:positionV relativeFrom="paragraph">
              <wp:posOffset>180340</wp:posOffset>
            </wp:positionV>
            <wp:extent cx="7315200" cy="2409825"/>
            <wp:effectExtent l="0" t="0" r="19050" b="9525"/>
            <wp:wrapTight wrapText="bothSides">
              <wp:wrapPolygon edited="0">
                <wp:start x="0" y="0"/>
                <wp:lineTo x="0" y="21515"/>
                <wp:lineTo x="21600" y="21515"/>
                <wp:lineTo x="21600" y="0"/>
                <wp:lineTo x="0" y="0"/>
              </wp:wrapPolygon>
            </wp:wrapTight>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rsidR="009634CD" w:rsidRDefault="00EE5E3F" w:rsidP="004D373D">
      <w:pPr>
        <w:jc w:val="both"/>
      </w:pPr>
      <w:r>
        <w:t>Looking at the results from the semi-structured interviews</w:t>
      </w:r>
      <w:r w:rsidR="004D373D">
        <w:t xml:space="preserve"> responses from </w:t>
      </w:r>
      <w:r w:rsidR="00F74E49">
        <w:t>pupils</w:t>
      </w:r>
      <w:r w:rsidR="004D373D">
        <w:t xml:space="preserve"> A to E discloses noteworthy patterns in their evaluations </w:t>
      </w:r>
      <w:r w:rsidR="00784B80">
        <w:t>questioning strategies and pupil engagement as seen in figure 2 and within the appendix for tabulated results</w:t>
      </w:r>
      <w:r w:rsidR="004D373D">
        <w:t xml:space="preserve">. Notably, all </w:t>
      </w:r>
      <w:r w:rsidR="00F74E49">
        <w:t>pupils</w:t>
      </w:r>
      <w:r w:rsidR="004D373D">
        <w:t xml:space="preserve"> unanimously affirmed that efficient questioning enriches their comprehension of academic subjects (Q1), mirroring conclusions drawn by Anderson (2015) and Wilson (2017), underlining the crucial role of well-organized inquiries in fostering significant learning encounters. Furthermore, a considerable majority of </w:t>
      </w:r>
      <w:r w:rsidR="00F74E49">
        <w:t>pupils</w:t>
      </w:r>
      <w:r w:rsidR="004D373D">
        <w:t xml:space="preserve"> (80%) indicated concurrence that diverse questioning methods establish a more vibrant and engaging educational setting (Q5), aligning with the perspectives presented by Thompson (2018) and Jackson (2021), who supported varied questioning techniques to encourage comprehensive participation. Moreover, an overwhelming majority of </w:t>
      </w:r>
      <w:r w:rsidR="00F74E49">
        <w:t>pupils</w:t>
      </w:r>
      <w:r w:rsidR="004D373D">
        <w:t xml:space="preserve"> (80%) valued the chance to formulate their own queries, suggesting a feeling of independence and responsibility in their </w:t>
      </w:r>
      <w:r w:rsidR="00784B80">
        <w:t>education</w:t>
      </w:r>
      <w:r w:rsidR="004D373D">
        <w:t xml:space="preserve"> (Q8). These results highlight the significance of integrating </w:t>
      </w:r>
      <w:r w:rsidR="00F74E49">
        <w:t>pupil</w:t>
      </w:r>
      <w:r w:rsidR="004D373D">
        <w:t>-</w:t>
      </w:r>
      <w:proofErr w:type="spellStart"/>
      <w:r w:rsidR="004D373D">
        <w:t>centered</w:t>
      </w:r>
      <w:proofErr w:type="spellEnd"/>
      <w:r w:rsidR="004D373D">
        <w:t xml:space="preserve"> questioning approaches to promote active involvement and deeper comprehension in the educational setting. Nevertheless, obstacles such as feeling inundated by excessive queries (Q6) necessitate further examination, emphasizing the requirement for a balanced stance on questioning to alleviate potential adverse effects on </w:t>
      </w:r>
      <w:r w:rsidR="00F74E49">
        <w:t>pupil</w:t>
      </w:r>
      <w:r w:rsidR="004D373D">
        <w:t xml:space="preserve"> welfare.</w:t>
      </w:r>
    </w:p>
    <w:p w:rsidR="00784B80" w:rsidRDefault="00784B80" w:rsidP="004D373D">
      <w:pPr>
        <w:jc w:val="both"/>
      </w:pPr>
      <w:r>
        <w:rPr>
          <w:noProof/>
          <w:lang w:eastAsia="en-GB"/>
        </w:rPr>
        <w:lastRenderedPageBreak/>
        <w:drawing>
          <wp:anchor distT="0" distB="0" distL="114300" distR="114300" simplePos="0" relativeHeight="251661312" behindDoc="1" locked="0" layoutInCell="1" allowOverlap="1" wp14:anchorId="10AF53EA" wp14:editId="313304BC">
            <wp:simplePos x="0" y="0"/>
            <wp:positionH relativeFrom="column">
              <wp:posOffset>38100</wp:posOffset>
            </wp:positionH>
            <wp:positionV relativeFrom="paragraph">
              <wp:posOffset>13970</wp:posOffset>
            </wp:positionV>
            <wp:extent cx="5276850" cy="2343150"/>
            <wp:effectExtent l="0" t="0" r="19050" b="19050"/>
            <wp:wrapTight wrapText="bothSides">
              <wp:wrapPolygon edited="0">
                <wp:start x="0" y="0"/>
                <wp:lineTo x="0" y="21600"/>
                <wp:lineTo x="21600" y="21600"/>
                <wp:lineTo x="21600" y="0"/>
                <wp:lineTo x="0" y="0"/>
              </wp:wrapPolygon>
            </wp:wrapTight>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0D497A24" wp14:editId="56DF6263">
                <wp:simplePos x="0" y="0"/>
                <wp:positionH relativeFrom="column">
                  <wp:posOffset>834390</wp:posOffset>
                </wp:positionH>
                <wp:positionV relativeFrom="paragraph">
                  <wp:posOffset>2469515</wp:posOffset>
                </wp:positionV>
                <wp:extent cx="457200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a:effectLst/>
                      </wps:spPr>
                      <wps:txbx>
                        <w:txbxContent>
                          <w:p w:rsidR="00784B80" w:rsidRPr="00135634" w:rsidRDefault="00784B80" w:rsidP="00784B80">
                            <w:pPr>
                              <w:pStyle w:val="Caption"/>
                              <w:rPr>
                                <w:noProof/>
                              </w:rPr>
                            </w:pPr>
                            <w:proofErr w:type="gramStart"/>
                            <w:r>
                              <w:t xml:space="preserve">Figure </w:t>
                            </w:r>
                            <w:fldSimple w:instr=" SEQ Figure \* ARABIC ">
                              <w:r>
                                <w:rPr>
                                  <w:noProof/>
                                </w:rPr>
                                <w:t>2</w:t>
                              </w:r>
                            </w:fldSimple>
                            <w:r>
                              <w:t>.</w:t>
                            </w:r>
                            <w:proofErr w:type="gramEnd"/>
                            <w:r>
                              <w:t xml:space="preserve"> </w:t>
                            </w:r>
                            <w:proofErr w:type="gramStart"/>
                            <w:r>
                              <w:t>percentage</w:t>
                            </w:r>
                            <w:proofErr w:type="gramEnd"/>
                            <w:r>
                              <w:t xml:space="preserve"> of </w:t>
                            </w:r>
                            <w:proofErr w:type="spellStart"/>
                            <w:r>
                              <w:t>correclation</w:t>
                            </w:r>
                            <w:proofErr w:type="spellEnd"/>
                            <w:r>
                              <w:t xml:space="preserve"> between pupil responses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4" o:spid="_x0000_s1027" type="#_x0000_t202" style="position:absolute;left:0;text-align:left;margin-left:65.7pt;margin-top:194.45pt;width:5in;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" stroked="f">
                <v:textbox style="mso-fit-shape-to-text:t" inset="0,0,0,0">
                  <w:txbxContent>
                    <w:p w:rsidR="00784B80" w:rsidRPr="00135634" w:rsidRDefault="00784B80" w:rsidP="00784B80">
                      <w:pPr>
                        <w:pStyle w:val="Caption"/>
                        <w:rPr>
                          <w:noProof/>
                        </w:rPr>
                      </w:pPr>
                      <w:proofErr w:type="gramStart"/>
                      <w:r>
                        <w:t xml:space="preserve">Figure </w:t>
                      </w:r>
                      <w:fldSimple w:instr=" SEQ Figure \* ARABIC ">
                        <w:r>
                          <w:rPr>
                            <w:noProof/>
                          </w:rPr>
                          <w:t>2</w:t>
                        </w:r>
                      </w:fldSimple>
                      <w:r>
                        <w:t>.</w:t>
                      </w:r>
                      <w:proofErr w:type="gramEnd"/>
                      <w:r>
                        <w:t xml:space="preserve"> </w:t>
                      </w:r>
                      <w:proofErr w:type="gramStart"/>
                      <w:r>
                        <w:t>percentage</w:t>
                      </w:r>
                      <w:proofErr w:type="gramEnd"/>
                      <w:r>
                        <w:t xml:space="preserve"> of </w:t>
                      </w:r>
                      <w:proofErr w:type="spellStart"/>
                      <w:r>
                        <w:t>correclation</w:t>
                      </w:r>
                      <w:proofErr w:type="spellEnd"/>
                      <w:r>
                        <w:t xml:space="preserve"> between pupil responses</w:t>
                      </w:r>
                    </w:p>
                  </w:txbxContent>
                </v:textbox>
                <w10:wrap type="tight"/>
              </v:shape>
            </w:pict>
          </mc:Fallback>
        </mc:AlternateContent>
      </w:r>
    </w:p>
    <w:p w:rsidR="00784B80" w:rsidRDefault="00784B80" w:rsidP="004D373D">
      <w:pPr>
        <w:jc w:val="both"/>
        <w:rPr>
          <w:b/>
        </w:rPr>
      </w:pPr>
    </w:p>
    <w:p w:rsidR="009634CD" w:rsidRDefault="009634CD" w:rsidP="00B968EF">
      <w:pPr>
        <w:jc w:val="center"/>
        <w:rPr>
          <w:b/>
        </w:rPr>
      </w:pPr>
    </w:p>
    <w:p w:rsidR="009634CD" w:rsidRDefault="009634CD" w:rsidP="00B968EF">
      <w:pPr>
        <w:jc w:val="center"/>
        <w:rPr>
          <w:b/>
        </w:rPr>
      </w:pPr>
    </w:p>
    <w:p w:rsidR="00784B80" w:rsidRDefault="00784B80" w:rsidP="00B968EF">
      <w:pPr>
        <w:jc w:val="center"/>
        <w:rPr>
          <w:b/>
        </w:rPr>
      </w:pPr>
    </w:p>
    <w:p w:rsidR="00784B80" w:rsidRDefault="00784B80" w:rsidP="00B968EF">
      <w:pPr>
        <w:jc w:val="center"/>
        <w:rPr>
          <w:b/>
        </w:rPr>
      </w:pPr>
    </w:p>
    <w:p w:rsidR="00784B80" w:rsidRDefault="00784B80" w:rsidP="00B968EF">
      <w:pPr>
        <w:jc w:val="center"/>
        <w:rPr>
          <w:b/>
        </w:rPr>
      </w:pPr>
    </w:p>
    <w:p w:rsidR="00F30513" w:rsidRDefault="00F30513" w:rsidP="00F74E49">
      <w:pPr>
        <w:spacing w:before="100" w:beforeAutospacing="1" w:after="100" w:afterAutospacing="1" w:line="240" w:lineRule="auto"/>
        <w:jc w:val="both"/>
        <w:rPr>
          <w:rFonts w:eastAsia="Times New Roman" w:cstheme="minorHAnsi"/>
          <w:szCs w:val="24"/>
          <w:lang w:eastAsia="en-GB"/>
        </w:rPr>
      </w:pPr>
    </w:p>
    <w:p w:rsidR="00F74E49" w:rsidRPr="00F74E49" w:rsidRDefault="00F74E49" w:rsidP="00F74E49">
      <w:pPr>
        <w:spacing w:before="100" w:beforeAutospacing="1" w:after="100" w:afterAutospacing="1" w:line="240" w:lineRule="auto"/>
        <w:jc w:val="both"/>
        <w:rPr>
          <w:rFonts w:eastAsia="Times New Roman" w:cstheme="minorHAnsi"/>
          <w:szCs w:val="24"/>
          <w:lang w:eastAsia="en-GB"/>
        </w:rPr>
      </w:pPr>
      <w:r w:rsidRPr="00F74E49">
        <w:rPr>
          <w:rFonts w:eastAsia="Times New Roman" w:cstheme="minorHAnsi"/>
          <w:szCs w:val="24"/>
          <w:lang w:eastAsia="en-GB"/>
        </w:rPr>
        <w:t xml:space="preserve">The </w:t>
      </w:r>
      <w:r w:rsidR="00B62D33">
        <w:rPr>
          <w:rFonts w:eastAsia="Times New Roman" w:cstheme="minorHAnsi"/>
          <w:szCs w:val="24"/>
          <w:lang w:eastAsia="en-GB"/>
        </w:rPr>
        <w:t>observation</w:t>
      </w:r>
      <w:r w:rsidRPr="00F74E49">
        <w:rPr>
          <w:rFonts w:eastAsia="Times New Roman" w:cstheme="minorHAnsi"/>
          <w:szCs w:val="24"/>
          <w:lang w:eastAsia="en-GB"/>
        </w:rPr>
        <w:t xml:space="preserve"> of the </w:t>
      </w:r>
      <w:r>
        <w:rPr>
          <w:rFonts w:eastAsia="Times New Roman" w:cstheme="minorHAnsi"/>
          <w:szCs w:val="24"/>
          <w:lang w:eastAsia="en-GB"/>
        </w:rPr>
        <w:t>pupil</w:t>
      </w:r>
      <w:r w:rsidRPr="00F74E49">
        <w:rPr>
          <w:rFonts w:eastAsia="Times New Roman" w:cstheme="minorHAnsi"/>
          <w:szCs w:val="24"/>
          <w:lang w:eastAsia="en-GB"/>
        </w:rPr>
        <w:t xml:space="preserve">'s involvement and engagement </w:t>
      </w:r>
      <w:r>
        <w:rPr>
          <w:rFonts w:eastAsia="Times New Roman" w:cstheme="minorHAnsi"/>
          <w:szCs w:val="24"/>
          <w:lang w:eastAsia="en-GB"/>
        </w:rPr>
        <w:t>throughout the lesson</w:t>
      </w:r>
      <w:r w:rsidRPr="00F74E49">
        <w:rPr>
          <w:rFonts w:eastAsia="Times New Roman" w:cstheme="minorHAnsi"/>
          <w:szCs w:val="24"/>
          <w:lang w:eastAsia="en-GB"/>
        </w:rPr>
        <w:t xml:space="preserve"> indicates a gradual increase in both aspects, suggesting a </w:t>
      </w:r>
      <w:proofErr w:type="spellStart"/>
      <w:r w:rsidRPr="00F74E49">
        <w:rPr>
          <w:rFonts w:eastAsia="Times New Roman" w:cstheme="minorHAnsi"/>
          <w:szCs w:val="24"/>
          <w:lang w:eastAsia="en-GB"/>
        </w:rPr>
        <w:t>favorable</w:t>
      </w:r>
      <w:proofErr w:type="spellEnd"/>
      <w:r w:rsidRPr="00F74E49">
        <w:rPr>
          <w:rFonts w:eastAsia="Times New Roman" w:cstheme="minorHAnsi"/>
          <w:szCs w:val="24"/>
          <w:lang w:eastAsia="en-GB"/>
        </w:rPr>
        <w:t xml:space="preserve"> </w:t>
      </w:r>
      <w:r>
        <w:rPr>
          <w:rFonts w:eastAsia="Times New Roman" w:cstheme="minorHAnsi"/>
          <w:szCs w:val="24"/>
          <w:lang w:eastAsia="en-GB"/>
        </w:rPr>
        <w:t>reaction to the learning</w:t>
      </w:r>
      <w:r w:rsidR="00B62D33">
        <w:rPr>
          <w:rFonts w:eastAsia="Times New Roman" w:cstheme="minorHAnsi"/>
          <w:szCs w:val="24"/>
          <w:lang w:eastAsia="en-GB"/>
        </w:rPr>
        <w:t xml:space="preserve"> and questions delivered by the </w:t>
      </w:r>
      <w:proofErr w:type="gramStart"/>
      <w:r w:rsidR="00B62D33">
        <w:rPr>
          <w:rFonts w:eastAsia="Times New Roman" w:cstheme="minorHAnsi"/>
          <w:szCs w:val="24"/>
          <w:lang w:eastAsia="en-GB"/>
        </w:rPr>
        <w:t>teacher</w:t>
      </w:r>
      <w:r>
        <w:rPr>
          <w:rFonts w:eastAsia="Times New Roman" w:cstheme="minorHAnsi"/>
          <w:szCs w:val="24"/>
          <w:lang w:eastAsia="en-GB"/>
        </w:rPr>
        <w:t>,</w:t>
      </w:r>
      <w:proofErr w:type="gramEnd"/>
      <w:r>
        <w:rPr>
          <w:rFonts w:eastAsia="Times New Roman" w:cstheme="minorHAnsi"/>
          <w:szCs w:val="24"/>
          <w:lang w:eastAsia="en-GB"/>
        </w:rPr>
        <w:t xml:space="preserve"> the results can be viewed in the appendix</w:t>
      </w:r>
      <w:r w:rsidRPr="00F74E49">
        <w:rPr>
          <w:rFonts w:eastAsia="Times New Roman" w:cstheme="minorHAnsi"/>
          <w:szCs w:val="24"/>
          <w:lang w:eastAsia="en-GB"/>
        </w:rPr>
        <w:t xml:space="preserve">. Initially, the </w:t>
      </w:r>
      <w:r>
        <w:rPr>
          <w:rFonts w:eastAsia="Times New Roman" w:cstheme="minorHAnsi"/>
          <w:szCs w:val="24"/>
          <w:lang w:eastAsia="en-GB"/>
        </w:rPr>
        <w:t>pupil</w:t>
      </w:r>
      <w:r w:rsidRPr="00F74E49">
        <w:rPr>
          <w:rFonts w:eastAsia="Times New Roman" w:cstheme="minorHAnsi"/>
          <w:szCs w:val="24"/>
          <w:lang w:eastAsia="en-GB"/>
        </w:rPr>
        <w:t xml:space="preserve"> displayed moderate levels of participation and engagement, which are common at the start of a class when </w:t>
      </w:r>
      <w:r>
        <w:rPr>
          <w:rFonts w:eastAsia="Times New Roman" w:cstheme="minorHAnsi"/>
          <w:szCs w:val="24"/>
          <w:lang w:eastAsia="en-GB"/>
        </w:rPr>
        <w:t>pupils</w:t>
      </w:r>
      <w:r w:rsidRPr="00F74E49">
        <w:rPr>
          <w:rFonts w:eastAsia="Times New Roman" w:cstheme="minorHAnsi"/>
          <w:szCs w:val="24"/>
          <w:lang w:eastAsia="en-GB"/>
        </w:rPr>
        <w:t xml:space="preserve"> are transitioning into an academic </w:t>
      </w:r>
      <w:proofErr w:type="spellStart"/>
      <w:r w:rsidRPr="00F74E49">
        <w:rPr>
          <w:rFonts w:eastAsia="Times New Roman" w:cstheme="minorHAnsi"/>
          <w:szCs w:val="24"/>
          <w:lang w:eastAsia="en-GB"/>
        </w:rPr>
        <w:t>mindset</w:t>
      </w:r>
      <w:proofErr w:type="spellEnd"/>
      <w:r w:rsidRPr="00F74E49">
        <w:rPr>
          <w:rFonts w:eastAsia="Times New Roman" w:cstheme="minorHAnsi"/>
          <w:szCs w:val="24"/>
          <w:lang w:eastAsia="en-GB"/>
        </w:rPr>
        <w:t xml:space="preserve"> (Leach et al., 2020). However, as the session advanced, there was a noticeable rise in both involvement and participation, with the </w:t>
      </w:r>
      <w:r>
        <w:rPr>
          <w:rFonts w:eastAsia="Times New Roman" w:cstheme="minorHAnsi"/>
          <w:szCs w:val="24"/>
          <w:lang w:eastAsia="en-GB"/>
        </w:rPr>
        <w:t>pupil</w:t>
      </w:r>
      <w:r w:rsidRPr="00F74E49">
        <w:rPr>
          <w:rFonts w:eastAsia="Times New Roman" w:cstheme="minorHAnsi"/>
          <w:szCs w:val="24"/>
          <w:lang w:eastAsia="en-GB"/>
        </w:rPr>
        <w:t xml:space="preserve"> actively engaging in group conversations and showcasing independent utilization of resources.</w:t>
      </w:r>
    </w:p>
    <w:p w:rsidR="00F74E49" w:rsidRPr="00F74E49" w:rsidRDefault="00F74E49" w:rsidP="00F74E49">
      <w:pPr>
        <w:spacing w:before="100" w:beforeAutospacing="1" w:after="100" w:afterAutospacing="1" w:line="240" w:lineRule="auto"/>
        <w:jc w:val="both"/>
        <w:rPr>
          <w:rFonts w:eastAsia="Times New Roman" w:cstheme="minorHAnsi"/>
          <w:szCs w:val="24"/>
          <w:lang w:eastAsia="en-GB"/>
        </w:rPr>
      </w:pPr>
      <w:r w:rsidRPr="00F74E49">
        <w:rPr>
          <w:rFonts w:eastAsia="Times New Roman" w:cstheme="minorHAnsi"/>
          <w:szCs w:val="24"/>
          <w:lang w:eastAsia="en-GB"/>
        </w:rPr>
        <w:t xml:space="preserve">This pattern corresponds with the findings of </w:t>
      </w:r>
      <w:proofErr w:type="spellStart"/>
      <w:r w:rsidRPr="00F74E49">
        <w:rPr>
          <w:rFonts w:eastAsia="Times New Roman" w:cstheme="minorHAnsi"/>
          <w:szCs w:val="24"/>
          <w:lang w:eastAsia="en-GB"/>
        </w:rPr>
        <w:t>Fredricks</w:t>
      </w:r>
      <w:proofErr w:type="spellEnd"/>
      <w:r w:rsidRPr="00F74E49">
        <w:rPr>
          <w:rFonts w:eastAsia="Times New Roman" w:cstheme="minorHAnsi"/>
          <w:szCs w:val="24"/>
          <w:lang w:eastAsia="en-GB"/>
        </w:rPr>
        <w:t xml:space="preserve"> et al. (2004), underscoring the significance of sustained engagement fo</w:t>
      </w:r>
      <w:r>
        <w:rPr>
          <w:rFonts w:eastAsia="Times New Roman" w:cstheme="minorHAnsi"/>
          <w:szCs w:val="24"/>
          <w:lang w:eastAsia="en-GB"/>
        </w:rPr>
        <w:t>r meaningful learning experiences</w:t>
      </w:r>
      <w:r w:rsidRPr="00F74E49">
        <w:rPr>
          <w:rFonts w:eastAsia="Times New Roman" w:cstheme="minorHAnsi"/>
          <w:szCs w:val="24"/>
          <w:lang w:eastAsia="en-GB"/>
        </w:rPr>
        <w:t xml:space="preserve">. The escalating engagement of the </w:t>
      </w:r>
      <w:r>
        <w:rPr>
          <w:rFonts w:eastAsia="Times New Roman" w:cstheme="minorHAnsi"/>
          <w:szCs w:val="24"/>
          <w:lang w:eastAsia="en-GB"/>
        </w:rPr>
        <w:t>pupil signifies the importance of quality questioning</w:t>
      </w:r>
      <w:r w:rsidRPr="00F74E49">
        <w:rPr>
          <w:rFonts w:eastAsia="Times New Roman" w:cstheme="minorHAnsi"/>
          <w:szCs w:val="24"/>
          <w:lang w:eastAsia="en-GB"/>
        </w:rPr>
        <w:t xml:space="preserve">, propelled by internal drive and a sense of independence (Ryan &amp; </w:t>
      </w:r>
      <w:proofErr w:type="spellStart"/>
      <w:r w:rsidRPr="00F74E49">
        <w:rPr>
          <w:rFonts w:eastAsia="Times New Roman" w:cstheme="minorHAnsi"/>
          <w:szCs w:val="24"/>
          <w:lang w:eastAsia="en-GB"/>
        </w:rPr>
        <w:t>Deci</w:t>
      </w:r>
      <w:proofErr w:type="spellEnd"/>
      <w:r w:rsidRPr="00F74E49">
        <w:rPr>
          <w:rFonts w:eastAsia="Times New Roman" w:cstheme="minorHAnsi"/>
          <w:szCs w:val="24"/>
          <w:lang w:eastAsia="en-GB"/>
        </w:rPr>
        <w:t xml:space="preserve">, 2000). Moreover, the substantial level of participation witnessed reflects the </w:t>
      </w:r>
      <w:r>
        <w:rPr>
          <w:rFonts w:eastAsia="Times New Roman" w:cstheme="minorHAnsi"/>
          <w:szCs w:val="24"/>
          <w:lang w:eastAsia="en-GB"/>
        </w:rPr>
        <w:t>pupil</w:t>
      </w:r>
      <w:r w:rsidRPr="00F74E49">
        <w:rPr>
          <w:rFonts w:eastAsia="Times New Roman" w:cstheme="minorHAnsi"/>
          <w:szCs w:val="24"/>
          <w:lang w:eastAsia="en-GB"/>
        </w:rPr>
        <w:t>'s eagerness to engage with peers and instructors, fostering a collaborative learning atmosphere conducive to knowledge acquisition (Mercer &amp; Littleton, 2007).</w:t>
      </w:r>
    </w:p>
    <w:p w:rsidR="00F74E49" w:rsidRPr="00F74E49" w:rsidRDefault="00F74E49" w:rsidP="00F74E49">
      <w:pPr>
        <w:spacing w:before="100" w:beforeAutospacing="1" w:after="100" w:afterAutospacing="1" w:line="240" w:lineRule="auto"/>
        <w:jc w:val="both"/>
        <w:rPr>
          <w:rFonts w:eastAsia="Times New Roman" w:cstheme="minorHAnsi"/>
          <w:szCs w:val="24"/>
          <w:lang w:eastAsia="en-GB"/>
        </w:rPr>
      </w:pPr>
      <w:r w:rsidRPr="00F74E49">
        <w:rPr>
          <w:rFonts w:eastAsia="Times New Roman" w:cstheme="minorHAnsi"/>
          <w:szCs w:val="24"/>
          <w:lang w:eastAsia="en-GB"/>
        </w:rPr>
        <w:t xml:space="preserve">In essence, the </w:t>
      </w:r>
      <w:r w:rsidR="00B62D33">
        <w:rPr>
          <w:rFonts w:eastAsia="Times New Roman" w:cstheme="minorHAnsi"/>
          <w:szCs w:val="24"/>
          <w:lang w:eastAsia="en-GB"/>
        </w:rPr>
        <w:t>observation</w:t>
      </w:r>
      <w:r w:rsidRPr="00F74E49">
        <w:rPr>
          <w:rFonts w:eastAsia="Times New Roman" w:cstheme="minorHAnsi"/>
          <w:szCs w:val="24"/>
          <w:lang w:eastAsia="en-GB"/>
        </w:rPr>
        <w:t xml:space="preserve"> highlights the crucial role of engagement and participation in enabling effectiv</w:t>
      </w:r>
      <w:r w:rsidR="00B62D33">
        <w:rPr>
          <w:rFonts w:eastAsia="Times New Roman" w:cstheme="minorHAnsi"/>
          <w:szCs w:val="24"/>
          <w:lang w:eastAsia="en-GB"/>
        </w:rPr>
        <w:t>e learning experiences, emphasis</w:t>
      </w:r>
      <w:r w:rsidRPr="00F74E49">
        <w:rPr>
          <w:rFonts w:eastAsia="Times New Roman" w:cstheme="minorHAnsi"/>
          <w:szCs w:val="24"/>
          <w:lang w:eastAsia="en-GB"/>
        </w:rPr>
        <w:t xml:space="preserve">ing the necessity of establishing supportive classroom environments that encourage </w:t>
      </w:r>
      <w:r>
        <w:rPr>
          <w:rFonts w:eastAsia="Times New Roman" w:cstheme="minorHAnsi"/>
          <w:szCs w:val="24"/>
          <w:lang w:eastAsia="en-GB"/>
        </w:rPr>
        <w:t>pupil</w:t>
      </w:r>
      <w:r w:rsidRPr="00F74E49">
        <w:rPr>
          <w:rFonts w:eastAsia="Times New Roman" w:cstheme="minorHAnsi"/>
          <w:szCs w:val="24"/>
          <w:lang w:eastAsia="en-GB"/>
        </w:rPr>
        <w:t xml:space="preserve"> engagement and autonomy (Skinner et al., 2008).</w:t>
      </w:r>
    </w:p>
    <w:p w:rsidR="00784B80" w:rsidRDefault="00784B80" w:rsidP="00B968EF">
      <w:pPr>
        <w:jc w:val="center"/>
        <w:rPr>
          <w:b/>
        </w:rPr>
      </w:pPr>
    </w:p>
    <w:p w:rsidR="00B968EF" w:rsidRDefault="00B968EF" w:rsidP="00B968EF">
      <w:pPr>
        <w:jc w:val="center"/>
        <w:rPr>
          <w:b/>
        </w:rPr>
      </w:pPr>
      <w:r>
        <w:rPr>
          <w:b/>
        </w:rPr>
        <w:t>Conclusion</w:t>
      </w:r>
      <w:r w:rsidR="00CE558F">
        <w:rPr>
          <w:b/>
        </w:rPr>
        <w:t>s and recommendations -4</w:t>
      </w:r>
      <w:r w:rsidR="00C3044E">
        <w:rPr>
          <w:b/>
        </w:rPr>
        <w:t>00</w:t>
      </w:r>
    </w:p>
    <w:p w:rsidR="00B62D33" w:rsidRPr="00B62D33" w:rsidRDefault="00C82DDC" w:rsidP="00B62D33">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My research into the relationship</w:t>
      </w:r>
      <w:r w:rsidR="00B62D33" w:rsidRPr="00B62D33">
        <w:rPr>
          <w:rFonts w:eastAsia="Times New Roman" w:cstheme="minorHAnsi"/>
          <w:szCs w:val="24"/>
          <w:lang w:eastAsia="en-GB"/>
        </w:rPr>
        <w:t xml:space="preserve"> between teacher</w:t>
      </w:r>
      <w:r>
        <w:rPr>
          <w:rFonts w:eastAsia="Times New Roman" w:cstheme="minorHAnsi"/>
          <w:szCs w:val="24"/>
          <w:lang w:eastAsia="en-GB"/>
        </w:rPr>
        <w:t xml:space="preserve"> questioning</w:t>
      </w:r>
      <w:r w:rsidR="00B62D33" w:rsidRPr="00B62D33">
        <w:rPr>
          <w:rFonts w:eastAsia="Times New Roman" w:cstheme="minorHAnsi"/>
          <w:szCs w:val="24"/>
          <w:lang w:eastAsia="en-GB"/>
        </w:rPr>
        <w:t xml:space="preserve"> and </w:t>
      </w:r>
      <w:r>
        <w:rPr>
          <w:rFonts w:eastAsia="Times New Roman" w:cstheme="minorHAnsi"/>
          <w:szCs w:val="24"/>
          <w:lang w:eastAsia="en-GB"/>
        </w:rPr>
        <w:t>pupil engagement</w:t>
      </w:r>
      <w:r w:rsidR="00B62D33" w:rsidRPr="00B62D33">
        <w:rPr>
          <w:rFonts w:eastAsia="Times New Roman" w:cstheme="minorHAnsi"/>
          <w:szCs w:val="24"/>
          <w:lang w:eastAsia="en-GB"/>
        </w:rPr>
        <w:t xml:space="preserve"> highlights the crucial role of inquiry-driven teaching methods in creating </w:t>
      </w:r>
      <w:r>
        <w:rPr>
          <w:rFonts w:eastAsia="Times New Roman" w:cstheme="minorHAnsi"/>
          <w:szCs w:val="24"/>
          <w:lang w:eastAsia="en-GB"/>
        </w:rPr>
        <w:t>engaging learning environments</w:t>
      </w:r>
      <w:r w:rsidR="00B62D33" w:rsidRPr="00B62D33">
        <w:rPr>
          <w:rFonts w:eastAsia="Times New Roman" w:cstheme="minorHAnsi"/>
          <w:szCs w:val="24"/>
          <w:lang w:eastAsia="en-GB"/>
        </w:rPr>
        <w:t>. Utili</w:t>
      </w:r>
      <w:r>
        <w:rPr>
          <w:rFonts w:eastAsia="Times New Roman" w:cstheme="minorHAnsi"/>
          <w:szCs w:val="24"/>
          <w:lang w:eastAsia="en-GB"/>
        </w:rPr>
        <w:t>s</w:t>
      </w:r>
      <w:r w:rsidR="00B62D33" w:rsidRPr="00B62D33">
        <w:rPr>
          <w:rFonts w:eastAsia="Times New Roman" w:cstheme="minorHAnsi"/>
          <w:szCs w:val="24"/>
          <w:lang w:eastAsia="en-GB"/>
        </w:rPr>
        <w:t xml:space="preserve">ing diverse research approaches, including semi-structured interviews and direct observations, has enabled the identification of a robust link between efficient questioning strategies and heightened </w:t>
      </w:r>
      <w:r>
        <w:rPr>
          <w:rFonts w:eastAsia="Times New Roman" w:cstheme="minorHAnsi"/>
          <w:szCs w:val="24"/>
          <w:lang w:eastAsia="en-GB"/>
        </w:rPr>
        <w:t xml:space="preserve">pupil engagement. </w:t>
      </w:r>
      <w:bookmarkStart w:id="0" w:name="_GoBack"/>
      <w:bookmarkEnd w:id="0"/>
    </w:p>
    <w:p w:rsidR="00B62D33" w:rsidRPr="00B62D33" w:rsidRDefault="00C82DDC" w:rsidP="00B62D33">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 xml:space="preserve">The </w:t>
      </w:r>
      <w:r w:rsidR="00B62D33" w:rsidRPr="00B62D33">
        <w:rPr>
          <w:rFonts w:eastAsia="Times New Roman" w:cstheme="minorHAnsi"/>
          <w:szCs w:val="24"/>
          <w:lang w:eastAsia="en-GB"/>
        </w:rPr>
        <w:t xml:space="preserve">datasets and observational information both confirm the significant influence of teacher questioning on </w:t>
      </w:r>
      <w:r>
        <w:rPr>
          <w:rFonts w:eastAsia="Times New Roman" w:cstheme="minorHAnsi"/>
          <w:szCs w:val="24"/>
          <w:lang w:eastAsia="en-GB"/>
        </w:rPr>
        <w:t>pupil engagement</w:t>
      </w:r>
      <w:r w:rsidR="00B62D33" w:rsidRPr="00B62D33">
        <w:rPr>
          <w:rFonts w:eastAsia="Times New Roman" w:cstheme="minorHAnsi"/>
          <w:szCs w:val="24"/>
          <w:lang w:eastAsia="en-GB"/>
        </w:rPr>
        <w:t xml:space="preserve"> and interest in learning. </w:t>
      </w:r>
      <w:r>
        <w:rPr>
          <w:rFonts w:eastAsia="Times New Roman" w:cstheme="minorHAnsi"/>
          <w:szCs w:val="24"/>
          <w:lang w:eastAsia="en-GB"/>
        </w:rPr>
        <w:t>Authors</w:t>
      </w:r>
      <w:r w:rsidR="00B62D33" w:rsidRPr="00B62D33">
        <w:rPr>
          <w:rFonts w:eastAsia="Times New Roman" w:cstheme="minorHAnsi"/>
          <w:szCs w:val="24"/>
          <w:lang w:eastAsia="en-GB"/>
        </w:rPr>
        <w:t xml:space="preserve"> consistently demonstrated gratitude for stimulating queries that encouraged critical thinking and facilitated a deeper grasp of classroom subjects. This corresponds with existing scholarly works that underscore the importance of well-construct</w:t>
      </w:r>
      <w:r>
        <w:rPr>
          <w:rFonts w:eastAsia="Times New Roman" w:cstheme="minorHAnsi"/>
          <w:szCs w:val="24"/>
          <w:lang w:eastAsia="en-GB"/>
        </w:rPr>
        <w:t>ed inquiries in boosting pupil</w:t>
      </w:r>
      <w:r w:rsidR="00B62D33" w:rsidRPr="00B62D33">
        <w:rPr>
          <w:rFonts w:eastAsia="Times New Roman" w:cstheme="minorHAnsi"/>
          <w:szCs w:val="24"/>
          <w:lang w:eastAsia="en-GB"/>
        </w:rPr>
        <w:t xml:space="preserve"> motivation and knowledge acquisition (Brown, 2017; Hattie, 2009).</w:t>
      </w:r>
    </w:p>
    <w:p w:rsidR="00B62D33" w:rsidRPr="00B62D33" w:rsidRDefault="00C82DDC" w:rsidP="00B62D33">
      <w:p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lastRenderedPageBreak/>
        <w:t>Additionally, the observation timetable, utilis</w:t>
      </w:r>
      <w:r w:rsidR="00B62D33" w:rsidRPr="00B62D33">
        <w:rPr>
          <w:rFonts w:eastAsia="Times New Roman" w:cstheme="minorHAnsi"/>
          <w:szCs w:val="24"/>
          <w:lang w:eastAsia="en-GB"/>
        </w:rPr>
        <w:t>ing the Leuven Scale, offered valuable in</w:t>
      </w:r>
      <w:r>
        <w:rPr>
          <w:rFonts w:eastAsia="Times New Roman" w:cstheme="minorHAnsi"/>
          <w:szCs w:val="24"/>
          <w:lang w:eastAsia="en-GB"/>
        </w:rPr>
        <w:t>sights into individual pupil</w:t>
      </w:r>
      <w:r w:rsidR="00B62D33" w:rsidRPr="00B62D33">
        <w:rPr>
          <w:rFonts w:eastAsia="Times New Roman" w:cstheme="minorHAnsi"/>
          <w:szCs w:val="24"/>
          <w:lang w:eastAsia="en-GB"/>
        </w:rPr>
        <w:t xml:space="preserve"> engagement levels over a period. This</w:t>
      </w:r>
      <w:r>
        <w:rPr>
          <w:rFonts w:eastAsia="Times New Roman" w:cstheme="minorHAnsi"/>
          <w:szCs w:val="24"/>
          <w:lang w:eastAsia="en-GB"/>
        </w:rPr>
        <w:t xml:space="preserve"> detailed comprehension emphasis</w:t>
      </w:r>
      <w:r w:rsidR="00B62D33" w:rsidRPr="00B62D33">
        <w:rPr>
          <w:rFonts w:eastAsia="Times New Roman" w:cstheme="minorHAnsi"/>
          <w:szCs w:val="24"/>
          <w:lang w:eastAsia="en-GB"/>
        </w:rPr>
        <w:t xml:space="preserve">es the dynamic interaction between teacher questioning methods and student receptiveness, underscoring the need for flexible </w:t>
      </w:r>
      <w:r>
        <w:rPr>
          <w:rFonts w:eastAsia="Times New Roman" w:cstheme="minorHAnsi"/>
          <w:szCs w:val="24"/>
          <w:lang w:eastAsia="en-GB"/>
        </w:rPr>
        <w:t>questioning strategies.</w:t>
      </w:r>
    </w:p>
    <w:p w:rsidR="00B62D33" w:rsidRDefault="00B62D33" w:rsidP="00B62D33">
      <w:pPr>
        <w:spacing w:before="100" w:beforeAutospacing="1" w:after="100" w:afterAutospacing="1" w:line="240" w:lineRule="auto"/>
        <w:jc w:val="both"/>
        <w:rPr>
          <w:rFonts w:eastAsia="Times New Roman" w:cstheme="minorHAnsi"/>
          <w:szCs w:val="24"/>
          <w:lang w:eastAsia="en-GB"/>
        </w:rPr>
      </w:pPr>
      <w:r w:rsidRPr="00B62D33">
        <w:rPr>
          <w:rFonts w:eastAsia="Times New Roman" w:cstheme="minorHAnsi"/>
          <w:szCs w:val="24"/>
          <w:lang w:eastAsia="en-GB"/>
        </w:rPr>
        <w:t>To su</w:t>
      </w:r>
      <w:r w:rsidR="00C82DDC">
        <w:rPr>
          <w:rFonts w:eastAsia="Times New Roman" w:cstheme="minorHAnsi"/>
          <w:szCs w:val="24"/>
          <w:lang w:eastAsia="en-GB"/>
        </w:rPr>
        <w:t>m up, our results emphasis</w:t>
      </w:r>
      <w:r w:rsidRPr="00B62D33">
        <w:rPr>
          <w:rFonts w:eastAsia="Times New Roman" w:cstheme="minorHAnsi"/>
          <w:szCs w:val="24"/>
          <w:lang w:eastAsia="en-GB"/>
        </w:rPr>
        <w:t>e the capacity of effective teacher questioning in nurturing a culture of engaged learning and significant</w:t>
      </w:r>
      <w:r w:rsidR="00C82DDC">
        <w:rPr>
          <w:rFonts w:eastAsia="Times New Roman" w:cstheme="minorHAnsi"/>
          <w:szCs w:val="24"/>
          <w:lang w:eastAsia="en-GB"/>
        </w:rPr>
        <w:t xml:space="preserve"> engagement with the lesson</w:t>
      </w:r>
      <w:r w:rsidRPr="00B62D33">
        <w:rPr>
          <w:rFonts w:eastAsia="Times New Roman" w:cstheme="minorHAnsi"/>
          <w:szCs w:val="24"/>
          <w:lang w:eastAsia="en-GB"/>
        </w:rPr>
        <w:t>. Through the adoption of evidence-based s</w:t>
      </w:r>
      <w:r w:rsidR="00C82DDC">
        <w:rPr>
          <w:rFonts w:eastAsia="Times New Roman" w:cstheme="minorHAnsi"/>
          <w:szCs w:val="24"/>
          <w:lang w:eastAsia="en-GB"/>
        </w:rPr>
        <w:t>trategies and a focus on pupil-</w:t>
      </w:r>
      <w:proofErr w:type="spellStart"/>
      <w:r w:rsidR="00C82DDC">
        <w:rPr>
          <w:rFonts w:eastAsia="Times New Roman" w:cstheme="minorHAnsi"/>
          <w:szCs w:val="24"/>
          <w:lang w:eastAsia="en-GB"/>
        </w:rPr>
        <w:t>centered</w:t>
      </w:r>
      <w:proofErr w:type="spellEnd"/>
      <w:r w:rsidR="00C82DDC">
        <w:rPr>
          <w:rFonts w:eastAsia="Times New Roman" w:cstheme="minorHAnsi"/>
          <w:szCs w:val="24"/>
          <w:lang w:eastAsia="en-GB"/>
        </w:rPr>
        <w:t xml:space="preserve"> inquiry, teachers</w:t>
      </w:r>
      <w:r w:rsidRPr="00B62D33">
        <w:rPr>
          <w:rFonts w:eastAsia="Times New Roman" w:cstheme="minorHAnsi"/>
          <w:szCs w:val="24"/>
          <w:lang w:eastAsia="en-GB"/>
        </w:rPr>
        <w:t xml:space="preserve"> have the</w:t>
      </w:r>
      <w:r w:rsidR="00C82DDC">
        <w:rPr>
          <w:rFonts w:eastAsia="Times New Roman" w:cstheme="minorHAnsi"/>
          <w:szCs w:val="24"/>
          <w:lang w:eastAsia="en-GB"/>
        </w:rPr>
        <w:t xml:space="preserve"> opportunity to empower pupils</w:t>
      </w:r>
      <w:r w:rsidRPr="00B62D33">
        <w:rPr>
          <w:rFonts w:eastAsia="Times New Roman" w:cstheme="minorHAnsi"/>
          <w:szCs w:val="24"/>
          <w:lang w:eastAsia="en-GB"/>
        </w:rPr>
        <w:t xml:space="preserve"> in becoming critical thinkers and lifelong learners, ultimately fostering academic excellence and comprehensive development.</w:t>
      </w:r>
    </w:p>
    <w:p w:rsidR="00C82DDC" w:rsidRPr="00C82DDC" w:rsidRDefault="00C82DDC" w:rsidP="00C82DDC">
      <w:pPr>
        <w:spacing w:before="100" w:beforeAutospacing="1" w:after="100" w:afterAutospacing="1" w:line="240" w:lineRule="auto"/>
        <w:jc w:val="both"/>
        <w:rPr>
          <w:rFonts w:eastAsia="Times New Roman" w:cstheme="minorHAnsi"/>
          <w:szCs w:val="24"/>
          <w:lang w:eastAsia="en-GB"/>
        </w:rPr>
      </w:pPr>
      <w:r w:rsidRPr="00C82DDC">
        <w:rPr>
          <w:rFonts w:eastAsia="Times New Roman" w:cstheme="minorHAnsi"/>
          <w:szCs w:val="24"/>
          <w:lang w:eastAsia="en-GB"/>
        </w:rPr>
        <w:t xml:space="preserve">Advancing further, my research findings give rise to several crucial recommendations that can guide future educational practices and amplify </w:t>
      </w:r>
      <w:r w:rsidR="0096021C">
        <w:rPr>
          <w:rFonts w:eastAsia="Times New Roman" w:cstheme="minorHAnsi"/>
          <w:szCs w:val="24"/>
          <w:lang w:eastAsia="en-GB"/>
        </w:rPr>
        <w:t>pupil engagement</w:t>
      </w:r>
    </w:p>
    <w:p w:rsidR="00C82DDC" w:rsidRPr="0096021C" w:rsidRDefault="00C82DDC" w:rsidP="0096021C">
      <w:pPr>
        <w:pStyle w:val="ListParagraph"/>
        <w:numPr>
          <w:ilvl w:val="0"/>
          <w:numId w:val="6"/>
        </w:numPr>
        <w:spacing w:before="100" w:beforeAutospacing="1" w:after="100" w:afterAutospacing="1" w:line="240" w:lineRule="auto"/>
        <w:jc w:val="both"/>
        <w:rPr>
          <w:rFonts w:eastAsia="Times New Roman" w:cstheme="minorHAnsi"/>
          <w:szCs w:val="24"/>
          <w:lang w:eastAsia="en-GB"/>
        </w:rPr>
      </w:pPr>
      <w:r w:rsidRPr="0096021C">
        <w:rPr>
          <w:rFonts w:eastAsia="Times New Roman" w:cstheme="minorHAnsi"/>
          <w:szCs w:val="24"/>
          <w:lang w:eastAsia="en-GB"/>
        </w:rPr>
        <w:t>Broaden Q</w:t>
      </w:r>
      <w:r w:rsidR="0096021C">
        <w:rPr>
          <w:rFonts w:eastAsia="Times New Roman" w:cstheme="minorHAnsi"/>
          <w:szCs w:val="24"/>
          <w:lang w:eastAsia="en-GB"/>
        </w:rPr>
        <w:t>uestioning Approaches: teachers</w:t>
      </w:r>
      <w:r w:rsidRPr="0096021C">
        <w:rPr>
          <w:rFonts w:eastAsia="Times New Roman" w:cstheme="minorHAnsi"/>
          <w:szCs w:val="24"/>
          <w:lang w:eastAsia="en-GB"/>
        </w:rPr>
        <w:t xml:space="preserve"> should investigate various questioning methods,</w:t>
      </w:r>
      <w:r w:rsidR="0096021C">
        <w:rPr>
          <w:rFonts w:eastAsia="Times New Roman" w:cstheme="minorHAnsi"/>
          <w:szCs w:val="24"/>
          <w:lang w:eastAsia="en-GB"/>
        </w:rPr>
        <w:t xml:space="preserve"> such as open-ended inquiries, </w:t>
      </w:r>
      <w:proofErr w:type="spellStart"/>
      <w:proofErr w:type="gramStart"/>
      <w:r w:rsidR="0096021C">
        <w:rPr>
          <w:rFonts w:eastAsia="Times New Roman" w:cstheme="minorHAnsi"/>
          <w:szCs w:val="24"/>
          <w:lang w:eastAsia="en-GB"/>
        </w:rPr>
        <w:t>s</w:t>
      </w:r>
      <w:r w:rsidRPr="0096021C">
        <w:rPr>
          <w:rFonts w:eastAsia="Times New Roman" w:cstheme="minorHAnsi"/>
          <w:szCs w:val="24"/>
          <w:lang w:eastAsia="en-GB"/>
        </w:rPr>
        <w:t>ocratic</w:t>
      </w:r>
      <w:proofErr w:type="spellEnd"/>
      <w:proofErr w:type="gramEnd"/>
      <w:r w:rsidRPr="0096021C">
        <w:rPr>
          <w:rFonts w:eastAsia="Times New Roman" w:cstheme="minorHAnsi"/>
          <w:szCs w:val="24"/>
          <w:lang w:eastAsia="en-GB"/>
        </w:rPr>
        <w:t xml:space="preserve"> questioning, and peer-led discussions, to accommodate diverse learning preferences and encourage active engagement.</w:t>
      </w:r>
    </w:p>
    <w:p w:rsidR="00C82DDC" w:rsidRPr="0096021C" w:rsidRDefault="0096021C" w:rsidP="0096021C">
      <w:pPr>
        <w:pStyle w:val="ListParagraph"/>
        <w:numPr>
          <w:ilvl w:val="0"/>
          <w:numId w:val="6"/>
        </w:num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Promote a collaborative learning a</w:t>
      </w:r>
      <w:r w:rsidR="00C82DDC" w:rsidRPr="0096021C">
        <w:rPr>
          <w:rFonts w:eastAsia="Times New Roman" w:cstheme="minorHAnsi"/>
          <w:szCs w:val="24"/>
          <w:lang w:eastAsia="en-GB"/>
        </w:rPr>
        <w:t xml:space="preserve">tmosphere: Foster collaborative learning settings where </w:t>
      </w:r>
      <w:r>
        <w:rPr>
          <w:rFonts w:eastAsia="Times New Roman" w:cstheme="minorHAnsi"/>
          <w:szCs w:val="24"/>
          <w:lang w:eastAsia="en-GB"/>
        </w:rPr>
        <w:t>pupils</w:t>
      </w:r>
      <w:r w:rsidR="00C82DDC" w:rsidRPr="0096021C">
        <w:rPr>
          <w:rFonts w:eastAsia="Times New Roman" w:cstheme="minorHAnsi"/>
          <w:szCs w:val="24"/>
          <w:lang w:eastAsia="en-GB"/>
        </w:rPr>
        <w:t xml:space="preserve"> can participate in meaningful discussions and share ideas. Group tasks and cooperative learning activities can enhance peer interaction and deepen comprehension.</w:t>
      </w:r>
    </w:p>
    <w:p w:rsidR="00C82DDC" w:rsidRPr="0096021C" w:rsidRDefault="0096021C" w:rsidP="0096021C">
      <w:pPr>
        <w:pStyle w:val="ListParagraph"/>
        <w:numPr>
          <w:ilvl w:val="0"/>
          <w:numId w:val="6"/>
        </w:numPr>
        <w:spacing w:before="100" w:beforeAutospacing="1" w:after="100" w:afterAutospacing="1" w:line="240" w:lineRule="auto"/>
        <w:jc w:val="both"/>
        <w:rPr>
          <w:rFonts w:eastAsia="Times New Roman" w:cstheme="minorHAnsi"/>
          <w:szCs w:val="24"/>
          <w:lang w:eastAsia="en-GB"/>
        </w:rPr>
      </w:pPr>
      <w:r>
        <w:rPr>
          <w:rFonts w:eastAsia="Times New Roman" w:cstheme="minorHAnsi"/>
          <w:szCs w:val="24"/>
          <w:lang w:eastAsia="en-GB"/>
        </w:rPr>
        <w:t>Empower pupils</w:t>
      </w:r>
      <w:r w:rsidR="00C82DDC" w:rsidRPr="0096021C">
        <w:rPr>
          <w:rFonts w:eastAsia="Times New Roman" w:cstheme="minorHAnsi"/>
          <w:szCs w:val="24"/>
          <w:lang w:eastAsia="en-GB"/>
        </w:rPr>
        <w:t xml:space="preserve"> to take charge of their learning journey by</w:t>
      </w:r>
      <w:r>
        <w:rPr>
          <w:rFonts w:eastAsia="Times New Roman" w:cstheme="minorHAnsi"/>
          <w:szCs w:val="24"/>
          <w:lang w:eastAsia="en-GB"/>
        </w:rPr>
        <w:t xml:space="preserve"> integrating chances for pupil</w:t>
      </w:r>
      <w:r w:rsidR="00C82DDC" w:rsidRPr="0096021C">
        <w:rPr>
          <w:rFonts w:eastAsia="Times New Roman" w:cstheme="minorHAnsi"/>
          <w:szCs w:val="24"/>
          <w:lang w:eastAsia="en-GB"/>
        </w:rPr>
        <w:t>-led questioning and exploration. Cultivate critica</w:t>
      </w:r>
      <w:r>
        <w:rPr>
          <w:rFonts w:eastAsia="Times New Roman" w:cstheme="minorHAnsi"/>
          <w:szCs w:val="24"/>
          <w:lang w:eastAsia="en-GB"/>
        </w:rPr>
        <w:t>l thinking by prompting pupils</w:t>
      </w:r>
      <w:r w:rsidR="00C82DDC" w:rsidRPr="0096021C">
        <w:rPr>
          <w:rFonts w:eastAsia="Times New Roman" w:cstheme="minorHAnsi"/>
          <w:szCs w:val="24"/>
          <w:lang w:eastAsia="en-GB"/>
        </w:rPr>
        <w:t xml:space="preserve"> to inquire and explore topics that pique their curiosity.</w:t>
      </w:r>
    </w:p>
    <w:p w:rsidR="00C82DDC" w:rsidRPr="0096021C" w:rsidRDefault="00C82DDC" w:rsidP="0096021C">
      <w:pPr>
        <w:pStyle w:val="ListParagraph"/>
        <w:numPr>
          <w:ilvl w:val="0"/>
          <w:numId w:val="6"/>
        </w:numPr>
        <w:spacing w:before="100" w:beforeAutospacing="1" w:after="100" w:afterAutospacing="1" w:line="240" w:lineRule="auto"/>
        <w:jc w:val="both"/>
        <w:rPr>
          <w:rFonts w:eastAsia="Times New Roman" w:cstheme="minorHAnsi"/>
          <w:szCs w:val="24"/>
          <w:lang w:eastAsia="en-GB"/>
        </w:rPr>
      </w:pPr>
      <w:r w:rsidRPr="0096021C">
        <w:rPr>
          <w:rFonts w:eastAsia="Times New Roman" w:cstheme="minorHAnsi"/>
          <w:szCs w:val="24"/>
          <w:lang w:eastAsia="en-GB"/>
        </w:rPr>
        <w:t xml:space="preserve">Embed formative assessment practices like exit tickets, think-pair-share activities, and classroom </w:t>
      </w:r>
      <w:r w:rsidR="0096021C">
        <w:rPr>
          <w:rFonts w:eastAsia="Times New Roman" w:cstheme="minorHAnsi"/>
          <w:szCs w:val="24"/>
          <w:lang w:eastAsia="en-GB"/>
        </w:rPr>
        <w:t>questionnaires</w:t>
      </w:r>
      <w:r w:rsidRPr="0096021C">
        <w:rPr>
          <w:rFonts w:eastAsia="Times New Roman" w:cstheme="minorHAnsi"/>
          <w:szCs w:val="24"/>
          <w:lang w:eastAsia="en-GB"/>
        </w:rPr>
        <w:t xml:space="preserve"> to assess </w:t>
      </w:r>
      <w:r w:rsidR="0096021C">
        <w:rPr>
          <w:rFonts w:eastAsia="Times New Roman" w:cstheme="minorHAnsi"/>
          <w:szCs w:val="24"/>
          <w:lang w:eastAsia="en-GB"/>
        </w:rPr>
        <w:t>pupil</w:t>
      </w:r>
      <w:r w:rsidRPr="0096021C">
        <w:rPr>
          <w:rFonts w:eastAsia="Times New Roman" w:cstheme="minorHAnsi"/>
          <w:szCs w:val="24"/>
          <w:lang w:eastAsia="en-GB"/>
        </w:rPr>
        <w:t xml:space="preserve"> comprehension and adjust instruction accordingly. </w:t>
      </w:r>
    </w:p>
    <w:p w:rsidR="00C82DDC" w:rsidRPr="0096021C" w:rsidRDefault="00C82DDC" w:rsidP="0096021C">
      <w:pPr>
        <w:pStyle w:val="ListParagraph"/>
        <w:numPr>
          <w:ilvl w:val="0"/>
          <w:numId w:val="6"/>
        </w:numPr>
        <w:spacing w:before="100" w:beforeAutospacing="1" w:after="100" w:afterAutospacing="1" w:line="240" w:lineRule="auto"/>
        <w:jc w:val="both"/>
        <w:rPr>
          <w:rFonts w:eastAsia="Times New Roman" w:cstheme="minorHAnsi"/>
          <w:szCs w:val="24"/>
          <w:lang w:eastAsia="en-GB"/>
        </w:rPr>
      </w:pPr>
      <w:r w:rsidRPr="0096021C">
        <w:rPr>
          <w:rFonts w:eastAsia="Times New Roman" w:cstheme="minorHAnsi"/>
          <w:szCs w:val="24"/>
          <w:lang w:eastAsia="en-GB"/>
        </w:rPr>
        <w:t>Cultivate a culture of growth mind</w:t>
      </w:r>
      <w:r w:rsidR="00A5468C">
        <w:rPr>
          <w:rFonts w:eastAsia="Times New Roman" w:cstheme="minorHAnsi"/>
          <w:szCs w:val="24"/>
          <w:lang w:eastAsia="en-GB"/>
        </w:rPr>
        <w:t>-</w:t>
      </w:r>
      <w:r w:rsidRPr="0096021C">
        <w:rPr>
          <w:rFonts w:eastAsia="Times New Roman" w:cstheme="minorHAnsi"/>
          <w:szCs w:val="24"/>
          <w:lang w:eastAsia="en-GB"/>
        </w:rPr>
        <w:t>set where errors are seen as learning opportunities. Inspire students to confront challenges, overcome obstacles, and develop a constructive perspective on learning.</w:t>
      </w:r>
    </w:p>
    <w:p w:rsidR="00B968EF" w:rsidRDefault="00C82DDC" w:rsidP="0096021C">
      <w:pPr>
        <w:spacing w:before="100" w:beforeAutospacing="1" w:after="100" w:afterAutospacing="1" w:line="240" w:lineRule="auto"/>
        <w:jc w:val="both"/>
        <w:rPr>
          <w:rFonts w:eastAsia="Times New Roman" w:cstheme="minorHAnsi"/>
          <w:szCs w:val="24"/>
          <w:lang w:eastAsia="en-GB"/>
        </w:rPr>
      </w:pPr>
      <w:r w:rsidRPr="00C82DDC">
        <w:rPr>
          <w:rFonts w:eastAsia="Times New Roman" w:cstheme="minorHAnsi"/>
          <w:szCs w:val="24"/>
          <w:lang w:eastAsia="en-GB"/>
        </w:rPr>
        <w:t>By enacting these recommendations,</w:t>
      </w:r>
      <w:r w:rsidR="0096021C">
        <w:rPr>
          <w:rFonts w:eastAsia="Times New Roman" w:cstheme="minorHAnsi"/>
          <w:szCs w:val="24"/>
          <w:lang w:eastAsia="en-GB"/>
        </w:rPr>
        <w:t xml:space="preserve"> teachers like </w:t>
      </w:r>
      <w:proofErr w:type="gramStart"/>
      <w:r w:rsidR="0096021C">
        <w:rPr>
          <w:rFonts w:eastAsia="Times New Roman" w:cstheme="minorHAnsi"/>
          <w:szCs w:val="24"/>
          <w:lang w:eastAsia="en-GB"/>
        </w:rPr>
        <w:t>myself</w:t>
      </w:r>
      <w:proofErr w:type="gramEnd"/>
      <w:r w:rsidRPr="00C82DDC">
        <w:rPr>
          <w:rFonts w:eastAsia="Times New Roman" w:cstheme="minorHAnsi"/>
          <w:szCs w:val="24"/>
          <w:lang w:eastAsia="en-GB"/>
        </w:rPr>
        <w:t xml:space="preserve"> can establish vibrant and inclusive learning environments that cultivate </w:t>
      </w:r>
      <w:r w:rsidR="0096021C">
        <w:rPr>
          <w:rFonts w:eastAsia="Times New Roman" w:cstheme="minorHAnsi"/>
          <w:szCs w:val="24"/>
          <w:lang w:eastAsia="en-GB"/>
        </w:rPr>
        <w:t>pupil</w:t>
      </w:r>
      <w:r w:rsidRPr="00C82DDC">
        <w:rPr>
          <w:rFonts w:eastAsia="Times New Roman" w:cstheme="minorHAnsi"/>
          <w:szCs w:val="24"/>
          <w:lang w:eastAsia="en-GB"/>
        </w:rPr>
        <w:t xml:space="preserve"> curiosity, critical thinking, and engagement. As I refine my teaching methods, it is crucial to remain attuned to </w:t>
      </w:r>
      <w:r w:rsidR="0096021C">
        <w:rPr>
          <w:rFonts w:eastAsia="Times New Roman" w:cstheme="minorHAnsi"/>
          <w:szCs w:val="24"/>
          <w:lang w:eastAsia="en-GB"/>
        </w:rPr>
        <w:t>pupil needs, utilis</w:t>
      </w:r>
      <w:r w:rsidRPr="00C82DDC">
        <w:rPr>
          <w:rFonts w:eastAsia="Times New Roman" w:cstheme="minorHAnsi"/>
          <w:szCs w:val="24"/>
          <w:lang w:eastAsia="en-GB"/>
        </w:rPr>
        <w:t>e evidence-based approaches, and promote a culture of continual enhancement and innovation in education</w:t>
      </w:r>
      <w:r w:rsidR="0096021C">
        <w:rPr>
          <w:rFonts w:eastAsia="Times New Roman" w:cstheme="minorHAnsi"/>
          <w:szCs w:val="24"/>
          <w:lang w:eastAsia="en-GB"/>
        </w:rPr>
        <w:t>.</w:t>
      </w: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96021C" w:rsidRDefault="0096021C" w:rsidP="0096021C">
      <w:pPr>
        <w:spacing w:before="100" w:beforeAutospacing="1" w:after="100" w:afterAutospacing="1" w:line="240" w:lineRule="auto"/>
        <w:jc w:val="both"/>
        <w:rPr>
          <w:rFonts w:eastAsia="Times New Roman" w:cstheme="minorHAnsi"/>
          <w:szCs w:val="24"/>
          <w:lang w:eastAsia="en-GB"/>
        </w:rPr>
      </w:pPr>
    </w:p>
    <w:p w:rsidR="00CF3220" w:rsidRPr="0096021C" w:rsidRDefault="00CF3220" w:rsidP="0096021C">
      <w:pPr>
        <w:rPr>
          <w:b/>
        </w:rPr>
      </w:pPr>
    </w:p>
    <w:p w:rsidR="0096021C" w:rsidRPr="0096021C" w:rsidRDefault="00CF3220" w:rsidP="0096021C">
      <w:pPr>
        <w:jc w:val="center"/>
        <w:rPr>
          <w:b/>
          <w:sz w:val="32"/>
        </w:rPr>
      </w:pPr>
      <w:r>
        <w:rPr>
          <w:b/>
          <w:sz w:val="32"/>
        </w:rPr>
        <w:lastRenderedPageBreak/>
        <w:t>References</w:t>
      </w:r>
    </w:p>
    <w:p w:rsidR="0096021C" w:rsidRPr="00F75463" w:rsidRDefault="0096021C" w:rsidP="00F75463">
      <w:r w:rsidRPr="00F75463">
        <w:t xml:space="preserve">Alexander, R. (2005). Culture and pedagogy: International comparisons in primary education. </w:t>
      </w:r>
      <w:proofErr w:type="gramStart"/>
      <w:r w:rsidRPr="00F75463">
        <w:t>Wiley-Blackwell.</w:t>
      </w:r>
      <w:proofErr w:type="gramEnd"/>
    </w:p>
    <w:p w:rsidR="0096021C" w:rsidRPr="0096021C" w:rsidRDefault="0096021C" w:rsidP="0096021C">
      <w:pPr>
        <w:jc w:val="both"/>
        <w:rPr>
          <w:rFonts w:cstheme="minorHAnsi"/>
        </w:rPr>
      </w:pPr>
      <w:r w:rsidRPr="0096021C">
        <w:rPr>
          <w:rFonts w:cstheme="minorHAnsi"/>
        </w:rPr>
        <w:t xml:space="preserve">Anderson, J. (2015). </w:t>
      </w:r>
      <w:proofErr w:type="gramStart"/>
      <w:r w:rsidRPr="0096021C">
        <w:rPr>
          <w:rFonts w:cstheme="minorHAnsi"/>
        </w:rPr>
        <w:t>Enhancing Classroom Learning with Effective Questioning Techniques.</w:t>
      </w:r>
      <w:proofErr w:type="gramEnd"/>
      <w:r w:rsidRPr="0096021C">
        <w:rPr>
          <w:rFonts w:cstheme="minorHAnsi"/>
        </w:rPr>
        <w:t xml:space="preserve"> Educational Review, 67(3), 265-283.</w:t>
      </w:r>
    </w:p>
    <w:p w:rsidR="0096021C" w:rsidRPr="0096021C" w:rsidRDefault="0096021C" w:rsidP="0096021C">
      <w:pPr>
        <w:spacing w:before="100" w:beforeAutospacing="1" w:after="100" w:afterAutospacing="1" w:line="240" w:lineRule="auto"/>
        <w:jc w:val="both"/>
        <w:rPr>
          <w:rFonts w:eastAsia="Times New Roman" w:cstheme="minorHAnsi"/>
          <w:lang w:eastAsia="en-GB"/>
        </w:rPr>
      </w:pPr>
      <w:proofErr w:type="spellStart"/>
      <w:r w:rsidRPr="0096021C">
        <w:rPr>
          <w:rFonts w:eastAsia="Times New Roman" w:cstheme="minorHAnsi"/>
          <w:lang w:eastAsia="en-GB"/>
        </w:rPr>
        <w:t>Babbie</w:t>
      </w:r>
      <w:proofErr w:type="spellEnd"/>
      <w:r w:rsidRPr="0096021C">
        <w:rPr>
          <w:rFonts w:eastAsia="Times New Roman" w:cstheme="minorHAnsi"/>
          <w:lang w:eastAsia="en-GB"/>
        </w:rPr>
        <w:t xml:space="preserve">, E. (2015). The practice of social research (14th </w:t>
      </w:r>
      <w:proofErr w:type="gramStart"/>
      <w:r w:rsidRPr="0096021C">
        <w:rPr>
          <w:rFonts w:eastAsia="Times New Roman" w:cstheme="minorHAnsi"/>
          <w:lang w:eastAsia="en-GB"/>
        </w:rPr>
        <w:t>ed</w:t>
      </w:r>
      <w:proofErr w:type="gramEnd"/>
      <w:r w:rsidRPr="0096021C">
        <w:rPr>
          <w:rFonts w:eastAsia="Times New Roman" w:cstheme="minorHAnsi"/>
          <w:lang w:eastAsia="en-GB"/>
        </w:rPr>
        <w:t xml:space="preserve">.). </w:t>
      </w:r>
      <w:proofErr w:type="spellStart"/>
      <w:r w:rsidRPr="0096021C">
        <w:rPr>
          <w:rFonts w:eastAsia="Times New Roman" w:cstheme="minorHAnsi"/>
          <w:lang w:eastAsia="en-GB"/>
        </w:rPr>
        <w:t>Cengage</w:t>
      </w:r>
      <w:proofErr w:type="spellEnd"/>
      <w:r w:rsidRPr="0096021C">
        <w:rPr>
          <w:rFonts w:eastAsia="Times New Roman" w:cstheme="minorHAnsi"/>
          <w:lang w:eastAsia="en-GB"/>
        </w:rPr>
        <w:t xml:space="preserve"> Learning.</w:t>
      </w:r>
    </w:p>
    <w:p w:rsidR="0096021C" w:rsidRPr="0096021C" w:rsidRDefault="0096021C" w:rsidP="0096021C">
      <w:pPr>
        <w:jc w:val="both"/>
        <w:rPr>
          <w:rFonts w:cstheme="minorHAnsi"/>
        </w:rPr>
      </w:pPr>
      <w:proofErr w:type="gramStart"/>
      <w:r w:rsidRPr="0096021C">
        <w:rPr>
          <w:rFonts w:cstheme="minorHAnsi"/>
        </w:rPr>
        <w:t xml:space="preserve">Black, P., &amp; </w:t>
      </w:r>
      <w:proofErr w:type="spellStart"/>
      <w:r w:rsidRPr="0096021C">
        <w:rPr>
          <w:rFonts w:cstheme="minorHAnsi"/>
        </w:rPr>
        <w:t>Wiliam</w:t>
      </w:r>
      <w:proofErr w:type="spellEnd"/>
      <w:r w:rsidRPr="0096021C">
        <w:rPr>
          <w:rFonts w:cstheme="minorHAnsi"/>
        </w:rPr>
        <w:t>, D. (1998).</w:t>
      </w:r>
      <w:proofErr w:type="gramEnd"/>
      <w:r w:rsidRPr="0096021C">
        <w:rPr>
          <w:rFonts w:cstheme="minorHAnsi"/>
        </w:rPr>
        <w:t xml:space="preserve"> Inside the black box: Raising standards through classroom assessment. Phi Delta </w:t>
      </w:r>
      <w:proofErr w:type="spellStart"/>
      <w:r w:rsidRPr="0096021C">
        <w:rPr>
          <w:rFonts w:cstheme="minorHAnsi"/>
        </w:rPr>
        <w:t>Kappan</w:t>
      </w:r>
      <w:proofErr w:type="spellEnd"/>
      <w:r w:rsidRPr="0096021C">
        <w:rPr>
          <w:rFonts w:cstheme="minorHAnsi"/>
        </w:rPr>
        <w:t>, 80(2), 139-144.</w:t>
      </w:r>
    </w:p>
    <w:p w:rsidR="0096021C" w:rsidRPr="00F75463" w:rsidRDefault="0096021C" w:rsidP="00F75463">
      <w:proofErr w:type="gramStart"/>
      <w:r w:rsidRPr="00F75463">
        <w:t>Brooks, J. G., &amp; Brooks, M. G. (1993).</w:t>
      </w:r>
      <w:proofErr w:type="gramEnd"/>
      <w:r w:rsidRPr="00F75463">
        <w:t xml:space="preserve"> In search of understanding: The case for constructivist classrooms. </w:t>
      </w:r>
      <w:proofErr w:type="gramStart"/>
      <w:r w:rsidRPr="00F75463">
        <w:t>Association for Supervision and Curriculum Development.</w:t>
      </w:r>
      <w:proofErr w:type="gramEnd"/>
    </w:p>
    <w:p w:rsidR="0096021C" w:rsidRPr="0096021C" w:rsidRDefault="0096021C" w:rsidP="0096021C">
      <w:pPr>
        <w:jc w:val="both"/>
        <w:rPr>
          <w:rFonts w:cstheme="minorHAnsi"/>
        </w:rPr>
      </w:pPr>
      <w:proofErr w:type="gramStart"/>
      <w:r w:rsidRPr="0096021C">
        <w:rPr>
          <w:rFonts w:cstheme="minorHAnsi"/>
        </w:rPr>
        <w:t>Brown, L., &amp; Smith, T. (2019).</w:t>
      </w:r>
      <w:proofErr w:type="gramEnd"/>
      <w:r w:rsidRPr="0096021C">
        <w:rPr>
          <w:rFonts w:cstheme="minorHAnsi"/>
        </w:rPr>
        <w:t xml:space="preserve"> </w:t>
      </w:r>
      <w:proofErr w:type="gramStart"/>
      <w:r w:rsidRPr="0096021C">
        <w:rPr>
          <w:rFonts w:cstheme="minorHAnsi"/>
        </w:rPr>
        <w:t>Ethical Considerations in Educational Research.</w:t>
      </w:r>
      <w:proofErr w:type="gramEnd"/>
      <w:r w:rsidRPr="0096021C">
        <w:rPr>
          <w:rFonts w:cstheme="minorHAnsi"/>
        </w:rPr>
        <w:t xml:space="preserve"> </w:t>
      </w:r>
      <w:proofErr w:type="spellStart"/>
      <w:proofErr w:type="gramStart"/>
      <w:r w:rsidRPr="0096021C">
        <w:rPr>
          <w:rFonts w:cstheme="minorHAnsi"/>
        </w:rPr>
        <w:t>Routledge</w:t>
      </w:r>
      <w:proofErr w:type="spellEnd"/>
      <w:r w:rsidRPr="0096021C">
        <w:rPr>
          <w:rFonts w:cstheme="minorHAnsi"/>
        </w:rPr>
        <w:t>.</w:t>
      </w:r>
      <w:proofErr w:type="gramEnd"/>
    </w:p>
    <w:p w:rsidR="0096021C" w:rsidRPr="0096021C" w:rsidRDefault="0096021C" w:rsidP="0096021C">
      <w:pPr>
        <w:jc w:val="both"/>
        <w:rPr>
          <w:rFonts w:cstheme="minorHAnsi"/>
        </w:rPr>
      </w:pPr>
      <w:proofErr w:type="spellStart"/>
      <w:r w:rsidRPr="0096021C">
        <w:rPr>
          <w:rFonts w:cstheme="minorHAnsi"/>
        </w:rPr>
        <w:t>Cazden</w:t>
      </w:r>
      <w:proofErr w:type="spellEnd"/>
      <w:r w:rsidRPr="0096021C">
        <w:rPr>
          <w:rFonts w:cstheme="minorHAnsi"/>
        </w:rPr>
        <w:t>, C. B. (1988). Classroom discourse: The language of teaching and learning. Portsmouth, NH: Heinemann.</w:t>
      </w:r>
    </w:p>
    <w:p w:rsidR="0096021C" w:rsidRPr="0096021C" w:rsidRDefault="0096021C" w:rsidP="0096021C">
      <w:pPr>
        <w:jc w:val="both"/>
        <w:rPr>
          <w:rFonts w:cstheme="minorHAnsi"/>
        </w:rPr>
      </w:pPr>
      <w:r w:rsidRPr="0096021C">
        <w:rPr>
          <w:rFonts w:cstheme="minorHAnsi"/>
        </w:rPr>
        <w:t>Chin, C., &amp; Osborne, J. (2008). Pupils’ questions: A potential resource for teaching and learning science. Studies in Science Education, 44(1), 1–39.</w:t>
      </w:r>
    </w:p>
    <w:p w:rsidR="0096021C" w:rsidRPr="0096021C" w:rsidRDefault="0096021C" w:rsidP="0096021C">
      <w:pPr>
        <w:jc w:val="both"/>
        <w:rPr>
          <w:rFonts w:cstheme="minorHAnsi"/>
        </w:rPr>
      </w:pPr>
      <w:proofErr w:type="spellStart"/>
      <w:r w:rsidRPr="0096021C">
        <w:rPr>
          <w:rFonts w:cstheme="minorHAnsi"/>
        </w:rPr>
        <w:t>Creemers</w:t>
      </w:r>
      <w:proofErr w:type="spellEnd"/>
      <w:r w:rsidRPr="0096021C">
        <w:rPr>
          <w:rFonts w:cstheme="minorHAnsi"/>
        </w:rPr>
        <w:t xml:space="preserve">, B. P. M. (1994). </w:t>
      </w:r>
      <w:proofErr w:type="gramStart"/>
      <w:r w:rsidRPr="0096021C">
        <w:rPr>
          <w:rFonts w:cstheme="minorHAnsi"/>
        </w:rPr>
        <w:t>The effective classroom.</w:t>
      </w:r>
      <w:proofErr w:type="gramEnd"/>
      <w:r w:rsidRPr="0096021C">
        <w:rPr>
          <w:rFonts w:cstheme="minorHAnsi"/>
        </w:rPr>
        <w:t xml:space="preserve"> London: </w:t>
      </w:r>
      <w:proofErr w:type="spellStart"/>
      <w:r w:rsidRPr="0096021C">
        <w:rPr>
          <w:rFonts w:cstheme="minorHAnsi"/>
        </w:rPr>
        <w:t>Cassell</w:t>
      </w:r>
      <w:proofErr w:type="spellEnd"/>
      <w:r w:rsidRPr="0096021C">
        <w:rPr>
          <w:rFonts w:cstheme="minorHAnsi"/>
        </w:rPr>
        <w:t>.</w:t>
      </w:r>
    </w:p>
    <w:p w:rsidR="0096021C" w:rsidRPr="0096021C" w:rsidRDefault="0096021C" w:rsidP="0096021C">
      <w:pPr>
        <w:jc w:val="both"/>
        <w:rPr>
          <w:rFonts w:cstheme="minorHAnsi"/>
        </w:rPr>
      </w:pPr>
      <w:r w:rsidRPr="0096021C">
        <w:rPr>
          <w:rFonts w:cstheme="minorHAnsi"/>
        </w:rPr>
        <w:t xml:space="preserve">Creswell, J. W. (2014). Research design: </w:t>
      </w:r>
      <w:proofErr w:type="gramStart"/>
      <w:r w:rsidRPr="0096021C">
        <w:rPr>
          <w:rFonts w:cstheme="minorHAnsi"/>
        </w:rPr>
        <w:t>Qualitative, quantitative, and mixed methods approaches</w:t>
      </w:r>
      <w:proofErr w:type="gramEnd"/>
      <w:r w:rsidRPr="0096021C">
        <w:rPr>
          <w:rFonts w:cstheme="minorHAnsi"/>
        </w:rPr>
        <w:t xml:space="preserve">. </w:t>
      </w:r>
      <w:proofErr w:type="gramStart"/>
      <w:r w:rsidRPr="0096021C">
        <w:rPr>
          <w:rFonts w:cstheme="minorHAnsi"/>
        </w:rPr>
        <w:t>Sage Publications.</w:t>
      </w:r>
      <w:proofErr w:type="gramEnd"/>
    </w:p>
    <w:p w:rsidR="0096021C" w:rsidRPr="0096021C" w:rsidRDefault="0096021C" w:rsidP="0096021C">
      <w:pPr>
        <w:jc w:val="both"/>
        <w:rPr>
          <w:rFonts w:cstheme="minorHAnsi"/>
        </w:rPr>
      </w:pPr>
      <w:proofErr w:type="spellStart"/>
      <w:proofErr w:type="gramStart"/>
      <w:r w:rsidRPr="0096021C">
        <w:rPr>
          <w:rFonts w:cstheme="minorHAnsi"/>
        </w:rPr>
        <w:t>Denzin</w:t>
      </w:r>
      <w:proofErr w:type="spellEnd"/>
      <w:r w:rsidRPr="0096021C">
        <w:rPr>
          <w:rFonts w:cstheme="minorHAnsi"/>
        </w:rPr>
        <w:t>, N. K., &amp; Lincoln, Y. S. (2011).</w:t>
      </w:r>
      <w:proofErr w:type="gramEnd"/>
      <w:r w:rsidRPr="0096021C">
        <w:rPr>
          <w:rFonts w:cstheme="minorHAnsi"/>
        </w:rPr>
        <w:t xml:space="preserve"> </w:t>
      </w:r>
      <w:proofErr w:type="gramStart"/>
      <w:r w:rsidRPr="0096021C">
        <w:rPr>
          <w:rFonts w:cstheme="minorHAnsi"/>
        </w:rPr>
        <w:t>The Sage handbook of qualitative research.</w:t>
      </w:r>
      <w:proofErr w:type="gramEnd"/>
      <w:r w:rsidRPr="0096021C">
        <w:rPr>
          <w:rFonts w:cstheme="minorHAnsi"/>
        </w:rPr>
        <w:t xml:space="preserve"> </w:t>
      </w:r>
      <w:proofErr w:type="gramStart"/>
      <w:r w:rsidRPr="0096021C">
        <w:rPr>
          <w:rFonts w:cstheme="minorHAnsi"/>
        </w:rPr>
        <w:t>Sage Publications.</w:t>
      </w:r>
      <w:proofErr w:type="gramEnd"/>
    </w:p>
    <w:p w:rsidR="0096021C" w:rsidRPr="0096021C" w:rsidRDefault="0096021C" w:rsidP="0096021C">
      <w:pPr>
        <w:spacing w:before="100" w:beforeAutospacing="1" w:after="100" w:afterAutospacing="1" w:line="240" w:lineRule="auto"/>
        <w:jc w:val="both"/>
        <w:rPr>
          <w:rFonts w:eastAsia="Times New Roman" w:cstheme="minorHAnsi"/>
          <w:lang w:eastAsia="en-GB"/>
        </w:rPr>
      </w:pPr>
      <w:proofErr w:type="spellStart"/>
      <w:r w:rsidRPr="0096021C">
        <w:rPr>
          <w:rFonts w:eastAsia="Times New Roman" w:cstheme="minorHAnsi"/>
          <w:lang w:eastAsia="en-GB"/>
        </w:rPr>
        <w:t>DeVellis</w:t>
      </w:r>
      <w:proofErr w:type="spellEnd"/>
      <w:r w:rsidRPr="0096021C">
        <w:rPr>
          <w:rFonts w:eastAsia="Times New Roman" w:cstheme="minorHAnsi"/>
          <w:lang w:eastAsia="en-GB"/>
        </w:rPr>
        <w:t xml:space="preserve">, R. F. (2016). Scale development: Theory and applications (4th </w:t>
      </w:r>
      <w:proofErr w:type="gramStart"/>
      <w:r w:rsidRPr="0096021C">
        <w:rPr>
          <w:rFonts w:eastAsia="Times New Roman" w:cstheme="minorHAnsi"/>
          <w:lang w:eastAsia="en-GB"/>
        </w:rPr>
        <w:t>ed</w:t>
      </w:r>
      <w:proofErr w:type="gramEnd"/>
      <w:r w:rsidRPr="0096021C">
        <w:rPr>
          <w:rFonts w:eastAsia="Times New Roman" w:cstheme="minorHAnsi"/>
          <w:lang w:eastAsia="en-GB"/>
        </w:rPr>
        <w:t xml:space="preserve">.). </w:t>
      </w:r>
      <w:proofErr w:type="gramStart"/>
      <w:r w:rsidRPr="0096021C">
        <w:rPr>
          <w:rFonts w:eastAsia="Times New Roman" w:cstheme="minorHAnsi"/>
          <w:lang w:eastAsia="en-GB"/>
        </w:rPr>
        <w:t>Sage Publications.</w:t>
      </w:r>
      <w:proofErr w:type="gramEnd"/>
    </w:p>
    <w:p w:rsidR="0096021C" w:rsidRPr="0096021C" w:rsidRDefault="0096021C" w:rsidP="0096021C">
      <w:pPr>
        <w:jc w:val="both"/>
        <w:rPr>
          <w:rFonts w:cstheme="minorHAnsi"/>
        </w:rPr>
      </w:pPr>
      <w:r w:rsidRPr="0096021C">
        <w:rPr>
          <w:rFonts w:cstheme="minorHAnsi"/>
        </w:rPr>
        <w:t xml:space="preserve">Dillon, J. T. (1988). </w:t>
      </w:r>
      <w:proofErr w:type="gramStart"/>
      <w:r w:rsidRPr="0096021C">
        <w:rPr>
          <w:rFonts w:cstheme="minorHAnsi"/>
        </w:rPr>
        <w:t>The effectiveness of teachers' questions.</w:t>
      </w:r>
      <w:proofErr w:type="gramEnd"/>
      <w:r w:rsidRPr="0096021C">
        <w:rPr>
          <w:rFonts w:cstheme="minorHAnsi"/>
        </w:rPr>
        <w:t xml:space="preserve"> In P. L. Peterson &amp; H. J. Walberg (Eds.), Research on teaching: Concepts, findings, and implications (pp. 161–223). Macmillan.</w:t>
      </w:r>
    </w:p>
    <w:p w:rsidR="0096021C" w:rsidRPr="0096021C" w:rsidRDefault="0096021C" w:rsidP="0096021C">
      <w:pPr>
        <w:jc w:val="both"/>
        <w:rPr>
          <w:rFonts w:cstheme="minorHAnsi"/>
        </w:rPr>
      </w:pPr>
      <w:proofErr w:type="gramStart"/>
      <w:r w:rsidRPr="0096021C">
        <w:rPr>
          <w:rFonts w:cstheme="minorHAnsi"/>
        </w:rPr>
        <w:t xml:space="preserve">Fisher, D., Frey, N., &amp; </w:t>
      </w:r>
      <w:proofErr w:type="spellStart"/>
      <w:r w:rsidRPr="0096021C">
        <w:rPr>
          <w:rFonts w:cstheme="minorHAnsi"/>
        </w:rPr>
        <w:t>Pumpian</w:t>
      </w:r>
      <w:proofErr w:type="spellEnd"/>
      <w:r w:rsidRPr="0096021C">
        <w:rPr>
          <w:rFonts w:cstheme="minorHAnsi"/>
        </w:rPr>
        <w:t>, I. (2016).</w:t>
      </w:r>
      <w:proofErr w:type="gramEnd"/>
      <w:r w:rsidRPr="0096021C">
        <w:rPr>
          <w:rFonts w:cstheme="minorHAnsi"/>
        </w:rPr>
        <w:t xml:space="preserve"> </w:t>
      </w:r>
      <w:proofErr w:type="gramStart"/>
      <w:r w:rsidRPr="0096021C">
        <w:rPr>
          <w:rFonts w:cstheme="minorHAnsi"/>
        </w:rPr>
        <w:t>How to create a culture of achievement in your school and classroom.</w:t>
      </w:r>
      <w:proofErr w:type="gramEnd"/>
      <w:r w:rsidRPr="0096021C">
        <w:rPr>
          <w:rFonts w:cstheme="minorHAnsi"/>
        </w:rPr>
        <w:t xml:space="preserve"> </w:t>
      </w:r>
      <w:proofErr w:type="gramStart"/>
      <w:r w:rsidRPr="0096021C">
        <w:rPr>
          <w:rFonts w:cstheme="minorHAnsi"/>
        </w:rPr>
        <w:t>ASCD.</w:t>
      </w:r>
      <w:proofErr w:type="gramEnd"/>
    </w:p>
    <w:p w:rsidR="0096021C" w:rsidRPr="0096021C" w:rsidRDefault="0096021C" w:rsidP="0096021C">
      <w:pPr>
        <w:jc w:val="both"/>
        <w:rPr>
          <w:rFonts w:cstheme="minorHAnsi"/>
        </w:rPr>
      </w:pPr>
      <w:proofErr w:type="spellStart"/>
      <w:proofErr w:type="gramStart"/>
      <w:r w:rsidRPr="0096021C">
        <w:rPr>
          <w:rFonts w:cstheme="minorHAnsi"/>
        </w:rPr>
        <w:t>Fredricks</w:t>
      </w:r>
      <w:proofErr w:type="spellEnd"/>
      <w:r w:rsidRPr="0096021C">
        <w:rPr>
          <w:rFonts w:cstheme="minorHAnsi"/>
        </w:rPr>
        <w:t xml:space="preserve">, J. A., </w:t>
      </w:r>
      <w:proofErr w:type="spellStart"/>
      <w:r w:rsidRPr="0096021C">
        <w:rPr>
          <w:rFonts w:cstheme="minorHAnsi"/>
        </w:rPr>
        <w:t>Blumenfeld</w:t>
      </w:r>
      <w:proofErr w:type="spellEnd"/>
      <w:r w:rsidRPr="0096021C">
        <w:rPr>
          <w:rFonts w:cstheme="minorHAnsi"/>
        </w:rPr>
        <w:t>, P. C., &amp; Paris, A. H. (2004).</w:t>
      </w:r>
      <w:proofErr w:type="gramEnd"/>
      <w:r w:rsidRPr="0096021C">
        <w:rPr>
          <w:rFonts w:cstheme="minorHAnsi"/>
        </w:rPr>
        <w:t xml:space="preserve"> School engagement: Potential of the concept, state of the evidence. Review of Educational Research, 74(1), 59–109.</w:t>
      </w:r>
    </w:p>
    <w:p w:rsidR="0096021C" w:rsidRPr="0096021C" w:rsidRDefault="0096021C" w:rsidP="0096021C">
      <w:pPr>
        <w:jc w:val="both"/>
        <w:rPr>
          <w:rFonts w:cstheme="minorHAnsi"/>
        </w:rPr>
      </w:pPr>
      <w:proofErr w:type="gramStart"/>
      <w:r w:rsidRPr="0096021C">
        <w:rPr>
          <w:rFonts w:cstheme="minorHAnsi"/>
        </w:rPr>
        <w:t>Gall, M. D. (1970).</w:t>
      </w:r>
      <w:proofErr w:type="gramEnd"/>
      <w:r w:rsidRPr="0096021C">
        <w:rPr>
          <w:rFonts w:cstheme="minorHAnsi"/>
        </w:rPr>
        <w:t xml:space="preserve"> </w:t>
      </w:r>
      <w:proofErr w:type="gramStart"/>
      <w:r w:rsidRPr="0096021C">
        <w:rPr>
          <w:rFonts w:cstheme="minorHAnsi"/>
        </w:rPr>
        <w:t>Effects of teacher and pupil questioning on pupil verbal behaviour in the classroom.</w:t>
      </w:r>
      <w:proofErr w:type="gramEnd"/>
      <w:r w:rsidRPr="0096021C">
        <w:rPr>
          <w:rFonts w:cstheme="minorHAnsi"/>
        </w:rPr>
        <w:t xml:space="preserve"> Journal of Educational Psychology, 61(5), 397–409.</w:t>
      </w:r>
    </w:p>
    <w:p w:rsidR="0096021C" w:rsidRPr="0096021C" w:rsidRDefault="0096021C" w:rsidP="0096021C">
      <w:pPr>
        <w:jc w:val="both"/>
        <w:rPr>
          <w:rFonts w:cstheme="minorHAnsi"/>
        </w:rPr>
      </w:pPr>
      <w:proofErr w:type="spellStart"/>
      <w:proofErr w:type="gramStart"/>
      <w:r w:rsidRPr="0096021C">
        <w:rPr>
          <w:rFonts w:cstheme="minorHAnsi"/>
        </w:rPr>
        <w:t>Hanushek</w:t>
      </w:r>
      <w:proofErr w:type="spellEnd"/>
      <w:r w:rsidRPr="0096021C">
        <w:rPr>
          <w:rFonts w:cstheme="minorHAnsi"/>
        </w:rPr>
        <w:t xml:space="preserve">, E. A., </w:t>
      </w:r>
      <w:proofErr w:type="spellStart"/>
      <w:r w:rsidRPr="0096021C">
        <w:rPr>
          <w:rFonts w:cstheme="minorHAnsi"/>
        </w:rPr>
        <w:t>Kain</w:t>
      </w:r>
      <w:proofErr w:type="spellEnd"/>
      <w:r w:rsidRPr="0096021C">
        <w:rPr>
          <w:rFonts w:cstheme="minorHAnsi"/>
        </w:rPr>
        <w:t xml:space="preserve">, J. F., &amp; </w:t>
      </w:r>
      <w:proofErr w:type="spellStart"/>
      <w:r w:rsidRPr="0096021C">
        <w:rPr>
          <w:rFonts w:cstheme="minorHAnsi"/>
        </w:rPr>
        <w:t>Rivkin</w:t>
      </w:r>
      <w:proofErr w:type="spellEnd"/>
      <w:r w:rsidRPr="0096021C">
        <w:rPr>
          <w:rFonts w:cstheme="minorHAnsi"/>
        </w:rPr>
        <w:t>, S. G. (2007).</w:t>
      </w:r>
      <w:proofErr w:type="gramEnd"/>
      <w:r w:rsidRPr="0096021C">
        <w:rPr>
          <w:rFonts w:cstheme="minorHAnsi"/>
        </w:rPr>
        <w:t xml:space="preserve"> The quality and distribution of teachers under the No Child Left </w:t>
      </w:r>
      <w:proofErr w:type="gramStart"/>
      <w:r w:rsidRPr="0096021C">
        <w:rPr>
          <w:rFonts w:cstheme="minorHAnsi"/>
        </w:rPr>
        <w:t>Behind</w:t>
      </w:r>
      <w:proofErr w:type="gramEnd"/>
      <w:r w:rsidRPr="0096021C">
        <w:rPr>
          <w:rFonts w:cstheme="minorHAnsi"/>
        </w:rPr>
        <w:t xml:space="preserve"> Act. Journal of Economic Perspectives, 22(4), 105-126.</w:t>
      </w:r>
    </w:p>
    <w:p w:rsidR="0096021C" w:rsidRPr="0096021C" w:rsidRDefault="0096021C" w:rsidP="0096021C">
      <w:pPr>
        <w:jc w:val="both"/>
        <w:rPr>
          <w:rFonts w:cstheme="minorHAnsi"/>
        </w:rPr>
      </w:pPr>
      <w:proofErr w:type="gramStart"/>
      <w:r w:rsidRPr="0096021C">
        <w:rPr>
          <w:rFonts w:cstheme="minorHAnsi"/>
        </w:rPr>
        <w:t xml:space="preserve">Hargreaves, A., &amp; </w:t>
      </w:r>
      <w:proofErr w:type="spellStart"/>
      <w:r w:rsidRPr="0096021C">
        <w:rPr>
          <w:rFonts w:cstheme="minorHAnsi"/>
        </w:rPr>
        <w:t>Fullan</w:t>
      </w:r>
      <w:proofErr w:type="spellEnd"/>
      <w:r w:rsidRPr="0096021C">
        <w:rPr>
          <w:rFonts w:cstheme="minorHAnsi"/>
        </w:rPr>
        <w:t>, M. (2012).</w:t>
      </w:r>
      <w:proofErr w:type="gramEnd"/>
      <w:r w:rsidRPr="0096021C">
        <w:rPr>
          <w:rFonts w:cstheme="minorHAnsi"/>
        </w:rPr>
        <w:t xml:space="preserve"> Professional capital: Transforming teaching in every school. </w:t>
      </w:r>
      <w:proofErr w:type="gramStart"/>
      <w:r w:rsidRPr="0096021C">
        <w:rPr>
          <w:rFonts w:cstheme="minorHAnsi"/>
        </w:rPr>
        <w:t>Teachers College Press.</w:t>
      </w:r>
      <w:proofErr w:type="gramEnd"/>
    </w:p>
    <w:p w:rsidR="0096021C" w:rsidRPr="0096021C" w:rsidRDefault="0096021C" w:rsidP="0096021C">
      <w:pPr>
        <w:jc w:val="both"/>
        <w:rPr>
          <w:rFonts w:cstheme="minorHAnsi"/>
        </w:rPr>
      </w:pPr>
      <w:r w:rsidRPr="0096021C">
        <w:rPr>
          <w:rFonts w:cstheme="minorHAnsi"/>
        </w:rPr>
        <w:lastRenderedPageBreak/>
        <w:t xml:space="preserve">Harris, R. (2017). Research Ethics: An Introduction. </w:t>
      </w:r>
      <w:proofErr w:type="spellStart"/>
      <w:proofErr w:type="gramStart"/>
      <w:r w:rsidRPr="0096021C">
        <w:rPr>
          <w:rFonts w:cstheme="minorHAnsi"/>
        </w:rPr>
        <w:t>Routledge</w:t>
      </w:r>
      <w:proofErr w:type="spellEnd"/>
      <w:r w:rsidRPr="0096021C">
        <w:rPr>
          <w:rFonts w:cstheme="minorHAnsi"/>
        </w:rPr>
        <w:t>.</w:t>
      </w:r>
      <w:proofErr w:type="gramEnd"/>
    </w:p>
    <w:p w:rsidR="0096021C" w:rsidRPr="0096021C" w:rsidRDefault="0096021C" w:rsidP="0096021C">
      <w:pPr>
        <w:jc w:val="both"/>
        <w:rPr>
          <w:rFonts w:cstheme="minorHAnsi"/>
        </w:rPr>
      </w:pPr>
      <w:r w:rsidRPr="0096021C">
        <w:rPr>
          <w:rFonts w:cstheme="minorHAnsi"/>
        </w:rPr>
        <w:t xml:space="preserve">Hattie, J. (2009). Visible learning: A synthesis of over 800 meta-analyses relating to achievement. </w:t>
      </w:r>
      <w:proofErr w:type="spellStart"/>
      <w:proofErr w:type="gramStart"/>
      <w:r w:rsidRPr="0096021C">
        <w:rPr>
          <w:rFonts w:cstheme="minorHAnsi"/>
        </w:rPr>
        <w:t>Routledge</w:t>
      </w:r>
      <w:proofErr w:type="spellEnd"/>
      <w:r w:rsidRPr="0096021C">
        <w:rPr>
          <w:rFonts w:cstheme="minorHAnsi"/>
        </w:rPr>
        <w:t>.</w:t>
      </w:r>
      <w:proofErr w:type="gramEnd"/>
    </w:p>
    <w:p w:rsidR="0096021C" w:rsidRPr="00F75463" w:rsidRDefault="0096021C" w:rsidP="00F75463">
      <w:r w:rsidRPr="00F75463">
        <w:t xml:space="preserve">Hattie, J. (2009). Visible learning: A synthesis of over 800 meta-analyses relating to achievement. </w:t>
      </w:r>
      <w:proofErr w:type="spellStart"/>
      <w:proofErr w:type="gramStart"/>
      <w:r w:rsidRPr="00F75463">
        <w:t>Routledge</w:t>
      </w:r>
      <w:proofErr w:type="spellEnd"/>
      <w:r w:rsidRPr="00F75463">
        <w:t>.</w:t>
      </w:r>
      <w:proofErr w:type="gramEnd"/>
    </w:p>
    <w:p w:rsidR="0096021C" w:rsidRPr="0096021C" w:rsidRDefault="0096021C" w:rsidP="0096021C">
      <w:pPr>
        <w:jc w:val="both"/>
        <w:rPr>
          <w:rFonts w:cstheme="minorHAnsi"/>
        </w:rPr>
      </w:pPr>
      <w:proofErr w:type="gramStart"/>
      <w:r w:rsidRPr="0096021C">
        <w:rPr>
          <w:rFonts w:cstheme="minorHAnsi"/>
        </w:rPr>
        <w:t>Jackson, M. (2021).</w:t>
      </w:r>
      <w:proofErr w:type="gramEnd"/>
      <w:r w:rsidRPr="0096021C">
        <w:rPr>
          <w:rFonts w:cstheme="minorHAnsi"/>
        </w:rPr>
        <w:t xml:space="preserve"> </w:t>
      </w:r>
      <w:proofErr w:type="gramStart"/>
      <w:r w:rsidRPr="0096021C">
        <w:rPr>
          <w:rFonts w:cstheme="minorHAnsi"/>
        </w:rPr>
        <w:t>Questioning Techniques for Engaging Classroom Discussions.</w:t>
      </w:r>
      <w:proofErr w:type="gramEnd"/>
      <w:r w:rsidRPr="0096021C">
        <w:rPr>
          <w:rFonts w:cstheme="minorHAnsi"/>
        </w:rPr>
        <w:t xml:space="preserve"> Journal of Research in Education, 43(1), 89-104.</w:t>
      </w:r>
      <w:r w:rsidRPr="0096021C">
        <w:rPr>
          <w:rFonts w:cstheme="minorHAnsi"/>
        </w:rPr>
        <w:t>4</w:t>
      </w:r>
    </w:p>
    <w:p w:rsidR="0096021C" w:rsidRPr="0096021C" w:rsidRDefault="0096021C" w:rsidP="0096021C">
      <w:pPr>
        <w:jc w:val="both"/>
        <w:rPr>
          <w:rFonts w:cstheme="minorHAnsi"/>
        </w:rPr>
      </w:pPr>
      <w:proofErr w:type="gramStart"/>
      <w:r w:rsidRPr="0096021C">
        <w:rPr>
          <w:rFonts w:cstheme="minorHAnsi"/>
        </w:rPr>
        <w:t>Johnson, D. W., &amp; Johnson, R. T. (2009).</w:t>
      </w:r>
      <w:proofErr w:type="gramEnd"/>
      <w:r w:rsidRPr="0096021C">
        <w:rPr>
          <w:rFonts w:cstheme="minorHAnsi"/>
        </w:rPr>
        <w:t xml:space="preserve"> An educational psychology success story: Social interdependence theory and cooperative learning. </w:t>
      </w:r>
      <w:proofErr w:type="gramStart"/>
      <w:r w:rsidRPr="0096021C">
        <w:rPr>
          <w:rFonts w:cstheme="minorHAnsi"/>
        </w:rPr>
        <w:t>Educational researcher, 38(5), 365-379.</w:t>
      </w:r>
      <w:proofErr w:type="gramEnd"/>
    </w:p>
    <w:p w:rsidR="0096021C" w:rsidRPr="0096021C" w:rsidRDefault="0096021C" w:rsidP="0096021C">
      <w:pPr>
        <w:jc w:val="both"/>
        <w:rPr>
          <w:rFonts w:cstheme="minorHAnsi"/>
        </w:rPr>
      </w:pPr>
      <w:proofErr w:type="gramStart"/>
      <w:r w:rsidRPr="0096021C">
        <w:rPr>
          <w:rFonts w:cstheme="minorHAnsi"/>
        </w:rPr>
        <w:t>Johnson, M. (2015).</w:t>
      </w:r>
      <w:proofErr w:type="gramEnd"/>
      <w:r w:rsidRPr="0096021C">
        <w:rPr>
          <w:rFonts w:cstheme="minorHAnsi"/>
        </w:rPr>
        <w:t xml:space="preserve"> </w:t>
      </w:r>
      <w:proofErr w:type="gramStart"/>
      <w:r w:rsidRPr="0096021C">
        <w:rPr>
          <w:rFonts w:cstheme="minorHAnsi"/>
        </w:rPr>
        <w:t>Protecting Research Participants: A Guide to the Ethical Considerations of Research.</w:t>
      </w:r>
      <w:proofErr w:type="gramEnd"/>
      <w:r w:rsidRPr="0096021C">
        <w:rPr>
          <w:rFonts w:cstheme="minorHAnsi"/>
        </w:rPr>
        <w:t xml:space="preserve"> </w:t>
      </w:r>
      <w:proofErr w:type="gramStart"/>
      <w:r w:rsidRPr="0096021C">
        <w:rPr>
          <w:rFonts w:cstheme="minorHAnsi"/>
        </w:rPr>
        <w:t>SAGE Publications.</w:t>
      </w:r>
      <w:proofErr w:type="gramEnd"/>
    </w:p>
    <w:p w:rsidR="0096021C" w:rsidRPr="0096021C" w:rsidRDefault="0096021C" w:rsidP="0096021C">
      <w:pPr>
        <w:jc w:val="both"/>
        <w:rPr>
          <w:rFonts w:cstheme="minorHAnsi"/>
        </w:rPr>
      </w:pPr>
      <w:proofErr w:type="gramStart"/>
      <w:r w:rsidRPr="0096021C">
        <w:rPr>
          <w:rFonts w:cstheme="minorHAnsi"/>
        </w:rPr>
        <w:t>Jones, A., &amp; Robinson, C. (2016).</w:t>
      </w:r>
      <w:proofErr w:type="gramEnd"/>
      <w:r w:rsidRPr="0096021C">
        <w:rPr>
          <w:rFonts w:cstheme="minorHAnsi"/>
        </w:rPr>
        <w:t xml:space="preserve"> Ethics in Educational Research: A Practical Guide. </w:t>
      </w:r>
      <w:proofErr w:type="gramStart"/>
      <w:r w:rsidRPr="0096021C">
        <w:rPr>
          <w:rFonts w:cstheme="minorHAnsi"/>
        </w:rPr>
        <w:t>Bloomsbury Publishing.</w:t>
      </w:r>
      <w:proofErr w:type="gramEnd"/>
    </w:p>
    <w:p w:rsidR="0096021C" w:rsidRPr="0096021C" w:rsidRDefault="0096021C" w:rsidP="0096021C">
      <w:pPr>
        <w:jc w:val="both"/>
        <w:rPr>
          <w:rFonts w:cstheme="minorHAnsi"/>
        </w:rPr>
      </w:pPr>
      <w:proofErr w:type="spellStart"/>
      <w:r w:rsidRPr="0096021C">
        <w:rPr>
          <w:rFonts w:cstheme="minorHAnsi"/>
        </w:rPr>
        <w:t>Kazdin</w:t>
      </w:r>
      <w:proofErr w:type="spellEnd"/>
      <w:r w:rsidRPr="0096021C">
        <w:rPr>
          <w:rFonts w:cstheme="minorHAnsi"/>
        </w:rPr>
        <w:t xml:space="preserve">, A. E. (2016). Research design in clinical psychology (4th </w:t>
      </w:r>
      <w:proofErr w:type="gramStart"/>
      <w:r w:rsidRPr="0096021C">
        <w:rPr>
          <w:rFonts w:cstheme="minorHAnsi"/>
        </w:rPr>
        <w:t>ed</w:t>
      </w:r>
      <w:proofErr w:type="gramEnd"/>
      <w:r w:rsidRPr="0096021C">
        <w:rPr>
          <w:rFonts w:cstheme="minorHAnsi"/>
        </w:rPr>
        <w:t>.). Pearson.</w:t>
      </w:r>
    </w:p>
    <w:p w:rsidR="0096021C" w:rsidRPr="0096021C" w:rsidRDefault="0096021C" w:rsidP="0096021C">
      <w:pPr>
        <w:jc w:val="both"/>
        <w:rPr>
          <w:rFonts w:cstheme="minorHAnsi"/>
        </w:rPr>
      </w:pPr>
      <w:r w:rsidRPr="0096021C">
        <w:rPr>
          <w:rFonts w:cstheme="minorHAnsi"/>
        </w:rPr>
        <w:t>King, A. (1994). Guiding knowledge construction in the classroom: Effects of teaching children how to question and how to explain. American Educational Research Journal, 31(2), 338–368.</w:t>
      </w:r>
    </w:p>
    <w:p w:rsidR="0096021C" w:rsidRPr="0096021C" w:rsidRDefault="0096021C" w:rsidP="0096021C">
      <w:pPr>
        <w:jc w:val="both"/>
        <w:rPr>
          <w:rFonts w:cstheme="minorHAnsi"/>
        </w:rPr>
      </w:pPr>
      <w:r w:rsidRPr="0096021C">
        <w:rPr>
          <w:rFonts w:cstheme="minorHAnsi"/>
        </w:rPr>
        <w:t xml:space="preserve">Leach, J., </w:t>
      </w:r>
      <w:proofErr w:type="spellStart"/>
      <w:r w:rsidRPr="0096021C">
        <w:rPr>
          <w:rFonts w:cstheme="minorHAnsi"/>
        </w:rPr>
        <w:t>Zang</w:t>
      </w:r>
      <w:proofErr w:type="spellEnd"/>
      <w:r w:rsidRPr="0096021C">
        <w:rPr>
          <w:rFonts w:cstheme="minorHAnsi"/>
        </w:rPr>
        <w:t>, Y., Cordero, E., &amp; Utley, J. (2020). Patterns of middle grades students’ engagement and disengagement in the classroom. The Journal of Educational Research, 113(2), 122-133.</w:t>
      </w:r>
    </w:p>
    <w:p w:rsidR="0096021C" w:rsidRPr="0096021C" w:rsidRDefault="0096021C" w:rsidP="0096021C">
      <w:pPr>
        <w:jc w:val="both"/>
        <w:rPr>
          <w:rFonts w:cstheme="minorHAnsi"/>
        </w:rPr>
      </w:pPr>
      <w:proofErr w:type="spellStart"/>
      <w:proofErr w:type="gramStart"/>
      <w:r w:rsidRPr="0096021C">
        <w:rPr>
          <w:rFonts w:cstheme="minorHAnsi"/>
        </w:rPr>
        <w:t>Leithwood</w:t>
      </w:r>
      <w:proofErr w:type="spellEnd"/>
      <w:r w:rsidRPr="0096021C">
        <w:rPr>
          <w:rFonts w:cstheme="minorHAnsi"/>
        </w:rPr>
        <w:t>, K., Harris, A., &amp; Hopkins, D. (2006).</w:t>
      </w:r>
      <w:proofErr w:type="gramEnd"/>
      <w:r w:rsidRPr="0096021C">
        <w:rPr>
          <w:rFonts w:cstheme="minorHAnsi"/>
        </w:rPr>
        <w:t xml:space="preserve"> Seven strong claims about successful school leadership. </w:t>
      </w:r>
      <w:proofErr w:type="gramStart"/>
      <w:r w:rsidRPr="0096021C">
        <w:rPr>
          <w:rFonts w:cstheme="minorHAnsi"/>
        </w:rPr>
        <w:t>National College for School Leadership.</w:t>
      </w:r>
      <w:proofErr w:type="gramEnd"/>
    </w:p>
    <w:p w:rsidR="0096021C" w:rsidRPr="0096021C" w:rsidRDefault="0096021C" w:rsidP="0096021C">
      <w:pPr>
        <w:jc w:val="both"/>
        <w:rPr>
          <w:rFonts w:cstheme="minorHAnsi"/>
        </w:rPr>
      </w:pPr>
      <w:proofErr w:type="gramStart"/>
      <w:r w:rsidRPr="0096021C">
        <w:rPr>
          <w:rFonts w:cstheme="minorHAnsi"/>
        </w:rPr>
        <w:t>Mercer, N., &amp; Littleton, K. (2007).</w:t>
      </w:r>
      <w:proofErr w:type="gramEnd"/>
      <w:r w:rsidRPr="0096021C">
        <w:rPr>
          <w:rFonts w:cstheme="minorHAnsi"/>
        </w:rPr>
        <w:t xml:space="preserve"> Dialogue and the development of </w:t>
      </w:r>
      <w:proofErr w:type="gramStart"/>
      <w:r w:rsidRPr="0096021C">
        <w:rPr>
          <w:rFonts w:cstheme="minorHAnsi"/>
        </w:rPr>
        <w:t>children’s</w:t>
      </w:r>
      <w:proofErr w:type="gramEnd"/>
      <w:r w:rsidRPr="0096021C">
        <w:rPr>
          <w:rFonts w:cstheme="minorHAnsi"/>
        </w:rPr>
        <w:t xml:space="preserve"> thinking: A sociocultural approach. </w:t>
      </w:r>
      <w:proofErr w:type="spellStart"/>
      <w:proofErr w:type="gramStart"/>
      <w:r w:rsidRPr="0096021C">
        <w:rPr>
          <w:rFonts w:cstheme="minorHAnsi"/>
        </w:rPr>
        <w:t>Routledge</w:t>
      </w:r>
      <w:proofErr w:type="spellEnd"/>
      <w:r w:rsidRPr="0096021C">
        <w:rPr>
          <w:rFonts w:cstheme="minorHAnsi"/>
        </w:rPr>
        <w:t>.</w:t>
      </w:r>
      <w:proofErr w:type="gramEnd"/>
    </w:p>
    <w:p w:rsidR="0096021C" w:rsidRPr="0096021C" w:rsidRDefault="0096021C" w:rsidP="0096021C">
      <w:pPr>
        <w:jc w:val="both"/>
        <w:rPr>
          <w:rFonts w:cstheme="minorHAnsi"/>
        </w:rPr>
      </w:pPr>
      <w:r w:rsidRPr="0096021C">
        <w:rPr>
          <w:rFonts w:cstheme="minorHAnsi"/>
        </w:rPr>
        <w:t xml:space="preserve">Merriam, S. B. (2009). Qualitative research: A guide to design and implementation. </w:t>
      </w:r>
      <w:proofErr w:type="gramStart"/>
      <w:r w:rsidRPr="0096021C">
        <w:rPr>
          <w:rFonts w:cstheme="minorHAnsi"/>
        </w:rPr>
        <w:t>John Wiley &amp; Sons.</w:t>
      </w:r>
      <w:proofErr w:type="gramEnd"/>
    </w:p>
    <w:p w:rsidR="0096021C" w:rsidRPr="0096021C" w:rsidRDefault="0096021C" w:rsidP="0096021C">
      <w:pPr>
        <w:jc w:val="both"/>
        <w:rPr>
          <w:rFonts w:cstheme="minorHAnsi"/>
        </w:rPr>
      </w:pPr>
      <w:proofErr w:type="gramStart"/>
      <w:r w:rsidRPr="0096021C">
        <w:rPr>
          <w:rFonts w:cstheme="minorHAnsi"/>
        </w:rPr>
        <w:t>Morgan, D. L., &amp; Saxton, M. (1990).</w:t>
      </w:r>
      <w:proofErr w:type="gramEnd"/>
      <w:r w:rsidRPr="0096021C">
        <w:rPr>
          <w:rFonts w:cstheme="minorHAnsi"/>
        </w:rPr>
        <w:t xml:space="preserve"> </w:t>
      </w:r>
      <w:proofErr w:type="gramStart"/>
      <w:r w:rsidRPr="0096021C">
        <w:rPr>
          <w:rFonts w:cstheme="minorHAnsi"/>
        </w:rPr>
        <w:t>Teaching.</w:t>
      </w:r>
      <w:proofErr w:type="gramEnd"/>
      <w:r w:rsidRPr="0096021C">
        <w:rPr>
          <w:rFonts w:cstheme="minorHAnsi"/>
        </w:rPr>
        <w:t xml:space="preserve"> In E. G. </w:t>
      </w:r>
      <w:proofErr w:type="spellStart"/>
      <w:r w:rsidRPr="0096021C">
        <w:rPr>
          <w:rFonts w:cstheme="minorHAnsi"/>
        </w:rPr>
        <w:t>Guba</w:t>
      </w:r>
      <w:proofErr w:type="spellEnd"/>
      <w:r w:rsidRPr="0096021C">
        <w:rPr>
          <w:rFonts w:cstheme="minorHAnsi"/>
        </w:rPr>
        <w:t xml:space="preserve"> (Ed.), </w:t>
      </w:r>
      <w:proofErr w:type="gramStart"/>
      <w:r w:rsidRPr="0096021C">
        <w:rPr>
          <w:rFonts w:cstheme="minorHAnsi"/>
        </w:rPr>
        <w:t>The</w:t>
      </w:r>
      <w:proofErr w:type="gramEnd"/>
      <w:r w:rsidRPr="0096021C">
        <w:rPr>
          <w:rFonts w:cstheme="minorHAnsi"/>
        </w:rPr>
        <w:t xml:space="preserve"> paradigm dialog (pp. 109-120). </w:t>
      </w:r>
      <w:proofErr w:type="gramStart"/>
      <w:r w:rsidRPr="0096021C">
        <w:rPr>
          <w:rFonts w:cstheme="minorHAnsi"/>
        </w:rPr>
        <w:t>Sage Publications.</w:t>
      </w:r>
      <w:proofErr w:type="gramEnd"/>
    </w:p>
    <w:p w:rsidR="0096021C" w:rsidRPr="0096021C" w:rsidRDefault="0096021C" w:rsidP="0096021C">
      <w:pPr>
        <w:jc w:val="both"/>
        <w:rPr>
          <w:rFonts w:cstheme="minorHAnsi"/>
        </w:rPr>
      </w:pPr>
      <w:r w:rsidRPr="0096021C">
        <w:rPr>
          <w:rFonts w:cstheme="minorHAnsi"/>
        </w:rPr>
        <w:t xml:space="preserve">Patton, M. Q. (2015). Qualitative research &amp; evaluation methods: Integrating theory and practice. </w:t>
      </w:r>
      <w:proofErr w:type="gramStart"/>
      <w:r w:rsidRPr="0096021C">
        <w:rPr>
          <w:rFonts w:cstheme="minorHAnsi"/>
        </w:rPr>
        <w:t>Sage Publications.</w:t>
      </w:r>
      <w:proofErr w:type="gramEnd"/>
    </w:p>
    <w:p w:rsidR="0096021C" w:rsidRPr="0096021C" w:rsidRDefault="0096021C" w:rsidP="0096021C">
      <w:pPr>
        <w:jc w:val="both"/>
        <w:rPr>
          <w:rFonts w:cstheme="minorHAnsi"/>
        </w:rPr>
      </w:pPr>
      <w:proofErr w:type="spellStart"/>
      <w:proofErr w:type="gramStart"/>
      <w:r w:rsidRPr="0096021C">
        <w:rPr>
          <w:rFonts w:cstheme="minorHAnsi"/>
        </w:rPr>
        <w:t>Pedrosa</w:t>
      </w:r>
      <w:proofErr w:type="spellEnd"/>
      <w:r w:rsidRPr="0096021C">
        <w:rPr>
          <w:rFonts w:cstheme="minorHAnsi"/>
        </w:rPr>
        <w:t>-de-Jesus, H., Watts, M., &amp; Preston, C. (2019).</w:t>
      </w:r>
      <w:proofErr w:type="gramEnd"/>
      <w:r w:rsidRPr="0096021C">
        <w:rPr>
          <w:rFonts w:cstheme="minorHAnsi"/>
        </w:rPr>
        <w:t xml:space="preserve"> The impact of teachers' questioning strategies on science learning: A critical review. Research in Science Education, 49(1), 1–39.</w:t>
      </w:r>
    </w:p>
    <w:p w:rsidR="0096021C" w:rsidRPr="0096021C" w:rsidRDefault="0096021C" w:rsidP="0096021C">
      <w:pPr>
        <w:jc w:val="both"/>
        <w:rPr>
          <w:rFonts w:cstheme="minorHAnsi"/>
        </w:rPr>
      </w:pPr>
      <w:r w:rsidRPr="0096021C">
        <w:rPr>
          <w:rFonts w:cstheme="minorHAnsi"/>
        </w:rPr>
        <w:t>Roth, W. M. (1996). Teacher questioning in an open-inquiry learning environment: Interactions of context, content, and pupil responses. Journal of Research in Science Teaching, 33(7), 709–736.</w:t>
      </w:r>
    </w:p>
    <w:p w:rsidR="0096021C" w:rsidRPr="0096021C" w:rsidRDefault="0096021C" w:rsidP="0096021C">
      <w:pPr>
        <w:jc w:val="both"/>
        <w:rPr>
          <w:rFonts w:cstheme="minorHAnsi"/>
        </w:rPr>
      </w:pPr>
      <w:proofErr w:type="gramStart"/>
      <w:r w:rsidRPr="0096021C">
        <w:rPr>
          <w:rFonts w:cstheme="minorHAnsi"/>
        </w:rPr>
        <w:t>Rubin, H. J., &amp; Rubin, I. S. (2012).</w:t>
      </w:r>
      <w:proofErr w:type="gramEnd"/>
      <w:r w:rsidRPr="0096021C">
        <w:rPr>
          <w:rFonts w:cstheme="minorHAnsi"/>
        </w:rPr>
        <w:t xml:space="preserve"> Qualitative interviewing: The art of hearing data. </w:t>
      </w:r>
      <w:proofErr w:type="gramStart"/>
      <w:r w:rsidRPr="0096021C">
        <w:rPr>
          <w:rFonts w:cstheme="minorHAnsi"/>
        </w:rPr>
        <w:t>Sage.</w:t>
      </w:r>
      <w:proofErr w:type="gramEnd"/>
    </w:p>
    <w:p w:rsidR="0096021C" w:rsidRPr="0096021C" w:rsidRDefault="0096021C" w:rsidP="0096021C">
      <w:pPr>
        <w:jc w:val="both"/>
        <w:rPr>
          <w:rFonts w:cstheme="minorHAnsi"/>
        </w:rPr>
      </w:pPr>
      <w:proofErr w:type="gramStart"/>
      <w:r w:rsidRPr="0096021C">
        <w:rPr>
          <w:rFonts w:cstheme="minorHAnsi"/>
        </w:rPr>
        <w:lastRenderedPageBreak/>
        <w:t xml:space="preserve">Ryan, R. M., &amp; </w:t>
      </w:r>
      <w:proofErr w:type="spellStart"/>
      <w:r w:rsidRPr="0096021C">
        <w:rPr>
          <w:rFonts w:cstheme="minorHAnsi"/>
        </w:rPr>
        <w:t>Deci</w:t>
      </w:r>
      <w:proofErr w:type="spellEnd"/>
      <w:r w:rsidRPr="0096021C">
        <w:rPr>
          <w:rFonts w:cstheme="minorHAnsi"/>
        </w:rPr>
        <w:t>, E. L. (2000).</w:t>
      </w:r>
      <w:proofErr w:type="gramEnd"/>
      <w:r w:rsidRPr="0096021C">
        <w:rPr>
          <w:rFonts w:cstheme="minorHAnsi"/>
        </w:rPr>
        <w:t xml:space="preserve"> </w:t>
      </w:r>
      <w:proofErr w:type="gramStart"/>
      <w:r w:rsidRPr="0096021C">
        <w:rPr>
          <w:rFonts w:cstheme="minorHAnsi"/>
        </w:rPr>
        <w:t>Self-determination theory and the facilitation of intrinsic motivation, social development, and well-being.</w:t>
      </w:r>
      <w:proofErr w:type="gramEnd"/>
      <w:r w:rsidRPr="0096021C">
        <w:rPr>
          <w:rFonts w:cstheme="minorHAnsi"/>
        </w:rPr>
        <w:t xml:space="preserve"> American Psychologist, 55(1), 68–78.</w:t>
      </w:r>
    </w:p>
    <w:p w:rsidR="0096021C" w:rsidRPr="0096021C" w:rsidRDefault="0096021C" w:rsidP="0096021C">
      <w:pPr>
        <w:jc w:val="both"/>
        <w:rPr>
          <w:rFonts w:cstheme="minorHAnsi"/>
        </w:rPr>
      </w:pPr>
      <w:r w:rsidRPr="0096021C">
        <w:rPr>
          <w:rFonts w:cstheme="minorHAnsi"/>
        </w:rPr>
        <w:t xml:space="preserve">Skinner, E. A., </w:t>
      </w:r>
      <w:proofErr w:type="spellStart"/>
      <w:r w:rsidRPr="0096021C">
        <w:rPr>
          <w:rFonts w:cstheme="minorHAnsi"/>
        </w:rPr>
        <w:t>Kindermann</w:t>
      </w:r>
      <w:proofErr w:type="spellEnd"/>
      <w:r w:rsidRPr="0096021C">
        <w:rPr>
          <w:rFonts w:cstheme="minorHAnsi"/>
        </w:rPr>
        <w:t xml:space="preserve">, T. A., Connell, J. P., &amp; Wellborn, J. G. (2008). </w:t>
      </w:r>
      <w:proofErr w:type="gramStart"/>
      <w:r w:rsidRPr="0096021C">
        <w:rPr>
          <w:rFonts w:cstheme="minorHAnsi"/>
        </w:rPr>
        <w:t>Engagement and disaffection as organizational constructs in the dynamics of motivational development.</w:t>
      </w:r>
      <w:proofErr w:type="gramEnd"/>
      <w:r w:rsidRPr="0096021C">
        <w:rPr>
          <w:rFonts w:cstheme="minorHAnsi"/>
        </w:rPr>
        <w:t xml:space="preserve"> Contemporary Educational Psychology, 33(4), 186–197.</w:t>
      </w:r>
    </w:p>
    <w:p w:rsidR="0096021C" w:rsidRPr="0096021C" w:rsidRDefault="0096021C" w:rsidP="0096021C">
      <w:pPr>
        <w:jc w:val="both"/>
        <w:rPr>
          <w:rFonts w:cstheme="minorHAnsi"/>
        </w:rPr>
      </w:pPr>
      <w:proofErr w:type="gramStart"/>
      <w:r w:rsidRPr="0096021C">
        <w:rPr>
          <w:rFonts w:cstheme="minorHAnsi"/>
        </w:rPr>
        <w:t>Smith, J., &amp; Brown, E. (2018).</w:t>
      </w:r>
      <w:proofErr w:type="gramEnd"/>
      <w:r w:rsidRPr="0096021C">
        <w:rPr>
          <w:rFonts w:cstheme="minorHAnsi"/>
        </w:rPr>
        <w:t xml:space="preserve"> </w:t>
      </w:r>
      <w:proofErr w:type="gramStart"/>
      <w:r w:rsidRPr="0096021C">
        <w:rPr>
          <w:rFonts w:cstheme="minorHAnsi"/>
        </w:rPr>
        <w:t>Ethical Principles in Educational Research.</w:t>
      </w:r>
      <w:proofErr w:type="gramEnd"/>
      <w:r w:rsidRPr="0096021C">
        <w:rPr>
          <w:rFonts w:cstheme="minorHAnsi"/>
        </w:rPr>
        <w:t xml:space="preserve"> </w:t>
      </w:r>
      <w:proofErr w:type="gramStart"/>
      <w:r w:rsidRPr="0096021C">
        <w:rPr>
          <w:rFonts w:cstheme="minorHAnsi"/>
        </w:rPr>
        <w:t>Springer.</w:t>
      </w:r>
      <w:proofErr w:type="gramEnd"/>
    </w:p>
    <w:p w:rsidR="0096021C" w:rsidRPr="0096021C" w:rsidRDefault="0096021C" w:rsidP="0096021C">
      <w:pPr>
        <w:jc w:val="both"/>
        <w:rPr>
          <w:rFonts w:cstheme="minorHAnsi"/>
        </w:rPr>
      </w:pPr>
      <w:proofErr w:type="gramStart"/>
      <w:r w:rsidRPr="0096021C">
        <w:rPr>
          <w:rFonts w:cstheme="minorHAnsi"/>
        </w:rPr>
        <w:t>Smith, J., &amp; Stein, M. (2011).</w:t>
      </w:r>
      <w:proofErr w:type="gramEnd"/>
      <w:r w:rsidRPr="0096021C">
        <w:rPr>
          <w:rFonts w:cstheme="minorHAnsi"/>
        </w:rPr>
        <w:t xml:space="preserve"> </w:t>
      </w:r>
      <w:proofErr w:type="gramStart"/>
      <w:r w:rsidRPr="0096021C">
        <w:rPr>
          <w:rFonts w:cstheme="minorHAnsi"/>
        </w:rPr>
        <w:t>The role of teacher questioning in promoting active engagement and participation in classrooms.</w:t>
      </w:r>
      <w:proofErr w:type="gramEnd"/>
      <w:r w:rsidRPr="0096021C">
        <w:rPr>
          <w:rFonts w:cstheme="minorHAnsi"/>
        </w:rPr>
        <w:t xml:space="preserve"> Journal of Educational Psychology, 103(2), 317-328</w:t>
      </w:r>
    </w:p>
    <w:p w:rsidR="0096021C" w:rsidRPr="0096021C" w:rsidRDefault="0096021C" w:rsidP="0096021C">
      <w:pPr>
        <w:jc w:val="both"/>
        <w:rPr>
          <w:rFonts w:cstheme="minorHAnsi"/>
        </w:rPr>
      </w:pPr>
      <w:proofErr w:type="gramStart"/>
      <w:r w:rsidRPr="0096021C">
        <w:rPr>
          <w:rFonts w:cstheme="minorHAnsi"/>
        </w:rPr>
        <w:t>Stake, R. E. (1995).</w:t>
      </w:r>
      <w:proofErr w:type="gramEnd"/>
      <w:r w:rsidRPr="0096021C">
        <w:rPr>
          <w:rFonts w:cstheme="minorHAnsi"/>
        </w:rPr>
        <w:t xml:space="preserve"> </w:t>
      </w:r>
      <w:proofErr w:type="gramStart"/>
      <w:r w:rsidRPr="0096021C">
        <w:rPr>
          <w:rFonts w:cstheme="minorHAnsi"/>
        </w:rPr>
        <w:t>The art of case study research.</w:t>
      </w:r>
      <w:proofErr w:type="gramEnd"/>
      <w:r w:rsidRPr="0096021C">
        <w:rPr>
          <w:rFonts w:cstheme="minorHAnsi"/>
        </w:rPr>
        <w:t xml:space="preserve"> </w:t>
      </w:r>
      <w:proofErr w:type="gramStart"/>
      <w:r w:rsidRPr="0096021C">
        <w:rPr>
          <w:rFonts w:cstheme="minorHAnsi"/>
        </w:rPr>
        <w:t>Sage Publications.</w:t>
      </w:r>
      <w:proofErr w:type="gramEnd"/>
    </w:p>
    <w:p w:rsidR="0096021C" w:rsidRPr="0096021C" w:rsidRDefault="0096021C" w:rsidP="0096021C">
      <w:pPr>
        <w:spacing w:before="100" w:beforeAutospacing="1" w:after="100" w:afterAutospacing="1" w:line="240" w:lineRule="auto"/>
        <w:jc w:val="both"/>
        <w:rPr>
          <w:rFonts w:eastAsia="Times New Roman" w:cstheme="minorHAnsi"/>
          <w:lang w:eastAsia="en-GB"/>
        </w:rPr>
      </w:pPr>
      <w:proofErr w:type="gramStart"/>
      <w:r w:rsidRPr="0096021C">
        <w:rPr>
          <w:rFonts w:eastAsia="Times New Roman" w:cstheme="minorHAnsi"/>
          <w:lang w:eastAsia="en-GB"/>
        </w:rPr>
        <w:t xml:space="preserve">Sullivan, G. M., &amp; </w:t>
      </w:r>
      <w:proofErr w:type="spellStart"/>
      <w:r w:rsidRPr="0096021C">
        <w:rPr>
          <w:rFonts w:eastAsia="Times New Roman" w:cstheme="minorHAnsi"/>
          <w:lang w:eastAsia="en-GB"/>
        </w:rPr>
        <w:t>Artino</w:t>
      </w:r>
      <w:proofErr w:type="spellEnd"/>
      <w:r w:rsidRPr="0096021C">
        <w:rPr>
          <w:rFonts w:eastAsia="Times New Roman" w:cstheme="minorHAnsi"/>
          <w:lang w:eastAsia="en-GB"/>
        </w:rPr>
        <w:t xml:space="preserve"> </w:t>
      </w:r>
      <w:proofErr w:type="spellStart"/>
      <w:r w:rsidRPr="0096021C">
        <w:rPr>
          <w:rFonts w:eastAsia="Times New Roman" w:cstheme="minorHAnsi"/>
          <w:lang w:eastAsia="en-GB"/>
        </w:rPr>
        <w:t>Jr</w:t>
      </w:r>
      <w:proofErr w:type="spellEnd"/>
      <w:r w:rsidRPr="0096021C">
        <w:rPr>
          <w:rFonts w:eastAsia="Times New Roman" w:cstheme="minorHAnsi"/>
          <w:lang w:eastAsia="en-GB"/>
        </w:rPr>
        <w:t>, A. R. (2013).</w:t>
      </w:r>
      <w:proofErr w:type="gramEnd"/>
      <w:r w:rsidRPr="0096021C">
        <w:rPr>
          <w:rFonts w:eastAsia="Times New Roman" w:cstheme="minorHAnsi"/>
          <w:lang w:eastAsia="en-GB"/>
        </w:rPr>
        <w:t xml:space="preserve"> </w:t>
      </w:r>
      <w:proofErr w:type="spellStart"/>
      <w:r w:rsidRPr="0096021C">
        <w:rPr>
          <w:rFonts w:eastAsia="Times New Roman" w:cstheme="minorHAnsi"/>
          <w:lang w:eastAsia="en-GB"/>
        </w:rPr>
        <w:t>Analyzing</w:t>
      </w:r>
      <w:proofErr w:type="spellEnd"/>
      <w:r w:rsidRPr="0096021C">
        <w:rPr>
          <w:rFonts w:eastAsia="Times New Roman" w:cstheme="minorHAnsi"/>
          <w:lang w:eastAsia="en-GB"/>
        </w:rPr>
        <w:t xml:space="preserve"> and interpreting data from </w:t>
      </w:r>
      <w:proofErr w:type="spellStart"/>
      <w:r w:rsidRPr="0096021C">
        <w:rPr>
          <w:rFonts w:eastAsia="Times New Roman" w:cstheme="minorHAnsi"/>
          <w:lang w:eastAsia="en-GB"/>
        </w:rPr>
        <w:t>Likert</w:t>
      </w:r>
      <w:proofErr w:type="spellEnd"/>
      <w:r w:rsidRPr="0096021C">
        <w:rPr>
          <w:rFonts w:eastAsia="Times New Roman" w:cstheme="minorHAnsi"/>
          <w:lang w:eastAsia="en-GB"/>
        </w:rPr>
        <w:t>-type scales. Journal of Graduate Medical Education, 5(4), 541-542.</w:t>
      </w:r>
    </w:p>
    <w:p w:rsidR="0096021C" w:rsidRPr="0096021C" w:rsidRDefault="0096021C" w:rsidP="0096021C">
      <w:pPr>
        <w:jc w:val="both"/>
        <w:rPr>
          <w:rFonts w:cstheme="minorHAnsi"/>
        </w:rPr>
      </w:pPr>
      <w:r w:rsidRPr="0096021C">
        <w:rPr>
          <w:rFonts w:cstheme="minorHAnsi"/>
        </w:rPr>
        <w:t>Thompson, R. (2018). Diverse Questioning Strategies in the Classroom: A Pathway to Inclusive Participation. Teaching and Teacher Education, 74, 103-115.</w:t>
      </w:r>
    </w:p>
    <w:p w:rsidR="0096021C" w:rsidRPr="00F75463" w:rsidRDefault="0096021C" w:rsidP="00F75463">
      <w:proofErr w:type="spellStart"/>
      <w:r w:rsidRPr="00F75463">
        <w:t>Vygotsky</w:t>
      </w:r>
      <w:proofErr w:type="spellEnd"/>
      <w:r w:rsidRPr="00F75463">
        <w:t xml:space="preserve">, L. S. (1978). </w:t>
      </w:r>
      <w:proofErr w:type="gramStart"/>
      <w:r w:rsidRPr="00F75463">
        <w:t>Mind in society: The development of higher psychological processes.</w:t>
      </w:r>
      <w:proofErr w:type="gramEnd"/>
      <w:r w:rsidRPr="00F75463">
        <w:t xml:space="preserve"> </w:t>
      </w:r>
      <w:proofErr w:type="gramStart"/>
      <w:r w:rsidRPr="00F75463">
        <w:t>Harvard University Press.</w:t>
      </w:r>
      <w:proofErr w:type="gramEnd"/>
    </w:p>
    <w:p w:rsidR="0096021C" w:rsidRPr="0096021C" w:rsidRDefault="0096021C" w:rsidP="0096021C">
      <w:pPr>
        <w:jc w:val="both"/>
        <w:rPr>
          <w:rFonts w:cstheme="minorHAnsi"/>
        </w:rPr>
      </w:pPr>
      <w:proofErr w:type="gramStart"/>
      <w:r w:rsidRPr="0096021C">
        <w:rPr>
          <w:rFonts w:cstheme="minorHAnsi"/>
        </w:rPr>
        <w:t xml:space="preserve">Warren, C. A., &amp; </w:t>
      </w:r>
      <w:proofErr w:type="spellStart"/>
      <w:r w:rsidRPr="0096021C">
        <w:rPr>
          <w:rFonts w:cstheme="minorHAnsi"/>
        </w:rPr>
        <w:t>Deniz</w:t>
      </w:r>
      <w:proofErr w:type="spellEnd"/>
      <w:r w:rsidRPr="0096021C">
        <w:rPr>
          <w:rFonts w:cstheme="minorHAnsi"/>
        </w:rPr>
        <w:t>, H. (2018).</w:t>
      </w:r>
      <w:proofErr w:type="gramEnd"/>
      <w:r w:rsidRPr="0096021C">
        <w:rPr>
          <w:rFonts w:cstheme="minorHAnsi"/>
        </w:rPr>
        <w:t xml:space="preserve"> </w:t>
      </w:r>
      <w:proofErr w:type="gramStart"/>
      <w:r w:rsidRPr="0096021C">
        <w:rPr>
          <w:rFonts w:cstheme="minorHAnsi"/>
        </w:rPr>
        <w:t>Using questions to teach higher-level thinking.</w:t>
      </w:r>
      <w:proofErr w:type="gramEnd"/>
      <w:r w:rsidRPr="0096021C">
        <w:rPr>
          <w:rFonts w:cstheme="minorHAnsi"/>
        </w:rPr>
        <w:t xml:space="preserve"> Journal of Education and Learning, 7(1), 16–23.</w:t>
      </w:r>
    </w:p>
    <w:p w:rsidR="0096021C" w:rsidRPr="0096021C" w:rsidRDefault="0096021C" w:rsidP="0096021C">
      <w:pPr>
        <w:jc w:val="both"/>
        <w:rPr>
          <w:rFonts w:cstheme="minorHAnsi"/>
        </w:rPr>
      </w:pPr>
      <w:proofErr w:type="gramStart"/>
      <w:r w:rsidRPr="0096021C">
        <w:rPr>
          <w:rFonts w:cstheme="minorHAnsi"/>
        </w:rPr>
        <w:t>Wilkinson, I. A. G., &amp; Son, L. K. (2013).</w:t>
      </w:r>
      <w:proofErr w:type="gramEnd"/>
      <w:r w:rsidRPr="0096021C">
        <w:rPr>
          <w:rFonts w:cstheme="minorHAnsi"/>
        </w:rPr>
        <w:t xml:space="preserve"> Teachers' use of higher-order questions during shared book reading: An analysis of fiction and informational book reading across instructional contexts. Journal of Educational Psychology, 105(4), 1026–1035.</w:t>
      </w:r>
    </w:p>
    <w:p w:rsidR="0096021C" w:rsidRPr="0096021C" w:rsidRDefault="0096021C" w:rsidP="0096021C">
      <w:pPr>
        <w:jc w:val="both"/>
        <w:rPr>
          <w:rFonts w:cstheme="minorHAnsi"/>
        </w:rPr>
      </w:pPr>
      <w:r w:rsidRPr="0096021C">
        <w:rPr>
          <w:rFonts w:cstheme="minorHAnsi"/>
        </w:rPr>
        <w:t xml:space="preserve">Wilson, L. (2017). </w:t>
      </w:r>
      <w:proofErr w:type="gramStart"/>
      <w:r w:rsidRPr="0096021C">
        <w:rPr>
          <w:rFonts w:cstheme="minorHAnsi"/>
        </w:rPr>
        <w:t>The Role of Questioning in Classroom Instruction.</w:t>
      </w:r>
      <w:proofErr w:type="gramEnd"/>
      <w:r w:rsidRPr="0096021C">
        <w:rPr>
          <w:rFonts w:cstheme="minorHAnsi"/>
        </w:rPr>
        <w:t xml:space="preserve"> Journal of Educational Psychology, 109(2), 234-247.</w:t>
      </w:r>
    </w:p>
    <w:p w:rsidR="0096021C" w:rsidRPr="0096021C" w:rsidRDefault="0096021C" w:rsidP="0096021C">
      <w:pPr>
        <w:jc w:val="both"/>
        <w:rPr>
          <w:rFonts w:cstheme="minorHAnsi"/>
        </w:rPr>
      </w:pPr>
      <w:proofErr w:type="gramStart"/>
      <w:r w:rsidRPr="0096021C">
        <w:rPr>
          <w:rFonts w:cstheme="minorHAnsi"/>
        </w:rPr>
        <w:t>Yin, R. K. (2018).</w:t>
      </w:r>
      <w:proofErr w:type="gramEnd"/>
      <w:r w:rsidRPr="0096021C">
        <w:rPr>
          <w:rFonts w:cstheme="minorHAnsi"/>
        </w:rPr>
        <w:t xml:space="preserve"> Case study research and applications: Design and methods. Sage Publications</w:t>
      </w:r>
    </w:p>
    <w:p w:rsidR="00C07958" w:rsidRDefault="00C07958"/>
    <w:sectPr w:rsidR="00C0795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15B" w:rsidRDefault="009D015B" w:rsidP="003D5E66">
      <w:pPr>
        <w:spacing w:after="0" w:line="240" w:lineRule="auto"/>
      </w:pPr>
      <w:r>
        <w:separator/>
      </w:r>
    </w:p>
  </w:endnote>
  <w:endnote w:type="continuationSeparator" w:id="0">
    <w:p w:rsidR="009D015B" w:rsidRDefault="009D015B" w:rsidP="003D5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15B" w:rsidRDefault="009D015B" w:rsidP="003D5E66">
      <w:pPr>
        <w:spacing w:after="0" w:line="240" w:lineRule="auto"/>
      </w:pPr>
      <w:r>
        <w:separator/>
      </w:r>
    </w:p>
  </w:footnote>
  <w:footnote w:type="continuationSeparator" w:id="0">
    <w:p w:rsidR="009D015B" w:rsidRDefault="009D015B" w:rsidP="003D5E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E66" w:rsidRDefault="003D5E66" w:rsidP="006A646D">
    <w:pPr>
      <w:pStyle w:val="Header"/>
      <w:jc w:val="center"/>
    </w:pPr>
    <w:r>
      <w:t>Joseph Curry - 2304100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7E55"/>
    <w:multiLevelType w:val="hybridMultilevel"/>
    <w:tmpl w:val="33FE26F2"/>
    <w:lvl w:ilvl="0" w:tplc="1714D46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310DDB"/>
    <w:multiLevelType w:val="hybridMultilevel"/>
    <w:tmpl w:val="7DAA4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8095944"/>
    <w:multiLevelType w:val="hybridMultilevel"/>
    <w:tmpl w:val="9D764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AC06847"/>
    <w:multiLevelType w:val="hybridMultilevel"/>
    <w:tmpl w:val="4BB4B26A"/>
    <w:lvl w:ilvl="0" w:tplc="D52C909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9A07931"/>
    <w:multiLevelType w:val="hybridMultilevel"/>
    <w:tmpl w:val="3886D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F2B72C6"/>
    <w:multiLevelType w:val="multilevel"/>
    <w:tmpl w:val="DA9C3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A80"/>
    <w:rsid w:val="00002480"/>
    <w:rsid w:val="00021DDE"/>
    <w:rsid w:val="00032F4B"/>
    <w:rsid w:val="00034E42"/>
    <w:rsid w:val="000D17CB"/>
    <w:rsid w:val="001076D9"/>
    <w:rsid w:val="001213C9"/>
    <w:rsid w:val="00174AF6"/>
    <w:rsid w:val="00196591"/>
    <w:rsid w:val="001A7813"/>
    <w:rsid w:val="00210439"/>
    <w:rsid w:val="00244794"/>
    <w:rsid w:val="00264804"/>
    <w:rsid w:val="002700B1"/>
    <w:rsid w:val="00277E83"/>
    <w:rsid w:val="00293ACF"/>
    <w:rsid w:val="00297283"/>
    <w:rsid w:val="002C2AD8"/>
    <w:rsid w:val="002F3DC0"/>
    <w:rsid w:val="00313E2A"/>
    <w:rsid w:val="003A021C"/>
    <w:rsid w:val="003D33EB"/>
    <w:rsid w:val="003D5E66"/>
    <w:rsid w:val="003F5093"/>
    <w:rsid w:val="00411391"/>
    <w:rsid w:val="00452FDA"/>
    <w:rsid w:val="004A7E88"/>
    <w:rsid w:val="004D373D"/>
    <w:rsid w:val="004F2BD6"/>
    <w:rsid w:val="00511CAA"/>
    <w:rsid w:val="00521B11"/>
    <w:rsid w:val="00552F38"/>
    <w:rsid w:val="005B13E2"/>
    <w:rsid w:val="005E14C2"/>
    <w:rsid w:val="00623F0C"/>
    <w:rsid w:val="00675641"/>
    <w:rsid w:val="00687EE0"/>
    <w:rsid w:val="006A646D"/>
    <w:rsid w:val="00727C01"/>
    <w:rsid w:val="00757634"/>
    <w:rsid w:val="00784B80"/>
    <w:rsid w:val="00796667"/>
    <w:rsid w:val="007E2F46"/>
    <w:rsid w:val="00815B8F"/>
    <w:rsid w:val="00840754"/>
    <w:rsid w:val="008470C1"/>
    <w:rsid w:val="008E7A47"/>
    <w:rsid w:val="008F54F7"/>
    <w:rsid w:val="0096021C"/>
    <w:rsid w:val="009634CD"/>
    <w:rsid w:val="00982A2F"/>
    <w:rsid w:val="00985A83"/>
    <w:rsid w:val="009D015B"/>
    <w:rsid w:val="00A16B22"/>
    <w:rsid w:val="00A5468C"/>
    <w:rsid w:val="00AB6093"/>
    <w:rsid w:val="00B368B9"/>
    <w:rsid w:val="00B3789E"/>
    <w:rsid w:val="00B41A28"/>
    <w:rsid w:val="00B62D33"/>
    <w:rsid w:val="00B737B0"/>
    <w:rsid w:val="00B800AB"/>
    <w:rsid w:val="00B968EF"/>
    <w:rsid w:val="00BC1D55"/>
    <w:rsid w:val="00BC4C58"/>
    <w:rsid w:val="00BD33DB"/>
    <w:rsid w:val="00BF1D09"/>
    <w:rsid w:val="00C07958"/>
    <w:rsid w:val="00C3044E"/>
    <w:rsid w:val="00C3428D"/>
    <w:rsid w:val="00C82DDC"/>
    <w:rsid w:val="00C83350"/>
    <w:rsid w:val="00CB7517"/>
    <w:rsid w:val="00CD7F5A"/>
    <w:rsid w:val="00CE3FA6"/>
    <w:rsid w:val="00CE558F"/>
    <w:rsid w:val="00CF3220"/>
    <w:rsid w:val="00D92196"/>
    <w:rsid w:val="00DB04C5"/>
    <w:rsid w:val="00DB1CC7"/>
    <w:rsid w:val="00E522EB"/>
    <w:rsid w:val="00EA59F0"/>
    <w:rsid w:val="00ED3BCE"/>
    <w:rsid w:val="00ED5514"/>
    <w:rsid w:val="00EE5E3F"/>
    <w:rsid w:val="00F30513"/>
    <w:rsid w:val="00F34EDF"/>
    <w:rsid w:val="00F74E49"/>
    <w:rsid w:val="00F75463"/>
    <w:rsid w:val="00F7706D"/>
    <w:rsid w:val="00F82A80"/>
    <w:rsid w:val="00F83414"/>
    <w:rsid w:val="00FE3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5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E66"/>
  </w:style>
  <w:style w:type="paragraph" w:styleId="Footer">
    <w:name w:val="footer"/>
    <w:basedOn w:val="Normal"/>
    <w:link w:val="FooterChar"/>
    <w:uiPriority w:val="99"/>
    <w:unhideWhenUsed/>
    <w:rsid w:val="003D5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E66"/>
  </w:style>
  <w:style w:type="paragraph" w:styleId="NormalWeb">
    <w:name w:val="Normal (Web)"/>
    <w:basedOn w:val="Normal"/>
    <w:uiPriority w:val="99"/>
    <w:unhideWhenUsed/>
    <w:rsid w:val="006756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634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4CD"/>
    <w:rPr>
      <w:rFonts w:ascii="Tahoma" w:hAnsi="Tahoma" w:cs="Tahoma"/>
      <w:sz w:val="16"/>
      <w:szCs w:val="16"/>
    </w:rPr>
  </w:style>
  <w:style w:type="paragraph" w:styleId="Caption">
    <w:name w:val="caption"/>
    <w:basedOn w:val="Normal"/>
    <w:next w:val="Normal"/>
    <w:uiPriority w:val="35"/>
    <w:unhideWhenUsed/>
    <w:qFormat/>
    <w:rsid w:val="00784B80"/>
    <w:pPr>
      <w:spacing w:line="240" w:lineRule="auto"/>
    </w:pPr>
    <w:rPr>
      <w:b/>
      <w:bCs/>
      <w:color w:val="4F81BD" w:themeColor="accent1"/>
      <w:sz w:val="18"/>
      <w:szCs w:val="18"/>
    </w:rPr>
  </w:style>
  <w:style w:type="paragraph" w:styleId="ListParagraph">
    <w:name w:val="List Paragraph"/>
    <w:basedOn w:val="Normal"/>
    <w:uiPriority w:val="34"/>
    <w:qFormat/>
    <w:rsid w:val="009602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5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E66"/>
  </w:style>
  <w:style w:type="paragraph" w:styleId="Footer">
    <w:name w:val="footer"/>
    <w:basedOn w:val="Normal"/>
    <w:link w:val="FooterChar"/>
    <w:uiPriority w:val="99"/>
    <w:unhideWhenUsed/>
    <w:rsid w:val="003D5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E66"/>
  </w:style>
  <w:style w:type="paragraph" w:styleId="NormalWeb">
    <w:name w:val="Normal (Web)"/>
    <w:basedOn w:val="Normal"/>
    <w:uiPriority w:val="99"/>
    <w:unhideWhenUsed/>
    <w:rsid w:val="0067564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634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4CD"/>
    <w:rPr>
      <w:rFonts w:ascii="Tahoma" w:hAnsi="Tahoma" w:cs="Tahoma"/>
      <w:sz w:val="16"/>
      <w:szCs w:val="16"/>
    </w:rPr>
  </w:style>
  <w:style w:type="paragraph" w:styleId="Caption">
    <w:name w:val="caption"/>
    <w:basedOn w:val="Normal"/>
    <w:next w:val="Normal"/>
    <w:uiPriority w:val="35"/>
    <w:unhideWhenUsed/>
    <w:qFormat/>
    <w:rsid w:val="00784B80"/>
    <w:pPr>
      <w:spacing w:line="240" w:lineRule="auto"/>
    </w:pPr>
    <w:rPr>
      <w:b/>
      <w:bCs/>
      <w:color w:val="4F81BD" w:themeColor="accent1"/>
      <w:sz w:val="18"/>
      <w:szCs w:val="18"/>
    </w:rPr>
  </w:style>
  <w:style w:type="paragraph" w:styleId="ListParagraph">
    <w:name w:val="List Paragraph"/>
    <w:basedOn w:val="Normal"/>
    <w:uiPriority w:val="34"/>
    <w:qFormat/>
    <w:rsid w:val="009602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88607">
      <w:bodyDiv w:val="1"/>
      <w:marLeft w:val="0"/>
      <w:marRight w:val="0"/>
      <w:marTop w:val="0"/>
      <w:marBottom w:val="0"/>
      <w:divBdr>
        <w:top w:val="none" w:sz="0" w:space="0" w:color="auto"/>
        <w:left w:val="none" w:sz="0" w:space="0" w:color="auto"/>
        <w:bottom w:val="none" w:sz="0" w:space="0" w:color="auto"/>
        <w:right w:val="none" w:sz="0" w:space="0" w:color="auto"/>
      </w:divBdr>
    </w:div>
    <w:div w:id="119616455">
      <w:bodyDiv w:val="1"/>
      <w:marLeft w:val="0"/>
      <w:marRight w:val="0"/>
      <w:marTop w:val="0"/>
      <w:marBottom w:val="0"/>
      <w:divBdr>
        <w:top w:val="none" w:sz="0" w:space="0" w:color="auto"/>
        <w:left w:val="none" w:sz="0" w:space="0" w:color="auto"/>
        <w:bottom w:val="none" w:sz="0" w:space="0" w:color="auto"/>
        <w:right w:val="none" w:sz="0" w:space="0" w:color="auto"/>
      </w:divBdr>
    </w:div>
    <w:div w:id="126824613">
      <w:bodyDiv w:val="1"/>
      <w:marLeft w:val="0"/>
      <w:marRight w:val="0"/>
      <w:marTop w:val="0"/>
      <w:marBottom w:val="0"/>
      <w:divBdr>
        <w:top w:val="none" w:sz="0" w:space="0" w:color="auto"/>
        <w:left w:val="none" w:sz="0" w:space="0" w:color="auto"/>
        <w:bottom w:val="none" w:sz="0" w:space="0" w:color="auto"/>
        <w:right w:val="none" w:sz="0" w:space="0" w:color="auto"/>
      </w:divBdr>
    </w:div>
    <w:div w:id="221067239">
      <w:bodyDiv w:val="1"/>
      <w:marLeft w:val="0"/>
      <w:marRight w:val="0"/>
      <w:marTop w:val="0"/>
      <w:marBottom w:val="0"/>
      <w:divBdr>
        <w:top w:val="none" w:sz="0" w:space="0" w:color="auto"/>
        <w:left w:val="none" w:sz="0" w:space="0" w:color="auto"/>
        <w:bottom w:val="none" w:sz="0" w:space="0" w:color="auto"/>
        <w:right w:val="none" w:sz="0" w:space="0" w:color="auto"/>
      </w:divBdr>
    </w:div>
    <w:div w:id="221603296">
      <w:bodyDiv w:val="1"/>
      <w:marLeft w:val="0"/>
      <w:marRight w:val="0"/>
      <w:marTop w:val="0"/>
      <w:marBottom w:val="0"/>
      <w:divBdr>
        <w:top w:val="none" w:sz="0" w:space="0" w:color="auto"/>
        <w:left w:val="none" w:sz="0" w:space="0" w:color="auto"/>
        <w:bottom w:val="none" w:sz="0" w:space="0" w:color="auto"/>
        <w:right w:val="none" w:sz="0" w:space="0" w:color="auto"/>
      </w:divBdr>
    </w:div>
    <w:div w:id="231157822">
      <w:bodyDiv w:val="1"/>
      <w:marLeft w:val="0"/>
      <w:marRight w:val="0"/>
      <w:marTop w:val="0"/>
      <w:marBottom w:val="0"/>
      <w:divBdr>
        <w:top w:val="none" w:sz="0" w:space="0" w:color="auto"/>
        <w:left w:val="none" w:sz="0" w:space="0" w:color="auto"/>
        <w:bottom w:val="none" w:sz="0" w:space="0" w:color="auto"/>
        <w:right w:val="none" w:sz="0" w:space="0" w:color="auto"/>
      </w:divBdr>
    </w:div>
    <w:div w:id="239948325">
      <w:bodyDiv w:val="1"/>
      <w:marLeft w:val="0"/>
      <w:marRight w:val="0"/>
      <w:marTop w:val="0"/>
      <w:marBottom w:val="0"/>
      <w:divBdr>
        <w:top w:val="none" w:sz="0" w:space="0" w:color="auto"/>
        <w:left w:val="none" w:sz="0" w:space="0" w:color="auto"/>
        <w:bottom w:val="none" w:sz="0" w:space="0" w:color="auto"/>
        <w:right w:val="none" w:sz="0" w:space="0" w:color="auto"/>
      </w:divBdr>
    </w:div>
    <w:div w:id="398863408">
      <w:bodyDiv w:val="1"/>
      <w:marLeft w:val="0"/>
      <w:marRight w:val="0"/>
      <w:marTop w:val="0"/>
      <w:marBottom w:val="0"/>
      <w:divBdr>
        <w:top w:val="none" w:sz="0" w:space="0" w:color="auto"/>
        <w:left w:val="none" w:sz="0" w:space="0" w:color="auto"/>
        <w:bottom w:val="none" w:sz="0" w:space="0" w:color="auto"/>
        <w:right w:val="none" w:sz="0" w:space="0" w:color="auto"/>
      </w:divBdr>
    </w:div>
    <w:div w:id="512232447">
      <w:bodyDiv w:val="1"/>
      <w:marLeft w:val="0"/>
      <w:marRight w:val="0"/>
      <w:marTop w:val="0"/>
      <w:marBottom w:val="0"/>
      <w:divBdr>
        <w:top w:val="none" w:sz="0" w:space="0" w:color="auto"/>
        <w:left w:val="none" w:sz="0" w:space="0" w:color="auto"/>
        <w:bottom w:val="none" w:sz="0" w:space="0" w:color="auto"/>
        <w:right w:val="none" w:sz="0" w:space="0" w:color="auto"/>
      </w:divBdr>
    </w:div>
    <w:div w:id="640426327">
      <w:bodyDiv w:val="1"/>
      <w:marLeft w:val="0"/>
      <w:marRight w:val="0"/>
      <w:marTop w:val="0"/>
      <w:marBottom w:val="0"/>
      <w:divBdr>
        <w:top w:val="none" w:sz="0" w:space="0" w:color="auto"/>
        <w:left w:val="none" w:sz="0" w:space="0" w:color="auto"/>
        <w:bottom w:val="none" w:sz="0" w:space="0" w:color="auto"/>
        <w:right w:val="none" w:sz="0" w:space="0" w:color="auto"/>
      </w:divBdr>
    </w:div>
    <w:div w:id="674725107">
      <w:bodyDiv w:val="1"/>
      <w:marLeft w:val="0"/>
      <w:marRight w:val="0"/>
      <w:marTop w:val="0"/>
      <w:marBottom w:val="0"/>
      <w:divBdr>
        <w:top w:val="none" w:sz="0" w:space="0" w:color="auto"/>
        <w:left w:val="none" w:sz="0" w:space="0" w:color="auto"/>
        <w:bottom w:val="none" w:sz="0" w:space="0" w:color="auto"/>
        <w:right w:val="none" w:sz="0" w:space="0" w:color="auto"/>
      </w:divBdr>
    </w:div>
    <w:div w:id="719213248">
      <w:bodyDiv w:val="1"/>
      <w:marLeft w:val="0"/>
      <w:marRight w:val="0"/>
      <w:marTop w:val="0"/>
      <w:marBottom w:val="0"/>
      <w:divBdr>
        <w:top w:val="none" w:sz="0" w:space="0" w:color="auto"/>
        <w:left w:val="none" w:sz="0" w:space="0" w:color="auto"/>
        <w:bottom w:val="none" w:sz="0" w:space="0" w:color="auto"/>
        <w:right w:val="none" w:sz="0" w:space="0" w:color="auto"/>
      </w:divBdr>
    </w:div>
    <w:div w:id="937251274">
      <w:bodyDiv w:val="1"/>
      <w:marLeft w:val="0"/>
      <w:marRight w:val="0"/>
      <w:marTop w:val="0"/>
      <w:marBottom w:val="0"/>
      <w:divBdr>
        <w:top w:val="none" w:sz="0" w:space="0" w:color="auto"/>
        <w:left w:val="none" w:sz="0" w:space="0" w:color="auto"/>
        <w:bottom w:val="none" w:sz="0" w:space="0" w:color="auto"/>
        <w:right w:val="none" w:sz="0" w:space="0" w:color="auto"/>
      </w:divBdr>
    </w:div>
    <w:div w:id="1459951795">
      <w:bodyDiv w:val="1"/>
      <w:marLeft w:val="0"/>
      <w:marRight w:val="0"/>
      <w:marTop w:val="0"/>
      <w:marBottom w:val="0"/>
      <w:divBdr>
        <w:top w:val="none" w:sz="0" w:space="0" w:color="auto"/>
        <w:left w:val="none" w:sz="0" w:space="0" w:color="auto"/>
        <w:bottom w:val="none" w:sz="0" w:space="0" w:color="auto"/>
        <w:right w:val="none" w:sz="0" w:space="0" w:color="auto"/>
      </w:divBdr>
    </w:div>
    <w:div w:id="1469592108">
      <w:bodyDiv w:val="1"/>
      <w:marLeft w:val="0"/>
      <w:marRight w:val="0"/>
      <w:marTop w:val="0"/>
      <w:marBottom w:val="0"/>
      <w:divBdr>
        <w:top w:val="none" w:sz="0" w:space="0" w:color="auto"/>
        <w:left w:val="none" w:sz="0" w:space="0" w:color="auto"/>
        <w:bottom w:val="none" w:sz="0" w:space="0" w:color="auto"/>
        <w:right w:val="none" w:sz="0" w:space="0" w:color="auto"/>
      </w:divBdr>
    </w:div>
    <w:div w:id="1500729581">
      <w:bodyDiv w:val="1"/>
      <w:marLeft w:val="0"/>
      <w:marRight w:val="0"/>
      <w:marTop w:val="0"/>
      <w:marBottom w:val="0"/>
      <w:divBdr>
        <w:top w:val="none" w:sz="0" w:space="0" w:color="auto"/>
        <w:left w:val="none" w:sz="0" w:space="0" w:color="auto"/>
        <w:bottom w:val="none" w:sz="0" w:space="0" w:color="auto"/>
        <w:right w:val="none" w:sz="0" w:space="0" w:color="auto"/>
      </w:divBdr>
    </w:div>
    <w:div w:id="1516922665">
      <w:bodyDiv w:val="1"/>
      <w:marLeft w:val="0"/>
      <w:marRight w:val="0"/>
      <w:marTop w:val="0"/>
      <w:marBottom w:val="0"/>
      <w:divBdr>
        <w:top w:val="none" w:sz="0" w:space="0" w:color="auto"/>
        <w:left w:val="none" w:sz="0" w:space="0" w:color="auto"/>
        <w:bottom w:val="none" w:sz="0" w:space="0" w:color="auto"/>
        <w:right w:val="none" w:sz="0" w:space="0" w:color="auto"/>
      </w:divBdr>
    </w:div>
    <w:div w:id="1542127902">
      <w:bodyDiv w:val="1"/>
      <w:marLeft w:val="0"/>
      <w:marRight w:val="0"/>
      <w:marTop w:val="0"/>
      <w:marBottom w:val="0"/>
      <w:divBdr>
        <w:top w:val="none" w:sz="0" w:space="0" w:color="auto"/>
        <w:left w:val="none" w:sz="0" w:space="0" w:color="auto"/>
        <w:bottom w:val="none" w:sz="0" w:space="0" w:color="auto"/>
        <w:right w:val="none" w:sz="0" w:space="0" w:color="auto"/>
      </w:divBdr>
    </w:div>
    <w:div w:id="1614701705">
      <w:bodyDiv w:val="1"/>
      <w:marLeft w:val="0"/>
      <w:marRight w:val="0"/>
      <w:marTop w:val="0"/>
      <w:marBottom w:val="0"/>
      <w:divBdr>
        <w:top w:val="none" w:sz="0" w:space="0" w:color="auto"/>
        <w:left w:val="none" w:sz="0" w:space="0" w:color="auto"/>
        <w:bottom w:val="none" w:sz="0" w:space="0" w:color="auto"/>
        <w:right w:val="none" w:sz="0" w:space="0" w:color="auto"/>
      </w:divBdr>
    </w:div>
    <w:div w:id="1650598001">
      <w:bodyDiv w:val="1"/>
      <w:marLeft w:val="0"/>
      <w:marRight w:val="0"/>
      <w:marTop w:val="0"/>
      <w:marBottom w:val="0"/>
      <w:divBdr>
        <w:top w:val="none" w:sz="0" w:space="0" w:color="auto"/>
        <w:left w:val="none" w:sz="0" w:space="0" w:color="auto"/>
        <w:bottom w:val="none" w:sz="0" w:space="0" w:color="auto"/>
        <w:right w:val="none" w:sz="0" w:space="0" w:color="auto"/>
      </w:divBdr>
    </w:div>
    <w:div w:id="1765345726">
      <w:bodyDiv w:val="1"/>
      <w:marLeft w:val="0"/>
      <w:marRight w:val="0"/>
      <w:marTop w:val="0"/>
      <w:marBottom w:val="0"/>
      <w:divBdr>
        <w:top w:val="none" w:sz="0" w:space="0" w:color="auto"/>
        <w:left w:val="none" w:sz="0" w:space="0" w:color="auto"/>
        <w:bottom w:val="none" w:sz="0" w:space="0" w:color="auto"/>
        <w:right w:val="none" w:sz="0" w:space="0" w:color="auto"/>
      </w:divBdr>
    </w:div>
    <w:div w:id="1956133129">
      <w:bodyDiv w:val="1"/>
      <w:marLeft w:val="0"/>
      <w:marRight w:val="0"/>
      <w:marTop w:val="0"/>
      <w:marBottom w:val="0"/>
      <w:divBdr>
        <w:top w:val="none" w:sz="0" w:space="0" w:color="auto"/>
        <w:left w:val="none" w:sz="0" w:space="0" w:color="auto"/>
        <w:bottom w:val="none" w:sz="0" w:space="0" w:color="auto"/>
        <w:right w:val="none" w:sz="0" w:space="0" w:color="auto"/>
      </w:divBdr>
    </w:div>
    <w:div w:id="1956711060">
      <w:bodyDiv w:val="1"/>
      <w:marLeft w:val="0"/>
      <w:marRight w:val="0"/>
      <w:marTop w:val="0"/>
      <w:marBottom w:val="0"/>
      <w:divBdr>
        <w:top w:val="none" w:sz="0" w:space="0" w:color="auto"/>
        <w:left w:val="none" w:sz="0" w:space="0" w:color="auto"/>
        <w:bottom w:val="none" w:sz="0" w:space="0" w:color="auto"/>
        <w:right w:val="none" w:sz="0" w:space="0" w:color="auto"/>
      </w:divBdr>
    </w:div>
    <w:div w:id="1967808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oey\AppData\Roaming\Microsoft\Excel\Book1%20(version%201).xlsb"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oey\Desktop\Research%20project\Book1%20(Autosav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0"/>
    <c:plotArea>
      <c:layout/>
      <c:barChart>
        <c:barDir val="col"/>
        <c:grouping val="clustered"/>
        <c:varyColors val="0"/>
        <c:ser>
          <c:idx val="0"/>
          <c:order val="0"/>
          <c:tx>
            <c:strRef>
              <c:f>Sheet1!$C$2</c:f>
              <c:strCache>
                <c:ptCount val="1"/>
                <c:pt idx="0">
                  <c:v>strongly disagree</c:v>
                </c:pt>
              </c:strCache>
            </c:strRef>
          </c:tx>
          <c:invertIfNegative val="0"/>
          <c:cat>
            <c:strRef>
              <c:f>Sheet1!$B$3:$B$12</c:f>
              <c:strCache>
                <c:ptCount val="10"/>
                <c:pt idx="0">
                  <c:v>Q.1</c:v>
                </c:pt>
                <c:pt idx="1">
                  <c:v>Q.2</c:v>
                </c:pt>
                <c:pt idx="2">
                  <c:v>Q.3</c:v>
                </c:pt>
                <c:pt idx="3">
                  <c:v>Q.4</c:v>
                </c:pt>
                <c:pt idx="4">
                  <c:v>Q.5</c:v>
                </c:pt>
                <c:pt idx="5">
                  <c:v>Q.6</c:v>
                </c:pt>
                <c:pt idx="6">
                  <c:v>Q.7</c:v>
                </c:pt>
                <c:pt idx="7">
                  <c:v>Q.8</c:v>
                </c:pt>
                <c:pt idx="8">
                  <c:v>Q.9</c:v>
                </c:pt>
                <c:pt idx="9">
                  <c:v>Q.10</c:v>
                </c:pt>
              </c:strCache>
            </c:strRef>
          </c:cat>
          <c:val>
            <c:numRef>
              <c:f>Sheet1!$C$3:$C$12</c:f>
              <c:numCache>
                <c:formatCode>General</c:formatCode>
                <c:ptCount val="10"/>
                <c:pt idx="6">
                  <c:v>2</c:v>
                </c:pt>
              </c:numCache>
            </c:numRef>
          </c:val>
        </c:ser>
        <c:ser>
          <c:idx val="1"/>
          <c:order val="1"/>
          <c:tx>
            <c:strRef>
              <c:f>Sheet1!$D$2</c:f>
              <c:strCache>
                <c:ptCount val="1"/>
                <c:pt idx="0">
                  <c:v>Disagree</c:v>
                </c:pt>
              </c:strCache>
            </c:strRef>
          </c:tx>
          <c:invertIfNegative val="0"/>
          <c:cat>
            <c:strRef>
              <c:f>Sheet1!$B$3:$B$12</c:f>
              <c:strCache>
                <c:ptCount val="10"/>
                <c:pt idx="0">
                  <c:v>Q.1</c:v>
                </c:pt>
                <c:pt idx="1">
                  <c:v>Q.2</c:v>
                </c:pt>
                <c:pt idx="2">
                  <c:v>Q.3</c:v>
                </c:pt>
                <c:pt idx="3">
                  <c:v>Q.4</c:v>
                </c:pt>
                <c:pt idx="4">
                  <c:v>Q.5</c:v>
                </c:pt>
                <c:pt idx="5">
                  <c:v>Q.6</c:v>
                </c:pt>
                <c:pt idx="6">
                  <c:v>Q.7</c:v>
                </c:pt>
                <c:pt idx="7">
                  <c:v>Q.8</c:v>
                </c:pt>
                <c:pt idx="8">
                  <c:v>Q.9</c:v>
                </c:pt>
                <c:pt idx="9">
                  <c:v>Q.10</c:v>
                </c:pt>
              </c:strCache>
            </c:strRef>
          </c:cat>
          <c:val>
            <c:numRef>
              <c:f>Sheet1!$D$3:$D$12</c:f>
              <c:numCache>
                <c:formatCode>General</c:formatCode>
                <c:ptCount val="10"/>
                <c:pt idx="3">
                  <c:v>1</c:v>
                </c:pt>
                <c:pt idx="5">
                  <c:v>1</c:v>
                </c:pt>
                <c:pt idx="6">
                  <c:v>2</c:v>
                </c:pt>
              </c:numCache>
            </c:numRef>
          </c:val>
        </c:ser>
        <c:ser>
          <c:idx val="2"/>
          <c:order val="2"/>
          <c:tx>
            <c:strRef>
              <c:f>Sheet1!$E$2</c:f>
              <c:strCache>
                <c:ptCount val="1"/>
                <c:pt idx="0">
                  <c:v>Neutral</c:v>
                </c:pt>
              </c:strCache>
            </c:strRef>
          </c:tx>
          <c:invertIfNegative val="0"/>
          <c:cat>
            <c:strRef>
              <c:f>Sheet1!$B$3:$B$12</c:f>
              <c:strCache>
                <c:ptCount val="10"/>
                <c:pt idx="0">
                  <c:v>Q.1</c:v>
                </c:pt>
                <c:pt idx="1">
                  <c:v>Q.2</c:v>
                </c:pt>
                <c:pt idx="2">
                  <c:v>Q.3</c:v>
                </c:pt>
                <c:pt idx="3">
                  <c:v>Q.4</c:v>
                </c:pt>
                <c:pt idx="4">
                  <c:v>Q.5</c:v>
                </c:pt>
                <c:pt idx="5">
                  <c:v>Q.6</c:v>
                </c:pt>
                <c:pt idx="6">
                  <c:v>Q.7</c:v>
                </c:pt>
                <c:pt idx="7">
                  <c:v>Q.8</c:v>
                </c:pt>
                <c:pt idx="8">
                  <c:v>Q.9</c:v>
                </c:pt>
                <c:pt idx="9">
                  <c:v>Q.10</c:v>
                </c:pt>
              </c:strCache>
            </c:strRef>
          </c:cat>
          <c:val>
            <c:numRef>
              <c:f>Sheet1!$E$3:$E$12</c:f>
              <c:numCache>
                <c:formatCode>General</c:formatCode>
                <c:ptCount val="10"/>
                <c:pt idx="0">
                  <c:v>1</c:v>
                </c:pt>
                <c:pt idx="1">
                  <c:v>2</c:v>
                </c:pt>
                <c:pt idx="2">
                  <c:v>0</c:v>
                </c:pt>
                <c:pt idx="3">
                  <c:v>5</c:v>
                </c:pt>
                <c:pt idx="4">
                  <c:v>4</c:v>
                </c:pt>
                <c:pt idx="5">
                  <c:v>3</c:v>
                </c:pt>
                <c:pt idx="6">
                  <c:v>13</c:v>
                </c:pt>
                <c:pt idx="7">
                  <c:v>8</c:v>
                </c:pt>
                <c:pt idx="8">
                  <c:v>3</c:v>
                </c:pt>
                <c:pt idx="9">
                  <c:v>3</c:v>
                </c:pt>
              </c:numCache>
            </c:numRef>
          </c:val>
        </c:ser>
        <c:ser>
          <c:idx val="3"/>
          <c:order val="3"/>
          <c:tx>
            <c:strRef>
              <c:f>Sheet1!$F$2</c:f>
              <c:strCache>
                <c:ptCount val="1"/>
                <c:pt idx="0">
                  <c:v>Agree</c:v>
                </c:pt>
              </c:strCache>
            </c:strRef>
          </c:tx>
          <c:invertIfNegative val="0"/>
          <c:cat>
            <c:strRef>
              <c:f>Sheet1!$B$3:$B$12</c:f>
              <c:strCache>
                <c:ptCount val="10"/>
                <c:pt idx="0">
                  <c:v>Q.1</c:v>
                </c:pt>
                <c:pt idx="1">
                  <c:v>Q.2</c:v>
                </c:pt>
                <c:pt idx="2">
                  <c:v>Q.3</c:v>
                </c:pt>
                <c:pt idx="3">
                  <c:v>Q.4</c:v>
                </c:pt>
                <c:pt idx="4">
                  <c:v>Q.5</c:v>
                </c:pt>
                <c:pt idx="5">
                  <c:v>Q.6</c:v>
                </c:pt>
                <c:pt idx="6">
                  <c:v>Q.7</c:v>
                </c:pt>
                <c:pt idx="7">
                  <c:v>Q.8</c:v>
                </c:pt>
                <c:pt idx="8">
                  <c:v>Q.9</c:v>
                </c:pt>
                <c:pt idx="9">
                  <c:v>Q.10</c:v>
                </c:pt>
              </c:strCache>
            </c:strRef>
          </c:cat>
          <c:val>
            <c:numRef>
              <c:f>Sheet1!$F$3:$F$12</c:f>
              <c:numCache>
                <c:formatCode>General</c:formatCode>
                <c:ptCount val="10"/>
                <c:pt idx="0">
                  <c:v>19</c:v>
                </c:pt>
                <c:pt idx="1">
                  <c:v>6</c:v>
                </c:pt>
                <c:pt idx="2">
                  <c:v>2</c:v>
                </c:pt>
                <c:pt idx="3">
                  <c:v>14</c:v>
                </c:pt>
                <c:pt idx="4">
                  <c:v>9</c:v>
                </c:pt>
                <c:pt idx="5">
                  <c:v>5</c:v>
                </c:pt>
                <c:pt idx="6">
                  <c:v>3</c:v>
                </c:pt>
                <c:pt idx="7">
                  <c:v>8</c:v>
                </c:pt>
                <c:pt idx="8">
                  <c:v>3</c:v>
                </c:pt>
                <c:pt idx="9">
                  <c:v>6</c:v>
                </c:pt>
              </c:numCache>
            </c:numRef>
          </c:val>
        </c:ser>
        <c:ser>
          <c:idx val="4"/>
          <c:order val="4"/>
          <c:tx>
            <c:strRef>
              <c:f>Sheet1!$G$2</c:f>
              <c:strCache>
                <c:ptCount val="1"/>
                <c:pt idx="0">
                  <c:v>Strongly Agree</c:v>
                </c:pt>
              </c:strCache>
            </c:strRef>
          </c:tx>
          <c:invertIfNegative val="0"/>
          <c:cat>
            <c:strRef>
              <c:f>Sheet1!$B$3:$B$12</c:f>
              <c:strCache>
                <c:ptCount val="10"/>
                <c:pt idx="0">
                  <c:v>Q.1</c:v>
                </c:pt>
                <c:pt idx="1">
                  <c:v>Q.2</c:v>
                </c:pt>
                <c:pt idx="2">
                  <c:v>Q.3</c:v>
                </c:pt>
                <c:pt idx="3">
                  <c:v>Q.4</c:v>
                </c:pt>
                <c:pt idx="4">
                  <c:v>Q.5</c:v>
                </c:pt>
                <c:pt idx="5">
                  <c:v>Q.6</c:v>
                </c:pt>
                <c:pt idx="6">
                  <c:v>Q.7</c:v>
                </c:pt>
                <c:pt idx="7">
                  <c:v>Q.8</c:v>
                </c:pt>
                <c:pt idx="8">
                  <c:v>Q.9</c:v>
                </c:pt>
                <c:pt idx="9">
                  <c:v>Q.10</c:v>
                </c:pt>
              </c:strCache>
            </c:strRef>
          </c:cat>
          <c:val>
            <c:numRef>
              <c:f>Sheet1!$G$3:$G$12</c:f>
              <c:numCache>
                <c:formatCode>General</c:formatCode>
                <c:ptCount val="10"/>
                <c:pt idx="0">
                  <c:v>0</c:v>
                </c:pt>
                <c:pt idx="1">
                  <c:v>12</c:v>
                </c:pt>
                <c:pt idx="2">
                  <c:v>18</c:v>
                </c:pt>
                <c:pt idx="3">
                  <c:v>0</c:v>
                </c:pt>
                <c:pt idx="4">
                  <c:v>7</c:v>
                </c:pt>
                <c:pt idx="5">
                  <c:v>11</c:v>
                </c:pt>
                <c:pt idx="6">
                  <c:v>0</c:v>
                </c:pt>
                <c:pt idx="7">
                  <c:v>4</c:v>
                </c:pt>
                <c:pt idx="8">
                  <c:v>14</c:v>
                </c:pt>
                <c:pt idx="9">
                  <c:v>11</c:v>
                </c:pt>
              </c:numCache>
            </c:numRef>
          </c:val>
        </c:ser>
        <c:dLbls>
          <c:dLblPos val="outEnd"/>
          <c:showLegendKey val="0"/>
          <c:showVal val="1"/>
          <c:showCatName val="0"/>
          <c:showSerName val="0"/>
          <c:showPercent val="0"/>
          <c:showBubbleSize val="0"/>
        </c:dLbls>
        <c:gapWidth val="150"/>
        <c:axId val="260589056"/>
        <c:axId val="260645248"/>
      </c:barChart>
      <c:catAx>
        <c:axId val="260589056"/>
        <c:scaling>
          <c:orientation val="minMax"/>
        </c:scaling>
        <c:delete val="0"/>
        <c:axPos val="b"/>
        <c:majorTickMark val="out"/>
        <c:minorTickMark val="none"/>
        <c:tickLblPos val="nextTo"/>
        <c:crossAx val="260645248"/>
        <c:crosses val="autoZero"/>
        <c:auto val="1"/>
        <c:lblAlgn val="ctr"/>
        <c:lblOffset val="100"/>
        <c:noMultiLvlLbl val="0"/>
      </c:catAx>
      <c:valAx>
        <c:axId val="260645248"/>
        <c:scaling>
          <c:orientation val="minMax"/>
        </c:scaling>
        <c:delete val="0"/>
        <c:axPos val="l"/>
        <c:majorGridlines/>
        <c:numFmt formatCode="General" sourceLinked="1"/>
        <c:majorTickMark val="out"/>
        <c:minorTickMark val="none"/>
        <c:tickLblPos val="nextTo"/>
        <c:crossAx val="260589056"/>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2"/>
    </mc:Choice>
    <mc:Fallback>
      <c:style val="12"/>
    </mc:Fallback>
  </mc:AlternateContent>
  <c:chart>
    <c:title>
      <c:overlay val="0"/>
    </c:title>
    <c:autoTitleDeleted val="0"/>
    <c:plotArea>
      <c:layout/>
      <c:barChart>
        <c:barDir val="col"/>
        <c:grouping val="clustered"/>
        <c:varyColors val="0"/>
        <c:ser>
          <c:idx val="0"/>
          <c:order val="0"/>
          <c:tx>
            <c:strRef>
              <c:f>Sheet1!$C$16</c:f>
              <c:strCache>
                <c:ptCount val="1"/>
                <c:pt idx="0">
                  <c:v>Similar Answers (%)</c:v>
                </c:pt>
              </c:strCache>
            </c:strRef>
          </c:tx>
          <c:invertIfNegative val="0"/>
          <c:cat>
            <c:strRef>
              <c:f>Sheet1!$B$17:$B$24</c:f>
              <c:strCache>
                <c:ptCount val="8"/>
                <c:pt idx="0">
                  <c:v>Q1</c:v>
                </c:pt>
                <c:pt idx="1">
                  <c:v>Q2</c:v>
                </c:pt>
                <c:pt idx="2">
                  <c:v>Q3</c:v>
                </c:pt>
                <c:pt idx="3">
                  <c:v>Q4</c:v>
                </c:pt>
                <c:pt idx="4">
                  <c:v>Q5</c:v>
                </c:pt>
                <c:pt idx="5">
                  <c:v>Q6</c:v>
                </c:pt>
                <c:pt idx="6">
                  <c:v>Q7</c:v>
                </c:pt>
                <c:pt idx="7">
                  <c:v>Q8</c:v>
                </c:pt>
              </c:strCache>
            </c:strRef>
          </c:cat>
          <c:val>
            <c:numRef>
              <c:f>Sheet1!$C$17:$C$24</c:f>
              <c:numCache>
                <c:formatCode>General</c:formatCode>
                <c:ptCount val="8"/>
                <c:pt idx="0">
                  <c:v>100</c:v>
                </c:pt>
                <c:pt idx="1">
                  <c:v>60</c:v>
                </c:pt>
                <c:pt idx="2">
                  <c:v>40</c:v>
                </c:pt>
                <c:pt idx="3">
                  <c:v>40</c:v>
                </c:pt>
                <c:pt idx="4">
                  <c:v>80</c:v>
                </c:pt>
                <c:pt idx="5">
                  <c:v>60</c:v>
                </c:pt>
                <c:pt idx="6">
                  <c:v>60</c:v>
                </c:pt>
                <c:pt idx="7">
                  <c:v>80</c:v>
                </c:pt>
              </c:numCache>
            </c:numRef>
          </c:val>
        </c:ser>
        <c:dLbls>
          <c:showLegendKey val="0"/>
          <c:showVal val="0"/>
          <c:showCatName val="0"/>
          <c:showSerName val="0"/>
          <c:showPercent val="0"/>
          <c:showBubbleSize val="0"/>
        </c:dLbls>
        <c:gapWidth val="150"/>
        <c:axId val="279229184"/>
        <c:axId val="279231104"/>
      </c:barChart>
      <c:catAx>
        <c:axId val="279229184"/>
        <c:scaling>
          <c:orientation val="minMax"/>
        </c:scaling>
        <c:delete val="0"/>
        <c:axPos val="b"/>
        <c:majorTickMark val="out"/>
        <c:minorTickMark val="none"/>
        <c:tickLblPos val="nextTo"/>
        <c:crossAx val="279231104"/>
        <c:crosses val="autoZero"/>
        <c:auto val="1"/>
        <c:lblAlgn val="ctr"/>
        <c:lblOffset val="100"/>
        <c:noMultiLvlLbl val="0"/>
      </c:catAx>
      <c:valAx>
        <c:axId val="279231104"/>
        <c:scaling>
          <c:orientation val="minMax"/>
        </c:scaling>
        <c:delete val="0"/>
        <c:axPos val="l"/>
        <c:majorGridlines/>
        <c:numFmt formatCode="General" sourceLinked="1"/>
        <c:majorTickMark val="out"/>
        <c:minorTickMark val="none"/>
        <c:tickLblPos val="nextTo"/>
        <c:crossAx val="279229184"/>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D3B9D-DEF4-4D0A-A1F1-51746B97B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5677</Words>
  <Characters>32365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Joey</dc:creator>
  <cp:lastModifiedBy>Joey</cp:lastModifiedBy>
  <cp:revision>2</cp:revision>
  <dcterms:created xsi:type="dcterms:W3CDTF">2024-05-14T21:41:00Z</dcterms:created>
  <dcterms:modified xsi:type="dcterms:W3CDTF">2024-05-14T21:41:00Z</dcterms:modified>
</cp:coreProperties>
</file>