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259" w:lineRule="auto"/>
        <w:ind w:left="-5" w:right="0" w:firstLine="0"/>
        <w:rPr/>
      </w:pPr>
      <w:r w:rsidDel="00000000" w:rsidR="00000000" w:rsidRPr="00000000">
        <w:rPr>
          <w:b w:val="1"/>
          <w:sz w:val="32"/>
          <w:szCs w:val="32"/>
          <w:rtl w:val="0"/>
        </w:rPr>
        <w:t xml:space="preserve">COURSE: Personal Academic and Professional Development</w:t>
      </w:r>
      <w:r w:rsidDel="00000000" w:rsidR="00000000" w:rsidRPr="00000000">
        <w:rPr>
          <w:rtl w:val="0"/>
        </w:rPr>
      </w:r>
    </w:p>
    <w:p w:rsidR="00000000" w:rsidDel="00000000" w:rsidP="00000000" w:rsidRDefault="00000000" w:rsidRPr="00000000" w14:paraId="00000002">
      <w:pPr>
        <w:spacing w:after="205" w:line="259" w:lineRule="auto"/>
        <w:ind w:left="3049" w:right="0" w:firstLine="0"/>
        <w:rPr/>
      </w:pPr>
      <w:r w:rsidDel="00000000" w:rsidR="00000000" w:rsidRPr="00000000">
        <w:rPr>
          <w:b w:val="1"/>
          <w:sz w:val="32"/>
          <w:szCs w:val="32"/>
          <w:rtl w:val="0"/>
        </w:rPr>
        <w:t xml:space="preserve">(BMNS4015)</w:t>
      </w:r>
      <w:r w:rsidDel="00000000" w:rsidR="00000000" w:rsidRPr="00000000">
        <w:rPr>
          <w:rtl w:val="0"/>
        </w:rPr>
      </w:r>
    </w:p>
    <w:p w:rsidR="00000000" w:rsidDel="00000000" w:rsidP="00000000" w:rsidRDefault="00000000" w:rsidRPr="00000000" w14:paraId="00000003">
      <w:pPr>
        <w:tabs>
          <w:tab w:val="center" w:leader="none" w:pos="957"/>
          <w:tab w:val="center" w:leader="none" w:pos="4350"/>
        </w:tabs>
        <w:spacing w:after="205" w:line="259" w:lineRule="auto"/>
        <w:ind w:left="0" w:right="0" w:firstLine="0"/>
        <w:rPr/>
      </w:pPr>
      <w:r w:rsidDel="00000000" w:rsidR="00000000" w:rsidRPr="00000000">
        <w:rPr>
          <w:rFonts w:ascii="Calibri" w:cs="Calibri" w:eastAsia="Calibri" w:hAnsi="Calibri"/>
          <w:sz w:val="22"/>
          <w:szCs w:val="22"/>
          <w:rtl w:val="0"/>
        </w:rPr>
        <w:tab/>
      </w:r>
      <w:r w:rsidDel="00000000" w:rsidR="00000000" w:rsidRPr="00000000">
        <w:rPr>
          <w:b w:val="1"/>
          <w:sz w:val="32"/>
          <w:szCs w:val="32"/>
          <w:rtl w:val="0"/>
        </w:rPr>
        <w:t xml:space="preserve">TOPIC:</w:t>
        <w:tab/>
        <w:t xml:space="preserve">Reflection on Academic Writing</w:t>
      </w:r>
      <w:r w:rsidDel="00000000" w:rsidR="00000000" w:rsidRPr="00000000">
        <w:rPr>
          <w:rtl w:val="0"/>
        </w:rPr>
      </w:r>
    </w:p>
    <w:p w:rsidR="00000000" w:rsidDel="00000000" w:rsidP="00000000" w:rsidRDefault="00000000" w:rsidRPr="00000000" w14:paraId="00000004">
      <w:pPr>
        <w:spacing w:after="210" w:line="259" w:lineRule="auto"/>
        <w:ind w:right="475"/>
        <w:jc w:val="center"/>
        <w:rPr/>
      </w:pPr>
      <w:r w:rsidDel="00000000" w:rsidR="00000000" w:rsidRPr="00000000">
        <w:rPr>
          <w:b w:val="1"/>
          <w:sz w:val="32"/>
          <w:szCs w:val="32"/>
          <w:rtl w:val="0"/>
        </w:rPr>
        <w:t xml:space="preserve">Name: Sia Koroma</w:t>
      </w:r>
      <w:r w:rsidDel="00000000" w:rsidR="00000000" w:rsidRPr="00000000">
        <w:rPr>
          <w:rtl w:val="0"/>
        </w:rPr>
      </w:r>
    </w:p>
    <w:p w:rsidR="00000000" w:rsidDel="00000000" w:rsidP="00000000" w:rsidRDefault="00000000" w:rsidRPr="00000000" w14:paraId="00000005">
      <w:pPr>
        <w:spacing w:after="91" w:line="259" w:lineRule="auto"/>
        <w:ind w:right="326"/>
        <w:jc w:val="center"/>
        <w:rPr/>
      </w:pPr>
      <w:r w:rsidDel="00000000" w:rsidR="00000000" w:rsidRPr="00000000">
        <w:rPr>
          <w:b w:val="1"/>
          <w:sz w:val="32"/>
          <w:szCs w:val="32"/>
          <w:rtl w:val="0"/>
        </w:rPr>
        <w:t xml:space="preserve">Student ID: 2411195</w:t>
      </w:r>
      <w:r w:rsidDel="00000000" w:rsidR="00000000" w:rsidRPr="00000000">
        <w:rPr>
          <w:rtl w:val="0"/>
        </w:rPr>
      </w:r>
    </w:p>
    <w:p w:rsidR="00000000" w:rsidDel="00000000" w:rsidP="00000000" w:rsidRDefault="00000000" w:rsidRPr="00000000" w14:paraId="00000006">
      <w:pPr>
        <w:pStyle w:val="Heading1"/>
        <w:ind w:left="-5" w:firstLine="0"/>
        <w:rPr/>
      </w:pPr>
      <w:r w:rsidDel="00000000" w:rsidR="00000000" w:rsidRPr="00000000">
        <w:rPr>
          <w:rtl w:val="0"/>
        </w:rPr>
        <w:t xml:space="preserve">INTRODUCTION</w:t>
      </w:r>
    </w:p>
    <w:p w:rsidR="00000000" w:rsidDel="00000000" w:rsidP="00000000" w:rsidRDefault="00000000" w:rsidRPr="00000000" w14:paraId="00000007">
      <w:pPr>
        <w:spacing w:after="133" w:lineRule="auto"/>
        <w:ind w:left="-5" w:right="44" w:firstLine="0"/>
        <w:rPr/>
      </w:pPr>
      <w:r w:rsidDel="00000000" w:rsidR="00000000" w:rsidRPr="00000000">
        <w:rPr>
          <w:rtl w:val="0"/>
        </w:rPr>
        <w:t xml:space="preserve">For professionals and students in a variety of fields, academic writing is a crucial ability. Presenting concepts, arguments, and supporting data in an organised and formal way is part of it. It is both a challenge that demands constant progress and a chance for academic development for many. By highlighting present strengths and pinpointing opportunities for improvement, this SWOT Analysis including (Strengths, Weaknesses, Opportunities, and Threats) seeks to reflect on assessing academic writing talents holistically. While strengths serve as a basis for critical thinking and effective communication, weaknesses draw attention to the areas that need improvement. Opportunities highlight areas for skill growth, while dangers highlight obstacles that could stand in the way of advancement. Through critical analysis of these elements, people can implement techniques to improve their writing skills, which will help them succeed academically and professionally. This research will shed light on individual academic writing habits, allowing for a targeted strategy to improve academic integrity, consistency, and clarity.</w:t>
      </w:r>
    </w:p>
    <w:p w:rsidR="00000000" w:rsidDel="00000000" w:rsidP="00000000" w:rsidRDefault="00000000" w:rsidRPr="00000000" w14:paraId="00000008">
      <w:pPr>
        <w:pStyle w:val="Heading1"/>
        <w:ind w:left="-5" w:firstLine="0"/>
        <w:rPr/>
      </w:pPr>
      <w:r w:rsidDel="00000000" w:rsidR="00000000" w:rsidRPr="00000000">
        <w:rPr>
          <w:rtl w:val="0"/>
        </w:rPr>
        <w:t xml:space="preserve">STRENGTHS</w:t>
      </w:r>
    </w:p>
    <w:p w:rsidR="00000000" w:rsidDel="00000000" w:rsidP="00000000" w:rsidRDefault="00000000" w:rsidRPr="00000000" w14:paraId="00000009">
      <w:pPr>
        <w:ind w:left="-5" w:right="44" w:firstLine="0"/>
        <w:rPr/>
      </w:pPr>
      <w:r w:rsidDel="00000000" w:rsidR="00000000" w:rsidRPr="00000000">
        <w:rPr>
          <w:rtl w:val="0"/>
        </w:rPr>
        <w:t xml:space="preserve">A mix of abilities that enhance a paper's overall impact and clarity is frequently the foundation of effective academic writing.</w:t>
      </w:r>
    </w:p>
    <w:p w:rsidR="00000000" w:rsidDel="00000000" w:rsidP="00000000" w:rsidRDefault="00000000" w:rsidRPr="00000000" w14:paraId="0000000A">
      <w:pPr>
        <w:ind w:left="-5" w:right="44" w:firstLine="0"/>
        <w:rPr/>
      </w:pPr>
      <w:r w:rsidDel="00000000" w:rsidR="00000000" w:rsidRPr="00000000">
        <w:rPr>
          <w:rtl w:val="0"/>
        </w:rPr>
        <w:t xml:space="preserve">Clarity of phrases, which makes it possible to convey ideas directly and understandably, is a major strength of academic writing. Clear communication of difficult ideas makes it easy for the reader to interact with and follow the argument. Alongside this, academic papers have a strong sense of structure and organisation, with logical parts, clear introductions, arguments that are well-supported, and brief conclusions. Writing in an organised manner keeps things well-reasoned and avoids misunderstandings.</w:t>
      </w:r>
    </w:p>
    <w:p w:rsidR="00000000" w:rsidDel="00000000" w:rsidP="00000000" w:rsidRDefault="00000000" w:rsidRPr="00000000" w14:paraId="0000000B">
      <w:pPr>
        <w:spacing w:after="620" w:lineRule="auto"/>
        <w:ind w:left="-5" w:right="44" w:firstLine="0"/>
        <w:rPr/>
      </w:pPr>
      <w:r w:rsidDel="00000000" w:rsidR="00000000" w:rsidRPr="00000000">
        <w:rPr>
          <w:rtl w:val="0"/>
        </w:rPr>
        <w:t xml:space="preserve">Research expertise, which allows the writer to compile and use reliable scholarly sources that bolster the argument, is another asset. When combined with critical thinking abilities, this capacity enables a more thorough examination of the subject matter and the development of unique, effective viewpoints. The ability to write in a variety of academic groups, such as essays, research papers, or reflective journals, shows that a writer is adaptable and flexible.It's also crucial to pay attention to syntax, grammar, and punctuation. Error-free, well-structured writing exudes professionalism and readability which opens the text to a wider audience. Furthermore, preserving one's writing's credibility and dependability depends on upholding academic integrity, which includes using proper citation styles and avoiding copying. I like to attend face to face classes and I like to ask questions from lecturers and </w:t>
      </w:r>
      <w:r w:rsidDel="00000000" w:rsidR="00000000" w:rsidRPr="00000000">
        <w:rPr>
          <w:rtl w:val="0"/>
        </w:rPr>
        <w:t xml:space="preserve">stedents</w:t>
      </w:r>
      <w:r w:rsidDel="00000000" w:rsidR="00000000" w:rsidRPr="00000000">
        <w:rPr>
          <w:rtl w:val="0"/>
        </w:rPr>
        <w:t xml:space="preserve">.</w:t>
      </w:r>
    </w:p>
    <w:p w:rsidR="00000000" w:rsidDel="00000000" w:rsidP="00000000" w:rsidRDefault="00000000" w:rsidRPr="00000000" w14:paraId="0000000C">
      <w:pPr>
        <w:spacing w:after="591" w:lineRule="auto"/>
        <w:ind w:left="-5" w:right="44" w:firstLine="0"/>
        <w:rPr/>
      </w:pPr>
      <w:r w:rsidDel="00000000" w:rsidR="00000000" w:rsidRPr="00000000">
        <w:rPr>
          <w:rtl w:val="0"/>
        </w:rPr>
        <w:t xml:space="preserve">And last, receptivity to criticism is a great asset. Writers can develop and hone their work overtime by actively looking for and implementing feedback. Academic writing success is firmly based on these strengths.</w:t>
      </w:r>
    </w:p>
    <w:p w:rsidR="00000000" w:rsidDel="00000000" w:rsidP="00000000" w:rsidRDefault="00000000" w:rsidRPr="00000000" w14:paraId="0000000D">
      <w:pPr>
        <w:pStyle w:val="Heading1"/>
        <w:ind w:left="-5" w:firstLine="0"/>
        <w:rPr/>
      </w:pPr>
      <w:r w:rsidDel="00000000" w:rsidR="00000000" w:rsidRPr="00000000">
        <w:rPr>
          <w:rtl w:val="0"/>
        </w:rPr>
        <w:t xml:space="preserve">WEAKNESS</w:t>
      </w:r>
    </w:p>
    <w:p w:rsidR="00000000" w:rsidDel="00000000" w:rsidP="00000000" w:rsidRDefault="00000000" w:rsidRPr="00000000" w14:paraId="0000000E">
      <w:pPr>
        <w:ind w:left="-5" w:right="44" w:firstLine="0"/>
        <w:rPr/>
      </w:pPr>
      <w:r w:rsidDel="00000000" w:rsidR="00000000" w:rsidRPr="00000000">
        <w:rPr>
          <w:rtl w:val="0"/>
        </w:rPr>
        <w:t xml:space="preserve">Notwithstanding these advantages, several disadvantages may reduce the calibre and significance of scholarly work.</w:t>
      </w:r>
    </w:p>
    <w:p w:rsidR="00000000" w:rsidDel="00000000" w:rsidP="00000000" w:rsidRDefault="00000000" w:rsidRPr="00000000" w14:paraId="0000000F">
      <w:pPr>
        <w:ind w:left="-5" w:right="44" w:firstLine="0"/>
        <w:rPr/>
      </w:pPr>
      <w:r w:rsidDel="00000000" w:rsidR="00000000" w:rsidRPr="00000000">
        <w:rPr>
          <w:rtl w:val="0"/>
        </w:rPr>
        <w:t xml:space="preserve">The challenge of maintaining coherence and flow throughout the paper is one obvious flaw. Sections may seem disconnected, and the argument may become unclear if transitions are not carefully considered. This is sometimes coupled with excessive use of jargon or extremely complicated language, which can turn off readers or make the text less clear. Without compromising depth, academic writing should strive to be understandable and straightforward.</w:t>
      </w:r>
    </w:p>
    <w:p w:rsidR="00000000" w:rsidDel="00000000" w:rsidP="00000000" w:rsidRDefault="00000000" w:rsidRPr="00000000" w14:paraId="00000010">
      <w:pPr>
        <w:ind w:left="-5" w:right="44" w:firstLine="0"/>
        <w:rPr/>
      </w:pPr>
      <w:r w:rsidDel="00000000" w:rsidR="00000000" w:rsidRPr="00000000">
        <w:rPr>
          <w:rtl w:val="0"/>
        </w:rPr>
        <w:t xml:space="preserve">Another difficulty is managing your time. Many authors find it difficult to manage their other obligations and academic writing.</w:t>
      </w:r>
    </w:p>
    <w:p w:rsidR="00000000" w:rsidDel="00000000" w:rsidP="00000000" w:rsidRDefault="00000000" w:rsidRPr="00000000" w14:paraId="00000011">
      <w:pPr>
        <w:ind w:left="-5" w:right="44" w:firstLine="0"/>
        <w:rPr/>
      </w:pPr>
      <w:r w:rsidDel="00000000" w:rsidR="00000000" w:rsidRPr="00000000">
        <w:rPr>
          <w:rtl w:val="0"/>
        </w:rPr>
        <w:t xml:space="preserve">often leaving little time for thorough preparation, investigation, or editing. The final submission's quality may suffer as a result of hurried or insufficient work. Furthermore, poor reference and citation practices, like incorrect formatting or inconsistent referencing, can undermine the work's credibility and possibly result in accidental plagiarism.</w:t>
      </w:r>
    </w:p>
    <w:p w:rsidR="00000000" w:rsidDel="00000000" w:rsidP="00000000" w:rsidRDefault="00000000" w:rsidRPr="00000000" w14:paraId="00000012">
      <w:pPr>
        <w:ind w:left="-5" w:right="44" w:firstLine="0"/>
        <w:rPr/>
      </w:pPr>
      <w:r w:rsidDel="00000000" w:rsidR="00000000" w:rsidRPr="00000000">
        <w:rPr>
          <w:rtl w:val="0"/>
        </w:rPr>
        <w:t xml:space="preserve">An added vulnerability is the propensity to prioritise descriptive writing over in-depth critical examination. While summarising the material is crucial, academic writing should also include analysing, challenging, and synthesising the data. Without critical evaluation, the writing could come across as uninspired or superficial.</w:t>
      </w:r>
    </w:p>
    <w:p w:rsidR="00000000" w:rsidDel="00000000" w:rsidP="00000000" w:rsidRDefault="00000000" w:rsidRPr="00000000" w14:paraId="00000013">
      <w:pPr>
        <w:ind w:left="-5" w:right="44" w:firstLine="0"/>
        <w:rPr/>
      </w:pPr>
      <w:r w:rsidDel="00000000" w:rsidR="00000000" w:rsidRPr="00000000">
        <w:rPr>
          <w:rtl w:val="0"/>
        </w:rPr>
        <w:t xml:space="preserve">Furthermore, self-doubt can cause some writers to question their skills, which inhibits their ability to be creative and innovative. Resistance to criticism can also take the form of unwillingness to make the required changes or a failure to comprehend the criticism. Furthermore, poor grammar and syntax can make writing less clear, particularly for non-native speakers who could find it difficult to understand sentence construction and linguistic traditions.</w:t>
      </w:r>
    </w:p>
    <w:p w:rsidR="00000000" w:rsidDel="00000000" w:rsidP="00000000" w:rsidRDefault="00000000" w:rsidRPr="00000000" w14:paraId="00000014">
      <w:pPr>
        <w:rPr/>
      </w:pPr>
      <w:r w:rsidDel="00000000" w:rsidR="00000000" w:rsidRPr="00000000">
        <w:rPr>
          <w:b w:val="1"/>
          <w:sz w:val="27"/>
          <w:szCs w:val="27"/>
          <w:rtl w:val="0"/>
        </w:rPr>
        <w:t xml:space="preserve">Second Language:</w:t>
      </w:r>
      <w:r w:rsidDel="00000000" w:rsidR="00000000" w:rsidRPr="00000000">
        <w:rPr>
          <w:rtl w:val="0"/>
        </w:rPr>
        <w:t xml:space="preserve"> Language barriers can frequently be the source of challenges for non-native English speakers in understanding academic material, completing tasks, and communicating. This can make it very difficult to write essays, participate in discussions, and understand the course material.</w:t>
      </w:r>
    </w:p>
    <w:p w:rsidR="00000000" w:rsidDel="00000000" w:rsidP="00000000" w:rsidRDefault="00000000" w:rsidRPr="00000000" w14:paraId="00000015">
      <w:pPr>
        <w:ind w:left="-5" w:right="44" w:firstLine="0"/>
        <w:rPr/>
      </w:pPr>
      <w:r w:rsidDel="00000000" w:rsidR="00000000" w:rsidRPr="00000000">
        <w:rPr>
          <w:rtl w:val="0"/>
        </w:rPr>
      </w:r>
    </w:p>
    <w:p w:rsidR="00000000" w:rsidDel="00000000" w:rsidP="00000000" w:rsidRDefault="00000000" w:rsidRPr="00000000" w14:paraId="00000016">
      <w:pPr>
        <w:pStyle w:val="Heading1"/>
        <w:ind w:left="-5" w:firstLine="0"/>
        <w:rPr/>
      </w:pPr>
      <w:r w:rsidDel="00000000" w:rsidR="00000000" w:rsidRPr="00000000">
        <w:rPr>
          <w:rtl w:val="0"/>
        </w:rPr>
        <w:t xml:space="preserve">OPPORTUNITY</w:t>
      </w:r>
    </w:p>
    <w:p w:rsidR="00000000" w:rsidDel="00000000" w:rsidP="00000000" w:rsidRDefault="00000000" w:rsidRPr="00000000" w14:paraId="00000017">
      <w:pPr>
        <w:rPr/>
      </w:pPr>
      <w:r w:rsidDel="00000000" w:rsidR="00000000" w:rsidRPr="00000000">
        <w:rPr>
          <w:rtl w:val="0"/>
        </w:rPr>
        <w:t xml:space="preserve"> A clear path to success is provided by setting precise academic goals, such as earning a Certificate in Higher Education (Cert HE) in Healthcare Practice and advancing to midwifery. These objectives might help you stay focused and mould your academic path</w:t>
      </w:r>
    </w:p>
    <w:p w:rsidR="00000000" w:rsidDel="00000000" w:rsidP="00000000" w:rsidRDefault="00000000" w:rsidRPr="00000000" w14:paraId="00000018">
      <w:pPr>
        <w:ind w:left="-5" w:right="44" w:firstLine="0"/>
        <w:rPr/>
      </w:pPr>
      <w:r w:rsidDel="00000000" w:rsidR="00000000" w:rsidRPr="00000000">
        <w:rPr>
          <w:rtl w:val="0"/>
        </w:rPr>
        <w:t xml:space="preserve">Even though academic writing can be difficult, there are many chances to improve your writing abilities.</w:t>
      </w:r>
    </w:p>
    <w:p w:rsidR="00000000" w:rsidDel="00000000" w:rsidP="00000000" w:rsidRDefault="00000000" w:rsidRPr="00000000" w14:paraId="00000019">
      <w:pPr>
        <w:spacing w:after="621" w:lineRule="auto"/>
        <w:ind w:left="-5" w:right="44" w:firstLine="0"/>
        <w:rPr/>
      </w:pPr>
      <w:r w:rsidDel="00000000" w:rsidR="00000000" w:rsidRPr="00000000">
        <w:rPr>
          <w:rtl w:val="0"/>
        </w:rPr>
        <w:t xml:space="preserve">Academic writing classes and workshops are excellent ways to improve your writing skills. While online resources like Coursera or edX offer self-paced courses that focus on particular writing skills, many colleges offer writing seminars that emphasise grammar, structure, and logic. These publications offer methodical advice to enhance writing skills.</w:t>
      </w:r>
    </w:p>
    <w:p w:rsidR="00000000" w:rsidDel="00000000" w:rsidP="00000000" w:rsidRDefault="00000000" w:rsidRPr="00000000" w14:paraId="0000001A">
      <w:pPr>
        <w:ind w:left="-5" w:right="44" w:firstLine="0"/>
        <w:rPr/>
      </w:pPr>
      <w:r w:rsidDel="00000000" w:rsidR="00000000" w:rsidRPr="00000000">
        <w:rPr>
          <w:b w:val="1"/>
          <w:rtl w:val="0"/>
        </w:rPr>
        <w:t xml:space="preserve">Significant </w:t>
      </w:r>
      <w:r w:rsidDel="00000000" w:rsidR="00000000" w:rsidRPr="00000000">
        <w:rPr>
          <w:rtl w:val="0"/>
        </w:rPr>
        <w:t xml:space="preserve">potentials are also presented by technological instruments. Turnitin can help ensure originality and avoid plagiarism, while Grammarly and other software can help identify grammatical issues. Citation management programs like EndNote or Zotero streamline the reference process and make it simpler to adhere to academic citation guidelines.</w:t>
      </w:r>
    </w:p>
    <w:p w:rsidR="00000000" w:rsidDel="00000000" w:rsidP="00000000" w:rsidRDefault="00000000" w:rsidRPr="00000000" w14:paraId="0000001B">
      <w:pPr>
        <w:spacing w:after="620" w:lineRule="auto"/>
        <w:ind w:left="-5" w:right="44" w:firstLine="0"/>
        <w:rPr/>
      </w:pPr>
      <w:r w:rsidDel="00000000" w:rsidR="00000000" w:rsidRPr="00000000">
        <w:rPr>
          <w:rtl w:val="0"/>
        </w:rPr>
        <w:t xml:space="preserve">Academic libraries and research databases are vital tools that can increase a writer's access to reliable scholarly materials and improve the breadth of their work. By utilising </w:t>
      </w:r>
      <w:r w:rsidDel="00000000" w:rsidR="00000000" w:rsidRPr="00000000">
        <w:rPr>
          <w:b w:val="1"/>
          <w:rtl w:val="0"/>
        </w:rPr>
        <w:t xml:space="preserve">these tools, authors can go deeper into their subjects and make sure their claims are solid.</w:t>
      </w:r>
      <w:r w:rsidDel="00000000" w:rsidR="00000000" w:rsidRPr="00000000">
        <w:rPr>
          <w:rtl w:val="0"/>
        </w:rPr>
      </w:r>
    </w:p>
    <w:p w:rsidR="00000000" w:rsidDel="00000000" w:rsidP="00000000" w:rsidRDefault="00000000" w:rsidRPr="00000000" w14:paraId="0000001C">
      <w:pPr>
        <w:ind w:left="-5" w:right="44" w:firstLine="0"/>
        <w:rPr/>
      </w:pPr>
      <w:r w:rsidDel="00000000" w:rsidR="00000000" w:rsidRPr="00000000">
        <w:rPr>
          <w:rtl w:val="0"/>
        </w:rPr>
        <w:t xml:space="preserve">Peer review and mentoring are excellent ways to progress. Writers can improve their craft and acquire fresh viewpoints by collaborating with more seasoned authors, looking for mentorship, and participating in peer reviews.</w:t>
      </w:r>
    </w:p>
    <w:p w:rsidR="00000000" w:rsidDel="00000000" w:rsidP="00000000" w:rsidRDefault="00000000" w:rsidRPr="00000000" w14:paraId="0000001D">
      <w:pPr>
        <w:ind w:left="-5" w:right="44" w:firstLine="0"/>
        <w:rPr/>
      </w:pPr>
      <w:r w:rsidDel="00000000" w:rsidR="00000000" w:rsidRPr="00000000">
        <w:rPr>
          <w:rtl w:val="0"/>
        </w:rPr>
        <w:t xml:space="preserve">Last but not least, participation in extracurricular activities like writing clubs, student publications, or academic conferences provides practical experience and the opportunity to work with others, enhancing writing abilities in a nurturing setting.</w:t>
      </w:r>
    </w:p>
    <w:p w:rsidR="00000000" w:rsidDel="00000000" w:rsidP="00000000" w:rsidRDefault="00000000" w:rsidRPr="00000000" w14:paraId="0000001E">
      <w:pPr>
        <w:spacing w:after="1048" w:lineRule="auto"/>
        <w:ind w:left="-5" w:right="44" w:firstLine="0"/>
        <w:rPr/>
      </w:pPr>
      <w:r w:rsidDel="00000000" w:rsidR="00000000" w:rsidRPr="00000000">
        <w:rPr>
          <w:rtl w:val="0"/>
        </w:rPr>
        <w:t xml:space="preserve">By seizing these chances, authors can improve their craft, stay up to date with the ever-evolving field of academic writing, and continuously progress.</w:t>
      </w:r>
    </w:p>
    <w:p w:rsidR="00000000" w:rsidDel="00000000" w:rsidP="00000000" w:rsidRDefault="00000000" w:rsidRPr="00000000" w14:paraId="0000001F">
      <w:pPr>
        <w:pStyle w:val="Heading1"/>
        <w:ind w:left="-5" w:firstLine="0"/>
        <w:rPr/>
      </w:pPr>
      <w:r w:rsidDel="00000000" w:rsidR="00000000" w:rsidRPr="00000000">
        <w:rPr>
          <w:rtl w:val="0"/>
        </w:rPr>
        <w:t xml:space="preserve">THREATS</w:t>
      </w:r>
    </w:p>
    <w:p w:rsidR="00000000" w:rsidDel="00000000" w:rsidP="00000000" w:rsidRDefault="00000000" w:rsidRPr="00000000" w14:paraId="00000020">
      <w:pPr>
        <w:ind w:left="-5" w:right="44" w:firstLine="0"/>
        <w:rPr/>
      </w:pPr>
      <w:r w:rsidDel="00000000" w:rsidR="00000000" w:rsidRPr="00000000">
        <w:rPr>
          <w:rtl w:val="0"/>
        </w:rPr>
        <w:t xml:space="preserve">Managing your time can be especially difficult when you have to juggle employment, family obligations, and academic demands. Academic stress, incomplete homework, and missed deadlines can all be caused by poor time management</w:t>
      </w:r>
    </w:p>
    <w:p w:rsidR="00000000" w:rsidDel="00000000" w:rsidP="00000000" w:rsidRDefault="00000000" w:rsidRPr="00000000" w14:paraId="00000021">
      <w:pPr>
        <w:ind w:left="-5" w:right="44" w:firstLine="0"/>
        <w:rPr/>
      </w:pPr>
      <w:r w:rsidDel="00000000" w:rsidR="00000000" w:rsidRPr="00000000">
        <w:rPr>
          <w:rtl w:val="0"/>
        </w:rPr>
        <w:t xml:space="preserve">Academic writing progress might be hampered by a number of risks, despite the abundance of chances.</w:t>
      </w:r>
    </w:p>
    <w:p w:rsidR="00000000" w:rsidDel="00000000" w:rsidP="00000000" w:rsidRDefault="00000000" w:rsidRPr="00000000" w14:paraId="00000022">
      <w:pPr>
        <w:ind w:left="-5" w:right="44" w:firstLine="0"/>
        <w:rPr/>
      </w:pPr>
      <w:r w:rsidDel="00000000" w:rsidR="00000000" w:rsidRPr="00000000">
        <w:rPr>
          <w:rtl w:val="0"/>
        </w:rPr>
        <w:t xml:space="preserve">Perhaps the biggest danger is time limits. Multiple tasks and tight deadlines might cause hurried writing, which lowers the quality of the final product. Time that could be spent honing writing skills is frequently sacrificed in order to balance career, personal, and academic obligations.</w:t>
      </w:r>
    </w:p>
    <w:p w:rsidR="00000000" w:rsidDel="00000000" w:rsidP="00000000" w:rsidRDefault="00000000" w:rsidRPr="00000000" w14:paraId="00000023">
      <w:pPr>
        <w:spacing w:after="620" w:lineRule="auto"/>
        <w:ind w:left="-5" w:right="44" w:firstLine="0"/>
        <w:rPr/>
      </w:pPr>
      <w:r w:rsidDel="00000000" w:rsidR="00000000" w:rsidRPr="00000000">
        <w:rPr>
          <w:rtl w:val="0"/>
        </w:rPr>
        <w:t xml:space="preserve">Lack of access to resources, such as books, research databases, or scholarly publications, can be problematic, particularly for students attending impoverished schools or living in rural locations. Non-native English speakers may also find it challenging to understand the subtleties of grammar, syntax, and academic writing traditions due to language limitations.</w:t>
      </w:r>
    </w:p>
    <w:p w:rsidR="00000000" w:rsidDel="00000000" w:rsidP="00000000" w:rsidRDefault="00000000" w:rsidRPr="00000000" w14:paraId="00000024">
      <w:pPr>
        <w:ind w:left="-5" w:right="44" w:firstLine="0"/>
        <w:rPr/>
      </w:pPr>
      <w:r w:rsidDel="00000000" w:rsidR="00000000" w:rsidRPr="00000000">
        <w:rPr>
          <w:rtl w:val="0"/>
        </w:rPr>
        <w:t xml:space="preserve">Relying too much on technology might be harmful. Grammar checkers and citation software are helpful tools, but they can't take the place of the sophisticated judgement that comes from individual style and critical thought. Over-reliance on these tools can result in mistakes or a lack of writing uniqueness.</w:t>
      </w:r>
    </w:p>
    <w:p w:rsidR="00000000" w:rsidDel="00000000" w:rsidP="00000000" w:rsidRDefault="00000000" w:rsidRPr="00000000" w14:paraId="00000025">
      <w:pPr>
        <w:ind w:left="-5" w:right="44" w:firstLine="0"/>
        <w:rPr/>
      </w:pPr>
      <w:r w:rsidDel="00000000" w:rsidR="00000000" w:rsidRPr="00000000">
        <w:rPr>
          <w:rtl w:val="0"/>
        </w:rPr>
        <w:t xml:space="preserve">Academic expectations can cause stress and burnout, which can erode drive and creativity and make it challenging to write well. Furthermore, the worry of plagiarism, whether brought on by inadvertent mistakes or a lack of knowledge about appropriate citation, can undermine confidence and cause anxiety.</w:t>
      </w:r>
    </w:p>
    <w:p w:rsidR="00000000" w:rsidDel="00000000" w:rsidP="00000000" w:rsidRDefault="00000000" w:rsidRPr="00000000" w14:paraId="00000026">
      <w:pPr>
        <w:spacing w:after="620" w:lineRule="auto"/>
        <w:ind w:left="-5" w:right="44" w:firstLine="0"/>
        <w:rPr/>
      </w:pPr>
      <w:r w:rsidDel="00000000" w:rsidR="00000000" w:rsidRPr="00000000">
        <w:rPr>
          <w:rtl w:val="0"/>
        </w:rPr>
        <w:t xml:space="preserve">Lastly, imposter syndrome and self-doubt can inhibit critical thinking and innovation. Insecure writers might be reluctant to try new things or take chances, which would hinder their development.</w:t>
      </w:r>
    </w:p>
    <w:p w:rsidR="00000000" w:rsidDel="00000000" w:rsidP="00000000" w:rsidRDefault="00000000" w:rsidRPr="00000000" w14:paraId="00000027">
      <w:pPr>
        <w:spacing w:after="133" w:lineRule="auto"/>
        <w:ind w:left="-5" w:right="44" w:firstLine="0"/>
        <w:rPr/>
      </w:pPr>
      <w:r w:rsidDel="00000000" w:rsidR="00000000" w:rsidRPr="00000000">
        <w:rPr>
          <w:rtl w:val="0"/>
        </w:rPr>
        <w:t xml:space="preserve">By being aware of these risks, authors can take steps to lessen them, like practising good time management, getting help, and striking a healthy work-life balance.</w:t>
      </w:r>
    </w:p>
    <w:p w:rsidR="00000000" w:rsidDel="00000000" w:rsidP="00000000" w:rsidRDefault="00000000" w:rsidRPr="00000000" w14:paraId="00000028">
      <w:pPr>
        <w:pStyle w:val="Heading1"/>
        <w:ind w:left="-5" w:firstLine="0"/>
        <w:rPr/>
      </w:pPr>
      <w:r w:rsidDel="00000000" w:rsidR="00000000" w:rsidRPr="00000000">
        <w:rPr>
          <w:rtl w:val="0"/>
        </w:rPr>
        <w:t xml:space="preserve">CONCLUSION</w:t>
      </w:r>
    </w:p>
    <w:p w:rsidR="00000000" w:rsidDel="00000000" w:rsidP="00000000" w:rsidRDefault="00000000" w:rsidRPr="00000000" w14:paraId="00000029">
      <w:pPr>
        <w:ind w:left="-5" w:right="44" w:firstLine="0"/>
        <w:rPr/>
      </w:pPr>
      <w:r w:rsidDel="00000000" w:rsidR="00000000" w:rsidRPr="00000000">
        <w:rPr>
          <w:rtl w:val="0"/>
        </w:rPr>
        <w:t xml:space="preserve">A SWOT analysis of one's academic writing provides important information about one's present strengths and potential development areas. Research abilities, organisation, and clarity are examples of strengths that provide a strong basis for successful academic communication. However, flaws including poor coherence, poor language, and difficulties managing time draw attention to the need for focused improvement. Threats including time restraints, resource shortages, and stress highlight the significance of proactive approaches, while opportunities—such as access to workshops, technology tools, and peer feedback—offer pathways for ongoing improvement.</w:t>
      </w:r>
    </w:p>
    <w:p w:rsidR="00000000" w:rsidDel="00000000" w:rsidP="00000000" w:rsidRDefault="00000000" w:rsidRPr="00000000" w14:paraId="0000002A">
      <w:pPr>
        <w:spacing w:after="624" w:lineRule="auto"/>
        <w:ind w:left="-5" w:right="44" w:firstLine="0"/>
        <w:rPr/>
      </w:pPr>
      <w:r w:rsidDel="00000000" w:rsidR="00000000" w:rsidRPr="00000000">
        <w:rPr>
          <w:rtl w:val="0"/>
        </w:rPr>
        <w:t xml:space="preserve">One must actively address shortcomings and mitigate dangers while utilising strengths and chances to advance as an academic writer. Overcoming obstacles and mastering academic writing requires creating a personal development plan, looking for guidance, and embracing a growth mindset. People can improve their abilities and increase their chances of success in their academic and professional efforts by dedicating themselves to this process.</w:t>
      </w:r>
    </w:p>
    <w:p w:rsidR="00000000" w:rsidDel="00000000" w:rsidP="00000000" w:rsidRDefault="00000000" w:rsidRPr="00000000" w14:paraId="0000002B">
      <w:pPr>
        <w:pStyle w:val="Heading1"/>
        <w:ind w:left="-5" w:firstLine="0"/>
        <w:rPr/>
      </w:pPr>
      <w:r w:rsidDel="00000000" w:rsidR="00000000" w:rsidRPr="00000000">
        <w:rPr>
          <w:rtl w:val="0"/>
        </w:rPr>
        <w:t xml:space="preserve">REFERENCES </w:t>
      </w:r>
    </w:p>
    <w:p w:rsidR="00000000" w:rsidDel="00000000" w:rsidP="00000000" w:rsidRDefault="00000000" w:rsidRPr="00000000" w14:paraId="0000002C">
      <w:pPr>
        <w:pStyle w:val="Heading1"/>
        <w:ind w:left="-5" w:firstLine="0"/>
        <w:rPr/>
      </w:pPr>
      <w:r w:rsidDel="00000000" w:rsidR="00000000" w:rsidRPr="00000000">
        <w:rPr>
          <w:rtl w:val="0"/>
        </w:rPr>
        <w:t xml:space="preserve">Kotler, P. and Keller, K.L., 2016. Marketing Management. 15th ed. Pearson.</w:t>
      </w:r>
    </w:p>
    <w:p w:rsidR="00000000" w:rsidDel="00000000" w:rsidP="00000000" w:rsidRDefault="00000000" w:rsidRPr="00000000" w14:paraId="0000002D">
      <w:pPr>
        <w:ind w:left="-5" w:right="44" w:firstLine="0"/>
        <w:rPr/>
      </w:pPr>
      <w:r w:rsidDel="00000000" w:rsidR="00000000" w:rsidRPr="00000000">
        <w:rPr>
          <w:rtl w:val="0"/>
        </w:rPr>
        <w:t xml:space="preserve">Hill, C.W.L. and Jones, G.R., 2007. Strategic Management: An Integrated Approach. 7th ed. Houghton Mifflin Company.</w:t>
      </w:r>
    </w:p>
    <w:p w:rsidR="00000000" w:rsidDel="00000000" w:rsidP="00000000" w:rsidRDefault="00000000" w:rsidRPr="00000000" w14:paraId="0000002E">
      <w:pPr>
        <w:ind w:left="-5" w:right="44" w:firstLine="0"/>
        <w:rPr/>
      </w:pPr>
      <w:r w:rsidDel="00000000" w:rsidR="00000000" w:rsidRPr="00000000">
        <w:rPr>
          <w:rtl w:val="0"/>
        </w:rPr>
        <w:t xml:space="preserve">Sweeney, B., ed., 2008. Strategic Management: Concepts and Tools. 2nd ed. McGraw-Hill Education</w:t>
      </w:r>
    </w:p>
    <w:p w:rsidR="00000000" w:rsidDel="00000000" w:rsidP="00000000" w:rsidRDefault="00000000" w:rsidRPr="00000000" w14:paraId="0000002F">
      <w:pPr>
        <w:ind w:left="-5" w:right="44" w:firstLine="0"/>
        <w:rPr/>
      </w:pPr>
      <w:r w:rsidDel="00000000" w:rsidR="00000000" w:rsidRPr="00000000">
        <w:rPr>
          <w:rtl w:val="0"/>
        </w:rPr>
        <w:t xml:space="preserve">Porter, M.E., 2008. The five competitive forces that shape strategy. Harvard Business Review, 86(1), pp.78-93.</w:t>
      </w:r>
    </w:p>
    <w:p w:rsidR="00000000" w:rsidDel="00000000" w:rsidP="00000000" w:rsidRDefault="00000000" w:rsidRPr="00000000" w14:paraId="00000030">
      <w:pPr>
        <w:spacing w:after="7" w:lineRule="auto"/>
        <w:ind w:left="-5" w:right="44" w:firstLine="0"/>
        <w:rPr/>
      </w:pPr>
      <w:r w:rsidDel="00000000" w:rsidR="00000000" w:rsidRPr="00000000">
        <w:rPr>
          <w:rtl w:val="0"/>
        </w:rPr>
        <w:t xml:space="preserve">Hill, C.W.L. and Jones, G.R., 2012. Strategic management theory: An integrated approach.</w:t>
      </w:r>
    </w:p>
    <w:p w:rsidR="00000000" w:rsidDel="00000000" w:rsidP="00000000" w:rsidRDefault="00000000" w:rsidRPr="00000000" w14:paraId="00000031">
      <w:pPr>
        <w:ind w:left="-5" w:right="44" w:firstLine="0"/>
        <w:rPr/>
      </w:pPr>
      <w:r w:rsidDel="00000000" w:rsidR="00000000" w:rsidRPr="00000000">
        <w:rPr>
          <w:rtl w:val="0"/>
        </w:rPr>
        <w:t xml:space="preserve">Strategic Management Journal, 30(6), pp.510-530</w:t>
      </w:r>
    </w:p>
    <w:p w:rsidR="00000000" w:rsidDel="00000000" w:rsidP="00000000" w:rsidRDefault="00000000" w:rsidRPr="00000000" w14:paraId="00000032">
      <w:pPr>
        <w:ind w:left="-5" w:right="44" w:firstLine="0"/>
        <w:rPr/>
      </w:pPr>
      <w:r w:rsidDel="00000000" w:rsidR="00000000" w:rsidRPr="00000000">
        <w:rPr>
          <w:rtl w:val="0"/>
        </w:rPr>
        <w:t xml:space="preserve">MindTools, 2024. SWOT analysis: Discover new opportunities and manage and eliminate threats. MindTools. Available at: https://www.mindtools.com/pages/article/newTMC_05.htm [Accessed 4 December 2024].</w:t>
      </w:r>
    </w:p>
    <w:p w:rsidR="00000000" w:rsidDel="00000000" w:rsidP="00000000" w:rsidRDefault="00000000" w:rsidRPr="00000000" w14:paraId="00000033">
      <w:pPr>
        <w:ind w:left="-5" w:right="44" w:firstLine="0"/>
        <w:rPr/>
      </w:pPr>
      <w:r w:rsidDel="00000000" w:rsidR="00000000" w:rsidRPr="00000000">
        <w:rPr>
          <w:rtl w:val="0"/>
        </w:rPr>
        <w:t xml:space="preserve">Johnson, M., 2022. How to conduct a SWOT analysis for business planning. Business Today. Available at: https://www.businesstoday.com/swot-analysis [Accessed 4 December 2024].</w:t>
      </w:r>
    </w:p>
    <w:p w:rsidR="00000000" w:rsidDel="00000000" w:rsidP="00000000" w:rsidRDefault="00000000" w:rsidRPr="00000000" w14:paraId="00000034">
      <w:pPr>
        <w:spacing w:after="280" w:before="280" w:line="240" w:lineRule="auto"/>
        <w:jc w:val="both"/>
        <w:rPr>
          <w:b w:val="1"/>
          <w:sz w:val="27"/>
          <w:szCs w:val="27"/>
        </w:rPr>
      </w:pPr>
      <w:r w:rsidDel="00000000" w:rsidR="00000000" w:rsidRPr="00000000">
        <w:rPr>
          <w:b w:val="1"/>
          <w:rtl w:val="0"/>
        </w:rPr>
        <w:t xml:space="preserve">Cornell, D. (2018).</w:t>
      </w:r>
      <w:r w:rsidDel="00000000" w:rsidR="00000000" w:rsidRPr="00000000">
        <w:rPr>
          <w:rtl w:val="0"/>
        </w:rPr>
        <w:t xml:space="preserve"> "The impact of effective study strategies on academic success in college students." </w:t>
      </w:r>
      <w:r w:rsidDel="00000000" w:rsidR="00000000" w:rsidRPr="00000000">
        <w:rPr>
          <w:i w:val="1"/>
          <w:rtl w:val="0"/>
        </w:rPr>
        <w:t xml:space="preserve">Journal of College Student Development</w:t>
      </w:r>
      <w:r w:rsidDel="00000000" w:rsidR="00000000" w:rsidRPr="00000000">
        <w:rPr>
          <w:rtl w:val="0"/>
        </w:rPr>
        <w:t xml:space="preserve">, 59(3), 365-375.</w:t>
      </w:r>
      <w:r w:rsidDel="00000000" w:rsidR="00000000" w:rsidRPr="00000000">
        <w:rPr>
          <w:rtl w:val="0"/>
        </w:rPr>
      </w:r>
    </w:p>
    <w:p w:rsidR="00000000" w:rsidDel="00000000" w:rsidP="00000000" w:rsidRDefault="00000000" w:rsidRPr="00000000" w14:paraId="00000035">
      <w:pPr>
        <w:spacing w:after="280" w:before="280" w:line="240" w:lineRule="auto"/>
        <w:jc w:val="both"/>
        <w:rPr/>
      </w:pPr>
      <w:r w:rsidDel="00000000" w:rsidR="00000000" w:rsidRPr="00000000">
        <w:rPr>
          <w:b w:val="1"/>
          <w:rtl w:val="0"/>
        </w:rPr>
        <w:t xml:space="preserve">Roediger, H. L., &amp; Butler, A. C. (2011).</w:t>
      </w:r>
      <w:r w:rsidDel="00000000" w:rsidR="00000000" w:rsidRPr="00000000">
        <w:rPr>
          <w:rtl w:val="0"/>
        </w:rPr>
        <w:t xml:space="preserve"> "The critical role of retrieval practice in long-term retention." </w:t>
      </w:r>
      <w:r w:rsidDel="00000000" w:rsidR="00000000" w:rsidRPr="00000000">
        <w:rPr>
          <w:i w:val="1"/>
          <w:rtl w:val="0"/>
        </w:rPr>
        <w:t xml:space="preserve">Trends in Cognitive Sciences</w:t>
      </w:r>
      <w:r w:rsidDel="00000000" w:rsidR="00000000" w:rsidRPr="00000000">
        <w:rPr>
          <w:rtl w:val="0"/>
        </w:rPr>
        <w:t xml:space="preserve">, 15(1), 20-27.</w:t>
      </w:r>
    </w:p>
    <w:p w:rsidR="00000000" w:rsidDel="00000000" w:rsidP="00000000" w:rsidRDefault="00000000" w:rsidRPr="00000000" w14:paraId="00000036">
      <w:pPr>
        <w:spacing w:after="280" w:before="280" w:line="240" w:lineRule="auto"/>
        <w:jc w:val="both"/>
        <w:rPr/>
      </w:pPr>
      <w:r w:rsidDel="00000000" w:rsidR="00000000" w:rsidRPr="00000000">
        <w:rPr>
          <w:b w:val="1"/>
          <w:rtl w:val="0"/>
        </w:rPr>
        <w:t xml:space="preserve">Pashler, H., Rohrer, D., &amp; Cepeda, N. (2007).</w:t>
      </w:r>
      <w:r w:rsidDel="00000000" w:rsidR="00000000" w:rsidRPr="00000000">
        <w:rPr>
          <w:rtl w:val="0"/>
        </w:rPr>
        <w:t xml:space="preserve"> "Is spacing the right way to study?" </w:t>
      </w:r>
      <w:r w:rsidDel="00000000" w:rsidR="00000000" w:rsidRPr="00000000">
        <w:rPr>
          <w:i w:val="1"/>
          <w:rtl w:val="0"/>
        </w:rPr>
        <w:t xml:space="preserve">Educational Leadership</w:t>
      </w:r>
      <w:r w:rsidDel="00000000" w:rsidR="00000000" w:rsidRPr="00000000">
        <w:rPr>
          <w:rtl w:val="0"/>
        </w:rPr>
        <w:t xml:space="preserve">, 64(4), 34-38.</w:t>
      </w:r>
    </w:p>
    <w:p w:rsidR="00000000" w:rsidDel="00000000" w:rsidP="00000000" w:rsidRDefault="00000000" w:rsidRPr="00000000" w14:paraId="00000037">
      <w:pPr>
        <w:spacing w:after="280" w:before="280" w:line="240" w:lineRule="auto"/>
        <w:jc w:val="both"/>
        <w:rPr/>
      </w:pPr>
      <w:r w:rsidDel="00000000" w:rsidR="00000000" w:rsidRPr="00000000">
        <w:rPr>
          <w:b w:val="1"/>
          <w:rtl w:val="0"/>
        </w:rPr>
        <w:t xml:space="preserve">Dunlosky, J., Rawson, K. A., Marsh, E. J., Nathan, M. J., &amp; Willingham, D. T. (2013).</w:t>
      </w:r>
      <w:r w:rsidDel="00000000" w:rsidR="00000000" w:rsidRPr="00000000">
        <w:rPr>
          <w:rtl w:val="0"/>
        </w:rPr>
        <w:t xml:space="preserve"> "Improving students' learning with effective learning techniques: Promising directions from cognitive and educational psychology." </w:t>
      </w:r>
      <w:r w:rsidDel="00000000" w:rsidR="00000000" w:rsidRPr="00000000">
        <w:rPr>
          <w:i w:val="1"/>
          <w:rtl w:val="0"/>
        </w:rPr>
        <w:t xml:space="preserve">Psychological Science in the Public Interest</w:t>
      </w:r>
      <w:r w:rsidDel="00000000" w:rsidR="00000000" w:rsidRPr="00000000">
        <w:rPr>
          <w:rtl w:val="0"/>
        </w:rPr>
        <w:t xml:space="preserve">, 14(1), 4-58.</w:t>
      </w:r>
    </w:p>
    <w:p w:rsidR="00000000" w:rsidDel="00000000" w:rsidP="00000000" w:rsidRDefault="00000000" w:rsidRPr="00000000" w14:paraId="00000038">
      <w:pPr>
        <w:spacing w:after="280" w:before="280" w:line="240" w:lineRule="auto"/>
        <w:jc w:val="both"/>
        <w:rPr/>
      </w:pPr>
      <w:r w:rsidDel="00000000" w:rsidR="00000000" w:rsidRPr="00000000">
        <w:rPr>
          <w:b w:val="1"/>
          <w:rtl w:val="0"/>
        </w:rPr>
        <w:t xml:space="preserve">Macan, T. H. (1994).</w:t>
      </w:r>
      <w:r w:rsidDel="00000000" w:rsidR="00000000" w:rsidRPr="00000000">
        <w:rPr>
          <w:rtl w:val="0"/>
        </w:rPr>
        <w:t xml:space="preserve"> "Time management: Test of a process model." </w:t>
      </w:r>
      <w:r w:rsidDel="00000000" w:rsidR="00000000" w:rsidRPr="00000000">
        <w:rPr>
          <w:i w:val="1"/>
          <w:rtl w:val="0"/>
        </w:rPr>
        <w:t xml:space="preserve">Journal of Applied Psychology</w:t>
      </w:r>
      <w:r w:rsidDel="00000000" w:rsidR="00000000" w:rsidRPr="00000000">
        <w:rPr>
          <w:rtl w:val="0"/>
        </w:rPr>
        <w:t xml:space="preserve">, 79(3), 381-391.</w:t>
      </w:r>
    </w:p>
    <w:p w:rsidR="00000000" w:rsidDel="00000000" w:rsidP="00000000" w:rsidRDefault="00000000" w:rsidRPr="00000000" w14:paraId="00000039">
      <w:pPr>
        <w:spacing w:after="280" w:before="280" w:line="240" w:lineRule="auto"/>
        <w:jc w:val="both"/>
        <w:rPr/>
      </w:pPr>
      <w:r w:rsidDel="00000000" w:rsidR="00000000" w:rsidRPr="00000000">
        <w:rPr>
          <w:b w:val="1"/>
          <w:sz w:val="27"/>
          <w:szCs w:val="27"/>
          <w:rtl w:val="0"/>
        </w:rPr>
        <w:t xml:space="preserve"> </w:t>
      </w:r>
      <w:r w:rsidDel="00000000" w:rsidR="00000000" w:rsidRPr="00000000">
        <w:rPr>
          <w:rtl w:val="0"/>
        </w:rPr>
      </w:r>
    </w:p>
    <w:p w:rsidR="00000000" w:rsidDel="00000000" w:rsidP="00000000" w:rsidRDefault="00000000" w:rsidRPr="00000000" w14:paraId="0000003A">
      <w:pPr>
        <w:spacing w:after="280" w:before="280" w:line="240" w:lineRule="auto"/>
        <w:jc w:val="both"/>
        <w:rPr/>
      </w:pPr>
      <w:r w:rsidDel="00000000" w:rsidR="00000000" w:rsidRPr="00000000">
        <w:rPr>
          <w:b w:val="1"/>
          <w:rtl w:val="0"/>
        </w:rPr>
        <w:t xml:space="preserve">Zhao, C., &amp; Silliman, E. R. (2008).</w:t>
      </w:r>
      <w:r w:rsidDel="00000000" w:rsidR="00000000" w:rsidRPr="00000000">
        <w:rPr>
          <w:rtl w:val="0"/>
        </w:rPr>
        <w:t xml:space="preserve"> "A study of writing difficulties of non-native English-speaking students in the United States." </w:t>
      </w:r>
      <w:r w:rsidDel="00000000" w:rsidR="00000000" w:rsidRPr="00000000">
        <w:rPr>
          <w:i w:val="1"/>
          <w:rtl w:val="0"/>
        </w:rPr>
        <w:t xml:space="preserve">Journal of Second Language Writing</w:t>
      </w:r>
      <w:r w:rsidDel="00000000" w:rsidR="00000000" w:rsidRPr="00000000">
        <w:rPr>
          <w:rtl w:val="0"/>
        </w:rPr>
        <w:t xml:space="preserve">, 17(4), 208-224.</w:t>
      </w:r>
    </w:p>
    <w:p w:rsidR="00000000" w:rsidDel="00000000" w:rsidP="00000000" w:rsidRDefault="00000000" w:rsidRPr="00000000" w14:paraId="0000003B">
      <w:pPr>
        <w:spacing w:after="280" w:before="280" w:line="240" w:lineRule="auto"/>
        <w:jc w:val="both"/>
        <w:rPr/>
      </w:pPr>
      <w:r w:rsidDel="00000000" w:rsidR="00000000" w:rsidRPr="00000000">
        <w:rPr>
          <w:b w:val="1"/>
          <w:rtl w:val="0"/>
        </w:rPr>
        <w:t xml:space="preserve">Hyland, K., &amp; Hamp-Lyons, L. (2002).</w:t>
      </w:r>
      <w:r w:rsidDel="00000000" w:rsidR="00000000" w:rsidRPr="00000000">
        <w:rPr>
          <w:rtl w:val="0"/>
        </w:rPr>
        <w:t xml:space="preserve"> "ESL writers and their textual practices." </w:t>
      </w:r>
      <w:r w:rsidDel="00000000" w:rsidR="00000000" w:rsidRPr="00000000">
        <w:rPr>
          <w:i w:val="1"/>
          <w:rtl w:val="0"/>
        </w:rPr>
        <w:t xml:space="preserve">Journal of Second Language Writing</w:t>
      </w:r>
      <w:r w:rsidDel="00000000" w:rsidR="00000000" w:rsidRPr="00000000">
        <w:rPr>
          <w:rtl w:val="0"/>
        </w:rPr>
        <w:t xml:space="preserve">, 11(3), 173-190.</w:t>
      </w:r>
    </w:p>
    <w:p w:rsidR="00000000" w:rsidDel="00000000" w:rsidP="00000000" w:rsidRDefault="00000000" w:rsidRPr="00000000" w14:paraId="0000003C">
      <w:pPr>
        <w:spacing w:after="280" w:before="280" w:line="240" w:lineRule="auto"/>
        <w:jc w:val="both"/>
        <w:rPr/>
      </w:pPr>
      <w:r w:rsidDel="00000000" w:rsidR="00000000" w:rsidRPr="00000000">
        <w:rPr>
          <w:b w:val="1"/>
          <w:rtl w:val="0"/>
        </w:rPr>
        <w:t xml:space="preserve">Kubota, R. (2001).</w:t>
      </w:r>
      <w:r w:rsidDel="00000000" w:rsidR="00000000" w:rsidRPr="00000000">
        <w:rPr>
          <w:rtl w:val="0"/>
        </w:rPr>
        <w:t xml:space="preserve"> "Discursive construction of the 'other' in the ESL classroom." </w:t>
      </w:r>
      <w:r w:rsidDel="00000000" w:rsidR="00000000" w:rsidRPr="00000000">
        <w:rPr>
          <w:i w:val="1"/>
          <w:rtl w:val="0"/>
        </w:rPr>
        <w:t xml:space="preserve">TESOL Quarterly</w:t>
      </w:r>
      <w:r w:rsidDel="00000000" w:rsidR="00000000" w:rsidRPr="00000000">
        <w:rPr>
          <w:rtl w:val="0"/>
        </w:rPr>
        <w:t xml:space="preserve">, 35(3), 553-577.</w:t>
      </w:r>
    </w:p>
    <w:p w:rsidR="00000000" w:rsidDel="00000000" w:rsidP="00000000" w:rsidRDefault="00000000" w:rsidRPr="00000000" w14:paraId="0000003D">
      <w:pPr>
        <w:spacing w:after="280" w:before="280" w:line="240" w:lineRule="auto"/>
        <w:jc w:val="both"/>
        <w:rPr/>
      </w:pPr>
      <w:r w:rsidDel="00000000" w:rsidR="00000000" w:rsidRPr="00000000">
        <w:rPr>
          <w:b w:val="1"/>
          <w:rtl w:val="0"/>
        </w:rPr>
        <w:t xml:space="preserve">Leki, I. (2001).</w:t>
      </w:r>
      <w:r w:rsidDel="00000000" w:rsidR="00000000" w:rsidRPr="00000000">
        <w:rPr>
          <w:rtl w:val="0"/>
        </w:rPr>
        <w:t xml:space="preserve"> "Coping strategies of ESL students in writing tutorials." </w:t>
      </w:r>
      <w:r w:rsidDel="00000000" w:rsidR="00000000" w:rsidRPr="00000000">
        <w:rPr>
          <w:i w:val="1"/>
          <w:rtl w:val="0"/>
        </w:rPr>
        <w:t xml:space="preserve">TESOL Quarterly</w:t>
      </w:r>
      <w:r w:rsidDel="00000000" w:rsidR="00000000" w:rsidRPr="00000000">
        <w:rPr>
          <w:rtl w:val="0"/>
        </w:rPr>
        <w:t xml:space="preserve">, 35(2), 175-196.</w:t>
      </w:r>
    </w:p>
    <w:p w:rsidR="00000000" w:rsidDel="00000000" w:rsidP="00000000" w:rsidRDefault="00000000" w:rsidRPr="00000000" w14:paraId="0000003E">
      <w:pPr>
        <w:spacing w:after="280" w:before="280" w:line="240" w:lineRule="auto"/>
        <w:jc w:val="both"/>
        <w:rPr/>
      </w:pPr>
      <w:r w:rsidDel="00000000" w:rsidR="00000000" w:rsidRPr="00000000">
        <w:rPr>
          <w:b w:val="1"/>
          <w:rtl w:val="0"/>
        </w:rPr>
        <w:t xml:space="preserve">Samuels, L. M. (2015).</w:t>
      </w:r>
      <w:r w:rsidDel="00000000" w:rsidR="00000000" w:rsidRPr="00000000">
        <w:rPr>
          <w:rtl w:val="0"/>
        </w:rPr>
        <w:t xml:space="preserve"> "Academic writing in the English as a Second Language classroom: Challenges and solutions." </w:t>
      </w:r>
      <w:r w:rsidDel="00000000" w:rsidR="00000000" w:rsidRPr="00000000">
        <w:rPr>
          <w:i w:val="1"/>
          <w:rtl w:val="0"/>
        </w:rPr>
        <w:t xml:space="preserve">Journal of English for Academic Purposes</w:t>
      </w:r>
      <w:r w:rsidDel="00000000" w:rsidR="00000000" w:rsidRPr="00000000">
        <w:rPr>
          <w:rtl w:val="0"/>
        </w:rPr>
        <w:t xml:space="preserve">, 18, 22-29.</w:t>
      </w:r>
    </w:p>
    <w:p w:rsidR="00000000" w:rsidDel="00000000" w:rsidP="00000000" w:rsidRDefault="00000000" w:rsidRPr="00000000" w14:paraId="0000003F">
      <w:pPr>
        <w:spacing w:after="280" w:before="280" w:line="240" w:lineRule="auto"/>
        <w:jc w:val="both"/>
        <w:rPr/>
      </w:pPr>
      <w:r w:rsidDel="00000000" w:rsidR="00000000" w:rsidRPr="00000000">
        <w:rPr>
          <w:b w:val="1"/>
          <w:rtl w:val="0"/>
        </w:rPr>
        <w:t xml:space="preserve">Misra, R., &amp; McKean, M. (2000).</w:t>
      </w:r>
      <w:r w:rsidDel="00000000" w:rsidR="00000000" w:rsidRPr="00000000">
        <w:rPr>
          <w:rtl w:val="0"/>
        </w:rPr>
        <w:t xml:space="preserve"> "College students' academic stress and its relation to their anxiety, time management, and leisure satisfaction." </w:t>
      </w:r>
      <w:r w:rsidDel="00000000" w:rsidR="00000000" w:rsidRPr="00000000">
        <w:rPr>
          <w:i w:val="1"/>
          <w:rtl w:val="0"/>
        </w:rPr>
        <w:t xml:space="preserve">American Journal of Health Studies</w:t>
      </w:r>
      <w:r w:rsidDel="00000000" w:rsidR="00000000" w:rsidRPr="00000000">
        <w:rPr>
          <w:rtl w:val="0"/>
        </w:rPr>
        <w:t xml:space="preserve">, 16(1), 41-51.</w:t>
      </w:r>
    </w:p>
    <w:p w:rsidR="00000000" w:rsidDel="00000000" w:rsidP="00000000" w:rsidRDefault="00000000" w:rsidRPr="00000000" w14:paraId="00000040">
      <w:pPr>
        <w:spacing w:after="280" w:before="280" w:line="240" w:lineRule="auto"/>
        <w:jc w:val="both"/>
        <w:rPr/>
      </w:pPr>
      <w:r w:rsidDel="00000000" w:rsidR="00000000" w:rsidRPr="00000000">
        <w:rPr>
          <w:b w:val="1"/>
          <w:rtl w:val="0"/>
        </w:rPr>
        <w:t xml:space="preserve">Choi, J., &amp; Lee, H. (2014).</w:t>
      </w:r>
      <w:r w:rsidDel="00000000" w:rsidR="00000000" w:rsidRPr="00000000">
        <w:rPr>
          <w:rtl w:val="0"/>
        </w:rPr>
        <w:t xml:space="preserve"> "Time management and stress among graduate students: The role of self-regulation and work-life balance." </w:t>
      </w:r>
      <w:r w:rsidDel="00000000" w:rsidR="00000000" w:rsidRPr="00000000">
        <w:rPr>
          <w:i w:val="1"/>
          <w:rtl w:val="0"/>
        </w:rPr>
        <w:t xml:space="preserve">Journal of Educational Psychology</w:t>
      </w:r>
      <w:r w:rsidDel="00000000" w:rsidR="00000000" w:rsidRPr="00000000">
        <w:rPr>
          <w:rtl w:val="0"/>
        </w:rPr>
        <w:t xml:space="preserve">, 106(3), 678-688.</w:t>
      </w:r>
    </w:p>
    <w:p w:rsidR="00000000" w:rsidDel="00000000" w:rsidP="00000000" w:rsidRDefault="00000000" w:rsidRPr="00000000" w14:paraId="00000041">
      <w:pPr>
        <w:spacing w:after="280" w:before="280" w:line="240" w:lineRule="auto"/>
        <w:rPr/>
      </w:pPr>
      <w:r w:rsidDel="00000000" w:rsidR="00000000" w:rsidRPr="00000000">
        <w:rPr>
          <w:b w:val="1"/>
          <w:rtl w:val="0"/>
        </w:rPr>
        <w:t xml:space="preserve">Varga, T., &amp; Powell, A. (2012).</w:t>
      </w:r>
      <w:r w:rsidDel="00000000" w:rsidR="00000000" w:rsidRPr="00000000">
        <w:rPr>
          <w:rtl w:val="0"/>
        </w:rPr>
        <w:t xml:space="preserve"> "Work-life balance in higher education: Examining the role of personal support systems in balancing family and academic responsibilities." </w:t>
      </w:r>
      <w:r w:rsidDel="00000000" w:rsidR="00000000" w:rsidRPr="00000000">
        <w:rPr>
          <w:i w:val="1"/>
          <w:rtl w:val="0"/>
        </w:rPr>
        <w:t xml:space="preserve">Journal of College Student Development</w:t>
      </w:r>
      <w:r w:rsidDel="00000000" w:rsidR="00000000" w:rsidRPr="00000000">
        <w:rPr>
          <w:rtl w:val="0"/>
        </w:rPr>
        <w:t xml:space="preserve">, 53(2), 191-205.</w:t>
      </w:r>
    </w:p>
    <w:p w:rsidR="00000000" w:rsidDel="00000000" w:rsidP="00000000" w:rsidRDefault="00000000" w:rsidRPr="00000000" w14:paraId="00000042">
      <w:pPr>
        <w:spacing w:after="280" w:before="280" w:line="240" w:lineRule="auto"/>
        <w:rPr/>
      </w:pPr>
      <w:r w:rsidDel="00000000" w:rsidR="00000000" w:rsidRPr="00000000">
        <w:rPr>
          <w:b w:val="1"/>
          <w:rtl w:val="0"/>
        </w:rPr>
        <w:t xml:space="preserve">Norgate, S. H. (2009).</w:t>
      </w:r>
      <w:r w:rsidDel="00000000" w:rsidR="00000000" w:rsidRPr="00000000">
        <w:rPr>
          <w:rtl w:val="0"/>
        </w:rPr>
        <w:t xml:space="preserve"> "The role of work-life balance in academic achievement: Stress, time management, and well-being." </w:t>
      </w:r>
      <w:r w:rsidDel="00000000" w:rsidR="00000000" w:rsidRPr="00000000">
        <w:rPr>
          <w:i w:val="1"/>
          <w:rtl w:val="0"/>
        </w:rPr>
        <w:t xml:space="preserve">Journal of Educational Psychology</w:t>
      </w:r>
      <w:r w:rsidDel="00000000" w:rsidR="00000000" w:rsidRPr="00000000">
        <w:rPr>
          <w:rtl w:val="0"/>
        </w:rPr>
        <w:t xml:space="preserve">, 101(1), 49-60.</w:t>
      </w:r>
    </w:p>
    <w:p w:rsidR="00000000" w:rsidDel="00000000" w:rsidP="00000000" w:rsidRDefault="00000000" w:rsidRPr="00000000" w14:paraId="00000043">
      <w:pPr>
        <w:spacing w:after="280" w:before="280" w:line="240" w:lineRule="auto"/>
        <w:rPr/>
      </w:pPr>
      <w:r w:rsidDel="00000000" w:rsidR="00000000" w:rsidRPr="00000000">
        <w:rPr>
          <w:b w:val="1"/>
          <w:rtl w:val="0"/>
        </w:rPr>
        <w:t xml:space="preserve">Kember, D., &amp; Leung, D. Y. P. (2005).</w:t>
      </w:r>
      <w:r w:rsidDel="00000000" w:rsidR="00000000" w:rsidRPr="00000000">
        <w:rPr>
          <w:rtl w:val="0"/>
        </w:rPr>
        <w:t xml:space="preserve"> "The influence of work-life balance on students' performance in higher education." </w:t>
      </w:r>
      <w:r w:rsidDel="00000000" w:rsidR="00000000" w:rsidRPr="00000000">
        <w:rPr>
          <w:i w:val="1"/>
          <w:rtl w:val="0"/>
        </w:rPr>
        <w:t xml:space="preserve">Higher Education Research &amp; Development</w:t>
      </w:r>
      <w:r w:rsidDel="00000000" w:rsidR="00000000" w:rsidRPr="00000000">
        <w:rPr>
          <w:rtl w:val="0"/>
        </w:rPr>
        <w:t xml:space="preserve">, 24(2), 47-61.</w:t>
      </w:r>
    </w:p>
    <w:p w:rsidR="00000000" w:rsidDel="00000000" w:rsidP="00000000" w:rsidRDefault="00000000" w:rsidRPr="00000000" w14:paraId="00000044">
      <w:pPr>
        <w:spacing w:after="280" w:before="280" w:line="240" w:lineRule="auto"/>
        <w:ind w:left="426" w:firstLine="0"/>
        <w:rPr/>
      </w:pPr>
      <w:r w:rsidDel="00000000" w:rsidR="00000000" w:rsidRPr="00000000">
        <w:rPr>
          <w:rtl w:val="0"/>
        </w:rPr>
      </w:r>
    </w:p>
    <w:p w:rsidR="00000000" w:rsidDel="00000000" w:rsidP="00000000" w:rsidRDefault="00000000" w:rsidRPr="00000000" w14:paraId="00000045">
      <w:pPr>
        <w:ind w:left="-5" w:right="44" w:firstLine="0"/>
        <w:rPr/>
      </w:pPr>
      <w:r w:rsidDel="00000000" w:rsidR="00000000" w:rsidRPr="00000000">
        <w:rPr>
          <w:rtl w:val="0"/>
        </w:rPr>
      </w:r>
    </w:p>
    <w:sectPr>
      <w:pgSz w:h="16840" w:w="11920" w:orient="portrait"/>
      <w:pgMar w:bottom="1705" w:top="1498" w:left="1440" w:right="1463"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59" w:line="286" w:lineRule="auto"/>
        <w:ind w:left="10" w:right="35"/>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88" w:before="0" w:line="261" w:lineRule="auto"/>
      <w:ind w:left="10" w:right="0" w:hanging="1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pPr>
      <w:spacing w:after="159" w:line="286" w:lineRule="auto"/>
      <w:ind w:left="10" w:right="35" w:hanging="10"/>
    </w:pPr>
    <w:rPr>
      <w:rFonts w:ascii="Times New Roman" w:cs="Times New Roman" w:eastAsia="Times New Roman" w:hAnsi="Times New Roman"/>
      <w:color w:val="000000"/>
      <w:sz w:val="24"/>
    </w:rPr>
  </w:style>
  <w:style w:type="paragraph" w:styleId="Heading1">
    <w:name w:val="heading 1"/>
    <w:next w:val="Normal"/>
    <w:link w:val="Heading1Char"/>
    <w:uiPriority w:val="9"/>
    <w:qFormat w:val="1"/>
    <w:pPr>
      <w:keepNext w:val="1"/>
      <w:keepLines w:val="1"/>
      <w:spacing w:after="188" w:line="261" w:lineRule="auto"/>
      <w:ind w:left="10" w:hanging="10"/>
      <w:outlineLvl w:val="0"/>
    </w:pPr>
    <w:rPr>
      <w:rFonts w:ascii="Times New Roman" w:cs="Times New Roman" w:eastAsia="Times New Roman" w:hAnsi="Times New Roman"/>
      <w:b w:val="1"/>
      <w:color w:val="000000"/>
      <w:sz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rPr>
      <w:rFonts w:ascii="Times New Roman" w:cs="Times New Roman" w:eastAsia="Times New Roman" w:hAnsi="Times New Roman"/>
      <w:b w:val="1"/>
      <w:color w:val="000000"/>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Ph3AoglgOB/oX9zjZxCmq5HBgg==">CgMxLjA4AHIhMU5QTUQzM3pxYVZBUXI3ZGkyTDdaZjFTeWtVOGRPb1E2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2024-12-09T14:43:00Z</dcterms:created>
  <dc:creator>John Sesay</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c01db9bf2ab12b3440cb4ef685d4c051317eeab0e3b7235e19a7331125965781</vt:lpwstr>
  </property>
</Properties>
</file>