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5B2FC" w14:textId="1A59889A" w:rsidR="00710653" w:rsidRDefault="00710653" w:rsidP="00710653"/>
    <w:p w14:paraId="05237B1B" w14:textId="3D366D89" w:rsidR="00710653" w:rsidRDefault="00710653" w:rsidP="00710653"/>
    <w:p w14:paraId="6C14F97B" w14:textId="7BB3E648" w:rsidR="00710653" w:rsidRDefault="00710653" w:rsidP="00710653"/>
    <w:p w14:paraId="3F964913" w14:textId="037E2D8E" w:rsidR="00710653" w:rsidRDefault="00710653" w:rsidP="00710653"/>
    <w:p w14:paraId="1AA65749" w14:textId="7A6F55EC" w:rsidR="00710653" w:rsidRDefault="00710653" w:rsidP="00710653"/>
    <w:p w14:paraId="1C4026BD" w14:textId="641AD8A1" w:rsidR="00710653" w:rsidRDefault="00710653" w:rsidP="00710653"/>
    <w:p w14:paraId="74F58CA0" w14:textId="0B20C4CC" w:rsidR="00710653" w:rsidRDefault="00710653" w:rsidP="00710653"/>
    <w:p w14:paraId="370425B0" w14:textId="77777777" w:rsidR="00710653" w:rsidRDefault="00710653" w:rsidP="00710653"/>
    <w:p w14:paraId="70673A2C" w14:textId="77777777" w:rsidR="001F391E" w:rsidRPr="001F391E" w:rsidRDefault="0083320A" w:rsidP="001F391E">
      <w:pPr>
        <w:jc w:val="center"/>
        <w:rPr>
          <w:b/>
        </w:rPr>
      </w:pPr>
      <w:r w:rsidRPr="001F391E">
        <w:rPr>
          <w:b/>
        </w:rPr>
        <w:t>Module Code: BMHP6030</w:t>
      </w:r>
    </w:p>
    <w:p w14:paraId="21C09623" w14:textId="77777777" w:rsidR="001F391E" w:rsidRPr="001F391E" w:rsidRDefault="0083320A" w:rsidP="001F391E">
      <w:pPr>
        <w:jc w:val="center"/>
        <w:rPr>
          <w:b/>
        </w:rPr>
      </w:pPr>
      <w:r w:rsidRPr="001F391E">
        <w:rPr>
          <w:b/>
        </w:rPr>
        <w:t>Module Details: Component 2 Report</w:t>
      </w:r>
    </w:p>
    <w:p w14:paraId="3DBF5C12" w14:textId="77777777" w:rsidR="001F391E" w:rsidRPr="001F391E" w:rsidRDefault="0083320A" w:rsidP="001F391E">
      <w:pPr>
        <w:jc w:val="center"/>
        <w:rPr>
          <w:b/>
        </w:rPr>
      </w:pPr>
      <w:r w:rsidRPr="001F391E">
        <w:rPr>
          <w:b/>
        </w:rPr>
        <w:t>Assignment Title: Health, Well-being and Sustainable Development</w:t>
      </w:r>
    </w:p>
    <w:p w14:paraId="6B466285" w14:textId="41E5116C" w:rsidR="001F391E" w:rsidRPr="001F391E" w:rsidRDefault="0083320A" w:rsidP="001F391E">
      <w:pPr>
        <w:jc w:val="center"/>
        <w:rPr>
          <w:b/>
        </w:rPr>
      </w:pPr>
      <w:r w:rsidRPr="001F391E">
        <w:rPr>
          <w:b/>
        </w:rPr>
        <w:t>Student Name: Aqila Khan</w:t>
      </w:r>
    </w:p>
    <w:p w14:paraId="389EDF30" w14:textId="77777777" w:rsidR="001F391E" w:rsidRPr="001F391E" w:rsidRDefault="0083320A" w:rsidP="001F391E">
      <w:pPr>
        <w:jc w:val="center"/>
        <w:rPr>
          <w:b/>
        </w:rPr>
      </w:pPr>
      <w:r w:rsidRPr="001F391E">
        <w:rPr>
          <w:b/>
        </w:rPr>
        <w:t>Student ID: 2224595</w:t>
      </w:r>
    </w:p>
    <w:p w14:paraId="59859965" w14:textId="6505D991" w:rsidR="0083320A" w:rsidRPr="001F391E" w:rsidRDefault="0083320A" w:rsidP="001F391E">
      <w:pPr>
        <w:jc w:val="center"/>
        <w:rPr>
          <w:b/>
        </w:rPr>
      </w:pPr>
      <w:r w:rsidRPr="001F391E">
        <w:rPr>
          <w:b/>
        </w:rPr>
        <w:t>Lecturer’s Name:</w:t>
      </w:r>
      <w:r w:rsidR="004F3C4F">
        <w:rPr>
          <w:b/>
        </w:rPr>
        <w:t xml:space="preserve"> Parese Ahmed</w:t>
      </w:r>
    </w:p>
    <w:p w14:paraId="43BCD0A2" w14:textId="6E7CAD81" w:rsidR="00FE7F31" w:rsidRPr="00710653" w:rsidRDefault="00FE7F31" w:rsidP="0083320A">
      <w:pPr>
        <w:jc w:val="center"/>
        <w:rPr>
          <w:b/>
        </w:rPr>
      </w:pPr>
    </w:p>
    <w:p w14:paraId="552B990B" w14:textId="675206B1" w:rsidR="005A00D2" w:rsidRDefault="005A00D2" w:rsidP="003F32B4"/>
    <w:p w14:paraId="50D7A3DE" w14:textId="7BB6673E" w:rsidR="004930E1" w:rsidRDefault="004930E1" w:rsidP="003F32B4"/>
    <w:p w14:paraId="1FA3AF6F" w14:textId="658DFD2E" w:rsidR="004930E1" w:rsidRDefault="004930E1" w:rsidP="003F32B4"/>
    <w:p w14:paraId="1336AEF9" w14:textId="33E33118" w:rsidR="004930E1" w:rsidRDefault="007F1EB5">
      <w:pPr>
        <w:spacing w:line="259" w:lineRule="auto"/>
      </w:pPr>
      <w:r>
        <w:br w:type="page"/>
      </w:r>
    </w:p>
    <w:sdt>
      <w:sdtPr>
        <w:rPr>
          <w:rFonts w:ascii="Times New Roman" w:eastAsiaTheme="minorHAnsi" w:hAnsi="Times New Roman" w:cstheme="minorBidi"/>
          <w:color w:val="auto"/>
          <w:sz w:val="24"/>
          <w:szCs w:val="22"/>
          <w:lang w:val="en-GB"/>
        </w:rPr>
        <w:id w:val="665366632"/>
        <w:docPartObj>
          <w:docPartGallery w:val="Table of Contents"/>
          <w:docPartUnique/>
        </w:docPartObj>
      </w:sdtPr>
      <w:sdtEndPr>
        <w:rPr>
          <w:b/>
          <w:bCs/>
          <w:noProof/>
        </w:rPr>
      </w:sdtEndPr>
      <w:sdtContent>
        <w:p w14:paraId="55ACB5E5" w14:textId="1829BA15" w:rsidR="004930E1" w:rsidRPr="004930E1" w:rsidRDefault="007F1EB5">
          <w:pPr>
            <w:pStyle w:val="TOCHeading"/>
            <w:rPr>
              <w:rFonts w:ascii="Times New Roman" w:hAnsi="Times New Roman" w:cs="Times New Roman"/>
              <w:color w:val="auto"/>
              <w:sz w:val="24"/>
              <w:szCs w:val="24"/>
            </w:rPr>
          </w:pPr>
          <w:r w:rsidRPr="004930E1">
            <w:rPr>
              <w:rFonts w:ascii="Times New Roman" w:hAnsi="Times New Roman" w:cs="Times New Roman"/>
              <w:color w:val="auto"/>
              <w:sz w:val="24"/>
              <w:szCs w:val="24"/>
            </w:rPr>
            <w:t>Table of Contents</w:t>
          </w:r>
        </w:p>
        <w:p w14:paraId="378D35A7" w14:textId="46EEB20C" w:rsidR="0050155D" w:rsidRDefault="007F1EB5">
          <w:pPr>
            <w:pStyle w:val="TOC1"/>
            <w:tabs>
              <w:tab w:val="right" w:leader="dot" w:pos="9350"/>
            </w:tabs>
            <w:rPr>
              <w:rFonts w:asciiTheme="minorHAnsi" w:eastAsiaTheme="minorEastAsia" w:hAnsiTheme="minorHAnsi"/>
              <w:noProof/>
              <w:sz w:val="22"/>
              <w:lang w:val="en-US"/>
            </w:rPr>
          </w:pPr>
          <w:r w:rsidRPr="004930E1">
            <w:rPr>
              <w:rFonts w:cs="Times New Roman"/>
              <w:szCs w:val="24"/>
            </w:rPr>
            <w:fldChar w:fldCharType="begin"/>
          </w:r>
          <w:r w:rsidRPr="004930E1">
            <w:rPr>
              <w:rFonts w:cs="Times New Roman"/>
              <w:szCs w:val="24"/>
            </w:rPr>
            <w:instrText xml:space="preserve"> TOC \o "1-3" \h \z \u </w:instrText>
          </w:r>
          <w:r w:rsidRPr="004930E1">
            <w:rPr>
              <w:rFonts w:cs="Times New Roman"/>
              <w:szCs w:val="24"/>
            </w:rPr>
            <w:fldChar w:fldCharType="separate"/>
          </w:r>
          <w:hyperlink w:anchor="_Toc213859413" w:history="1">
            <w:r w:rsidR="0050155D" w:rsidRPr="00E44205">
              <w:rPr>
                <w:rStyle w:val="Hyperlink"/>
                <w:noProof/>
                <w:lang w:val="en-US"/>
              </w:rPr>
              <w:t>Introduction</w:t>
            </w:r>
            <w:r w:rsidR="0050155D">
              <w:rPr>
                <w:noProof/>
                <w:webHidden/>
              </w:rPr>
              <w:tab/>
            </w:r>
            <w:r w:rsidR="0050155D">
              <w:rPr>
                <w:noProof/>
                <w:webHidden/>
              </w:rPr>
              <w:fldChar w:fldCharType="begin"/>
            </w:r>
            <w:r w:rsidR="0050155D">
              <w:rPr>
                <w:noProof/>
                <w:webHidden/>
              </w:rPr>
              <w:instrText xml:space="preserve"> PAGEREF _Toc213859413 \h </w:instrText>
            </w:r>
            <w:r w:rsidR="0050155D">
              <w:rPr>
                <w:noProof/>
                <w:webHidden/>
              </w:rPr>
            </w:r>
            <w:r w:rsidR="0050155D">
              <w:rPr>
                <w:noProof/>
                <w:webHidden/>
              </w:rPr>
              <w:fldChar w:fldCharType="separate"/>
            </w:r>
            <w:r w:rsidR="0050155D">
              <w:rPr>
                <w:noProof/>
                <w:webHidden/>
              </w:rPr>
              <w:t>3</w:t>
            </w:r>
            <w:r w:rsidR="0050155D">
              <w:rPr>
                <w:noProof/>
                <w:webHidden/>
              </w:rPr>
              <w:fldChar w:fldCharType="end"/>
            </w:r>
          </w:hyperlink>
        </w:p>
        <w:p w14:paraId="3F500988" w14:textId="566EB6C7" w:rsidR="0050155D" w:rsidRDefault="0050155D">
          <w:pPr>
            <w:pStyle w:val="TOC1"/>
            <w:tabs>
              <w:tab w:val="right" w:leader="dot" w:pos="9350"/>
            </w:tabs>
            <w:rPr>
              <w:rFonts w:asciiTheme="minorHAnsi" w:eastAsiaTheme="minorEastAsia" w:hAnsiTheme="minorHAnsi"/>
              <w:noProof/>
              <w:sz w:val="22"/>
              <w:lang w:val="en-US"/>
            </w:rPr>
          </w:pPr>
          <w:hyperlink w:anchor="_Toc213859414" w:history="1">
            <w:r w:rsidRPr="00E44205">
              <w:rPr>
                <w:rStyle w:val="Hyperlink"/>
                <w:noProof/>
                <w:lang w:val="en-US"/>
              </w:rPr>
              <w:t>Theoretical and Conceptual Frameworks</w:t>
            </w:r>
            <w:r>
              <w:rPr>
                <w:noProof/>
                <w:webHidden/>
              </w:rPr>
              <w:tab/>
            </w:r>
            <w:r>
              <w:rPr>
                <w:noProof/>
                <w:webHidden/>
              </w:rPr>
              <w:fldChar w:fldCharType="begin"/>
            </w:r>
            <w:r>
              <w:rPr>
                <w:noProof/>
                <w:webHidden/>
              </w:rPr>
              <w:instrText xml:space="preserve"> PAGEREF _Toc213859414 \h </w:instrText>
            </w:r>
            <w:r>
              <w:rPr>
                <w:noProof/>
                <w:webHidden/>
              </w:rPr>
            </w:r>
            <w:r>
              <w:rPr>
                <w:noProof/>
                <w:webHidden/>
              </w:rPr>
              <w:fldChar w:fldCharType="separate"/>
            </w:r>
            <w:r>
              <w:rPr>
                <w:noProof/>
                <w:webHidden/>
              </w:rPr>
              <w:t>3</w:t>
            </w:r>
            <w:r>
              <w:rPr>
                <w:noProof/>
                <w:webHidden/>
              </w:rPr>
              <w:fldChar w:fldCharType="end"/>
            </w:r>
          </w:hyperlink>
        </w:p>
        <w:p w14:paraId="7C8A7348" w14:textId="2AC07062" w:rsidR="0050155D" w:rsidRDefault="0050155D">
          <w:pPr>
            <w:pStyle w:val="TOC1"/>
            <w:tabs>
              <w:tab w:val="right" w:leader="dot" w:pos="9350"/>
            </w:tabs>
            <w:rPr>
              <w:rFonts w:asciiTheme="minorHAnsi" w:eastAsiaTheme="minorEastAsia" w:hAnsiTheme="minorHAnsi"/>
              <w:noProof/>
              <w:sz w:val="22"/>
              <w:lang w:val="en-US"/>
            </w:rPr>
          </w:pPr>
          <w:hyperlink w:anchor="_Toc213859415" w:history="1">
            <w:r w:rsidRPr="00E44205">
              <w:rPr>
                <w:rStyle w:val="Hyperlink"/>
                <w:noProof/>
                <w:lang w:val="en-US"/>
              </w:rPr>
              <w:t>Global Perspective: SDG 3 and SDG 13</w:t>
            </w:r>
            <w:r>
              <w:rPr>
                <w:noProof/>
                <w:webHidden/>
              </w:rPr>
              <w:tab/>
            </w:r>
            <w:r>
              <w:rPr>
                <w:noProof/>
                <w:webHidden/>
              </w:rPr>
              <w:fldChar w:fldCharType="begin"/>
            </w:r>
            <w:r>
              <w:rPr>
                <w:noProof/>
                <w:webHidden/>
              </w:rPr>
              <w:instrText xml:space="preserve"> PAGEREF _Toc213859415 \h </w:instrText>
            </w:r>
            <w:r>
              <w:rPr>
                <w:noProof/>
                <w:webHidden/>
              </w:rPr>
            </w:r>
            <w:r>
              <w:rPr>
                <w:noProof/>
                <w:webHidden/>
              </w:rPr>
              <w:fldChar w:fldCharType="separate"/>
            </w:r>
            <w:r>
              <w:rPr>
                <w:noProof/>
                <w:webHidden/>
              </w:rPr>
              <w:t>4</w:t>
            </w:r>
            <w:r>
              <w:rPr>
                <w:noProof/>
                <w:webHidden/>
              </w:rPr>
              <w:fldChar w:fldCharType="end"/>
            </w:r>
          </w:hyperlink>
        </w:p>
        <w:p w14:paraId="667578EE" w14:textId="03A658F4" w:rsidR="0050155D" w:rsidRDefault="0050155D">
          <w:pPr>
            <w:pStyle w:val="TOC1"/>
            <w:tabs>
              <w:tab w:val="right" w:leader="dot" w:pos="9350"/>
            </w:tabs>
            <w:rPr>
              <w:rFonts w:asciiTheme="minorHAnsi" w:eastAsiaTheme="minorEastAsia" w:hAnsiTheme="minorHAnsi"/>
              <w:noProof/>
              <w:sz w:val="22"/>
              <w:lang w:val="en-US"/>
            </w:rPr>
          </w:pPr>
          <w:hyperlink w:anchor="_Toc213859416" w:history="1">
            <w:r w:rsidRPr="00E44205">
              <w:rPr>
                <w:rStyle w:val="Hyperlink"/>
                <w:noProof/>
                <w:lang w:val="en-US"/>
              </w:rPr>
              <w:t>National Perspective (UK context)</w:t>
            </w:r>
            <w:r>
              <w:rPr>
                <w:noProof/>
                <w:webHidden/>
              </w:rPr>
              <w:tab/>
            </w:r>
            <w:r>
              <w:rPr>
                <w:noProof/>
                <w:webHidden/>
              </w:rPr>
              <w:fldChar w:fldCharType="begin"/>
            </w:r>
            <w:r>
              <w:rPr>
                <w:noProof/>
                <w:webHidden/>
              </w:rPr>
              <w:instrText xml:space="preserve"> PAGEREF _Toc213859416 \h </w:instrText>
            </w:r>
            <w:r>
              <w:rPr>
                <w:noProof/>
                <w:webHidden/>
              </w:rPr>
            </w:r>
            <w:r>
              <w:rPr>
                <w:noProof/>
                <w:webHidden/>
              </w:rPr>
              <w:fldChar w:fldCharType="separate"/>
            </w:r>
            <w:r>
              <w:rPr>
                <w:noProof/>
                <w:webHidden/>
              </w:rPr>
              <w:t>5</w:t>
            </w:r>
            <w:r>
              <w:rPr>
                <w:noProof/>
                <w:webHidden/>
              </w:rPr>
              <w:fldChar w:fldCharType="end"/>
            </w:r>
          </w:hyperlink>
        </w:p>
        <w:p w14:paraId="43AD3254" w14:textId="6B761BF3" w:rsidR="0050155D" w:rsidRDefault="0050155D">
          <w:pPr>
            <w:pStyle w:val="TOC1"/>
            <w:tabs>
              <w:tab w:val="right" w:leader="dot" w:pos="9350"/>
            </w:tabs>
            <w:rPr>
              <w:rFonts w:asciiTheme="minorHAnsi" w:eastAsiaTheme="minorEastAsia" w:hAnsiTheme="minorHAnsi"/>
              <w:noProof/>
              <w:sz w:val="22"/>
              <w:lang w:val="en-US"/>
            </w:rPr>
          </w:pPr>
          <w:hyperlink w:anchor="_Toc213859417" w:history="1">
            <w:r w:rsidRPr="00E44205">
              <w:rPr>
                <w:rStyle w:val="Hyperlink"/>
                <w:noProof/>
                <w:lang w:val="en-US"/>
              </w:rPr>
              <w:t>Local Perspective</w:t>
            </w:r>
            <w:r>
              <w:rPr>
                <w:noProof/>
                <w:webHidden/>
              </w:rPr>
              <w:tab/>
            </w:r>
            <w:r>
              <w:rPr>
                <w:noProof/>
                <w:webHidden/>
              </w:rPr>
              <w:fldChar w:fldCharType="begin"/>
            </w:r>
            <w:r>
              <w:rPr>
                <w:noProof/>
                <w:webHidden/>
              </w:rPr>
              <w:instrText xml:space="preserve"> PAGEREF _Toc213859417 \h </w:instrText>
            </w:r>
            <w:r>
              <w:rPr>
                <w:noProof/>
                <w:webHidden/>
              </w:rPr>
            </w:r>
            <w:r>
              <w:rPr>
                <w:noProof/>
                <w:webHidden/>
              </w:rPr>
              <w:fldChar w:fldCharType="separate"/>
            </w:r>
            <w:r>
              <w:rPr>
                <w:noProof/>
                <w:webHidden/>
              </w:rPr>
              <w:t>6</w:t>
            </w:r>
            <w:r>
              <w:rPr>
                <w:noProof/>
                <w:webHidden/>
              </w:rPr>
              <w:fldChar w:fldCharType="end"/>
            </w:r>
          </w:hyperlink>
        </w:p>
        <w:p w14:paraId="6670A19F" w14:textId="2D1B12BF" w:rsidR="0050155D" w:rsidRDefault="0050155D">
          <w:pPr>
            <w:pStyle w:val="TOC1"/>
            <w:tabs>
              <w:tab w:val="right" w:leader="dot" w:pos="9350"/>
            </w:tabs>
            <w:rPr>
              <w:rFonts w:asciiTheme="minorHAnsi" w:eastAsiaTheme="minorEastAsia" w:hAnsiTheme="minorHAnsi"/>
              <w:noProof/>
              <w:sz w:val="22"/>
              <w:lang w:val="en-US"/>
            </w:rPr>
          </w:pPr>
          <w:hyperlink w:anchor="_Toc213859418" w:history="1">
            <w:r w:rsidRPr="00E44205">
              <w:rPr>
                <w:rStyle w:val="Hyperlink"/>
                <w:noProof/>
                <w:lang w:val="en-US"/>
              </w:rPr>
              <w:t>Critical Evaluation of Effectiveness</w:t>
            </w:r>
            <w:r>
              <w:rPr>
                <w:noProof/>
                <w:webHidden/>
              </w:rPr>
              <w:tab/>
            </w:r>
            <w:r>
              <w:rPr>
                <w:noProof/>
                <w:webHidden/>
              </w:rPr>
              <w:fldChar w:fldCharType="begin"/>
            </w:r>
            <w:r>
              <w:rPr>
                <w:noProof/>
                <w:webHidden/>
              </w:rPr>
              <w:instrText xml:space="preserve"> PAGEREF _Toc213859418 \h </w:instrText>
            </w:r>
            <w:r>
              <w:rPr>
                <w:noProof/>
                <w:webHidden/>
              </w:rPr>
            </w:r>
            <w:r>
              <w:rPr>
                <w:noProof/>
                <w:webHidden/>
              </w:rPr>
              <w:fldChar w:fldCharType="separate"/>
            </w:r>
            <w:r>
              <w:rPr>
                <w:noProof/>
                <w:webHidden/>
              </w:rPr>
              <w:t>6</w:t>
            </w:r>
            <w:r>
              <w:rPr>
                <w:noProof/>
                <w:webHidden/>
              </w:rPr>
              <w:fldChar w:fldCharType="end"/>
            </w:r>
          </w:hyperlink>
        </w:p>
        <w:p w14:paraId="09F53A30" w14:textId="637AD7C6" w:rsidR="0050155D" w:rsidRDefault="0050155D">
          <w:pPr>
            <w:pStyle w:val="TOC1"/>
            <w:tabs>
              <w:tab w:val="right" w:leader="dot" w:pos="9350"/>
            </w:tabs>
            <w:rPr>
              <w:rFonts w:asciiTheme="minorHAnsi" w:eastAsiaTheme="minorEastAsia" w:hAnsiTheme="minorHAnsi"/>
              <w:noProof/>
              <w:sz w:val="22"/>
              <w:lang w:val="en-US"/>
            </w:rPr>
          </w:pPr>
          <w:hyperlink w:anchor="_Toc213859419" w:history="1">
            <w:r w:rsidRPr="00E44205">
              <w:rPr>
                <w:rStyle w:val="Hyperlink"/>
                <w:noProof/>
                <w:lang w:val="en-US"/>
              </w:rPr>
              <w:t>Recommendations for Improvement</w:t>
            </w:r>
            <w:r>
              <w:rPr>
                <w:noProof/>
                <w:webHidden/>
              </w:rPr>
              <w:tab/>
            </w:r>
            <w:r>
              <w:rPr>
                <w:noProof/>
                <w:webHidden/>
              </w:rPr>
              <w:fldChar w:fldCharType="begin"/>
            </w:r>
            <w:r>
              <w:rPr>
                <w:noProof/>
                <w:webHidden/>
              </w:rPr>
              <w:instrText xml:space="preserve"> PAGEREF _Toc213859419 \h </w:instrText>
            </w:r>
            <w:r>
              <w:rPr>
                <w:noProof/>
                <w:webHidden/>
              </w:rPr>
            </w:r>
            <w:r>
              <w:rPr>
                <w:noProof/>
                <w:webHidden/>
              </w:rPr>
              <w:fldChar w:fldCharType="separate"/>
            </w:r>
            <w:r>
              <w:rPr>
                <w:noProof/>
                <w:webHidden/>
              </w:rPr>
              <w:t>7</w:t>
            </w:r>
            <w:r>
              <w:rPr>
                <w:noProof/>
                <w:webHidden/>
              </w:rPr>
              <w:fldChar w:fldCharType="end"/>
            </w:r>
          </w:hyperlink>
        </w:p>
        <w:p w14:paraId="1FC60CB8" w14:textId="46BA3CFD" w:rsidR="0050155D" w:rsidRDefault="0050155D">
          <w:pPr>
            <w:pStyle w:val="TOC1"/>
            <w:tabs>
              <w:tab w:val="right" w:leader="dot" w:pos="9350"/>
            </w:tabs>
            <w:rPr>
              <w:rFonts w:asciiTheme="minorHAnsi" w:eastAsiaTheme="minorEastAsia" w:hAnsiTheme="minorHAnsi"/>
              <w:noProof/>
              <w:sz w:val="22"/>
              <w:lang w:val="en-US"/>
            </w:rPr>
          </w:pPr>
          <w:hyperlink w:anchor="_Toc213859420" w:history="1">
            <w:r w:rsidRPr="00E44205">
              <w:rPr>
                <w:rStyle w:val="Hyperlink"/>
                <w:noProof/>
                <w:lang w:val="en-US"/>
              </w:rPr>
              <w:t>Conclusion</w:t>
            </w:r>
            <w:r>
              <w:rPr>
                <w:noProof/>
                <w:webHidden/>
              </w:rPr>
              <w:tab/>
            </w:r>
            <w:r>
              <w:rPr>
                <w:noProof/>
                <w:webHidden/>
              </w:rPr>
              <w:fldChar w:fldCharType="begin"/>
            </w:r>
            <w:r>
              <w:rPr>
                <w:noProof/>
                <w:webHidden/>
              </w:rPr>
              <w:instrText xml:space="preserve"> PAGEREF _Toc213859420 \h </w:instrText>
            </w:r>
            <w:r>
              <w:rPr>
                <w:noProof/>
                <w:webHidden/>
              </w:rPr>
            </w:r>
            <w:r>
              <w:rPr>
                <w:noProof/>
                <w:webHidden/>
              </w:rPr>
              <w:fldChar w:fldCharType="separate"/>
            </w:r>
            <w:r>
              <w:rPr>
                <w:noProof/>
                <w:webHidden/>
              </w:rPr>
              <w:t>8</w:t>
            </w:r>
            <w:r>
              <w:rPr>
                <w:noProof/>
                <w:webHidden/>
              </w:rPr>
              <w:fldChar w:fldCharType="end"/>
            </w:r>
          </w:hyperlink>
        </w:p>
        <w:p w14:paraId="0BE2BB0D" w14:textId="774E0174" w:rsidR="0050155D" w:rsidRDefault="0050155D">
          <w:pPr>
            <w:pStyle w:val="TOC1"/>
            <w:tabs>
              <w:tab w:val="right" w:leader="dot" w:pos="9350"/>
            </w:tabs>
            <w:rPr>
              <w:rFonts w:asciiTheme="minorHAnsi" w:eastAsiaTheme="minorEastAsia" w:hAnsiTheme="minorHAnsi"/>
              <w:noProof/>
              <w:sz w:val="22"/>
              <w:lang w:val="en-US"/>
            </w:rPr>
          </w:pPr>
          <w:hyperlink w:anchor="_Toc213859421" w:history="1">
            <w:r w:rsidRPr="00E44205">
              <w:rPr>
                <w:rStyle w:val="Hyperlink"/>
                <w:noProof/>
                <w:lang w:val="en-US"/>
              </w:rPr>
              <w:t>References</w:t>
            </w:r>
            <w:r>
              <w:rPr>
                <w:noProof/>
                <w:webHidden/>
              </w:rPr>
              <w:tab/>
            </w:r>
            <w:r>
              <w:rPr>
                <w:noProof/>
                <w:webHidden/>
              </w:rPr>
              <w:fldChar w:fldCharType="begin"/>
            </w:r>
            <w:r>
              <w:rPr>
                <w:noProof/>
                <w:webHidden/>
              </w:rPr>
              <w:instrText xml:space="preserve"> PAGEREF _Toc213859421 \h </w:instrText>
            </w:r>
            <w:r>
              <w:rPr>
                <w:noProof/>
                <w:webHidden/>
              </w:rPr>
            </w:r>
            <w:r>
              <w:rPr>
                <w:noProof/>
                <w:webHidden/>
              </w:rPr>
              <w:fldChar w:fldCharType="separate"/>
            </w:r>
            <w:r>
              <w:rPr>
                <w:noProof/>
                <w:webHidden/>
              </w:rPr>
              <w:t>9</w:t>
            </w:r>
            <w:r>
              <w:rPr>
                <w:noProof/>
                <w:webHidden/>
              </w:rPr>
              <w:fldChar w:fldCharType="end"/>
            </w:r>
          </w:hyperlink>
        </w:p>
        <w:p w14:paraId="5DCB0282" w14:textId="7604F739" w:rsidR="004930E1" w:rsidRDefault="007F1EB5">
          <w:r w:rsidRPr="004930E1">
            <w:rPr>
              <w:rFonts w:cs="Times New Roman"/>
              <w:b/>
              <w:bCs/>
              <w:noProof/>
              <w:szCs w:val="24"/>
            </w:rPr>
            <w:fldChar w:fldCharType="end"/>
          </w:r>
        </w:p>
      </w:sdtContent>
    </w:sdt>
    <w:p w14:paraId="2DDF26C2" w14:textId="78627E46" w:rsidR="004930E1" w:rsidRDefault="004930E1" w:rsidP="003F32B4"/>
    <w:p w14:paraId="7593444E" w14:textId="77777777" w:rsidR="004930E1" w:rsidRDefault="004930E1" w:rsidP="003F32B4"/>
    <w:p w14:paraId="4DB01D57" w14:textId="77777777" w:rsidR="004930E1" w:rsidRDefault="004930E1" w:rsidP="003F32B4"/>
    <w:p w14:paraId="7ABAB22B" w14:textId="77777777" w:rsidR="004930E1" w:rsidRDefault="004930E1" w:rsidP="003F32B4"/>
    <w:p w14:paraId="4C7B276A" w14:textId="408952EF" w:rsidR="0029394F" w:rsidRDefault="007F1EB5">
      <w:pPr>
        <w:spacing w:line="259" w:lineRule="auto"/>
      </w:pPr>
      <w:r>
        <w:br w:type="page"/>
      </w:r>
    </w:p>
    <w:p w14:paraId="1B7F67BA" w14:textId="36F435FD" w:rsidR="001B4C90" w:rsidRDefault="007F1EB5" w:rsidP="009A0E3A">
      <w:pPr>
        <w:pStyle w:val="Heading1"/>
        <w:rPr>
          <w:lang w:val="en-US"/>
        </w:rPr>
      </w:pPr>
      <w:bookmarkStart w:id="0" w:name="_Toc213859413"/>
      <w:r w:rsidRPr="001B4C90">
        <w:rPr>
          <w:lang w:val="en-US"/>
        </w:rPr>
        <w:lastRenderedPageBreak/>
        <w:t>Introduction</w:t>
      </w:r>
      <w:bookmarkEnd w:id="0"/>
    </w:p>
    <w:p w14:paraId="5863127E" w14:textId="054252E2" w:rsidR="00AE106B" w:rsidRPr="00DD6EC6" w:rsidRDefault="007F1EB5" w:rsidP="002E255A">
      <w:pPr>
        <w:rPr>
          <w:lang w:val="en-US"/>
        </w:rPr>
      </w:pPr>
      <w:r w:rsidRPr="00C01DE1">
        <w:rPr>
          <w:lang w:val="en-US"/>
        </w:rPr>
        <w:t>The relationship between health, well-being, and sustainable development is a relatively new phenomenon that is being adopted as an integrated priority in the future of societies. Each of the 17 targeted SDGs addresses all the global issues of poverty, inequality, health, and climate change as a universal approach to all the problems in the world, developed by the United Nations in 2015 (United Nations, 2025). The key point of this agenda is SDG 3: Good Health and Well-being, which aims to ensure that healthy lifestyles are promoted and promote the well-being of people across all ages by focusing on such concerns as maternal and child mortality, communicable and non-communicable diseases, and access to healthcare (Global Goals, 2025). It is also pertinent to SDG 13: Climate Action because more and more evidence connects climate change with negative health outcomes, such as air contamination, heat-related death, and mental health conditions (Global Goals, 2024). This report critically evaluates the influence of SDG 3 and SDG 13 on health and well-being policies in the global, national, and local spheres, intending to identify their efficacy and offer evidence-based suggestions on enhancing it.</w:t>
      </w:r>
    </w:p>
    <w:p w14:paraId="023219E4" w14:textId="77777777" w:rsidR="009A0E3A" w:rsidRPr="001B4C90" w:rsidRDefault="009A0E3A" w:rsidP="002E255A">
      <w:pPr>
        <w:rPr>
          <w:lang w:val="en-US"/>
        </w:rPr>
      </w:pPr>
    </w:p>
    <w:p w14:paraId="430F6B5D" w14:textId="5523DEE9" w:rsidR="001B4C90" w:rsidRDefault="007F1EB5" w:rsidP="005D607B">
      <w:pPr>
        <w:pStyle w:val="Heading1"/>
        <w:rPr>
          <w:lang w:val="en-US"/>
        </w:rPr>
      </w:pPr>
      <w:bookmarkStart w:id="1" w:name="_Toc213859414"/>
      <w:r w:rsidRPr="001B4C90">
        <w:rPr>
          <w:lang w:val="en-US"/>
        </w:rPr>
        <w:t>Theoretical and Conceptual Frameworks</w:t>
      </w:r>
      <w:bookmarkEnd w:id="1"/>
    </w:p>
    <w:p w14:paraId="04337484" w14:textId="587B81C2" w:rsidR="003C6B8E" w:rsidRPr="00EB1755" w:rsidRDefault="007F1EB5" w:rsidP="00933EE0">
      <w:pPr>
        <w:rPr>
          <w:lang w:val="en-US"/>
        </w:rPr>
      </w:pPr>
      <w:r w:rsidRPr="009B4576">
        <w:rPr>
          <w:lang w:val="en-US"/>
        </w:rPr>
        <w:t xml:space="preserve">The interaction of the topics of health, wellbeing and sustainability involves sound theoretical frameworks that elucidate the complex determinants that affect outcomes. The Social Determinants of Health model created by Dahlgren and Whitehead remains the cornerstone, emphasising the effects that individual lifestyle factors and the greater social, </w:t>
      </w:r>
      <w:r w:rsidR="00673A50" w:rsidRPr="009B4576">
        <w:rPr>
          <w:lang w:val="en-US"/>
        </w:rPr>
        <w:t>economic</w:t>
      </w:r>
      <w:r w:rsidRPr="009B4576">
        <w:rPr>
          <w:lang w:val="en-US"/>
        </w:rPr>
        <w:t xml:space="preserve"> and environmental factors have on health (Dahlgren and Whitehead, 2021). </w:t>
      </w:r>
      <w:r w:rsidR="00295750" w:rsidRPr="00295750">
        <w:rPr>
          <w:lang w:val="en-US"/>
        </w:rPr>
        <w:t>Public health policy has widely adopted the concept, especially in the UK with the Marmot Reviews, with claims that inequalities in housing, employment and education are the main drivers of improving health (Marmot, 2022). Critics have suggested it does not use the role of ecological forces like climate change enough, and limits its scope for looking at issues related to sustainability (Tweed et el. 2022).</w:t>
      </w:r>
    </w:p>
    <w:p w14:paraId="09174DE6" w14:textId="7E06100B" w:rsidR="00673A50" w:rsidRPr="00E50EE5" w:rsidRDefault="007F1EB5" w:rsidP="00961E72">
      <w:pPr>
        <w:rPr>
          <w:lang w:val="en-US"/>
        </w:rPr>
      </w:pPr>
      <w:r w:rsidRPr="00FE0F43">
        <w:rPr>
          <w:lang w:val="en-US"/>
        </w:rPr>
        <w:t xml:space="preserve">The concept that human health is inseparable from the stability of natural systems addresses such a gap by promoting the concept of Planetary Health (Guzmán et al., 2021). Studies indicate that there are both direct and indirect health impacts of biodiversity loss, pollution, and climate change, including food insecurity and increased diseases transmitted by vectors (de Souza and Weaver, 2024). Nevertheless, </w:t>
      </w:r>
      <w:r w:rsidR="00842E40">
        <w:rPr>
          <w:lang w:val="en-US"/>
        </w:rPr>
        <w:t>critics</w:t>
      </w:r>
      <w:r w:rsidRPr="00FE0F43">
        <w:rPr>
          <w:lang w:val="en-US"/>
        </w:rPr>
        <w:t xml:space="preserve"> warn that the planetary health agenda is being anthropocentric, placing human achievement first and total ecological sustainability second (Prescott et al., 2022).</w:t>
      </w:r>
    </w:p>
    <w:p w14:paraId="18EA909E" w14:textId="2871755A" w:rsidR="000631C3" w:rsidRPr="001938BE" w:rsidRDefault="007F1EB5" w:rsidP="005D607B">
      <w:pPr>
        <w:rPr>
          <w:lang w:val="en-US"/>
        </w:rPr>
      </w:pPr>
      <w:r w:rsidRPr="00E7704D">
        <w:rPr>
          <w:lang w:val="en-US"/>
        </w:rPr>
        <w:t xml:space="preserve">Lastly, systems thinking provides a useful perspective on how sustainability and health are interconnected. According to Silburn (2025), the combination of policy, environment, and behaviour creates health outcomes, and therefore interventions should go beyond an issue in isolation to </w:t>
      </w:r>
      <w:r w:rsidR="00737AF9" w:rsidRPr="00E7704D">
        <w:rPr>
          <w:lang w:val="en-US"/>
        </w:rPr>
        <w:t>consider</w:t>
      </w:r>
      <w:r w:rsidRPr="00E7704D">
        <w:rPr>
          <w:lang w:val="en-US"/>
        </w:rPr>
        <w:t xml:space="preserve"> systemic feedback loops. Indicatively, transport policies affect air quality, </w:t>
      </w:r>
      <w:r w:rsidRPr="00E7704D">
        <w:rPr>
          <w:lang w:val="en-US"/>
        </w:rPr>
        <w:lastRenderedPageBreak/>
        <w:t>exercise, and carbon emissions at the same time. There is evidence that the systems approaches make it possible to have more efficient and integrated approaches to attain health equity and sustainability (Shelton et al., 2023). These models allow for the analysis of the synergies and tensions between SDG 3 and SDG 13 on a critical basis.</w:t>
      </w:r>
    </w:p>
    <w:p w14:paraId="39A35B6D" w14:textId="77777777" w:rsidR="001725DE" w:rsidRPr="001B4C90" w:rsidRDefault="001725DE" w:rsidP="001725DE">
      <w:pPr>
        <w:rPr>
          <w:lang w:val="en-US"/>
        </w:rPr>
      </w:pPr>
    </w:p>
    <w:p w14:paraId="6648E633" w14:textId="5FDFD7B9" w:rsidR="00FE461E" w:rsidRDefault="007F1EB5" w:rsidP="006370F8">
      <w:pPr>
        <w:pStyle w:val="Heading1"/>
        <w:rPr>
          <w:lang w:val="en-US"/>
        </w:rPr>
      </w:pPr>
      <w:bookmarkStart w:id="2" w:name="_Toc213859415"/>
      <w:r w:rsidRPr="001B4C90">
        <w:rPr>
          <w:lang w:val="en-US"/>
        </w:rPr>
        <w:t>Global Perspective: SDG 3 and SDG 13</w:t>
      </w:r>
      <w:bookmarkEnd w:id="2"/>
    </w:p>
    <w:p w14:paraId="3352AB47" w14:textId="4B348C95" w:rsidR="00C27F1D" w:rsidRPr="00C27F1D" w:rsidRDefault="00C27F1D" w:rsidP="004239E5">
      <w:pPr>
        <w:rPr>
          <w:lang w:val="en-US"/>
        </w:rPr>
      </w:pPr>
      <w:r w:rsidRPr="00C27F1D">
        <w:rPr>
          <w:lang w:val="en-US"/>
        </w:rPr>
        <w:t>SDG 3 (Good Health and Well-being) has achieved huge advancements across the globe yet a few loopholes remain. According to World Health Organisation (2025), it is reported that life expectancy increased by over six years during 2000-2019 across the world, and the maternal mortality also reduced by 34% since 2000. As demonstrated via the example of the Global Polio Eradication Initiative, considerable advantages in the field of public health can be reached by the means of international cooperation (Thompson et al., 2022). However, this effect is not equally dispersed: although high-income nations are on the threshold of universal healthcare access (and some countries reached even higher levels), over 4.5 billion people remain without the need to receive health services, particularly in low-and-middle-income countries (World Health Organisation, 2025b). Shahonic and Govender (2021) argue that the COVID-19 crisis demonstrated the inherent weaknesses of the global health preparedness system and that the unequal distribution of vaccines is an example of structural issues with attaining SDG 3 goals. As of 2023, about 70</w:t>
      </w:r>
      <w:r w:rsidR="00096DBD">
        <w:rPr>
          <w:lang w:val="en-US"/>
        </w:rPr>
        <w:t>%</w:t>
      </w:r>
      <w:r w:rsidRPr="00C27F1D">
        <w:rPr>
          <w:lang w:val="en-US"/>
        </w:rPr>
        <w:t xml:space="preserve"> of the global population had already received at least one COVID-19 vaccine dose, despite the fact that in low-income countries this number barely ranged at 30 percent (World Health Organisation, 2025b). Rural and remote areas were characterized by large logistic obstacles including high cold-chain infrastructures, difficulty in storing vaccines, and a lack of skilled health professionals, which deterred equal vaccine distribution and high health inequality. </w:t>
      </w:r>
    </w:p>
    <w:p w14:paraId="22E61896" w14:textId="0B743FA3" w:rsidR="006B3112" w:rsidRPr="00646A87" w:rsidRDefault="006B3112" w:rsidP="006B3112">
      <w:pPr>
        <w:jc w:val="center"/>
        <w:rPr>
          <w:highlight w:val="yellow"/>
          <w:lang w:val="en-US"/>
        </w:rPr>
      </w:pPr>
      <w:r>
        <w:rPr>
          <w:noProof/>
        </w:rPr>
        <w:drawing>
          <wp:inline distT="0" distB="0" distL="0" distR="0" wp14:anchorId="6986CBB6" wp14:editId="1C6B067B">
            <wp:extent cx="3524250" cy="1981350"/>
            <wp:effectExtent l="0" t="0" r="0" b="0"/>
            <wp:docPr id="1" name="Picture 1" descr="https://www.cdc.gov/mmwr/volumes/71/wr/social-media/mm7109a2_VaccinationCoverageRuralvsUrban_IMAGE_04March22_1200x675-medium.jpg?_=66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dc.gov/mmwr/volumes/71/wr/social-media/mm7109a2_VaccinationCoverageRuralvsUrban_IMAGE_04March22_1200x675-medium.jpg?_=6609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6853" cy="1988436"/>
                    </a:xfrm>
                    <a:prstGeom prst="rect">
                      <a:avLst/>
                    </a:prstGeom>
                    <a:noFill/>
                    <a:ln>
                      <a:noFill/>
                    </a:ln>
                  </pic:spPr>
                </pic:pic>
              </a:graphicData>
            </a:graphic>
          </wp:inline>
        </w:drawing>
      </w:r>
    </w:p>
    <w:p w14:paraId="1F9A3213" w14:textId="6C79CAA0" w:rsidR="00CB0547" w:rsidRPr="00135D74" w:rsidRDefault="007F1EB5" w:rsidP="004239E5">
      <w:pPr>
        <w:rPr>
          <w:lang w:val="en-US"/>
        </w:rPr>
      </w:pPr>
      <w:r w:rsidRPr="00195C1D">
        <w:rPr>
          <w:lang w:val="en-US"/>
        </w:rPr>
        <w:t>SDG 13 (Climate Action) further complicates the situation since the 2021 Lancet Countdown report points to climate change as a factor jeopardi</w:t>
      </w:r>
      <w:r w:rsidR="00B164AB">
        <w:rPr>
          <w:lang w:val="en-US"/>
        </w:rPr>
        <w:t>s</w:t>
      </w:r>
      <w:r w:rsidRPr="00195C1D">
        <w:rPr>
          <w:lang w:val="en-US"/>
        </w:rPr>
        <w:t xml:space="preserve">ing health in over seven million premature deaths each year through various mechanisms: air pollution-related health outcomes, including those of malaria and dengue, increase in temperature, and rising case counts (Countdown, 2022). </w:t>
      </w:r>
      <w:r w:rsidRPr="00195C1D">
        <w:rPr>
          <w:lang w:val="en-US"/>
        </w:rPr>
        <w:lastRenderedPageBreak/>
        <w:t>Severe weather conditions such as floods and heatwaves aggravate the mental state and jeopardi</w:t>
      </w:r>
      <w:r w:rsidR="00B164AB">
        <w:rPr>
          <w:lang w:val="en-US"/>
        </w:rPr>
        <w:t>s</w:t>
      </w:r>
      <w:r w:rsidRPr="00195C1D">
        <w:rPr>
          <w:lang w:val="en-US"/>
        </w:rPr>
        <w:t>e food security. According to Prescott et al. (2022), planetary health cannot be discussed outside of climate stability, but efforts to reduce emissions are still not sufficiently good to avoid severe health outcomes. Opponents like Goniewicz et al. (2025) warn that the integration of climate and health is frequently reactive, and it aims at adapting but not structural changes in the energy, agricultural, and transportation systems. Collectively, SDG 3 has led to the development of health outcomes, although global inequities and poor pandemic resilience are eroding its success.</w:t>
      </w:r>
    </w:p>
    <w:p w14:paraId="10AAEF67" w14:textId="77777777" w:rsidR="00C00735" w:rsidRPr="001B4C90" w:rsidRDefault="00C00735" w:rsidP="00C00735">
      <w:pPr>
        <w:rPr>
          <w:lang w:val="en-US"/>
        </w:rPr>
      </w:pPr>
    </w:p>
    <w:p w14:paraId="0B71D5C1" w14:textId="69041E15" w:rsidR="001B4C90" w:rsidRDefault="007F1EB5" w:rsidP="006951F3">
      <w:pPr>
        <w:pStyle w:val="Heading1"/>
        <w:rPr>
          <w:lang w:val="en-US"/>
        </w:rPr>
      </w:pPr>
      <w:bookmarkStart w:id="3" w:name="_Toc213859416"/>
      <w:r w:rsidRPr="001B4C90">
        <w:rPr>
          <w:lang w:val="en-US"/>
        </w:rPr>
        <w:t>National Perspective (UK context)</w:t>
      </w:r>
      <w:bookmarkEnd w:id="3"/>
    </w:p>
    <w:p w14:paraId="185DE4B9" w14:textId="33E6ECD2" w:rsidR="001722E2" w:rsidRDefault="001722E2" w:rsidP="0086343E">
      <w:pPr>
        <w:rPr>
          <w:lang w:val="en-US"/>
        </w:rPr>
      </w:pPr>
      <w:r w:rsidRPr="001722E2">
        <w:rPr>
          <w:lang w:val="en-US"/>
        </w:rPr>
        <w:t>In the UK, the primary promoter of SDG 3 (Good Health and Well-being) is the NHS Long Term Plan, in which prevention and mental wellness and tackling health disparities are the primary concerns. The plan is to make more care a part of the community, improve access to mental health, and reduce the count of obese individuals through targeted interventions (England NHS, 2023). The NHS Long Term Plan has resulted in quantifiable positive changes since its implementation, including the increase in the number of people receiving a talking therapy to address their mental health by 10%, the growth of primary care in underserved communities, and the further implementation of preventive services, including smoking cessation and vaccination campaigns (England NHS, 2023b). The Marmot Review, though, has demonstrated that health disparities have grown and there has been stagnation in life expectancy in the impoverished communities which reflects structural inequity in dwellings, jobs and social provision (Marmot, 2022). Mental health funding has increased in nature, but demand is still too high; therefore, it raises a question of whether mental programs are adequate (Mcginity, 2023). Obesity-focused policies such as the Soft Drinks Industry Levy have had a mixed effect, both successful and unsuccessful, but criticised as failing at recommending the underlying social determinants of diet and lifestyle (Chavez-Ugalde et al., 2021).</w:t>
      </w:r>
    </w:p>
    <w:p w14:paraId="7C10075B" w14:textId="39CEC0A2" w:rsidR="00442F02" w:rsidRPr="0086343E" w:rsidRDefault="007F1EB5" w:rsidP="0086343E">
      <w:pPr>
        <w:rPr>
          <w:lang w:val="en-US"/>
        </w:rPr>
      </w:pPr>
      <w:r w:rsidRPr="00774A67">
        <w:rPr>
          <w:lang w:val="en-US"/>
        </w:rPr>
        <w:t xml:space="preserve">Concerning SDG 13 (Climate Action), the UK has enacted a strong climate targets legislation under the Climate Change Act (2008, amended 2019), requiring a net-zero carbon emission by 2050 (Averchenkova et al., 2021). The Net Zero Strategy (2021) and Clean Air Strategy (2019) emphasise the co-benefits to the general health of the population, such as less air pollution and resilience to climate risks, like flooding (Frankhauser et al., 2022). It has been shown that the high quality of air contributes to approximately 28,000-36,000 early deaths each year in the UK, which exemplifies the necessity to combine climate and health policy (Hands, 2022). Nevertheless, recent studies report that the development of climate targets is not on track, and less effort is put into renewable infrastructure and less integration between health and environmental policies (Marteau, 2023). </w:t>
      </w:r>
      <w:r>
        <w:rPr>
          <w:lang w:val="en-US"/>
        </w:rPr>
        <w:t>Thus</w:t>
      </w:r>
      <w:r w:rsidRPr="00774A67">
        <w:rPr>
          <w:lang w:val="en-US"/>
        </w:rPr>
        <w:t>, the UK has good policy frameworks, but there are still gaps in realising meaningful integration between health and climate strategies.</w:t>
      </w:r>
    </w:p>
    <w:p w14:paraId="6F1E5CB4" w14:textId="77777777" w:rsidR="00A747AA" w:rsidRPr="001B4C90" w:rsidRDefault="00A747AA" w:rsidP="00A747AA">
      <w:pPr>
        <w:rPr>
          <w:lang w:val="en-US"/>
        </w:rPr>
      </w:pPr>
    </w:p>
    <w:p w14:paraId="65EEBF50" w14:textId="23D5D5A0" w:rsidR="001B4C90" w:rsidRDefault="007F1EB5" w:rsidP="00AB206C">
      <w:pPr>
        <w:pStyle w:val="Heading1"/>
        <w:rPr>
          <w:lang w:val="en-US"/>
        </w:rPr>
      </w:pPr>
      <w:bookmarkStart w:id="4" w:name="_Toc213859417"/>
      <w:r w:rsidRPr="001B4C90">
        <w:rPr>
          <w:lang w:val="en-US"/>
        </w:rPr>
        <w:lastRenderedPageBreak/>
        <w:t>Local Perspective</w:t>
      </w:r>
      <w:bookmarkEnd w:id="4"/>
    </w:p>
    <w:p w14:paraId="6F0EBB4F" w14:textId="5C9664CC" w:rsidR="00A601A8" w:rsidRPr="005E35A8" w:rsidRDefault="007F1EB5" w:rsidP="002C6A7E">
      <w:pPr>
        <w:rPr>
          <w:lang w:val="en-US"/>
        </w:rPr>
      </w:pPr>
      <w:r w:rsidRPr="006A5F97">
        <w:rPr>
          <w:lang w:val="en-US"/>
        </w:rPr>
        <w:t>The intersection of SDG 3 and SDG 13 can be seen locally in towns and cities like Birmingham and London, which have put in place policies that have shown that the two are intersective, especially in air quality interventions. In Birmingham, the Clean Air Zone (CAZ) was launched in 2021 to decrease the number of nitrogen dioxide emissions by imposing a fee on the dirtiest vehicles in the city centre. The preliminary assessments indicate that air quality will positively improve, and the concentration of NO2 will decrease by approximately 13% in six months (Liu et al., 2023). Physical activity and mental health. Complementary programs, like the Active Travel Birmingham, promote walking and bicycling, which is a co-benefit (Williams et al., 2025). Nevertheless, critics claim that the CAZ unfairly affects low-income residents and small businesses that might find it difficult to afford vehicle upgrades, which fits into the model by Dahlgren and Whitehead that emphasises the impact of structural determinants, including income, on health outcomes (Dahlgren and Whitehead, 2021).</w:t>
      </w:r>
    </w:p>
    <w:p w14:paraId="54169629" w14:textId="6A7A3BAE" w:rsidR="000A16CA" w:rsidRDefault="007F1EB5" w:rsidP="000A16CA">
      <w:pPr>
        <w:rPr>
          <w:lang w:val="en-US"/>
        </w:rPr>
      </w:pPr>
      <w:r>
        <w:rPr>
          <w:lang w:val="en-US"/>
        </w:rPr>
        <w:t>Similarly</w:t>
      </w:r>
      <w:r w:rsidR="006A5F97" w:rsidRPr="006A5F97">
        <w:rPr>
          <w:lang w:val="en-US"/>
        </w:rPr>
        <w:t xml:space="preserve">, the </w:t>
      </w:r>
      <w:r w:rsidR="00C44917" w:rsidRPr="006A5F97">
        <w:rPr>
          <w:lang w:val="en-US"/>
        </w:rPr>
        <w:t>Ultra-Low</w:t>
      </w:r>
      <w:r w:rsidR="006A5F97" w:rsidRPr="006A5F97">
        <w:rPr>
          <w:lang w:val="en-US"/>
        </w:rPr>
        <w:t xml:space="preserve"> Emission Zone (ULEZ) in London has had significant successes, where it is reported that roadside NO2 in central London dropped by 44% between 2017 and 2020 (Hajmohammadi and Heydecker, 2022). Integration with NHS-led health and wellbeing boards will help to make the air quality interventions associated with the wider health plans, such as child health plans and respiratory disease prevention plans. Nevertheless, cost is a fundamental issue, and campaign organisations believe that vehicle fees contribute to the existing disparities, especially to marginalised groups who depend on older cars (Ma et al., 2021). Altogether, although both Birmingham and London show how local policies can achieve health and climate co-benefits, they also show that equity issues are still present.</w:t>
      </w:r>
    </w:p>
    <w:p w14:paraId="64BA383A" w14:textId="77777777" w:rsidR="006A5F97" w:rsidRPr="001B4C90" w:rsidRDefault="006A5F97" w:rsidP="000A16CA">
      <w:pPr>
        <w:rPr>
          <w:lang w:val="en-US"/>
        </w:rPr>
      </w:pPr>
    </w:p>
    <w:p w14:paraId="500BDC37" w14:textId="386E3EC3" w:rsidR="001B4C90" w:rsidRDefault="007F1EB5" w:rsidP="004E4BBE">
      <w:pPr>
        <w:pStyle w:val="Heading1"/>
        <w:rPr>
          <w:lang w:val="en-US"/>
        </w:rPr>
      </w:pPr>
      <w:bookmarkStart w:id="5" w:name="_Toc213859418"/>
      <w:r w:rsidRPr="001B4C90">
        <w:rPr>
          <w:lang w:val="en-US"/>
        </w:rPr>
        <w:t>Critical Evaluation of Effectiveness</w:t>
      </w:r>
      <w:bookmarkEnd w:id="5"/>
    </w:p>
    <w:p w14:paraId="307BFF20" w14:textId="3E4F2C51" w:rsidR="0014633A" w:rsidRPr="00EA2EEA" w:rsidRDefault="007F1EB5" w:rsidP="00FC29D5">
      <w:pPr>
        <w:rPr>
          <w:highlight w:val="yellow"/>
          <w:lang w:val="en-US"/>
        </w:rPr>
      </w:pPr>
      <w:r w:rsidRPr="0014633A">
        <w:rPr>
          <w:lang w:val="en-US"/>
        </w:rPr>
        <w:t>Assessment of progress at global, national, and local levels demonstrates the positive results but also the current failures to reali</w:t>
      </w:r>
      <w:r w:rsidR="00B164AB">
        <w:rPr>
          <w:lang w:val="en-US"/>
        </w:rPr>
        <w:t>s</w:t>
      </w:r>
      <w:r w:rsidRPr="0014633A">
        <w:rPr>
          <w:lang w:val="en-US"/>
        </w:rPr>
        <w:t>e the policies of health, wellbeing, and sustainability. At the international level, the integration into the SDG framework has already paid off in the form of a decrease in maternal and child mortality as well as higher rates of vaccination (United Nations, 2025). On the same note, international climate treaties, including the Paris Accord, have triggered the emission-cutting commitments, and health is one of the co-benefits. Nevertheless, critics claim that the idea of global health and climate targets is not as integrated as it could be; Khan et al. (2024) state that ineffective linking of SDG 3 and SDG 13 is a deterrent to improvement because climate change still serves as a health multiplier. There is some policy coherence on a national level, as the NHS Long Term Plan and the Net Zero Strategy both incorporate health and sustainability goals (England NHS, 2023; Frankhauser et al., 2022). The Clean Air Strategy is one of these emission-reduction programmes, and early signs of improving air quality demonstrate its contribution to long-term wellbeing (Al-Thani and Isaifan, 2024).</w:t>
      </w:r>
    </w:p>
    <w:p w14:paraId="75CC2665" w14:textId="6619759A" w:rsidR="0014633A" w:rsidRDefault="007F1EB5" w:rsidP="001833B3">
      <w:pPr>
        <w:rPr>
          <w:highlight w:val="yellow"/>
          <w:lang w:val="en-US"/>
        </w:rPr>
      </w:pPr>
      <w:r w:rsidRPr="0014633A">
        <w:rPr>
          <w:lang w:val="en-US"/>
        </w:rPr>
        <w:lastRenderedPageBreak/>
        <w:t>Nevertheless, inequalities in health care access and outcomes are persistent, with the deprived communities having a greater rate of chronic diseases and premature deaths (Lyons et al., 2023). Financial limitations also undermine the capacity of the NHS to provide equal services, and digital exclusion restricts the usefulness of telehealth and other solutions aimed at increasing access (Davies et al., 2021). Even locational efforts, like the Clean Air Zone in Birmingham or the ULEZ in London, can be seen as real achievements regarding emission control, yet demonstrate the negative monetary effects on the low-income populations (Liu et al., 2023). These results confirm other critics that health and environmental policies are not usually distributively just, preferring to maximise benefits at a population level, as opposed to equity. Additionally, the long-term health outcomes of climatic adaptation measures are uncertain, and there is little empirical evidence to support the idea that climatic adaptation initiatives have long-term positive effects on wellbeing (Scheelbeek et al., 2021). In general, policies demonstrate consistency with SDGs but are limited by a lack of funding, integration, and emphasis on social equity, which needs to change to achieve significant changes.</w:t>
      </w:r>
    </w:p>
    <w:p w14:paraId="79C194EB" w14:textId="77777777" w:rsidR="0014633A" w:rsidRPr="0014633A" w:rsidRDefault="0014633A" w:rsidP="001833B3">
      <w:pPr>
        <w:rPr>
          <w:highlight w:val="yellow"/>
          <w:lang w:val="en-US"/>
        </w:rPr>
      </w:pPr>
    </w:p>
    <w:p w14:paraId="49C3B0D7" w14:textId="5FBB50D5" w:rsidR="001B4C90" w:rsidRDefault="007F1EB5" w:rsidP="004930E1">
      <w:pPr>
        <w:pStyle w:val="Heading1"/>
        <w:rPr>
          <w:lang w:val="en-US"/>
        </w:rPr>
      </w:pPr>
      <w:bookmarkStart w:id="6" w:name="_Toc213859419"/>
      <w:r w:rsidRPr="001B4C90">
        <w:rPr>
          <w:lang w:val="en-US"/>
        </w:rPr>
        <w:t>Recommendations for Improvement</w:t>
      </w:r>
      <w:bookmarkEnd w:id="6"/>
    </w:p>
    <w:p w14:paraId="6F0878AA" w14:textId="55D160AE" w:rsidR="0014633A" w:rsidRPr="0095021C" w:rsidRDefault="007F1EB5" w:rsidP="004930E1">
      <w:pPr>
        <w:rPr>
          <w:highlight w:val="yellow"/>
          <w:lang w:val="en-US"/>
        </w:rPr>
      </w:pPr>
      <w:r w:rsidRPr="0014633A">
        <w:rPr>
          <w:lang w:val="en-US"/>
        </w:rPr>
        <w:t>In order to make health and sustainability policies more effective, a number of evidence-based recommendations may be suggested. First, there is an obvious necessity to enhance the integration across the sectors, making sure that health and climate policies go hand in hand. Systems thinking emphasises the fact that changes in transport or home are areas of intervention that can also affect emissions, exercise, and health equity (Siriaporn, 2025). Second, more needs to be invested in preventative health and climate resilience since prevention is cost-effective and the long-term benefit is yielded. WHO (2025) claims that prevention measures, including vaccination, all the way to urban greening, make healthcare cheaper and build resilience in the face of climate shocks.</w:t>
      </w:r>
    </w:p>
    <w:p w14:paraId="210E5130" w14:textId="7801F90F" w:rsidR="007A393C" w:rsidRDefault="007F1EB5" w:rsidP="007A393C">
      <w:pPr>
        <w:rPr>
          <w:lang w:val="en-US"/>
        </w:rPr>
      </w:pPr>
      <w:r w:rsidRPr="0014633A">
        <w:rPr>
          <w:lang w:val="en-US"/>
        </w:rPr>
        <w:t>The challenge of inequalities should also be addressed since specific investment should be carried out in deprived communities with high health and environmental costs. This is in line with the focus that Dahlgren and Whitehead have in addressing broader social determinants of health (Dahlgren and Whitehead, 2021). Also, increasing the participation of citizens and joint production of actions can boost legitimacy and uptake. It has also been demonstrated that communities that participate in policy design will have a higher likelihood of embracing sustainable health behaviours and enabling environmental transitions (Crane et al., 2021). Comprehensively, by inculcating equity and engagement into preventative and systemic methods, this is the most viable avenue towards the realisation of SDG 3 and SDG 13 in an integrated and sustainable form.</w:t>
      </w:r>
    </w:p>
    <w:p w14:paraId="7EBCBA58" w14:textId="77777777" w:rsidR="0014633A" w:rsidRPr="001B4C90" w:rsidRDefault="0014633A" w:rsidP="007A393C">
      <w:pPr>
        <w:rPr>
          <w:lang w:val="en-US"/>
        </w:rPr>
      </w:pPr>
    </w:p>
    <w:p w14:paraId="4F1EDBAF" w14:textId="37E98FFB" w:rsidR="00343B11" w:rsidRDefault="007F1EB5" w:rsidP="004930E1">
      <w:pPr>
        <w:pStyle w:val="Heading1"/>
        <w:rPr>
          <w:lang w:val="en-US"/>
        </w:rPr>
      </w:pPr>
      <w:bookmarkStart w:id="7" w:name="_Toc213859420"/>
      <w:r w:rsidRPr="001B4C90">
        <w:rPr>
          <w:lang w:val="en-US"/>
        </w:rPr>
        <w:lastRenderedPageBreak/>
        <w:t>Conclusion</w:t>
      </w:r>
      <w:bookmarkEnd w:id="7"/>
    </w:p>
    <w:p w14:paraId="45CD63C9" w14:textId="7D1DCE78" w:rsidR="008A2501" w:rsidRPr="00D97EAF" w:rsidRDefault="007F1EB5" w:rsidP="004930E1">
      <w:pPr>
        <w:rPr>
          <w:highlight w:val="yellow"/>
          <w:lang w:val="en-US"/>
        </w:rPr>
      </w:pPr>
      <w:r w:rsidRPr="00787950">
        <w:rPr>
          <w:lang w:val="en-US"/>
        </w:rPr>
        <w:t>Health, well-being and sustainable development are irresolvable priorities that require combined policy actions. It is revealed that SDG 3 and SDG 13 are closely connected to each other, with climate change being both a cause of ill health and a means of enhancing wellbeing through sustainable action.</w:t>
      </w:r>
      <w:r w:rsidR="00D97EAF">
        <w:rPr>
          <w:lang w:val="en-US"/>
        </w:rPr>
        <w:t xml:space="preserve"> </w:t>
      </w:r>
      <w:r w:rsidR="00D97EAF" w:rsidRPr="00D97EAF">
        <w:rPr>
          <w:lang w:val="en-US"/>
        </w:rPr>
        <w:t>At the international level, national level and the local level has travelled, yet we continue to witness the inequalities and have little money and the dotted potlatch strategy that we are currently pursuing in the bid to tackle the problem is restrictive. To maintain the health benefits of the planet, it should be rescued using evidence based, equitable and comprehensive approach. The main factors that should be taken into account to create healthier and stronger societies are equity, disease prevention and intersectoral partnerships.</w:t>
      </w:r>
    </w:p>
    <w:p w14:paraId="46AD005F" w14:textId="75F414A0" w:rsidR="00861DB9" w:rsidRDefault="007F1EB5">
      <w:pPr>
        <w:spacing w:line="259" w:lineRule="auto"/>
        <w:rPr>
          <w:lang w:val="en-US"/>
        </w:rPr>
      </w:pPr>
      <w:r>
        <w:rPr>
          <w:lang w:val="en-US"/>
        </w:rPr>
        <w:br w:type="page"/>
      </w:r>
    </w:p>
    <w:p w14:paraId="2FC82F58" w14:textId="0015A323" w:rsidR="00861DB9" w:rsidRDefault="007F1EB5" w:rsidP="00AF1ED8">
      <w:pPr>
        <w:pStyle w:val="Heading1"/>
        <w:rPr>
          <w:lang w:val="en-US"/>
        </w:rPr>
      </w:pPr>
      <w:bookmarkStart w:id="8" w:name="_Toc213859421"/>
      <w:r>
        <w:rPr>
          <w:lang w:val="en-US"/>
        </w:rPr>
        <w:lastRenderedPageBreak/>
        <w:t>References</w:t>
      </w:r>
      <w:bookmarkEnd w:id="8"/>
      <w:r w:rsidR="00323260">
        <w:rPr>
          <w:lang w:val="en-US"/>
        </w:rPr>
        <w:t xml:space="preserve"> </w:t>
      </w:r>
    </w:p>
    <w:p w14:paraId="29B0D88A" w14:textId="34C807B9" w:rsidR="0089243F" w:rsidRDefault="007F1EB5" w:rsidP="0089243F">
      <w:pPr>
        <w:ind w:left="720" w:hanging="720"/>
      </w:pPr>
      <w:r w:rsidRPr="00E57F5C">
        <w:t xml:space="preserve">Al-Thani, H.G. and Isaifan, R.J., </w:t>
      </w:r>
      <w:r w:rsidR="00A21B20">
        <w:t>(</w:t>
      </w:r>
      <w:r w:rsidRPr="00E57F5C">
        <w:t>2024</w:t>
      </w:r>
      <w:r w:rsidR="00A21B20">
        <w:t>)</w:t>
      </w:r>
      <w:r w:rsidRPr="00E57F5C">
        <w:t>. Policies and regulations for sustainable clean air: an overview. </w:t>
      </w:r>
      <w:r w:rsidRPr="00E57F5C">
        <w:rPr>
          <w:i/>
          <w:iCs/>
        </w:rPr>
        <w:t>Sustainable Strategies for Air Pollution Mitigation: Development, Economics, and Technologies</w:t>
      </w:r>
      <w:r w:rsidRPr="00E57F5C">
        <w:t>, pp.409-437.</w:t>
      </w:r>
      <w:r w:rsidR="00E228E3">
        <w:t xml:space="preserve"> </w:t>
      </w:r>
      <w:r w:rsidR="00A56ECF">
        <w:br/>
      </w:r>
      <w:r w:rsidR="00E228E3">
        <w:t xml:space="preserve">Doi: </w:t>
      </w:r>
      <w:hyperlink r:id="rId9" w:history="1">
        <w:r w:rsidR="00E228E3" w:rsidRPr="00946449">
          <w:rPr>
            <w:rStyle w:val="Hyperlink"/>
          </w:rPr>
          <w:t>https://doi.org/10.1007/698_2024_1093</w:t>
        </w:r>
      </w:hyperlink>
      <w:r w:rsidR="00E228E3">
        <w:t xml:space="preserve"> </w:t>
      </w:r>
      <w:r w:rsidR="004F3C4F">
        <w:t>(Accessed: 02/11/2025)</w:t>
      </w:r>
    </w:p>
    <w:p w14:paraId="006FF9AF" w14:textId="2D5D37CF" w:rsidR="0089243F" w:rsidRDefault="007F1EB5" w:rsidP="0089243F">
      <w:pPr>
        <w:ind w:left="720" w:hanging="720"/>
      </w:pPr>
      <w:r w:rsidRPr="003B32F7">
        <w:t xml:space="preserve">Averchenkova, A., Fankhauser, S. and Finnegan, J.J., </w:t>
      </w:r>
      <w:r w:rsidR="00A21B20">
        <w:t>(</w:t>
      </w:r>
      <w:r w:rsidRPr="003B32F7">
        <w:t>2021</w:t>
      </w:r>
      <w:r w:rsidR="00A21B20">
        <w:t>)</w:t>
      </w:r>
      <w:r w:rsidRPr="003B32F7">
        <w:t>. The impact of strategic climate legislation: evidence from expert interviews on the UK Climate Change Act. </w:t>
      </w:r>
      <w:r w:rsidRPr="003B32F7">
        <w:rPr>
          <w:i/>
          <w:iCs/>
        </w:rPr>
        <w:t>Climate Policy</w:t>
      </w:r>
      <w:r w:rsidRPr="003B32F7">
        <w:t>, </w:t>
      </w:r>
      <w:r w:rsidRPr="003B32F7">
        <w:rPr>
          <w:i/>
          <w:iCs/>
        </w:rPr>
        <w:t>21</w:t>
      </w:r>
      <w:r w:rsidRPr="003B32F7">
        <w:t>(2), pp.251-263.</w:t>
      </w:r>
      <w:r w:rsidR="00A83CE3">
        <w:t xml:space="preserve"> </w:t>
      </w:r>
      <w:r w:rsidR="00A83CE3">
        <w:br/>
      </w:r>
      <w:hyperlink r:id="rId10" w:history="1">
        <w:r w:rsidR="00A83CE3" w:rsidRPr="00946449">
          <w:rPr>
            <w:rStyle w:val="Hyperlink"/>
          </w:rPr>
          <w:t>https://doi.org/10.1080/14693062.2020.1819190</w:t>
        </w:r>
      </w:hyperlink>
      <w:r w:rsidR="00A83CE3">
        <w:t xml:space="preserve"> </w:t>
      </w:r>
      <w:r w:rsidR="004F3C4F">
        <w:t>(Accessed: 02/11/2025)</w:t>
      </w:r>
    </w:p>
    <w:p w14:paraId="62CA4FFE" w14:textId="6C32C79A" w:rsidR="0089243F" w:rsidRDefault="007F1EB5" w:rsidP="0089243F">
      <w:pPr>
        <w:ind w:left="720" w:hanging="720"/>
      </w:pPr>
      <w:r w:rsidRPr="003B32F7">
        <w:t xml:space="preserve">Chavez‐Ugalde, Y., Jago, R., Toumpakari, Z., Egan, M., Cummins, S., White, M., Hulls, P. and De Vocht, F., </w:t>
      </w:r>
      <w:r w:rsidR="00A21B20">
        <w:t>(</w:t>
      </w:r>
      <w:r w:rsidRPr="003B32F7">
        <w:t>2021</w:t>
      </w:r>
      <w:r w:rsidR="00A21B20">
        <w:t>)</w:t>
      </w:r>
      <w:r w:rsidRPr="003B32F7">
        <w:t>. Conceptualising the commercial determinants of dietary behaviours associated with obesity: a systematic review using principles from critical interpretative synthesis. </w:t>
      </w:r>
      <w:r w:rsidRPr="003B32F7">
        <w:rPr>
          <w:i/>
          <w:iCs/>
        </w:rPr>
        <w:t>Obesity science &amp; practice</w:t>
      </w:r>
      <w:r w:rsidRPr="003B32F7">
        <w:t>, </w:t>
      </w:r>
      <w:r w:rsidRPr="003B32F7">
        <w:rPr>
          <w:i/>
          <w:iCs/>
        </w:rPr>
        <w:t>7</w:t>
      </w:r>
      <w:r w:rsidRPr="003B32F7">
        <w:t>(4), pp.473-486.</w:t>
      </w:r>
      <w:r w:rsidR="00A56ECF">
        <w:br/>
      </w:r>
      <w:hyperlink r:id="rId11" w:history="1">
        <w:r w:rsidR="00A56ECF" w:rsidRPr="00946449">
          <w:rPr>
            <w:rStyle w:val="Hyperlink"/>
          </w:rPr>
          <w:t>https://doi.org/10.1002/osp4.507</w:t>
        </w:r>
      </w:hyperlink>
      <w:r w:rsidR="00A56ECF">
        <w:t xml:space="preserve"> </w:t>
      </w:r>
      <w:r w:rsidR="004F3C4F">
        <w:t>(Accessed: 02/11/2025)</w:t>
      </w:r>
    </w:p>
    <w:p w14:paraId="066B9D91" w14:textId="67E05C2B" w:rsidR="0089243F" w:rsidRDefault="007F1EB5" w:rsidP="0089243F">
      <w:pPr>
        <w:ind w:left="720" w:hanging="720"/>
      </w:pPr>
      <w:r w:rsidRPr="003B32F7">
        <w:t xml:space="preserve">Countdown, L., </w:t>
      </w:r>
      <w:r w:rsidR="00A21B20">
        <w:t>(</w:t>
      </w:r>
      <w:r w:rsidRPr="003B32F7">
        <w:t>2022</w:t>
      </w:r>
      <w:r w:rsidR="00A21B20">
        <w:t>)</w:t>
      </w:r>
      <w:r w:rsidRPr="003B32F7">
        <w:t>. The 2022 report of the Lancet Countdown on health and climate change: health at the mercy of fossil fuels. </w:t>
      </w:r>
      <w:r w:rsidRPr="003B32F7">
        <w:rPr>
          <w:i/>
          <w:iCs/>
        </w:rPr>
        <w:t>The Lancet</w:t>
      </w:r>
      <w:r w:rsidRPr="003B32F7">
        <w:t>, </w:t>
      </w:r>
      <w:r w:rsidRPr="003B32F7">
        <w:rPr>
          <w:i/>
          <w:iCs/>
        </w:rPr>
        <w:t>400</w:t>
      </w:r>
      <w:r w:rsidRPr="003B32F7">
        <w:t>(10363), pp.1619-1654.</w:t>
      </w:r>
      <w:r w:rsidR="00A56ECF">
        <w:br/>
      </w:r>
      <w:hyperlink r:id="rId12" w:history="1">
        <w:r w:rsidR="0013529F" w:rsidRPr="00946449">
          <w:rPr>
            <w:rStyle w:val="Hyperlink"/>
          </w:rPr>
          <w:t>https://doi.org/10.1016/S0140-6736(22)01540-9</w:t>
        </w:r>
      </w:hyperlink>
      <w:r w:rsidR="0013529F">
        <w:t xml:space="preserve"> </w:t>
      </w:r>
      <w:r w:rsidR="004F3C4F">
        <w:t>(Accessed: 0</w:t>
      </w:r>
      <w:r w:rsidR="004F3C4F">
        <w:t>3</w:t>
      </w:r>
      <w:r w:rsidR="004F3C4F">
        <w:t>/11/2025)</w:t>
      </w:r>
    </w:p>
    <w:p w14:paraId="69887DE5" w14:textId="3C875F9F" w:rsidR="0089243F" w:rsidRPr="00E57F5C" w:rsidRDefault="007F1EB5" w:rsidP="0089243F">
      <w:pPr>
        <w:ind w:left="720" w:hanging="720"/>
      </w:pPr>
      <w:r w:rsidRPr="00E57F5C">
        <w:t xml:space="preserve">Crane, M., Lloyd, S., Haines, A., Ding, D., Hutchinson, E., Belesova, K., Davies, M., Osrin, D., Zimmermann, N., Capon, A. and Wilkinson, P., </w:t>
      </w:r>
      <w:r w:rsidR="00A21B20">
        <w:t>(</w:t>
      </w:r>
      <w:r w:rsidRPr="00E57F5C">
        <w:t>2021</w:t>
      </w:r>
      <w:r w:rsidR="00A21B20">
        <w:t>)</w:t>
      </w:r>
      <w:r w:rsidRPr="00E57F5C">
        <w:t>. Transforming cities for sustainability: A health perspective. </w:t>
      </w:r>
      <w:r w:rsidRPr="00E57F5C">
        <w:rPr>
          <w:i/>
          <w:iCs/>
        </w:rPr>
        <w:t>Environment international</w:t>
      </w:r>
      <w:r w:rsidRPr="00E57F5C">
        <w:t>, </w:t>
      </w:r>
      <w:r w:rsidRPr="00E57F5C">
        <w:rPr>
          <w:i/>
          <w:iCs/>
        </w:rPr>
        <w:t>147</w:t>
      </w:r>
      <w:r w:rsidRPr="00E57F5C">
        <w:t>, p.106366.</w:t>
      </w:r>
      <w:r w:rsidR="00B60AAB">
        <w:br/>
      </w:r>
      <w:hyperlink r:id="rId13" w:history="1">
        <w:r w:rsidR="00B60AAB" w:rsidRPr="00946449">
          <w:rPr>
            <w:rStyle w:val="Hyperlink"/>
          </w:rPr>
          <w:t>https://doi.org/10.1016/j.envint.2020.106366</w:t>
        </w:r>
      </w:hyperlink>
      <w:r w:rsidR="00B60AAB">
        <w:t xml:space="preserve"> </w:t>
      </w:r>
      <w:r w:rsidR="004F3C4F">
        <w:t>(Accessed: 02/11/2025)</w:t>
      </w:r>
    </w:p>
    <w:p w14:paraId="34529934" w14:textId="28EED228" w:rsidR="0089243F" w:rsidRDefault="007F1EB5" w:rsidP="0089243F">
      <w:pPr>
        <w:ind w:left="720" w:hanging="720"/>
      </w:pPr>
      <w:r w:rsidRPr="006159CE">
        <w:t xml:space="preserve">Dahlgren, G. and Whitehead, M., </w:t>
      </w:r>
      <w:r w:rsidR="00A21B20">
        <w:t>(</w:t>
      </w:r>
      <w:r w:rsidRPr="006159CE">
        <w:t>2021</w:t>
      </w:r>
      <w:r w:rsidR="00A21B20">
        <w:t>)</w:t>
      </w:r>
      <w:r w:rsidRPr="006159CE">
        <w:t>. The Dahlgren-Whitehead model of health determinants: 30 years on and still chasing rainbows. </w:t>
      </w:r>
      <w:r w:rsidRPr="006159CE">
        <w:rPr>
          <w:i/>
          <w:iCs/>
        </w:rPr>
        <w:t>Public health</w:t>
      </w:r>
      <w:r w:rsidRPr="006159CE">
        <w:t>, </w:t>
      </w:r>
      <w:r w:rsidRPr="006159CE">
        <w:rPr>
          <w:i/>
          <w:iCs/>
        </w:rPr>
        <w:t>199</w:t>
      </w:r>
      <w:r w:rsidRPr="006159CE">
        <w:t>, pp.20-24.</w:t>
      </w:r>
      <w:r w:rsidR="00471218">
        <w:br/>
      </w:r>
      <w:hyperlink r:id="rId14" w:history="1">
        <w:r w:rsidR="00471218" w:rsidRPr="00946449">
          <w:rPr>
            <w:rStyle w:val="Hyperlink"/>
          </w:rPr>
          <w:t>https://doi.org/10.1016/j.puhe.2021.08.009</w:t>
        </w:r>
      </w:hyperlink>
      <w:r w:rsidR="00471218">
        <w:t xml:space="preserve"> </w:t>
      </w:r>
      <w:r w:rsidR="004F3C4F">
        <w:t>(Accessed: 0</w:t>
      </w:r>
      <w:r w:rsidR="004F3C4F">
        <w:t>4</w:t>
      </w:r>
      <w:r w:rsidR="004F3C4F">
        <w:t>/11/2025)</w:t>
      </w:r>
    </w:p>
    <w:p w14:paraId="5FCC1FA7" w14:textId="434641F6" w:rsidR="0089243F" w:rsidRDefault="007F1EB5" w:rsidP="0089243F">
      <w:pPr>
        <w:ind w:left="720" w:hanging="720"/>
      </w:pPr>
      <w:r w:rsidRPr="00E57F5C">
        <w:t xml:space="preserve">Davies, A.R., Honeyman, M. and Gann, B., </w:t>
      </w:r>
      <w:r w:rsidR="00A21B20">
        <w:t>(</w:t>
      </w:r>
      <w:r w:rsidRPr="00E57F5C">
        <w:t>2021</w:t>
      </w:r>
      <w:r w:rsidR="00A21B20">
        <w:t>)</w:t>
      </w:r>
      <w:r w:rsidRPr="00E57F5C">
        <w:t>. Addressing the digital inverse care law in the time of COVID-19: potential for digital technology to exacerbate or mitigate health inequalities. </w:t>
      </w:r>
      <w:r w:rsidRPr="00E57F5C">
        <w:rPr>
          <w:i/>
          <w:iCs/>
        </w:rPr>
        <w:t>Journal of Medical Internet Research</w:t>
      </w:r>
      <w:r w:rsidRPr="00E57F5C">
        <w:t>, </w:t>
      </w:r>
      <w:r w:rsidRPr="00E57F5C">
        <w:rPr>
          <w:i/>
          <w:iCs/>
        </w:rPr>
        <w:t>23</w:t>
      </w:r>
      <w:r w:rsidRPr="00E57F5C">
        <w:t>(4), p.e21726.</w:t>
      </w:r>
      <w:r w:rsidR="00471218">
        <w:br/>
      </w:r>
      <w:r w:rsidR="00471218" w:rsidRPr="00471218">
        <w:t xml:space="preserve">doi: </w:t>
      </w:r>
      <w:hyperlink r:id="rId15" w:history="1">
        <w:r w:rsidR="00471218" w:rsidRPr="00471218">
          <w:rPr>
            <w:rStyle w:val="Hyperlink"/>
          </w:rPr>
          <w:t>10.2196/21726</w:t>
        </w:r>
      </w:hyperlink>
      <w:r w:rsidR="00471218">
        <w:t xml:space="preserve"> </w:t>
      </w:r>
      <w:r w:rsidR="004F3C4F">
        <w:t>(Accessed: 02/11/2025)</w:t>
      </w:r>
    </w:p>
    <w:p w14:paraId="34E7399D" w14:textId="795D472A" w:rsidR="0089243F" w:rsidRDefault="007F1EB5" w:rsidP="0089243F">
      <w:pPr>
        <w:ind w:left="720" w:hanging="720"/>
      </w:pPr>
      <w:r w:rsidRPr="003B32F7">
        <w:t xml:space="preserve">de Souza, W.M. and Weaver, S.C., </w:t>
      </w:r>
      <w:r w:rsidR="00A21B20">
        <w:t>(</w:t>
      </w:r>
      <w:r w:rsidRPr="003B32F7">
        <w:t>2024</w:t>
      </w:r>
      <w:r w:rsidR="00A21B20">
        <w:t>)</w:t>
      </w:r>
      <w:r w:rsidRPr="003B32F7">
        <w:t>. Effects of climate change and human activities on vector-borne diseases. </w:t>
      </w:r>
      <w:r w:rsidRPr="003B32F7">
        <w:rPr>
          <w:i/>
          <w:iCs/>
        </w:rPr>
        <w:t>Nature Reviews Microbiology</w:t>
      </w:r>
      <w:r w:rsidRPr="003B32F7">
        <w:t>, </w:t>
      </w:r>
      <w:r w:rsidRPr="003B32F7">
        <w:rPr>
          <w:i/>
          <w:iCs/>
        </w:rPr>
        <w:t>22</w:t>
      </w:r>
      <w:r w:rsidRPr="003B32F7">
        <w:t>(8), pp.476-491.</w:t>
      </w:r>
      <w:r w:rsidR="00471218">
        <w:br/>
      </w:r>
      <w:hyperlink r:id="rId16" w:history="1">
        <w:r w:rsidR="00471218" w:rsidRPr="00946449">
          <w:rPr>
            <w:rStyle w:val="Hyperlink"/>
          </w:rPr>
          <w:t>https://doi.org/10.1038/s41579-024-01026-0</w:t>
        </w:r>
      </w:hyperlink>
      <w:r w:rsidR="00471218">
        <w:t xml:space="preserve"> </w:t>
      </w:r>
      <w:r w:rsidR="004F3C4F">
        <w:t>(Accessed: 02/11/2025)</w:t>
      </w:r>
    </w:p>
    <w:p w14:paraId="2599FDC0" w14:textId="0A801D6F" w:rsidR="0089243F" w:rsidRDefault="007F1EB5" w:rsidP="0089243F">
      <w:pPr>
        <w:ind w:left="720" w:hanging="720"/>
      </w:pPr>
      <w:r w:rsidRPr="003B32F7">
        <w:t xml:space="preserve">England, N.H.S., </w:t>
      </w:r>
      <w:r w:rsidR="00A21B20">
        <w:t>(</w:t>
      </w:r>
      <w:r w:rsidRPr="003B32F7">
        <w:t>2023</w:t>
      </w:r>
      <w:r w:rsidR="00A21B20">
        <w:t>)</w:t>
      </w:r>
      <w:r w:rsidRPr="003B32F7">
        <w:t>. </w:t>
      </w:r>
      <w:r w:rsidRPr="003B32F7">
        <w:rPr>
          <w:i/>
          <w:iCs/>
        </w:rPr>
        <w:t>NHS long term workforce plan</w:t>
      </w:r>
      <w:r w:rsidRPr="003B32F7">
        <w:t> [online]</w:t>
      </w:r>
      <w:r w:rsidR="00D91CA1">
        <w:br/>
      </w:r>
      <w:hyperlink r:id="rId17" w:history="1">
        <w:r w:rsidR="00D91CA1" w:rsidRPr="00946449">
          <w:rPr>
            <w:rStyle w:val="Hyperlink"/>
          </w:rPr>
          <w:t>https://www.rcpath.org/static/bf6094b6-2087-45a3-bef230c097d328ae/Letter-to-Medical-Royal-Colleges-and-Faculties-110723-final-WP.pdf</w:t>
        </w:r>
      </w:hyperlink>
      <w:r w:rsidR="00D91CA1">
        <w:t xml:space="preserve"> </w:t>
      </w:r>
      <w:r w:rsidR="004F3C4F">
        <w:t>(Accessed: 02/11/2025)</w:t>
      </w:r>
    </w:p>
    <w:p w14:paraId="1FA86DB1" w14:textId="6FF5D282" w:rsidR="0089243F" w:rsidRDefault="007F1EB5" w:rsidP="0089243F">
      <w:pPr>
        <w:ind w:left="720" w:hanging="720"/>
      </w:pPr>
      <w:r w:rsidRPr="003B32F7">
        <w:lastRenderedPageBreak/>
        <w:t xml:space="preserve">Fankhauser, S., Smith, S.M., Allen, M., Axelsson, K., Hale, T., Hepburn, C., Kendall, J.M., Khosla, R., Lezaun, J., Mitchell-Larson, E. and Obersteiner, M., </w:t>
      </w:r>
      <w:r w:rsidR="00A21B20">
        <w:t>(</w:t>
      </w:r>
      <w:r w:rsidRPr="003B32F7">
        <w:t>2022</w:t>
      </w:r>
      <w:r w:rsidR="00A21B20">
        <w:t>)</w:t>
      </w:r>
      <w:r w:rsidRPr="003B32F7">
        <w:t>. The meaning of net zero and how to get it right. </w:t>
      </w:r>
      <w:r w:rsidRPr="003B32F7">
        <w:rPr>
          <w:i/>
          <w:iCs/>
        </w:rPr>
        <w:t>Nature climate change</w:t>
      </w:r>
      <w:r w:rsidRPr="003B32F7">
        <w:t>, </w:t>
      </w:r>
      <w:r w:rsidRPr="003B32F7">
        <w:rPr>
          <w:i/>
          <w:iCs/>
        </w:rPr>
        <w:t>12</w:t>
      </w:r>
      <w:r w:rsidRPr="003B32F7">
        <w:t>(1), pp.15-21.</w:t>
      </w:r>
      <w:r w:rsidR="00D91CA1">
        <w:br/>
      </w:r>
      <w:hyperlink r:id="rId18" w:history="1">
        <w:r w:rsidR="00D91CA1" w:rsidRPr="00946449">
          <w:rPr>
            <w:rStyle w:val="Hyperlink"/>
          </w:rPr>
          <w:t>https://doi.org/10.1038/s41558-021-01245-w</w:t>
        </w:r>
      </w:hyperlink>
      <w:r w:rsidR="00D91CA1">
        <w:t xml:space="preserve"> </w:t>
      </w:r>
      <w:r w:rsidR="004F3C4F">
        <w:t>(Accessed: 02/11/2025)</w:t>
      </w:r>
    </w:p>
    <w:p w14:paraId="1B84E8F5" w14:textId="4499C55B" w:rsidR="0089243F" w:rsidRDefault="007F1EB5" w:rsidP="0089243F">
      <w:pPr>
        <w:ind w:left="720" w:hanging="720"/>
      </w:pPr>
      <w:r w:rsidRPr="003B32F7">
        <w:t xml:space="preserve">Goniewicz, K., Burkle, F.M. and Khorram-Manesh, A., </w:t>
      </w:r>
      <w:r w:rsidR="00A21B20">
        <w:t>(</w:t>
      </w:r>
      <w:r w:rsidRPr="003B32F7">
        <w:t>2025</w:t>
      </w:r>
      <w:r w:rsidR="00A21B20">
        <w:t>)</w:t>
      </w:r>
      <w:r w:rsidRPr="003B32F7">
        <w:t>. Transforming global public health: climate collaboration, political challenges, and systemic change. </w:t>
      </w:r>
      <w:r w:rsidRPr="003B32F7">
        <w:rPr>
          <w:i/>
          <w:iCs/>
        </w:rPr>
        <w:t>Journal of Infection and Public Health</w:t>
      </w:r>
      <w:r w:rsidRPr="003B32F7">
        <w:t>, </w:t>
      </w:r>
      <w:r w:rsidRPr="003B32F7">
        <w:rPr>
          <w:i/>
          <w:iCs/>
        </w:rPr>
        <w:t>18</w:t>
      </w:r>
      <w:r w:rsidRPr="003B32F7">
        <w:t>(1), p.102615.</w:t>
      </w:r>
      <w:r w:rsidR="000F7DF7">
        <w:br/>
      </w:r>
      <w:hyperlink r:id="rId19" w:history="1">
        <w:r w:rsidR="000F7DF7" w:rsidRPr="00946449">
          <w:rPr>
            <w:rStyle w:val="Hyperlink"/>
          </w:rPr>
          <w:t>https://doi.org/10.1016/j.jiph.2024.102615</w:t>
        </w:r>
      </w:hyperlink>
      <w:r w:rsidR="000F7DF7">
        <w:t xml:space="preserve"> </w:t>
      </w:r>
      <w:r w:rsidR="004F3C4F">
        <w:t>(Accessed: 02/11/2025)</w:t>
      </w:r>
    </w:p>
    <w:p w14:paraId="54E9C7AF" w14:textId="69220036" w:rsidR="0089243F" w:rsidRDefault="007F1EB5" w:rsidP="0089243F">
      <w:pPr>
        <w:ind w:left="720" w:hanging="720"/>
      </w:pPr>
      <w:r w:rsidRPr="003B32F7">
        <w:t xml:space="preserve">Guzmán, C.A.F., Aguirre, A.A., Astle, B., Barros, E., Bayles, B., Chimbari, M., El-Abbadi, N., Evert, J., Hackett, F., Howard, C. and Jennings, J., </w:t>
      </w:r>
      <w:r w:rsidR="00A21B20">
        <w:t>(</w:t>
      </w:r>
      <w:r w:rsidRPr="003B32F7">
        <w:t>2021</w:t>
      </w:r>
      <w:r w:rsidR="00A21B20">
        <w:t>)</w:t>
      </w:r>
      <w:r w:rsidRPr="003B32F7">
        <w:t>. A framework to guide planetary health education. </w:t>
      </w:r>
      <w:r w:rsidRPr="003B32F7">
        <w:rPr>
          <w:i/>
          <w:iCs/>
        </w:rPr>
        <w:t>The Lancet Planetary Health</w:t>
      </w:r>
      <w:r w:rsidRPr="003B32F7">
        <w:t>, </w:t>
      </w:r>
      <w:r w:rsidRPr="003B32F7">
        <w:rPr>
          <w:i/>
          <w:iCs/>
        </w:rPr>
        <w:t>5</w:t>
      </w:r>
      <w:r w:rsidRPr="003B32F7">
        <w:t>(5), pp.e</w:t>
      </w:r>
      <w:r w:rsidR="00944222">
        <w:t xml:space="preserve"> </w:t>
      </w:r>
      <w:r w:rsidRPr="003B32F7">
        <w:t>253-e255.</w:t>
      </w:r>
      <w:r w:rsidR="005555A5">
        <w:br/>
      </w:r>
      <w:hyperlink r:id="rId20" w:history="1">
        <w:r w:rsidR="005555A5" w:rsidRPr="00944222">
          <w:rPr>
            <w:rStyle w:val="Hyperlink"/>
          </w:rPr>
          <w:t>10.1016/S2542-5196(21)00110-8</w:t>
        </w:r>
      </w:hyperlink>
      <w:r w:rsidR="00472354">
        <w:t xml:space="preserve"> </w:t>
      </w:r>
      <w:r w:rsidR="005555A5">
        <w:t xml:space="preserve"> </w:t>
      </w:r>
      <w:r w:rsidR="004F3C4F">
        <w:t xml:space="preserve">(Accessed: </w:t>
      </w:r>
      <w:r w:rsidR="004F3C4F">
        <w:t>11</w:t>
      </w:r>
      <w:r w:rsidR="004F3C4F">
        <w:t>/11/2025)</w:t>
      </w:r>
    </w:p>
    <w:p w14:paraId="279E65C2" w14:textId="1BB8FF71" w:rsidR="0089243F" w:rsidRDefault="007F1EB5" w:rsidP="0089243F">
      <w:pPr>
        <w:ind w:left="720" w:hanging="720"/>
      </w:pPr>
      <w:r w:rsidRPr="003B32F7">
        <w:t xml:space="preserve">Hajmohammadi, H. and Heydecker, B., </w:t>
      </w:r>
      <w:r w:rsidR="00A21B20">
        <w:t>(</w:t>
      </w:r>
      <w:r w:rsidRPr="003B32F7">
        <w:t>2022</w:t>
      </w:r>
      <w:r w:rsidR="00A21B20">
        <w:t>)</w:t>
      </w:r>
      <w:r w:rsidRPr="003B32F7">
        <w:t>. Evaluation of air quality effects of the London ultra-low emission zone by state-space modelling. </w:t>
      </w:r>
      <w:r w:rsidRPr="003B32F7">
        <w:rPr>
          <w:i/>
          <w:iCs/>
        </w:rPr>
        <w:t>Atmospheric Pollution Research</w:t>
      </w:r>
      <w:r w:rsidRPr="003B32F7">
        <w:t>, </w:t>
      </w:r>
      <w:r w:rsidRPr="003B32F7">
        <w:rPr>
          <w:i/>
          <w:iCs/>
        </w:rPr>
        <w:t>13</w:t>
      </w:r>
      <w:r w:rsidRPr="003B32F7">
        <w:t>(8), p.101514.</w:t>
      </w:r>
      <w:r w:rsidR="00F5237A">
        <w:t xml:space="preserve"> </w:t>
      </w:r>
      <w:r w:rsidR="00F5237A">
        <w:br/>
      </w:r>
      <w:hyperlink r:id="rId21" w:history="1">
        <w:r w:rsidR="006969A7" w:rsidRPr="00946449">
          <w:rPr>
            <w:rStyle w:val="Hyperlink"/>
          </w:rPr>
          <w:t>https://doi.org/10.1016/j.apr.2022.101514</w:t>
        </w:r>
      </w:hyperlink>
      <w:r w:rsidR="00F5237A">
        <w:t xml:space="preserve"> </w:t>
      </w:r>
      <w:r w:rsidR="004F3C4F">
        <w:t xml:space="preserve">(Accessed: </w:t>
      </w:r>
      <w:r w:rsidR="004F3C4F">
        <w:t>10</w:t>
      </w:r>
      <w:r w:rsidR="004F3C4F">
        <w:t>/11/2025)</w:t>
      </w:r>
    </w:p>
    <w:p w14:paraId="02B28D83" w14:textId="767C664E" w:rsidR="0089243F" w:rsidRDefault="007F1EB5" w:rsidP="0089243F">
      <w:pPr>
        <w:ind w:left="720" w:hanging="720"/>
      </w:pPr>
      <w:r w:rsidRPr="003B32F7">
        <w:t xml:space="preserve">Hands, A., </w:t>
      </w:r>
      <w:r w:rsidR="00A21B20">
        <w:t>(</w:t>
      </w:r>
      <w:r w:rsidRPr="003B32F7">
        <w:t>2022</w:t>
      </w:r>
      <w:r w:rsidR="00A21B20">
        <w:t>)</w:t>
      </w:r>
      <w:r w:rsidRPr="003B32F7">
        <w:t>. Air quality. In </w:t>
      </w:r>
      <w:r w:rsidRPr="003B32F7">
        <w:rPr>
          <w:i/>
          <w:iCs/>
        </w:rPr>
        <w:t>Clay's Handbook of Environmental Health</w:t>
      </w:r>
      <w:r w:rsidRPr="003B32F7">
        <w:t> (pp. 700-747). Routledge.</w:t>
      </w:r>
      <w:r w:rsidR="00E6424F">
        <w:br/>
      </w:r>
      <w:hyperlink r:id="rId22" w:history="1">
        <w:r w:rsidR="00E6424F" w:rsidRPr="00946449">
          <w:rPr>
            <w:rStyle w:val="Hyperlink"/>
          </w:rPr>
          <w:t>https://www.routledge.com/Clays-Handbook-of-Environmental-Health/Battersby/p/book/9780367476502</w:t>
        </w:r>
      </w:hyperlink>
      <w:r w:rsidR="00E6424F">
        <w:t xml:space="preserve"> </w:t>
      </w:r>
      <w:r w:rsidR="004F3C4F">
        <w:t>(Accessed: 0</w:t>
      </w:r>
      <w:r w:rsidR="004F3C4F">
        <w:t>9</w:t>
      </w:r>
      <w:r w:rsidR="004F3C4F">
        <w:t>/11/2025)</w:t>
      </w:r>
    </w:p>
    <w:p w14:paraId="16EB7963" w14:textId="445532A7" w:rsidR="0089243F" w:rsidRDefault="007F1EB5" w:rsidP="0089243F">
      <w:pPr>
        <w:ind w:left="720" w:hanging="720"/>
      </w:pPr>
      <w:r w:rsidRPr="003B32F7">
        <w:t xml:space="preserve">Khan, S., Yuan, H. and Hussain, M., </w:t>
      </w:r>
      <w:r w:rsidR="0095021C">
        <w:t>(</w:t>
      </w:r>
      <w:r w:rsidRPr="003B32F7">
        <w:t>2024</w:t>
      </w:r>
      <w:r w:rsidR="0095021C">
        <w:t>)</w:t>
      </w:r>
      <w:r w:rsidRPr="003B32F7">
        <w:t>. Balancing act: Trade‐offs and synergies within Sustainable Development Goals 1st, 10th, and 13th—Poverty, inequality, and climate actions. </w:t>
      </w:r>
      <w:r w:rsidRPr="003B32F7">
        <w:rPr>
          <w:i/>
          <w:iCs/>
        </w:rPr>
        <w:t>Sustainable Development</w:t>
      </w:r>
      <w:r w:rsidRPr="003B32F7">
        <w:t>, </w:t>
      </w:r>
      <w:r w:rsidRPr="003B32F7">
        <w:rPr>
          <w:i/>
          <w:iCs/>
        </w:rPr>
        <w:t>32</w:t>
      </w:r>
      <w:r w:rsidRPr="003B32F7">
        <w:t>(6), pp.6950-6967.</w:t>
      </w:r>
      <w:r w:rsidR="00E2522D">
        <w:br/>
      </w:r>
      <w:hyperlink r:id="rId23" w:history="1">
        <w:r w:rsidR="00E2522D" w:rsidRPr="00946449">
          <w:rPr>
            <w:rStyle w:val="Hyperlink"/>
          </w:rPr>
          <w:t>https://doi.org/10.1002/sd.3079</w:t>
        </w:r>
      </w:hyperlink>
      <w:r w:rsidR="00E2522D">
        <w:t xml:space="preserve"> </w:t>
      </w:r>
      <w:r w:rsidR="004F3C4F">
        <w:t xml:space="preserve">(Accessed: </w:t>
      </w:r>
      <w:r w:rsidR="004F3C4F">
        <w:t>12</w:t>
      </w:r>
      <w:r w:rsidR="004F3C4F">
        <w:t>/11/2025)</w:t>
      </w:r>
    </w:p>
    <w:p w14:paraId="629C978B" w14:textId="1D6DAD15" w:rsidR="0089243F" w:rsidRDefault="007F1EB5" w:rsidP="0089243F">
      <w:pPr>
        <w:ind w:left="720" w:hanging="720"/>
      </w:pPr>
      <w:r w:rsidRPr="003B32F7">
        <w:t xml:space="preserve">Liu, B., Bryson, J.R., Sevinc, D., Cole, M.A., Elliott, R.J., Bartington, S.E., Bloss, W.J. and Shi, Z., </w:t>
      </w:r>
      <w:r w:rsidR="0095021C">
        <w:t>(</w:t>
      </w:r>
      <w:r w:rsidRPr="003B32F7">
        <w:t>2023</w:t>
      </w:r>
      <w:r w:rsidR="0095021C">
        <w:t>)</w:t>
      </w:r>
      <w:r w:rsidRPr="003B32F7">
        <w:t>. Assessing the impacts of Birmingham’s clean air zone on air quality: Estimates from a machine learning and synthetic control approach. </w:t>
      </w:r>
      <w:r w:rsidRPr="003B32F7">
        <w:rPr>
          <w:i/>
          <w:iCs/>
        </w:rPr>
        <w:t>Environmental and Resource Economics</w:t>
      </w:r>
      <w:r w:rsidRPr="003B32F7">
        <w:t>, </w:t>
      </w:r>
      <w:r w:rsidRPr="003B32F7">
        <w:rPr>
          <w:i/>
          <w:iCs/>
        </w:rPr>
        <w:t>86</w:t>
      </w:r>
      <w:r w:rsidRPr="003B32F7">
        <w:t>(1), pp.203-231.</w:t>
      </w:r>
      <w:r w:rsidR="000E7828">
        <w:br/>
      </w:r>
      <w:hyperlink r:id="rId24" w:history="1">
        <w:r w:rsidR="000E7828" w:rsidRPr="00946449">
          <w:rPr>
            <w:rStyle w:val="Hyperlink"/>
          </w:rPr>
          <w:t>https://doi.org/10.1007/s10640-023-00794-2</w:t>
        </w:r>
      </w:hyperlink>
      <w:r w:rsidR="000E7828">
        <w:t xml:space="preserve"> </w:t>
      </w:r>
      <w:r w:rsidR="004F3C4F">
        <w:t>(Accessed: 02/11/2025)</w:t>
      </w:r>
    </w:p>
    <w:p w14:paraId="2C6E9267" w14:textId="060398D6" w:rsidR="0089243F" w:rsidRDefault="007F1EB5" w:rsidP="0089243F">
      <w:pPr>
        <w:ind w:left="720" w:hanging="720"/>
      </w:pPr>
      <w:r w:rsidRPr="00E57F5C">
        <w:t xml:space="preserve">Lyons, J., Akbari, A., Abrams, K.R., Lorenzo, A.A., Dhafari, T.B., Chess, J., Denaxas, S., Fry, R., Gale, C.P., Gallacher, J. and Griffiths, L.J., </w:t>
      </w:r>
      <w:r w:rsidR="0095021C">
        <w:t>(</w:t>
      </w:r>
      <w:r w:rsidRPr="00E57F5C">
        <w:t>2023</w:t>
      </w:r>
      <w:r w:rsidR="0095021C">
        <w:t>)</w:t>
      </w:r>
      <w:r w:rsidRPr="00E57F5C">
        <w:t>. Trajectories in chronic disease accrual and mortality across the lifespan in Wales, UK (2005–2019), by area deprivation profile: linked electronic health records cohort study on 965,905 individuals. </w:t>
      </w:r>
      <w:r w:rsidRPr="00E57F5C">
        <w:rPr>
          <w:i/>
          <w:iCs/>
        </w:rPr>
        <w:t>The Lancet Regional Health–Europe</w:t>
      </w:r>
      <w:r w:rsidRPr="00E57F5C">
        <w:t>, </w:t>
      </w:r>
      <w:r w:rsidRPr="00E57F5C">
        <w:rPr>
          <w:i/>
          <w:iCs/>
        </w:rPr>
        <w:t>32</w:t>
      </w:r>
      <w:r w:rsidRPr="00E57F5C">
        <w:t>.</w:t>
      </w:r>
      <w:r w:rsidR="004111B1">
        <w:br/>
      </w:r>
      <w:hyperlink r:id="rId25" w:history="1">
        <w:r w:rsidR="004111B1" w:rsidRPr="00A5148D">
          <w:rPr>
            <w:rStyle w:val="Hyperlink"/>
          </w:rPr>
          <w:t>10.1016/j.lanepe.2023.100687</w:t>
        </w:r>
      </w:hyperlink>
      <w:r w:rsidR="004111B1">
        <w:t xml:space="preserve"> </w:t>
      </w:r>
      <w:r w:rsidR="004F3C4F">
        <w:t>(Accessed: 0</w:t>
      </w:r>
      <w:r w:rsidR="004F3C4F">
        <w:t>1</w:t>
      </w:r>
      <w:r w:rsidR="004F3C4F">
        <w:t>/11/2025)</w:t>
      </w:r>
    </w:p>
    <w:p w14:paraId="28F34A44" w14:textId="7783C61C" w:rsidR="0089243F" w:rsidRDefault="007F1EB5" w:rsidP="0089243F">
      <w:pPr>
        <w:ind w:left="720" w:hanging="720"/>
      </w:pPr>
      <w:r w:rsidRPr="003B32F7">
        <w:lastRenderedPageBreak/>
        <w:t xml:space="preserve">Ma, L., Graham, D.J. and Stettler, M.E., </w:t>
      </w:r>
      <w:r w:rsidR="0095021C">
        <w:t>(</w:t>
      </w:r>
      <w:r w:rsidRPr="003B32F7">
        <w:t>2021</w:t>
      </w:r>
      <w:r w:rsidR="0095021C">
        <w:t>)</w:t>
      </w:r>
      <w:r w:rsidRPr="003B32F7">
        <w:t>. Has the ultra-low emission zone in London improved air quality? </w:t>
      </w:r>
      <w:r w:rsidRPr="003B32F7">
        <w:rPr>
          <w:i/>
          <w:iCs/>
        </w:rPr>
        <w:t>Environmental Research Letters</w:t>
      </w:r>
      <w:r w:rsidRPr="003B32F7">
        <w:t>, </w:t>
      </w:r>
      <w:r w:rsidRPr="003B32F7">
        <w:rPr>
          <w:i/>
          <w:iCs/>
        </w:rPr>
        <w:t>16</w:t>
      </w:r>
      <w:r w:rsidRPr="003B32F7">
        <w:t>(12), p.124001.</w:t>
      </w:r>
      <w:r w:rsidR="00CA23BB">
        <w:br/>
      </w:r>
      <w:hyperlink r:id="rId26" w:history="1">
        <w:r w:rsidR="00CA23BB" w:rsidRPr="00CA23BB">
          <w:rPr>
            <w:rStyle w:val="Hyperlink"/>
          </w:rPr>
          <w:t>10.1088/1748-9326/ac30c1</w:t>
        </w:r>
      </w:hyperlink>
      <w:r w:rsidR="00CA23BB">
        <w:t xml:space="preserve"> </w:t>
      </w:r>
      <w:r w:rsidR="004F3C4F">
        <w:t>(Accessed: 0</w:t>
      </w:r>
      <w:r w:rsidR="004F3C4F">
        <w:t>1</w:t>
      </w:r>
      <w:r w:rsidR="004F3C4F">
        <w:t>/11/2025)</w:t>
      </w:r>
    </w:p>
    <w:p w14:paraId="1874EC2C" w14:textId="19268B39" w:rsidR="0089243F" w:rsidRDefault="007F1EB5" w:rsidP="0089243F">
      <w:pPr>
        <w:ind w:left="720" w:hanging="720"/>
      </w:pPr>
      <w:r w:rsidRPr="006159CE">
        <w:t xml:space="preserve">Marmot, M., </w:t>
      </w:r>
      <w:r w:rsidR="0095021C">
        <w:t>(</w:t>
      </w:r>
      <w:r w:rsidRPr="006159CE">
        <w:t>2022</w:t>
      </w:r>
      <w:r w:rsidR="0095021C">
        <w:t>)</w:t>
      </w:r>
      <w:r w:rsidRPr="006159CE">
        <w:t>. Capabilities, human flourishing, and the health gap. In </w:t>
      </w:r>
      <w:r w:rsidRPr="006159CE">
        <w:rPr>
          <w:i/>
          <w:iCs/>
        </w:rPr>
        <w:t>The Routledge Handbook of Philosophy of Public Health</w:t>
      </w:r>
      <w:r w:rsidRPr="006159CE">
        <w:t> (pp. 207-222). Routledge.</w:t>
      </w:r>
      <w:r w:rsidR="00356F8A">
        <w:br/>
      </w:r>
      <w:hyperlink r:id="rId27" w:history="1">
        <w:r w:rsidR="00356F8A" w:rsidRPr="00946449">
          <w:rPr>
            <w:rStyle w:val="Hyperlink"/>
          </w:rPr>
          <w:t>https://www.taylorfrancis.com/chapters/edit/10.4324/9781315675411-18/capabilities-human-flourishing-health-gap-michael-marmot</w:t>
        </w:r>
      </w:hyperlink>
      <w:r w:rsidR="00356F8A">
        <w:t xml:space="preserve"> </w:t>
      </w:r>
      <w:r w:rsidR="004F3C4F">
        <w:t>(Accessed: 0</w:t>
      </w:r>
      <w:r w:rsidR="004F3C4F">
        <w:t>1</w:t>
      </w:r>
      <w:r w:rsidR="004F3C4F">
        <w:t>/11/2025)</w:t>
      </w:r>
    </w:p>
    <w:p w14:paraId="589502D0" w14:textId="3D71A3D9" w:rsidR="0089243F" w:rsidRDefault="007F1EB5" w:rsidP="0089243F">
      <w:pPr>
        <w:ind w:left="720" w:hanging="720"/>
      </w:pPr>
      <w:r w:rsidRPr="003B32F7">
        <w:t xml:space="preserve">Marteau, T.M., </w:t>
      </w:r>
      <w:r w:rsidR="0095021C">
        <w:t>(</w:t>
      </w:r>
      <w:r w:rsidRPr="003B32F7">
        <w:t>2023</w:t>
      </w:r>
      <w:r w:rsidR="0095021C">
        <w:t>)</w:t>
      </w:r>
      <w:r w:rsidRPr="003B32F7">
        <w:t>. Evidence-neglect: addressing a barrier to UK health and climate policy ambitions. </w:t>
      </w:r>
      <w:r w:rsidRPr="003B32F7">
        <w:rPr>
          <w:i/>
          <w:iCs/>
        </w:rPr>
        <w:t>Science and Public Policy</w:t>
      </w:r>
      <w:r w:rsidRPr="003B32F7">
        <w:t>, </w:t>
      </w:r>
      <w:r w:rsidRPr="003B32F7">
        <w:rPr>
          <w:i/>
          <w:iCs/>
        </w:rPr>
        <w:t>50</w:t>
      </w:r>
      <w:r w:rsidRPr="003B32F7">
        <w:t>(6), pp.1103-1109.</w:t>
      </w:r>
      <w:r w:rsidR="003E6A15">
        <w:br/>
      </w:r>
      <w:hyperlink r:id="rId28" w:history="1">
        <w:r w:rsidR="003E6A15" w:rsidRPr="00946449">
          <w:rPr>
            <w:rStyle w:val="Hyperlink"/>
          </w:rPr>
          <w:t>https://doi.org/10.1093/scipol/scad021</w:t>
        </w:r>
      </w:hyperlink>
      <w:r w:rsidR="003E6A15">
        <w:t xml:space="preserve"> </w:t>
      </w:r>
      <w:r w:rsidR="004F3C4F">
        <w:t xml:space="preserve">(Accessed: </w:t>
      </w:r>
      <w:r w:rsidR="004F3C4F">
        <w:t>0</w:t>
      </w:r>
      <w:r w:rsidR="004F3C4F">
        <w:t>1/11/2025)</w:t>
      </w:r>
    </w:p>
    <w:p w14:paraId="6799D38E" w14:textId="4BA79DD6" w:rsidR="0089243F" w:rsidRDefault="007F1EB5" w:rsidP="0089243F">
      <w:pPr>
        <w:ind w:left="720" w:hanging="720"/>
      </w:pPr>
      <w:r w:rsidRPr="003B32F7">
        <w:t xml:space="preserve">McGINTY, B.E.T.H., </w:t>
      </w:r>
      <w:r w:rsidR="0095021C">
        <w:t>(</w:t>
      </w:r>
      <w:r w:rsidRPr="003B32F7">
        <w:t>2023</w:t>
      </w:r>
      <w:r w:rsidR="0095021C">
        <w:t>)</w:t>
      </w:r>
      <w:r w:rsidRPr="003B32F7">
        <w:t>. The future of public mental health: challenges and opportunities. </w:t>
      </w:r>
      <w:r w:rsidRPr="003B32F7">
        <w:rPr>
          <w:i/>
          <w:iCs/>
        </w:rPr>
        <w:t>The Milbank Quarterly</w:t>
      </w:r>
      <w:r w:rsidRPr="003B32F7">
        <w:t>, </w:t>
      </w:r>
      <w:r w:rsidRPr="003B32F7">
        <w:rPr>
          <w:i/>
          <w:iCs/>
        </w:rPr>
        <w:t>101</w:t>
      </w:r>
      <w:r w:rsidRPr="003B32F7">
        <w:t>(Suppl 1), p.532.</w:t>
      </w:r>
      <w:r w:rsidR="00977A95">
        <w:br/>
      </w:r>
      <w:hyperlink r:id="rId29" w:history="1">
        <w:r w:rsidR="00977A95" w:rsidRPr="00946449">
          <w:rPr>
            <w:rStyle w:val="Hyperlink"/>
          </w:rPr>
          <w:t>https://pmc.ncbi.nlm.nih.gov/articles/PMC10126977/</w:t>
        </w:r>
      </w:hyperlink>
      <w:r w:rsidR="00977A95">
        <w:t xml:space="preserve"> </w:t>
      </w:r>
      <w:r w:rsidR="004F3C4F">
        <w:t xml:space="preserve">(Accessed: </w:t>
      </w:r>
      <w:r w:rsidR="004F3C4F">
        <w:t>0</w:t>
      </w:r>
      <w:r w:rsidR="004F3C4F">
        <w:t>1/11/2025)</w:t>
      </w:r>
    </w:p>
    <w:p w14:paraId="1355E14E" w14:textId="11A3AE37" w:rsidR="0089243F" w:rsidRDefault="007F1EB5" w:rsidP="0089243F">
      <w:pPr>
        <w:ind w:left="720" w:hanging="720"/>
      </w:pPr>
      <w:r w:rsidRPr="003B32F7">
        <w:t xml:space="preserve">Prescott, S.L., Logan, A.C., Bristow, J., Rozzi, R., Moodie, R., Redvers, N., Haahtela, T., Warber, S., Poland, B., Hancock, T. and Berman, B., </w:t>
      </w:r>
      <w:r w:rsidR="0095021C">
        <w:t>(</w:t>
      </w:r>
      <w:r w:rsidRPr="003B32F7">
        <w:t>2022</w:t>
      </w:r>
      <w:r w:rsidR="0095021C">
        <w:t>)</w:t>
      </w:r>
      <w:r w:rsidRPr="003B32F7">
        <w:t>. Exiting the Anthropocene: Achieving personal and planetary health in the 21st century. </w:t>
      </w:r>
      <w:r w:rsidRPr="003B32F7">
        <w:rPr>
          <w:i/>
          <w:iCs/>
        </w:rPr>
        <w:t>Allergy</w:t>
      </w:r>
      <w:r w:rsidRPr="003B32F7">
        <w:t>, </w:t>
      </w:r>
      <w:r w:rsidRPr="003B32F7">
        <w:rPr>
          <w:i/>
          <w:iCs/>
        </w:rPr>
        <w:t>77</w:t>
      </w:r>
      <w:r w:rsidRPr="003B32F7">
        <w:t>(12), pp.3498-3512.</w:t>
      </w:r>
      <w:r w:rsidR="003522DB">
        <w:br/>
      </w:r>
      <w:hyperlink r:id="rId30" w:history="1">
        <w:r w:rsidR="003522DB" w:rsidRPr="00946449">
          <w:rPr>
            <w:rStyle w:val="Hyperlink"/>
          </w:rPr>
          <w:t>https://doi.org/10.1111/all.15419</w:t>
        </w:r>
      </w:hyperlink>
      <w:r w:rsidR="003522DB">
        <w:t xml:space="preserve"> </w:t>
      </w:r>
      <w:r w:rsidR="004F3C4F">
        <w:t xml:space="preserve">(Accessed: </w:t>
      </w:r>
      <w:r w:rsidR="004F3C4F">
        <w:t>1</w:t>
      </w:r>
      <w:r w:rsidR="004F3C4F">
        <w:t>1/11/2025)</w:t>
      </w:r>
    </w:p>
    <w:p w14:paraId="06CBB729" w14:textId="67DD412C" w:rsidR="0089243F" w:rsidRDefault="007F1EB5" w:rsidP="0089243F">
      <w:pPr>
        <w:ind w:left="720" w:hanging="720"/>
      </w:pPr>
      <w:r w:rsidRPr="00E57F5C">
        <w:t xml:space="preserve">Scheelbeek, P.F., Dangour, A.D., Jarmul, S., Turner, G., Sietsma, A.J., Minx, J.C., Callaghan, M., Ajibade, I., Austin, S.E., Biesbroek, R. and Bowen, K.J., </w:t>
      </w:r>
      <w:r w:rsidR="0095021C">
        <w:t>(</w:t>
      </w:r>
      <w:r w:rsidRPr="00E57F5C">
        <w:t>2021</w:t>
      </w:r>
      <w:r w:rsidR="0095021C">
        <w:t>)</w:t>
      </w:r>
      <w:r w:rsidRPr="00E57F5C">
        <w:t>. The effects on public health of climate change adaptation responses: a systematic review of evidence from low-and middle-income countries. </w:t>
      </w:r>
      <w:r w:rsidRPr="00E57F5C">
        <w:rPr>
          <w:i/>
          <w:iCs/>
        </w:rPr>
        <w:t>Environmental Research Letters</w:t>
      </w:r>
      <w:r w:rsidRPr="00E57F5C">
        <w:t>, </w:t>
      </w:r>
      <w:r w:rsidRPr="00E57F5C">
        <w:rPr>
          <w:i/>
          <w:iCs/>
        </w:rPr>
        <w:t>16</w:t>
      </w:r>
      <w:r w:rsidRPr="00E57F5C">
        <w:t>(7), p.073001.</w:t>
      </w:r>
      <w:r w:rsidR="00B52E5C">
        <w:br/>
      </w:r>
      <w:hyperlink r:id="rId31" w:history="1">
        <w:r w:rsidR="00B52E5C" w:rsidRPr="00FD3B91">
          <w:rPr>
            <w:rStyle w:val="Hyperlink"/>
          </w:rPr>
          <w:t>10.1088/1748-9326/ac092c</w:t>
        </w:r>
      </w:hyperlink>
      <w:r w:rsidR="00B52E5C">
        <w:t xml:space="preserve"> </w:t>
      </w:r>
      <w:r w:rsidR="004F3C4F">
        <w:t xml:space="preserve">(Accessed: </w:t>
      </w:r>
      <w:r w:rsidR="004F3C4F">
        <w:t>1</w:t>
      </w:r>
      <w:r w:rsidR="004F3C4F">
        <w:t>1/11/2025)</w:t>
      </w:r>
    </w:p>
    <w:p w14:paraId="503E510C" w14:textId="1E5A5CB3" w:rsidR="0089243F" w:rsidRDefault="007F1EB5" w:rsidP="0089243F">
      <w:pPr>
        <w:ind w:left="720" w:hanging="720"/>
      </w:pPr>
      <w:r w:rsidRPr="003B32F7">
        <w:t xml:space="preserve">Šehović, A.B. and Govender, K., </w:t>
      </w:r>
      <w:r w:rsidR="0095021C">
        <w:t>(</w:t>
      </w:r>
      <w:r w:rsidRPr="003B32F7">
        <w:t>2021</w:t>
      </w:r>
      <w:r w:rsidR="0095021C">
        <w:t>)</w:t>
      </w:r>
      <w:r w:rsidRPr="003B32F7">
        <w:t>. Addressing COVID-19 vulnerabilities: how do we achieve global health security in an inequitable world. </w:t>
      </w:r>
      <w:r w:rsidRPr="003B32F7">
        <w:rPr>
          <w:i/>
          <w:iCs/>
        </w:rPr>
        <w:t>Global Public Health</w:t>
      </w:r>
      <w:r w:rsidRPr="003B32F7">
        <w:t>, </w:t>
      </w:r>
      <w:r w:rsidRPr="003B32F7">
        <w:rPr>
          <w:i/>
          <w:iCs/>
        </w:rPr>
        <w:t>16</w:t>
      </w:r>
      <w:r w:rsidRPr="003B32F7">
        <w:t>(8-9), pp.1198-1208.</w:t>
      </w:r>
      <w:r w:rsidR="0074493C">
        <w:br/>
      </w:r>
      <w:hyperlink r:id="rId32" w:history="1">
        <w:r w:rsidR="0074493C" w:rsidRPr="00946449">
          <w:rPr>
            <w:rStyle w:val="Hyperlink"/>
          </w:rPr>
          <w:t>https://doi.org/10.1080/17441692.2021.1916056</w:t>
        </w:r>
      </w:hyperlink>
      <w:r w:rsidR="0074493C">
        <w:t xml:space="preserve"> </w:t>
      </w:r>
      <w:r w:rsidR="004F3C4F">
        <w:t>(Accessed: 0</w:t>
      </w:r>
      <w:r w:rsidR="004F3C4F">
        <w:t>8</w:t>
      </w:r>
      <w:r w:rsidR="004F3C4F">
        <w:t>/11/2025)</w:t>
      </w:r>
    </w:p>
    <w:p w14:paraId="01B81932" w14:textId="5F88212A" w:rsidR="0089243F" w:rsidRDefault="007F1EB5" w:rsidP="0089243F">
      <w:pPr>
        <w:ind w:left="720" w:hanging="720"/>
      </w:pPr>
      <w:r w:rsidRPr="003B32F7">
        <w:t xml:space="preserve">Shelton, R.C., Hailemariam, M. and Iwelunmor, J., </w:t>
      </w:r>
      <w:r w:rsidR="0095021C">
        <w:t>(</w:t>
      </w:r>
      <w:r w:rsidRPr="003B32F7">
        <w:t>2023</w:t>
      </w:r>
      <w:r w:rsidR="0095021C">
        <w:t>)</w:t>
      </w:r>
      <w:r w:rsidRPr="003B32F7">
        <w:t>. Making the connection between health equity and sustainability. </w:t>
      </w:r>
      <w:r w:rsidRPr="003B32F7">
        <w:rPr>
          <w:i/>
          <w:iCs/>
        </w:rPr>
        <w:t>Frontiers in Public Health</w:t>
      </w:r>
      <w:r w:rsidRPr="003B32F7">
        <w:t>, </w:t>
      </w:r>
      <w:r w:rsidRPr="003B32F7">
        <w:rPr>
          <w:i/>
          <w:iCs/>
        </w:rPr>
        <w:t>11</w:t>
      </w:r>
      <w:r w:rsidRPr="003B32F7">
        <w:t>, p.1226175.</w:t>
      </w:r>
      <w:r w:rsidR="004314FB">
        <w:br/>
      </w:r>
      <w:hyperlink r:id="rId33" w:history="1">
        <w:r w:rsidR="004314FB" w:rsidRPr="00946449">
          <w:rPr>
            <w:rStyle w:val="Hyperlink"/>
          </w:rPr>
          <w:t>https://doi.org/10.3389/fpubh.2023.1226175</w:t>
        </w:r>
      </w:hyperlink>
      <w:r w:rsidR="004314FB">
        <w:t xml:space="preserve"> </w:t>
      </w:r>
      <w:r w:rsidR="004F3C4F">
        <w:t>(Accessed: 0</w:t>
      </w:r>
      <w:r w:rsidR="004F3C4F">
        <w:t>4</w:t>
      </w:r>
      <w:r w:rsidR="004F3C4F">
        <w:t>/11/2025)</w:t>
      </w:r>
    </w:p>
    <w:p w14:paraId="0EAB52DB" w14:textId="6687CF96" w:rsidR="0089243F" w:rsidRDefault="007F1EB5" w:rsidP="0089243F">
      <w:pPr>
        <w:ind w:left="720" w:hanging="720"/>
      </w:pPr>
      <w:r w:rsidRPr="003B32F7">
        <w:t xml:space="preserve">Silburn, A., </w:t>
      </w:r>
      <w:r w:rsidR="0095021C">
        <w:t>(</w:t>
      </w:r>
      <w:r w:rsidRPr="003B32F7">
        <w:t>2025</w:t>
      </w:r>
      <w:r w:rsidR="0095021C">
        <w:t>)</w:t>
      </w:r>
      <w:r w:rsidRPr="003B32F7">
        <w:t>. Systems thinking in public health policy development. </w:t>
      </w:r>
      <w:r w:rsidRPr="003B32F7">
        <w:rPr>
          <w:i/>
          <w:iCs/>
        </w:rPr>
        <w:t>Frontiers in Health Services</w:t>
      </w:r>
      <w:r w:rsidRPr="003B32F7">
        <w:t>, </w:t>
      </w:r>
      <w:r w:rsidRPr="003B32F7">
        <w:rPr>
          <w:i/>
          <w:iCs/>
        </w:rPr>
        <w:t>5</w:t>
      </w:r>
      <w:r w:rsidRPr="003B32F7">
        <w:t>, p.1555284.</w:t>
      </w:r>
      <w:r w:rsidR="00AF4B53">
        <w:br/>
      </w:r>
      <w:hyperlink r:id="rId34" w:history="1">
        <w:r w:rsidR="00AF4B53" w:rsidRPr="00946449">
          <w:rPr>
            <w:rStyle w:val="Hyperlink"/>
          </w:rPr>
          <w:t>https://doi.org/10.3389/frhs.2025.1555284</w:t>
        </w:r>
      </w:hyperlink>
      <w:r w:rsidR="00AF4B53">
        <w:t xml:space="preserve"> </w:t>
      </w:r>
      <w:r w:rsidR="004F3C4F">
        <w:t>(Accessed: 0</w:t>
      </w:r>
      <w:r w:rsidR="004F3C4F">
        <w:t>4</w:t>
      </w:r>
      <w:r w:rsidR="004F3C4F">
        <w:t>/11/2025)</w:t>
      </w:r>
    </w:p>
    <w:p w14:paraId="5D965E2C" w14:textId="5BA3CE1D" w:rsidR="0089243F" w:rsidRDefault="007F1EB5" w:rsidP="0089243F">
      <w:pPr>
        <w:ind w:left="720" w:hanging="720"/>
      </w:pPr>
      <w:r w:rsidRPr="00E57F5C">
        <w:t xml:space="preserve">Siriaporn, N., </w:t>
      </w:r>
      <w:r w:rsidR="0095021C">
        <w:t>(</w:t>
      </w:r>
      <w:r w:rsidRPr="00E57F5C">
        <w:t>2025</w:t>
      </w:r>
      <w:r w:rsidR="0095021C">
        <w:t>)</w:t>
      </w:r>
      <w:r w:rsidRPr="00E57F5C">
        <w:t>. </w:t>
      </w:r>
      <w:r w:rsidRPr="00E57F5C">
        <w:rPr>
          <w:i/>
          <w:iCs/>
        </w:rPr>
        <w:t xml:space="preserve">Active transportation, health, and environment (ASTHAIR): a multidisciplinary approach to behaviour change, community engagement, and systems </w:t>
      </w:r>
      <w:r w:rsidRPr="00E57F5C">
        <w:rPr>
          <w:i/>
          <w:iCs/>
        </w:rPr>
        <w:lastRenderedPageBreak/>
        <w:t>thinking to promote active transportation</w:t>
      </w:r>
      <w:r w:rsidRPr="00E57F5C">
        <w:t> (Doctoral dissertation, Université Côte d'Azur).</w:t>
      </w:r>
      <w:r w:rsidR="00104C30">
        <w:br/>
      </w:r>
      <w:hyperlink r:id="rId35" w:history="1">
        <w:r w:rsidR="00104C30" w:rsidRPr="00946449">
          <w:rPr>
            <w:rStyle w:val="Hyperlink"/>
          </w:rPr>
          <w:t>https://theses.hal.science/tel-05118671/</w:t>
        </w:r>
      </w:hyperlink>
      <w:r w:rsidR="00104C30">
        <w:t xml:space="preserve"> </w:t>
      </w:r>
      <w:r w:rsidR="004F3C4F">
        <w:t>(Accessed: 0</w:t>
      </w:r>
      <w:r w:rsidR="004F3C4F">
        <w:t>5</w:t>
      </w:r>
      <w:r w:rsidR="004F3C4F">
        <w:t>/11/2025)</w:t>
      </w:r>
    </w:p>
    <w:p w14:paraId="6CA79AD1" w14:textId="70B2564C" w:rsidR="0089243F" w:rsidRDefault="007F1EB5" w:rsidP="0089243F">
      <w:pPr>
        <w:ind w:left="720" w:hanging="720"/>
        <w:rPr>
          <w:lang w:val="en-US"/>
        </w:rPr>
      </w:pPr>
      <w:r w:rsidRPr="009B4B4B">
        <w:rPr>
          <w:lang w:val="en-US"/>
        </w:rPr>
        <w:t xml:space="preserve">The </w:t>
      </w:r>
      <w:bookmarkStart w:id="9" w:name="_Hlk209227845"/>
      <w:r w:rsidRPr="009B4B4B">
        <w:rPr>
          <w:lang w:val="en-US"/>
        </w:rPr>
        <w:t>Global Goals (2024</w:t>
      </w:r>
      <w:bookmarkEnd w:id="9"/>
      <w:r w:rsidRPr="009B4B4B">
        <w:rPr>
          <w:lang w:val="en-US"/>
        </w:rPr>
        <w:t xml:space="preserve">). </w:t>
      </w:r>
      <w:r w:rsidRPr="009B4B4B">
        <w:rPr>
          <w:i/>
          <w:iCs/>
          <w:lang w:val="en-US"/>
        </w:rPr>
        <w:t>Goal 13: Climate action</w:t>
      </w:r>
      <w:r w:rsidRPr="009B4B4B">
        <w:rPr>
          <w:lang w:val="en-US"/>
        </w:rPr>
        <w:t xml:space="preserve">. [online] The Global Goals. Available at: </w:t>
      </w:r>
      <w:hyperlink r:id="rId36" w:history="1">
        <w:r w:rsidR="009C4F2B" w:rsidRPr="0065052F">
          <w:rPr>
            <w:rStyle w:val="Hyperlink"/>
            <w:lang w:val="en-US"/>
          </w:rPr>
          <w:t>https://globalgoals.org/goals/13-climate-action/</w:t>
        </w:r>
      </w:hyperlink>
      <w:r w:rsidR="002629AB">
        <w:rPr>
          <w:lang w:val="en-US"/>
        </w:rPr>
        <w:t>.</w:t>
      </w:r>
      <w:r w:rsidR="009C4F2B">
        <w:rPr>
          <w:lang w:val="en-US"/>
        </w:rPr>
        <w:t xml:space="preserve"> </w:t>
      </w:r>
      <w:r w:rsidR="004F3C4F">
        <w:t>(Accessed: 08/11/2025)</w:t>
      </w:r>
    </w:p>
    <w:p w14:paraId="74EB4626" w14:textId="0020EE45" w:rsidR="0089243F" w:rsidRDefault="007F1EB5" w:rsidP="0089243F">
      <w:pPr>
        <w:ind w:left="720" w:hanging="720"/>
        <w:rPr>
          <w:lang w:val="en-US"/>
        </w:rPr>
      </w:pPr>
      <w:r w:rsidRPr="0007436D">
        <w:rPr>
          <w:lang w:val="en-US"/>
        </w:rPr>
        <w:t xml:space="preserve">The Global Goals (2025). </w:t>
      </w:r>
      <w:r w:rsidRPr="0007436D">
        <w:rPr>
          <w:i/>
          <w:iCs/>
          <w:lang w:val="en-US"/>
        </w:rPr>
        <w:t>Goal 3: Good health and well-being</w:t>
      </w:r>
      <w:r w:rsidRPr="0007436D">
        <w:rPr>
          <w:lang w:val="en-US"/>
        </w:rPr>
        <w:t xml:space="preserve">. [online] The Global Goals. Available at: </w:t>
      </w:r>
      <w:hyperlink r:id="rId37" w:history="1">
        <w:r w:rsidR="00034EBC" w:rsidRPr="00946449">
          <w:rPr>
            <w:rStyle w:val="Hyperlink"/>
            <w:lang w:val="en-US"/>
          </w:rPr>
          <w:t>https://globalgoals.org/goals/3-good-health-and-well-being/</w:t>
        </w:r>
      </w:hyperlink>
      <w:r w:rsidR="00034EBC">
        <w:rPr>
          <w:lang w:val="en-US"/>
        </w:rPr>
        <w:t xml:space="preserve"> </w:t>
      </w:r>
      <w:r w:rsidR="004F3C4F">
        <w:t>(Accessed: 0</w:t>
      </w:r>
      <w:r w:rsidR="004F3C4F">
        <w:t>5</w:t>
      </w:r>
      <w:r w:rsidR="004F3C4F">
        <w:t>/11/2025)</w:t>
      </w:r>
    </w:p>
    <w:p w14:paraId="00EF1453" w14:textId="3627170D" w:rsidR="0089243F" w:rsidRDefault="007F1EB5" w:rsidP="0089243F">
      <w:pPr>
        <w:ind w:left="720" w:hanging="720"/>
      </w:pPr>
      <w:r w:rsidRPr="003B32F7">
        <w:t xml:space="preserve">Thompson, K.M., Kalkowska, D.A. and Badizadegan, K., </w:t>
      </w:r>
      <w:r w:rsidR="0095021C">
        <w:t>(</w:t>
      </w:r>
      <w:r w:rsidRPr="003B32F7">
        <w:t>2022</w:t>
      </w:r>
      <w:r w:rsidR="0095021C">
        <w:t>)</w:t>
      </w:r>
      <w:r w:rsidRPr="003B32F7">
        <w:t>. Polio health economics: assessing the benefits and costs of polio, non-polio, and integrated activities of the Global Polio Eradication Initiative. </w:t>
      </w:r>
      <w:r w:rsidRPr="003B32F7">
        <w:rPr>
          <w:i/>
          <w:iCs/>
        </w:rPr>
        <w:t>Gates Open Research</w:t>
      </w:r>
      <w:r w:rsidRPr="003B32F7">
        <w:t>, </w:t>
      </w:r>
      <w:r w:rsidRPr="003B32F7">
        <w:rPr>
          <w:i/>
          <w:iCs/>
        </w:rPr>
        <w:t>6</w:t>
      </w:r>
      <w:r w:rsidRPr="003B32F7">
        <w:t>, p.5.</w:t>
      </w:r>
      <w:r w:rsidR="00875FE7">
        <w:br/>
      </w:r>
      <w:hyperlink r:id="rId38" w:history="1">
        <w:r w:rsidR="00875FE7" w:rsidRPr="00946449">
          <w:rPr>
            <w:rStyle w:val="Hyperlink"/>
          </w:rPr>
          <w:t>https://pmc.ncbi.nlm.nih.gov/articles/PMC8881365/</w:t>
        </w:r>
      </w:hyperlink>
      <w:r w:rsidR="004F3C4F">
        <w:t xml:space="preserve"> </w:t>
      </w:r>
    </w:p>
    <w:p w14:paraId="6EEB52A5" w14:textId="07A4F067" w:rsidR="0089243F" w:rsidRDefault="007F1EB5" w:rsidP="0089243F">
      <w:pPr>
        <w:ind w:left="720" w:hanging="720"/>
      </w:pPr>
      <w:r w:rsidRPr="006159CE">
        <w:t xml:space="preserve">Tweed, E.J., Popham, F., Thomson, H. and Katikireddi, S.V., </w:t>
      </w:r>
      <w:r w:rsidR="0095021C">
        <w:t>(</w:t>
      </w:r>
      <w:r w:rsidRPr="006159CE">
        <w:t>2022</w:t>
      </w:r>
      <w:r w:rsidR="0095021C">
        <w:t>)</w:t>
      </w:r>
      <w:r w:rsidRPr="006159CE">
        <w:t>. Including ‘inclusion health’? A discourse analysis of health inequalities policy reviews. </w:t>
      </w:r>
      <w:r w:rsidRPr="006159CE">
        <w:rPr>
          <w:i/>
          <w:iCs/>
        </w:rPr>
        <w:t>Critical Public Health</w:t>
      </w:r>
      <w:r w:rsidRPr="006159CE">
        <w:t>, </w:t>
      </w:r>
      <w:r w:rsidRPr="006159CE">
        <w:rPr>
          <w:i/>
          <w:iCs/>
        </w:rPr>
        <w:t>32</w:t>
      </w:r>
      <w:r w:rsidRPr="006159CE">
        <w:t>(5), pp.700-712.</w:t>
      </w:r>
      <w:r w:rsidR="004F3C4F">
        <w:t xml:space="preserve"> </w:t>
      </w:r>
      <w:r w:rsidR="004F3C4F">
        <w:t>(Accessed: 08/11/2025)</w:t>
      </w:r>
    </w:p>
    <w:p w14:paraId="54CE815F" w14:textId="5DA7566A" w:rsidR="0089243F" w:rsidRDefault="007F1EB5" w:rsidP="0089243F">
      <w:pPr>
        <w:ind w:left="720" w:hanging="720"/>
        <w:rPr>
          <w:lang w:val="en-US"/>
        </w:rPr>
      </w:pPr>
      <w:r w:rsidRPr="00AF1ED8">
        <w:rPr>
          <w:lang w:val="en-US"/>
        </w:rPr>
        <w:t xml:space="preserve">United Nations (2025). </w:t>
      </w:r>
      <w:r w:rsidRPr="00AF1ED8">
        <w:rPr>
          <w:i/>
          <w:iCs/>
          <w:lang w:val="en-US"/>
        </w:rPr>
        <w:t>THE 17 GOALS | Department of Economic and Social Affairs</w:t>
      </w:r>
      <w:r w:rsidRPr="00AF1ED8">
        <w:rPr>
          <w:lang w:val="en-US"/>
        </w:rPr>
        <w:t xml:space="preserve">. [online] sdgs.un.org. Available at: </w:t>
      </w:r>
      <w:hyperlink r:id="rId39" w:history="1">
        <w:r w:rsidR="00845D94" w:rsidRPr="00946449">
          <w:rPr>
            <w:rStyle w:val="Hyperlink"/>
            <w:lang w:val="en-US"/>
          </w:rPr>
          <w:t>http://sdgs.un.org/goals</w:t>
        </w:r>
      </w:hyperlink>
      <w:r w:rsidR="002629AB">
        <w:rPr>
          <w:lang w:val="en-US"/>
        </w:rPr>
        <w:t>.</w:t>
      </w:r>
      <w:r w:rsidR="00845D94">
        <w:rPr>
          <w:lang w:val="en-US"/>
        </w:rPr>
        <w:t xml:space="preserve"> </w:t>
      </w:r>
      <w:r w:rsidR="004F3C4F">
        <w:t>(Accessed: 08/11/2025)</w:t>
      </w:r>
    </w:p>
    <w:p w14:paraId="11460171" w14:textId="77AB06C8" w:rsidR="0089243F" w:rsidRDefault="007F1EB5" w:rsidP="0089243F">
      <w:pPr>
        <w:ind w:left="720" w:hanging="720"/>
      </w:pPr>
      <w:r w:rsidRPr="003B32F7">
        <w:t xml:space="preserve">Williams, G., Chan, H.K.H. and Ortiz, P., </w:t>
      </w:r>
      <w:r w:rsidR="0095021C">
        <w:t>(</w:t>
      </w:r>
      <w:r w:rsidRPr="003B32F7">
        <w:t>2025</w:t>
      </w:r>
      <w:r w:rsidR="0095021C">
        <w:t>)</w:t>
      </w:r>
      <w:r w:rsidRPr="003B32F7">
        <w:t>. Exploring the effects of Sheffield’s clean air zone on air quality and traffic volume. </w:t>
      </w:r>
      <w:r w:rsidRPr="003B32F7">
        <w:rPr>
          <w:i/>
          <w:iCs/>
        </w:rPr>
        <w:t>Environmental Research Communications</w:t>
      </w:r>
      <w:r w:rsidRPr="003B32F7">
        <w:t>, </w:t>
      </w:r>
      <w:r w:rsidRPr="003B32F7">
        <w:rPr>
          <w:i/>
          <w:iCs/>
        </w:rPr>
        <w:t>7</w:t>
      </w:r>
      <w:r w:rsidRPr="003B32F7">
        <w:t>(8), p.085009.</w:t>
      </w:r>
      <w:r w:rsidR="00170EEA">
        <w:br/>
      </w:r>
      <w:hyperlink r:id="rId40" w:history="1">
        <w:r w:rsidR="00170EEA" w:rsidRPr="00946449">
          <w:rPr>
            <w:rStyle w:val="Hyperlink"/>
          </w:rPr>
          <w:t>https://doi.org/10.1080/09581596.2021.1929847</w:t>
        </w:r>
      </w:hyperlink>
      <w:r w:rsidR="00170EEA">
        <w:t xml:space="preserve"> </w:t>
      </w:r>
      <w:r w:rsidR="004F3C4F">
        <w:t>(Accessed: 08/11/2025)</w:t>
      </w:r>
    </w:p>
    <w:p w14:paraId="45B1FD0E" w14:textId="6B819CE2" w:rsidR="0089243F" w:rsidRDefault="007F1EB5" w:rsidP="0089243F">
      <w:pPr>
        <w:ind w:left="720" w:hanging="720"/>
        <w:rPr>
          <w:lang w:val="en-US"/>
        </w:rPr>
      </w:pPr>
      <w:r w:rsidRPr="003B32F7">
        <w:rPr>
          <w:lang w:val="en-US"/>
        </w:rPr>
        <w:t xml:space="preserve">World Health Organization (2025). </w:t>
      </w:r>
      <w:r w:rsidRPr="003B32F7">
        <w:rPr>
          <w:i/>
          <w:iCs/>
          <w:lang w:val="en-US"/>
        </w:rPr>
        <w:t>Maternal mortality</w:t>
      </w:r>
      <w:r w:rsidRPr="003B32F7">
        <w:rPr>
          <w:lang w:val="en-US"/>
        </w:rPr>
        <w:t xml:space="preserve">. [online] World Health Organization. Available at: </w:t>
      </w:r>
      <w:hyperlink r:id="rId41" w:history="1">
        <w:r w:rsidR="00845D94" w:rsidRPr="00946449">
          <w:rPr>
            <w:rStyle w:val="Hyperlink"/>
            <w:lang w:val="en-US"/>
          </w:rPr>
          <w:t>https://www.who.int/news-room/fact-sheets/detail/maternal-mortality</w:t>
        </w:r>
      </w:hyperlink>
      <w:r w:rsidR="002629AB">
        <w:rPr>
          <w:lang w:val="en-US"/>
        </w:rPr>
        <w:t>.</w:t>
      </w:r>
      <w:r w:rsidR="00845D94">
        <w:rPr>
          <w:lang w:val="en-US"/>
        </w:rPr>
        <w:t xml:space="preserve"> </w:t>
      </w:r>
    </w:p>
    <w:p w14:paraId="5845D3FB" w14:textId="66F0A912" w:rsidR="0089243F" w:rsidRDefault="007F1EB5" w:rsidP="0089243F">
      <w:pPr>
        <w:ind w:left="720" w:hanging="720"/>
        <w:rPr>
          <w:lang w:val="en-US"/>
        </w:rPr>
      </w:pPr>
      <w:r w:rsidRPr="003B32F7">
        <w:rPr>
          <w:lang w:val="en-US"/>
        </w:rPr>
        <w:t xml:space="preserve">World Health Organization (2025b). </w:t>
      </w:r>
      <w:r w:rsidRPr="003B32F7">
        <w:rPr>
          <w:i/>
          <w:iCs/>
          <w:lang w:val="en-US"/>
        </w:rPr>
        <w:t>Universal Health Coverage (UHC)</w:t>
      </w:r>
      <w:r w:rsidRPr="003B32F7">
        <w:rPr>
          <w:lang w:val="en-US"/>
        </w:rPr>
        <w:t xml:space="preserve">. [online] World Health Organization. Available at: </w:t>
      </w:r>
      <w:hyperlink r:id="rId42" w:history="1">
        <w:r w:rsidR="00845D94" w:rsidRPr="00946449">
          <w:rPr>
            <w:rStyle w:val="Hyperlink"/>
            <w:lang w:val="en-US"/>
          </w:rPr>
          <w:t>https://www.who.int/news-room/fact-sheets/detail/universal-health-coverage-(uhc)</w:t>
        </w:r>
      </w:hyperlink>
      <w:r w:rsidR="002629AB">
        <w:rPr>
          <w:lang w:val="en-US"/>
        </w:rPr>
        <w:t>.</w:t>
      </w:r>
      <w:r w:rsidR="00845D94">
        <w:rPr>
          <w:lang w:val="en-US"/>
        </w:rPr>
        <w:t xml:space="preserve"> </w:t>
      </w:r>
      <w:r w:rsidR="004F3C4F">
        <w:t>(Accessed: 0</w:t>
      </w:r>
      <w:r w:rsidR="004F3C4F">
        <w:t>6</w:t>
      </w:r>
      <w:r w:rsidR="004F3C4F">
        <w:t>/11/2025)</w:t>
      </w:r>
    </w:p>
    <w:sectPr w:rsidR="0089243F">
      <w:headerReference w:type="even" r:id="rId43"/>
      <w:headerReference w:type="default" r:id="rId44"/>
      <w:footerReference w:type="even" r:id="rId45"/>
      <w:footerReference w:type="default" r:id="rId46"/>
      <w:headerReference w:type="first" r:id="rId47"/>
      <w:footerReference w:type="firs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52BEA" w14:textId="77777777" w:rsidR="00B44D17" w:rsidRDefault="00B44D17">
      <w:pPr>
        <w:spacing w:after="0" w:line="240" w:lineRule="auto"/>
      </w:pPr>
      <w:r>
        <w:separator/>
      </w:r>
    </w:p>
  </w:endnote>
  <w:endnote w:type="continuationSeparator" w:id="0">
    <w:p w14:paraId="1FD13888" w14:textId="77777777" w:rsidR="00B44D17" w:rsidRDefault="00B44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AD5BE" w14:textId="77777777" w:rsidR="00B44D17" w:rsidRDefault="00B44D17">
      <w:pPr>
        <w:spacing w:after="0" w:line="240" w:lineRule="auto"/>
      </w:pPr>
      <w:r>
        <w:separator/>
      </w:r>
    </w:p>
  </w:footnote>
  <w:footnote w:type="continuationSeparator" w:id="0">
    <w:p w14:paraId="71F0DE11" w14:textId="77777777" w:rsidR="00B44D17" w:rsidRDefault="00B44D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7F1E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C2F029C4">
      <w:start w:val="1"/>
      <w:numFmt w:val="bullet"/>
      <w:lvlText w:val=""/>
      <w:lvlJc w:val="left"/>
      <w:pPr>
        <w:ind w:left="720" w:hanging="360"/>
      </w:pPr>
      <w:rPr>
        <w:rFonts w:ascii="Symbol" w:hAnsi="Symbol" w:hint="default"/>
      </w:rPr>
    </w:lvl>
    <w:lvl w:ilvl="1" w:tplc="92FC43B2" w:tentative="1">
      <w:start w:val="1"/>
      <w:numFmt w:val="bullet"/>
      <w:lvlText w:val="o"/>
      <w:lvlJc w:val="left"/>
      <w:pPr>
        <w:ind w:left="1440" w:hanging="360"/>
      </w:pPr>
      <w:rPr>
        <w:rFonts w:ascii="Courier New" w:hAnsi="Courier New" w:cs="Courier New" w:hint="default"/>
      </w:rPr>
    </w:lvl>
    <w:lvl w:ilvl="2" w:tplc="6058658E" w:tentative="1">
      <w:start w:val="1"/>
      <w:numFmt w:val="bullet"/>
      <w:lvlText w:val=""/>
      <w:lvlJc w:val="left"/>
      <w:pPr>
        <w:ind w:left="2160" w:hanging="360"/>
      </w:pPr>
      <w:rPr>
        <w:rFonts w:ascii="Wingdings" w:hAnsi="Wingdings" w:hint="default"/>
      </w:rPr>
    </w:lvl>
    <w:lvl w:ilvl="3" w:tplc="506A860C" w:tentative="1">
      <w:start w:val="1"/>
      <w:numFmt w:val="bullet"/>
      <w:lvlText w:val=""/>
      <w:lvlJc w:val="left"/>
      <w:pPr>
        <w:ind w:left="2880" w:hanging="360"/>
      </w:pPr>
      <w:rPr>
        <w:rFonts w:ascii="Symbol" w:hAnsi="Symbol" w:hint="default"/>
      </w:rPr>
    </w:lvl>
    <w:lvl w:ilvl="4" w:tplc="E17CF9C2" w:tentative="1">
      <w:start w:val="1"/>
      <w:numFmt w:val="bullet"/>
      <w:lvlText w:val="o"/>
      <w:lvlJc w:val="left"/>
      <w:pPr>
        <w:ind w:left="3600" w:hanging="360"/>
      </w:pPr>
      <w:rPr>
        <w:rFonts w:ascii="Courier New" w:hAnsi="Courier New" w:cs="Courier New" w:hint="default"/>
      </w:rPr>
    </w:lvl>
    <w:lvl w:ilvl="5" w:tplc="2BC8E77C" w:tentative="1">
      <w:start w:val="1"/>
      <w:numFmt w:val="bullet"/>
      <w:lvlText w:val=""/>
      <w:lvlJc w:val="left"/>
      <w:pPr>
        <w:ind w:left="4320" w:hanging="360"/>
      </w:pPr>
      <w:rPr>
        <w:rFonts w:ascii="Wingdings" w:hAnsi="Wingdings" w:hint="default"/>
      </w:rPr>
    </w:lvl>
    <w:lvl w:ilvl="6" w:tplc="344CCFFA" w:tentative="1">
      <w:start w:val="1"/>
      <w:numFmt w:val="bullet"/>
      <w:lvlText w:val=""/>
      <w:lvlJc w:val="left"/>
      <w:pPr>
        <w:ind w:left="5040" w:hanging="360"/>
      </w:pPr>
      <w:rPr>
        <w:rFonts w:ascii="Symbol" w:hAnsi="Symbol" w:hint="default"/>
      </w:rPr>
    </w:lvl>
    <w:lvl w:ilvl="7" w:tplc="6582CBF6" w:tentative="1">
      <w:start w:val="1"/>
      <w:numFmt w:val="bullet"/>
      <w:lvlText w:val="o"/>
      <w:lvlJc w:val="left"/>
      <w:pPr>
        <w:ind w:left="5760" w:hanging="360"/>
      </w:pPr>
      <w:rPr>
        <w:rFonts w:ascii="Courier New" w:hAnsi="Courier New" w:cs="Courier New" w:hint="default"/>
      </w:rPr>
    </w:lvl>
    <w:lvl w:ilvl="8" w:tplc="4ABA4276"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CA28F69C">
      <w:start w:val="1"/>
      <w:numFmt w:val="bullet"/>
      <w:lvlText w:val=""/>
      <w:lvlJc w:val="left"/>
      <w:pPr>
        <w:ind w:left="720" w:hanging="360"/>
      </w:pPr>
      <w:rPr>
        <w:rFonts w:ascii="Symbol" w:hAnsi="Symbol" w:hint="default"/>
      </w:rPr>
    </w:lvl>
    <w:lvl w:ilvl="1" w:tplc="51745F6A" w:tentative="1">
      <w:start w:val="1"/>
      <w:numFmt w:val="bullet"/>
      <w:lvlText w:val="o"/>
      <w:lvlJc w:val="left"/>
      <w:pPr>
        <w:ind w:left="1440" w:hanging="360"/>
      </w:pPr>
      <w:rPr>
        <w:rFonts w:ascii="Courier New" w:hAnsi="Courier New" w:cs="Courier New" w:hint="default"/>
      </w:rPr>
    </w:lvl>
    <w:lvl w:ilvl="2" w:tplc="F9C6A816" w:tentative="1">
      <w:start w:val="1"/>
      <w:numFmt w:val="bullet"/>
      <w:lvlText w:val=""/>
      <w:lvlJc w:val="left"/>
      <w:pPr>
        <w:ind w:left="2160" w:hanging="360"/>
      </w:pPr>
      <w:rPr>
        <w:rFonts w:ascii="Wingdings" w:hAnsi="Wingdings" w:hint="default"/>
      </w:rPr>
    </w:lvl>
    <w:lvl w:ilvl="3" w:tplc="D6424730" w:tentative="1">
      <w:start w:val="1"/>
      <w:numFmt w:val="bullet"/>
      <w:lvlText w:val=""/>
      <w:lvlJc w:val="left"/>
      <w:pPr>
        <w:ind w:left="2880" w:hanging="360"/>
      </w:pPr>
      <w:rPr>
        <w:rFonts w:ascii="Symbol" w:hAnsi="Symbol" w:hint="default"/>
      </w:rPr>
    </w:lvl>
    <w:lvl w:ilvl="4" w:tplc="6340270E" w:tentative="1">
      <w:start w:val="1"/>
      <w:numFmt w:val="bullet"/>
      <w:lvlText w:val="o"/>
      <w:lvlJc w:val="left"/>
      <w:pPr>
        <w:ind w:left="3600" w:hanging="360"/>
      </w:pPr>
      <w:rPr>
        <w:rFonts w:ascii="Courier New" w:hAnsi="Courier New" w:cs="Courier New" w:hint="default"/>
      </w:rPr>
    </w:lvl>
    <w:lvl w:ilvl="5" w:tplc="B8729F36" w:tentative="1">
      <w:start w:val="1"/>
      <w:numFmt w:val="bullet"/>
      <w:lvlText w:val=""/>
      <w:lvlJc w:val="left"/>
      <w:pPr>
        <w:ind w:left="4320" w:hanging="360"/>
      </w:pPr>
      <w:rPr>
        <w:rFonts w:ascii="Wingdings" w:hAnsi="Wingdings" w:hint="default"/>
      </w:rPr>
    </w:lvl>
    <w:lvl w:ilvl="6" w:tplc="66E8711C" w:tentative="1">
      <w:start w:val="1"/>
      <w:numFmt w:val="bullet"/>
      <w:lvlText w:val=""/>
      <w:lvlJc w:val="left"/>
      <w:pPr>
        <w:ind w:left="5040" w:hanging="360"/>
      </w:pPr>
      <w:rPr>
        <w:rFonts w:ascii="Symbol" w:hAnsi="Symbol" w:hint="default"/>
      </w:rPr>
    </w:lvl>
    <w:lvl w:ilvl="7" w:tplc="A18269D2" w:tentative="1">
      <w:start w:val="1"/>
      <w:numFmt w:val="bullet"/>
      <w:lvlText w:val="o"/>
      <w:lvlJc w:val="left"/>
      <w:pPr>
        <w:ind w:left="5760" w:hanging="360"/>
      </w:pPr>
      <w:rPr>
        <w:rFonts w:ascii="Courier New" w:hAnsi="Courier New" w:cs="Courier New" w:hint="default"/>
      </w:rPr>
    </w:lvl>
    <w:lvl w:ilvl="8" w:tplc="1B6EA0BC" w:tentative="1">
      <w:start w:val="1"/>
      <w:numFmt w:val="bullet"/>
      <w:lvlText w:val=""/>
      <w:lvlJc w:val="left"/>
      <w:pPr>
        <w:ind w:left="6480" w:hanging="360"/>
      </w:pPr>
      <w:rPr>
        <w:rFonts w:ascii="Wingdings" w:hAnsi="Wingdings" w:hint="default"/>
      </w:rPr>
    </w:lvl>
  </w:abstractNum>
  <w:abstractNum w:abstractNumId="2" w15:restartNumberingAfterBreak="0">
    <w:nsid w:val="1A031B85"/>
    <w:multiLevelType w:val="multilevel"/>
    <w:tmpl w:val="E95C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C34A4A"/>
    <w:multiLevelType w:val="multilevel"/>
    <w:tmpl w:val="847C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C85912"/>
    <w:multiLevelType w:val="multilevel"/>
    <w:tmpl w:val="A0705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2B3330"/>
    <w:multiLevelType w:val="multilevel"/>
    <w:tmpl w:val="D6A4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3C21A9"/>
    <w:multiLevelType w:val="multilevel"/>
    <w:tmpl w:val="1C08AE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64481A"/>
    <w:multiLevelType w:val="multilevel"/>
    <w:tmpl w:val="BFA6CE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671407"/>
    <w:multiLevelType w:val="hybridMultilevel"/>
    <w:tmpl w:val="274E4772"/>
    <w:lvl w:ilvl="0" w:tplc="787EE672">
      <w:start w:val="1"/>
      <w:numFmt w:val="decimal"/>
      <w:lvlText w:val="%1."/>
      <w:lvlJc w:val="left"/>
      <w:pPr>
        <w:ind w:left="720" w:hanging="360"/>
      </w:pPr>
    </w:lvl>
    <w:lvl w:ilvl="1" w:tplc="5E0EBC74" w:tentative="1">
      <w:start w:val="1"/>
      <w:numFmt w:val="lowerLetter"/>
      <w:lvlText w:val="%2."/>
      <w:lvlJc w:val="left"/>
      <w:pPr>
        <w:ind w:left="1440" w:hanging="360"/>
      </w:pPr>
    </w:lvl>
    <w:lvl w:ilvl="2" w:tplc="30EAD2A0" w:tentative="1">
      <w:start w:val="1"/>
      <w:numFmt w:val="lowerRoman"/>
      <w:lvlText w:val="%3."/>
      <w:lvlJc w:val="right"/>
      <w:pPr>
        <w:ind w:left="2160" w:hanging="180"/>
      </w:pPr>
    </w:lvl>
    <w:lvl w:ilvl="3" w:tplc="FCB2DFB6" w:tentative="1">
      <w:start w:val="1"/>
      <w:numFmt w:val="decimal"/>
      <w:lvlText w:val="%4."/>
      <w:lvlJc w:val="left"/>
      <w:pPr>
        <w:ind w:left="2880" w:hanging="360"/>
      </w:pPr>
    </w:lvl>
    <w:lvl w:ilvl="4" w:tplc="E4E23D80" w:tentative="1">
      <w:start w:val="1"/>
      <w:numFmt w:val="lowerLetter"/>
      <w:lvlText w:val="%5."/>
      <w:lvlJc w:val="left"/>
      <w:pPr>
        <w:ind w:left="3600" w:hanging="360"/>
      </w:pPr>
    </w:lvl>
    <w:lvl w:ilvl="5" w:tplc="A5F0766A" w:tentative="1">
      <w:start w:val="1"/>
      <w:numFmt w:val="lowerRoman"/>
      <w:lvlText w:val="%6."/>
      <w:lvlJc w:val="right"/>
      <w:pPr>
        <w:ind w:left="4320" w:hanging="180"/>
      </w:pPr>
    </w:lvl>
    <w:lvl w:ilvl="6" w:tplc="4F364EC6" w:tentative="1">
      <w:start w:val="1"/>
      <w:numFmt w:val="decimal"/>
      <w:lvlText w:val="%7."/>
      <w:lvlJc w:val="left"/>
      <w:pPr>
        <w:ind w:left="5040" w:hanging="360"/>
      </w:pPr>
    </w:lvl>
    <w:lvl w:ilvl="7" w:tplc="8BF6C6AC" w:tentative="1">
      <w:start w:val="1"/>
      <w:numFmt w:val="lowerLetter"/>
      <w:lvlText w:val="%8."/>
      <w:lvlJc w:val="left"/>
      <w:pPr>
        <w:ind w:left="5760" w:hanging="360"/>
      </w:pPr>
    </w:lvl>
    <w:lvl w:ilvl="8" w:tplc="6316C028" w:tentative="1">
      <w:start w:val="1"/>
      <w:numFmt w:val="lowerRoman"/>
      <w:lvlText w:val="%9."/>
      <w:lvlJc w:val="right"/>
      <w:pPr>
        <w:ind w:left="6480" w:hanging="180"/>
      </w:pPr>
    </w:lvl>
  </w:abstractNum>
  <w:abstractNum w:abstractNumId="9" w15:restartNumberingAfterBreak="0">
    <w:nsid w:val="6040446B"/>
    <w:multiLevelType w:val="multilevel"/>
    <w:tmpl w:val="F3A822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923400"/>
    <w:multiLevelType w:val="multilevel"/>
    <w:tmpl w:val="3BE429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6887228">
    <w:abstractNumId w:val="0"/>
  </w:num>
  <w:num w:numId="2" w16cid:durableId="405300825">
    <w:abstractNumId w:val="1"/>
  </w:num>
  <w:num w:numId="3" w16cid:durableId="29884700">
    <w:abstractNumId w:val="8"/>
  </w:num>
  <w:num w:numId="4" w16cid:durableId="2040009289">
    <w:abstractNumId w:val="4"/>
  </w:num>
  <w:num w:numId="5" w16cid:durableId="1242134171">
    <w:abstractNumId w:val="6"/>
  </w:num>
  <w:num w:numId="6" w16cid:durableId="1415280111">
    <w:abstractNumId w:val="2"/>
  </w:num>
  <w:num w:numId="7" w16cid:durableId="1685597220">
    <w:abstractNumId w:val="7"/>
  </w:num>
  <w:num w:numId="8" w16cid:durableId="1347629956">
    <w:abstractNumId w:val="10"/>
  </w:num>
  <w:num w:numId="9" w16cid:durableId="1761482732">
    <w:abstractNumId w:val="5"/>
  </w:num>
  <w:num w:numId="10" w16cid:durableId="824737442">
    <w:abstractNumId w:val="9"/>
  </w:num>
  <w:num w:numId="11" w16cid:durableId="11298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1C40"/>
    <w:rsid w:val="000023DB"/>
    <w:rsid w:val="00002C56"/>
    <w:rsid w:val="000135EA"/>
    <w:rsid w:val="0001538D"/>
    <w:rsid w:val="00017183"/>
    <w:rsid w:val="00022609"/>
    <w:rsid w:val="0003432A"/>
    <w:rsid w:val="00034E85"/>
    <w:rsid w:val="00034EBC"/>
    <w:rsid w:val="000376C5"/>
    <w:rsid w:val="000403DC"/>
    <w:rsid w:val="00040DA7"/>
    <w:rsid w:val="00043794"/>
    <w:rsid w:val="000508AB"/>
    <w:rsid w:val="000528D5"/>
    <w:rsid w:val="0005365C"/>
    <w:rsid w:val="00054452"/>
    <w:rsid w:val="00060996"/>
    <w:rsid w:val="000631C3"/>
    <w:rsid w:val="0006684D"/>
    <w:rsid w:val="00073293"/>
    <w:rsid w:val="0007436D"/>
    <w:rsid w:val="00076282"/>
    <w:rsid w:val="00093C6D"/>
    <w:rsid w:val="00096DBD"/>
    <w:rsid w:val="000A16CA"/>
    <w:rsid w:val="000A31C2"/>
    <w:rsid w:val="000B2B02"/>
    <w:rsid w:val="000B2F25"/>
    <w:rsid w:val="000D4156"/>
    <w:rsid w:val="000E4057"/>
    <w:rsid w:val="000E7828"/>
    <w:rsid w:val="000F0C31"/>
    <w:rsid w:val="000F5860"/>
    <w:rsid w:val="000F7DF7"/>
    <w:rsid w:val="00101C51"/>
    <w:rsid w:val="00102444"/>
    <w:rsid w:val="00104C30"/>
    <w:rsid w:val="00104C71"/>
    <w:rsid w:val="0010691E"/>
    <w:rsid w:val="00106F75"/>
    <w:rsid w:val="00107498"/>
    <w:rsid w:val="00107705"/>
    <w:rsid w:val="00120E63"/>
    <w:rsid w:val="0012113A"/>
    <w:rsid w:val="001274DF"/>
    <w:rsid w:val="0013529F"/>
    <w:rsid w:val="00135D74"/>
    <w:rsid w:val="00144F69"/>
    <w:rsid w:val="00145914"/>
    <w:rsid w:val="00145C7E"/>
    <w:rsid w:val="0014633A"/>
    <w:rsid w:val="0015492E"/>
    <w:rsid w:val="001574FE"/>
    <w:rsid w:val="00160724"/>
    <w:rsid w:val="00164A2D"/>
    <w:rsid w:val="001701E5"/>
    <w:rsid w:val="00170EEA"/>
    <w:rsid w:val="001722E2"/>
    <w:rsid w:val="001725DE"/>
    <w:rsid w:val="001732CE"/>
    <w:rsid w:val="0017518F"/>
    <w:rsid w:val="0017793F"/>
    <w:rsid w:val="001817CB"/>
    <w:rsid w:val="0018235D"/>
    <w:rsid w:val="001833B3"/>
    <w:rsid w:val="0018545A"/>
    <w:rsid w:val="001863CD"/>
    <w:rsid w:val="00191971"/>
    <w:rsid w:val="00192B0D"/>
    <w:rsid w:val="001938BE"/>
    <w:rsid w:val="00195C1D"/>
    <w:rsid w:val="001A1F7B"/>
    <w:rsid w:val="001A3032"/>
    <w:rsid w:val="001B0942"/>
    <w:rsid w:val="001B4C90"/>
    <w:rsid w:val="001C159B"/>
    <w:rsid w:val="001C442B"/>
    <w:rsid w:val="001D7C27"/>
    <w:rsid w:val="001F1D1B"/>
    <w:rsid w:val="001F3694"/>
    <w:rsid w:val="001F391E"/>
    <w:rsid w:val="002048A9"/>
    <w:rsid w:val="00205FBC"/>
    <w:rsid w:val="00214B1B"/>
    <w:rsid w:val="0022050C"/>
    <w:rsid w:val="00224C86"/>
    <w:rsid w:val="002445B1"/>
    <w:rsid w:val="00250BAF"/>
    <w:rsid w:val="00252656"/>
    <w:rsid w:val="00255EE9"/>
    <w:rsid w:val="00256E5C"/>
    <w:rsid w:val="002629AB"/>
    <w:rsid w:val="00262FD3"/>
    <w:rsid w:val="00287DEB"/>
    <w:rsid w:val="0029394F"/>
    <w:rsid w:val="00295750"/>
    <w:rsid w:val="002B5CFA"/>
    <w:rsid w:val="002C1FE9"/>
    <w:rsid w:val="002C6A7E"/>
    <w:rsid w:val="002D45C2"/>
    <w:rsid w:val="002D4E24"/>
    <w:rsid w:val="002E255A"/>
    <w:rsid w:val="002F31F6"/>
    <w:rsid w:val="00307E34"/>
    <w:rsid w:val="0031124B"/>
    <w:rsid w:val="00315088"/>
    <w:rsid w:val="00323260"/>
    <w:rsid w:val="00324C80"/>
    <w:rsid w:val="00330879"/>
    <w:rsid w:val="0033521D"/>
    <w:rsid w:val="003414F1"/>
    <w:rsid w:val="0034394A"/>
    <w:rsid w:val="00343B11"/>
    <w:rsid w:val="00350909"/>
    <w:rsid w:val="003522DB"/>
    <w:rsid w:val="00354E9B"/>
    <w:rsid w:val="00356F8A"/>
    <w:rsid w:val="00381AFE"/>
    <w:rsid w:val="00392165"/>
    <w:rsid w:val="003966CB"/>
    <w:rsid w:val="00397A12"/>
    <w:rsid w:val="003A477C"/>
    <w:rsid w:val="003A6A80"/>
    <w:rsid w:val="003B2E32"/>
    <w:rsid w:val="003B32F7"/>
    <w:rsid w:val="003B6220"/>
    <w:rsid w:val="003B6D98"/>
    <w:rsid w:val="003C6B8E"/>
    <w:rsid w:val="003D182C"/>
    <w:rsid w:val="003D3815"/>
    <w:rsid w:val="003D4B4F"/>
    <w:rsid w:val="003E6A15"/>
    <w:rsid w:val="003F0F03"/>
    <w:rsid w:val="003F1E6B"/>
    <w:rsid w:val="003F2565"/>
    <w:rsid w:val="003F32B4"/>
    <w:rsid w:val="003F3465"/>
    <w:rsid w:val="004019D7"/>
    <w:rsid w:val="00407E47"/>
    <w:rsid w:val="004111B1"/>
    <w:rsid w:val="004239E5"/>
    <w:rsid w:val="004314FB"/>
    <w:rsid w:val="0043402A"/>
    <w:rsid w:val="00440D8C"/>
    <w:rsid w:val="00442F02"/>
    <w:rsid w:val="00454DC2"/>
    <w:rsid w:val="00463A29"/>
    <w:rsid w:val="0046442B"/>
    <w:rsid w:val="00466B61"/>
    <w:rsid w:val="00466B91"/>
    <w:rsid w:val="00471218"/>
    <w:rsid w:val="00472354"/>
    <w:rsid w:val="004768E0"/>
    <w:rsid w:val="00486402"/>
    <w:rsid w:val="004930E1"/>
    <w:rsid w:val="004959F3"/>
    <w:rsid w:val="0049655F"/>
    <w:rsid w:val="00496A07"/>
    <w:rsid w:val="004A02E4"/>
    <w:rsid w:val="004A351B"/>
    <w:rsid w:val="004A4014"/>
    <w:rsid w:val="004A6C00"/>
    <w:rsid w:val="004B0727"/>
    <w:rsid w:val="004B63BF"/>
    <w:rsid w:val="004C085F"/>
    <w:rsid w:val="004C30B1"/>
    <w:rsid w:val="004C4B32"/>
    <w:rsid w:val="004C5212"/>
    <w:rsid w:val="004C5554"/>
    <w:rsid w:val="004D1F75"/>
    <w:rsid w:val="004D53A2"/>
    <w:rsid w:val="004E4BBE"/>
    <w:rsid w:val="004F10D4"/>
    <w:rsid w:val="004F3C4F"/>
    <w:rsid w:val="0050155D"/>
    <w:rsid w:val="00511B24"/>
    <w:rsid w:val="00517EF7"/>
    <w:rsid w:val="0052033F"/>
    <w:rsid w:val="00521BE3"/>
    <w:rsid w:val="005236E9"/>
    <w:rsid w:val="005271DF"/>
    <w:rsid w:val="00532E4D"/>
    <w:rsid w:val="00536D4E"/>
    <w:rsid w:val="0054023C"/>
    <w:rsid w:val="00540FF6"/>
    <w:rsid w:val="005475A8"/>
    <w:rsid w:val="005555A5"/>
    <w:rsid w:val="00577EC1"/>
    <w:rsid w:val="00591255"/>
    <w:rsid w:val="005914CD"/>
    <w:rsid w:val="005A00D2"/>
    <w:rsid w:val="005A0FCA"/>
    <w:rsid w:val="005A6D79"/>
    <w:rsid w:val="005B2A8C"/>
    <w:rsid w:val="005B5FB3"/>
    <w:rsid w:val="005B61EA"/>
    <w:rsid w:val="005C0391"/>
    <w:rsid w:val="005C0F57"/>
    <w:rsid w:val="005C1D9B"/>
    <w:rsid w:val="005C3A60"/>
    <w:rsid w:val="005C4512"/>
    <w:rsid w:val="005C4D8B"/>
    <w:rsid w:val="005D19DA"/>
    <w:rsid w:val="005D607B"/>
    <w:rsid w:val="005E1D3B"/>
    <w:rsid w:val="005E35A8"/>
    <w:rsid w:val="005E52CD"/>
    <w:rsid w:val="005F1FBF"/>
    <w:rsid w:val="0060528A"/>
    <w:rsid w:val="006159CE"/>
    <w:rsid w:val="00622909"/>
    <w:rsid w:val="00626AA3"/>
    <w:rsid w:val="006276FB"/>
    <w:rsid w:val="00634E23"/>
    <w:rsid w:val="006370F8"/>
    <w:rsid w:val="006468C0"/>
    <w:rsid w:val="00646A87"/>
    <w:rsid w:val="00646BEB"/>
    <w:rsid w:val="006475B8"/>
    <w:rsid w:val="00652F3F"/>
    <w:rsid w:val="0065581E"/>
    <w:rsid w:val="006575EE"/>
    <w:rsid w:val="00673A50"/>
    <w:rsid w:val="0067523E"/>
    <w:rsid w:val="00675A36"/>
    <w:rsid w:val="0067764D"/>
    <w:rsid w:val="00693C5D"/>
    <w:rsid w:val="0069431A"/>
    <w:rsid w:val="006951F3"/>
    <w:rsid w:val="006969A7"/>
    <w:rsid w:val="006A3C3F"/>
    <w:rsid w:val="006A5F97"/>
    <w:rsid w:val="006B3112"/>
    <w:rsid w:val="006D0C2D"/>
    <w:rsid w:val="006D7BF8"/>
    <w:rsid w:val="006E4C6E"/>
    <w:rsid w:val="006E6917"/>
    <w:rsid w:val="006E7D34"/>
    <w:rsid w:val="006F33A7"/>
    <w:rsid w:val="006F5378"/>
    <w:rsid w:val="006F789B"/>
    <w:rsid w:val="007029F9"/>
    <w:rsid w:val="00710653"/>
    <w:rsid w:val="00713C96"/>
    <w:rsid w:val="007218D2"/>
    <w:rsid w:val="00730027"/>
    <w:rsid w:val="00737AF9"/>
    <w:rsid w:val="00742BA4"/>
    <w:rsid w:val="0074493C"/>
    <w:rsid w:val="00745758"/>
    <w:rsid w:val="007521CF"/>
    <w:rsid w:val="00766EE2"/>
    <w:rsid w:val="00774A67"/>
    <w:rsid w:val="00787950"/>
    <w:rsid w:val="00791442"/>
    <w:rsid w:val="00795015"/>
    <w:rsid w:val="007978B8"/>
    <w:rsid w:val="007A393C"/>
    <w:rsid w:val="007A3A32"/>
    <w:rsid w:val="007A4709"/>
    <w:rsid w:val="007B21A0"/>
    <w:rsid w:val="007B3780"/>
    <w:rsid w:val="007C2D56"/>
    <w:rsid w:val="007C4C0E"/>
    <w:rsid w:val="007C5313"/>
    <w:rsid w:val="007C5C88"/>
    <w:rsid w:val="007D1435"/>
    <w:rsid w:val="007D1463"/>
    <w:rsid w:val="007E07BB"/>
    <w:rsid w:val="007E74A7"/>
    <w:rsid w:val="007F1EB5"/>
    <w:rsid w:val="007F54F4"/>
    <w:rsid w:val="008006A9"/>
    <w:rsid w:val="008008CB"/>
    <w:rsid w:val="0080357E"/>
    <w:rsid w:val="00805C17"/>
    <w:rsid w:val="00817CCA"/>
    <w:rsid w:val="00823052"/>
    <w:rsid w:val="0083320A"/>
    <w:rsid w:val="00840E87"/>
    <w:rsid w:val="00842E40"/>
    <w:rsid w:val="00843E71"/>
    <w:rsid w:val="00845D94"/>
    <w:rsid w:val="0085240A"/>
    <w:rsid w:val="00853131"/>
    <w:rsid w:val="00854362"/>
    <w:rsid w:val="00861DB9"/>
    <w:rsid w:val="0086343E"/>
    <w:rsid w:val="00866428"/>
    <w:rsid w:val="008703F1"/>
    <w:rsid w:val="008718F9"/>
    <w:rsid w:val="00875FE7"/>
    <w:rsid w:val="0088274F"/>
    <w:rsid w:val="00885A2E"/>
    <w:rsid w:val="0089243F"/>
    <w:rsid w:val="008A0FFA"/>
    <w:rsid w:val="008A2501"/>
    <w:rsid w:val="008A3C44"/>
    <w:rsid w:val="008A452E"/>
    <w:rsid w:val="008B0797"/>
    <w:rsid w:val="008B1506"/>
    <w:rsid w:val="008B177F"/>
    <w:rsid w:val="008D27B5"/>
    <w:rsid w:val="008D404B"/>
    <w:rsid w:val="008E78C9"/>
    <w:rsid w:val="00902225"/>
    <w:rsid w:val="0091483F"/>
    <w:rsid w:val="009153EA"/>
    <w:rsid w:val="0091540B"/>
    <w:rsid w:val="0091704F"/>
    <w:rsid w:val="00921602"/>
    <w:rsid w:val="0092632C"/>
    <w:rsid w:val="00927825"/>
    <w:rsid w:val="0093053A"/>
    <w:rsid w:val="00933EE0"/>
    <w:rsid w:val="00934120"/>
    <w:rsid w:val="00935075"/>
    <w:rsid w:val="00937C07"/>
    <w:rsid w:val="00937C4B"/>
    <w:rsid w:val="0094411A"/>
    <w:rsid w:val="00944222"/>
    <w:rsid w:val="0095021C"/>
    <w:rsid w:val="009526FC"/>
    <w:rsid w:val="00955871"/>
    <w:rsid w:val="00955B4B"/>
    <w:rsid w:val="009569B8"/>
    <w:rsid w:val="00961D64"/>
    <w:rsid w:val="00961E72"/>
    <w:rsid w:val="009671C0"/>
    <w:rsid w:val="009673B5"/>
    <w:rsid w:val="00970E47"/>
    <w:rsid w:val="009721F0"/>
    <w:rsid w:val="00977A95"/>
    <w:rsid w:val="0098390F"/>
    <w:rsid w:val="00983947"/>
    <w:rsid w:val="00991F89"/>
    <w:rsid w:val="0099341C"/>
    <w:rsid w:val="009953C5"/>
    <w:rsid w:val="009A0E3A"/>
    <w:rsid w:val="009A4EAD"/>
    <w:rsid w:val="009A5F09"/>
    <w:rsid w:val="009B4576"/>
    <w:rsid w:val="009B4B4B"/>
    <w:rsid w:val="009B6724"/>
    <w:rsid w:val="009C061D"/>
    <w:rsid w:val="009C4F2B"/>
    <w:rsid w:val="009C60F1"/>
    <w:rsid w:val="009E0343"/>
    <w:rsid w:val="009F2C3A"/>
    <w:rsid w:val="009F6BDF"/>
    <w:rsid w:val="00A030FF"/>
    <w:rsid w:val="00A05A71"/>
    <w:rsid w:val="00A0768B"/>
    <w:rsid w:val="00A105DC"/>
    <w:rsid w:val="00A12E8C"/>
    <w:rsid w:val="00A21B20"/>
    <w:rsid w:val="00A22804"/>
    <w:rsid w:val="00A478DB"/>
    <w:rsid w:val="00A47E03"/>
    <w:rsid w:val="00A5148D"/>
    <w:rsid w:val="00A524FD"/>
    <w:rsid w:val="00A53269"/>
    <w:rsid w:val="00A53E0A"/>
    <w:rsid w:val="00A5613F"/>
    <w:rsid w:val="00A56384"/>
    <w:rsid w:val="00A56ECF"/>
    <w:rsid w:val="00A601A8"/>
    <w:rsid w:val="00A610B5"/>
    <w:rsid w:val="00A61378"/>
    <w:rsid w:val="00A670CD"/>
    <w:rsid w:val="00A67CE4"/>
    <w:rsid w:val="00A723F4"/>
    <w:rsid w:val="00A731A5"/>
    <w:rsid w:val="00A74605"/>
    <w:rsid w:val="00A747AA"/>
    <w:rsid w:val="00A83CE3"/>
    <w:rsid w:val="00A85BE5"/>
    <w:rsid w:val="00A87576"/>
    <w:rsid w:val="00A87622"/>
    <w:rsid w:val="00A8776D"/>
    <w:rsid w:val="00A91611"/>
    <w:rsid w:val="00A94AE9"/>
    <w:rsid w:val="00A96A4E"/>
    <w:rsid w:val="00AA37AB"/>
    <w:rsid w:val="00AB206C"/>
    <w:rsid w:val="00AC56F7"/>
    <w:rsid w:val="00AD3547"/>
    <w:rsid w:val="00AD4684"/>
    <w:rsid w:val="00AD5B39"/>
    <w:rsid w:val="00AD5B5F"/>
    <w:rsid w:val="00AE106B"/>
    <w:rsid w:val="00AE6306"/>
    <w:rsid w:val="00AF01F3"/>
    <w:rsid w:val="00AF1065"/>
    <w:rsid w:val="00AF1ED8"/>
    <w:rsid w:val="00AF396D"/>
    <w:rsid w:val="00AF4B53"/>
    <w:rsid w:val="00B01ADA"/>
    <w:rsid w:val="00B0280A"/>
    <w:rsid w:val="00B03FB2"/>
    <w:rsid w:val="00B04C54"/>
    <w:rsid w:val="00B12550"/>
    <w:rsid w:val="00B15790"/>
    <w:rsid w:val="00B1640E"/>
    <w:rsid w:val="00B164AB"/>
    <w:rsid w:val="00B214DE"/>
    <w:rsid w:val="00B22716"/>
    <w:rsid w:val="00B25F40"/>
    <w:rsid w:val="00B31446"/>
    <w:rsid w:val="00B31800"/>
    <w:rsid w:val="00B3267F"/>
    <w:rsid w:val="00B3269D"/>
    <w:rsid w:val="00B44CA7"/>
    <w:rsid w:val="00B44D17"/>
    <w:rsid w:val="00B458AC"/>
    <w:rsid w:val="00B45FD2"/>
    <w:rsid w:val="00B46594"/>
    <w:rsid w:val="00B47BEB"/>
    <w:rsid w:val="00B52E5C"/>
    <w:rsid w:val="00B55170"/>
    <w:rsid w:val="00B60AAB"/>
    <w:rsid w:val="00B6727D"/>
    <w:rsid w:val="00B71996"/>
    <w:rsid w:val="00B7668E"/>
    <w:rsid w:val="00B83D0E"/>
    <w:rsid w:val="00B86252"/>
    <w:rsid w:val="00B93428"/>
    <w:rsid w:val="00B964D2"/>
    <w:rsid w:val="00BA4BE3"/>
    <w:rsid w:val="00BA5040"/>
    <w:rsid w:val="00BA54B1"/>
    <w:rsid w:val="00BB5EF3"/>
    <w:rsid w:val="00BB60EA"/>
    <w:rsid w:val="00BB65EE"/>
    <w:rsid w:val="00BC6237"/>
    <w:rsid w:val="00BE1926"/>
    <w:rsid w:val="00BE277B"/>
    <w:rsid w:val="00C00735"/>
    <w:rsid w:val="00C019D3"/>
    <w:rsid w:val="00C01DE1"/>
    <w:rsid w:val="00C07098"/>
    <w:rsid w:val="00C0746A"/>
    <w:rsid w:val="00C126C3"/>
    <w:rsid w:val="00C23CE5"/>
    <w:rsid w:val="00C27F1D"/>
    <w:rsid w:val="00C3194F"/>
    <w:rsid w:val="00C32154"/>
    <w:rsid w:val="00C33318"/>
    <w:rsid w:val="00C36948"/>
    <w:rsid w:val="00C37B42"/>
    <w:rsid w:val="00C404C2"/>
    <w:rsid w:val="00C40DF5"/>
    <w:rsid w:val="00C4185F"/>
    <w:rsid w:val="00C44917"/>
    <w:rsid w:val="00C579D7"/>
    <w:rsid w:val="00C60C92"/>
    <w:rsid w:val="00C617B8"/>
    <w:rsid w:val="00C67B6F"/>
    <w:rsid w:val="00C71C6A"/>
    <w:rsid w:val="00C7311F"/>
    <w:rsid w:val="00C7603E"/>
    <w:rsid w:val="00C76260"/>
    <w:rsid w:val="00C809C2"/>
    <w:rsid w:val="00C81A71"/>
    <w:rsid w:val="00C87318"/>
    <w:rsid w:val="00C91D4B"/>
    <w:rsid w:val="00C9395F"/>
    <w:rsid w:val="00C93A96"/>
    <w:rsid w:val="00CA0925"/>
    <w:rsid w:val="00CA23BB"/>
    <w:rsid w:val="00CA4D05"/>
    <w:rsid w:val="00CA544F"/>
    <w:rsid w:val="00CB0547"/>
    <w:rsid w:val="00CB29DD"/>
    <w:rsid w:val="00CB2DB8"/>
    <w:rsid w:val="00CB52DF"/>
    <w:rsid w:val="00CB6E51"/>
    <w:rsid w:val="00CC0E56"/>
    <w:rsid w:val="00CC6206"/>
    <w:rsid w:val="00CE149A"/>
    <w:rsid w:val="00CE20FE"/>
    <w:rsid w:val="00CF40DB"/>
    <w:rsid w:val="00CF45F0"/>
    <w:rsid w:val="00D102FD"/>
    <w:rsid w:val="00D15ED7"/>
    <w:rsid w:val="00D165ED"/>
    <w:rsid w:val="00D20670"/>
    <w:rsid w:val="00D27AD4"/>
    <w:rsid w:val="00D33EED"/>
    <w:rsid w:val="00D410CC"/>
    <w:rsid w:val="00D50E35"/>
    <w:rsid w:val="00D51288"/>
    <w:rsid w:val="00D61B61"/>
    <w:rsid w:val="00D67B24"/>
    <w:rsid w:val="00D75A9E"/>
    <w:rsid w:val="00D82749"/>
    <w:rsid w:val="00D82995"/>
    <w:rsid w:val="00D91CA1"/>
    <w:rsid w:val="00D946CD"/>
    <w:rsid w:val="00D97EAF"/>
    <w:rsid w:val="00DB361D"/>
    <w:rsid w:val="00DB6CEB"/>
    <w:rsid w:val="00DC2B2E"/>
    <w:rsid w:val="00DD5E48"/>
    <w:rsid w:val="00DD6690"/>
    <w:rsid w:val="00DD6EC6"/>
    <w:rsid w:val="00DE0430"/>
    <w:rsid w:val="00DE1E73"/>
    <w:rsid w:val="00DE6D79"/>
    <w:rsid w:val="00DF2AF8"/>
    <w:rsid w:val="00E13095"/>
    <w:rsid w:val="00E13BAC"/>
    <w:rsid w:val="00E228E3"/>
    <w:rsid w:val="00E2522D"/>
    <w:rsid w:val="00E2789A"/>
    <w:rsid w:val="00E30880"/>
    <w:rsid w:val="00E3287A"/>
    <w:rsid w:val="00E47C7D"/>
    <w:rsid w:val="00E50EE5"/>
    <w:rsid w:val="00E52AAB"/>
    <w:rsid w:val="00E56D9A"/>
    <w:rsid w:val="00E57F5C"/>
    <w:rsid w:val="00E6424F"/>
    <w:rsid w:val="00E67A73"/>
    <w:rsid w:val="00E7014C"/>
    <w:rsid w:val="00E7704D"/>
    <w:rsid w:val="00E874FD"/>
    <w:rsid w:val="00EA2EEA"/>
    <w:rsid w:val="00EB1755"/>
    <w:rsid w:val="00EB191A"/>
    <w:rsid w:val="00EB5E21"/>
    <w:rsid w:val="00EB6749"/>
    <w:rsid w:val="00ED63A9"/>
    <w:rsid w:val="00EE21E9"/>
    <w:rsid w:val="00EF14C4"/>
    <w:rsid w:val="00EF6D1E"/>
    <w:rsid w:val="00EF7B52"/>
    <w:rsid w:val="00F01B92"/>
    <w:rsid w:val="00F02852"/>
    <w:rsid w:val="00F04923"/>
    <w:rsid w:val="00F1049A"/>
    <w:rsid w:val="00F1212A"/>
    <w:rsid w:val="00F12F15"/>
    <w:rsid w:val="00F150A3"/>
    <w:rsid w:val="00F20107"/>
    <w:rsid w:val="00F24C1F"/>
    <w:rsid w:val="00F307B6"/>
    <w:rsid w:val="00F30BF1"/>
    <w:rsid w:val="00F33E8D"/>
    <w:rsid w:val="00F3521B"/>
    <w:rsid w:val="00F3599C"/>
    <w:rsid w:val="00F42366"/>
    <w:rsid w:val="00F42650"/>
    <w:rsid w:val="00F46AD7"/>
    <w:rsid w:val="00F47358"/>
    <w:rsid w:val="00F47FFB"/>
    <w:rsid w:val="00F5056C"/>
    <w:rsid w:val="00F5237A"/>
    <w:rsid w:val="00F656A2"/>
    <w:rsid w:val="00F66F3F"/>
    <w:rsid w:val="00F673AF"/>
    <w:rsid w:val="00F720F0"/>
    <w:rsid w:val="00F725CE"/>
    <w:rsid w:val="00F76964"/>
    <w:rsid w:val="00F859EC"/>
    <w:rsid w:val="00F92109"/>
    <w:rsid w:val="00F9239F"/>
    <w:rsid w:val="00F9787E"/>
    <w:rsid w:val="00FA3009"/>
    <w:rsid w:val="00FB28F5"/>
    <w:rsid w:val="00FB2B97"/>
    <w:rsid w:val="00FB7CF2"/>
    <w:rsid w:val="00FC29D5"/>
    <w:rsid w:val="00FC32D4"/>
    <w:rsid w:val="00FC46A5"/>
    <w:rsid w:val="00FC501E"/>
    <w:rsid w:val="00FC5B73"/>
    <w:rsid w:val="00FD125D"/>
    <w:rsid w:val="00FD3B91"/>
    <w:rsid w:val="00FE0F43"/>
    <w:rsid w:val="00FE2213"/>
    <w:rsid w:val="00FE461E"/>
    <w:rsid w:val="00FE5044"/>
    <w:rsid w:val="00FE7F31"/>
    <w:rsid w:val="00FF2BCC"/>
    <w:rsid w:val="00FF5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4930E1"/>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4930E1"/>
    <w:pPr>
      <w:spacing w:after="100"/>
    </w:pPr>
  </w:style>
  <w:style w:type="character" w:styleId="FollowedHyperlink">
    <w:name w:val="FollowedHyperlink"/>
    <w:basedOn w:val="DefaultParagraphFont"/>
    <w:uiPriority w:val="99"/>
    <w:semiHidden/>
    <w:unhideWhenUsed/>
    <w:rsid w:val="004712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envint.2020.106366" TargetMode="External"/><Relationship Id="rId18" Type="http://schemas.openxmlformats.org/officeDocument/2006/relationships/hyperlink" Target="https://doi.org/10.1038/s41558-021-01245-w" TargetMode="External"/><Relationship Id="rId26" Type="http://schemas.openxmlformats.org/officeDocument/2006/relationships/hyperlink" Target="https://iopscience.iop.org/article/10.1088/1748-9326/ac30c1/meta" TargetMode="External"/><Relationship Id="rId39" Type="http://schemas.openxmlformats.org/officeDocument/2006/relationships/hyperlink" Target="http://sdgs.un.org/goals" TargetMode="External"/><Relationship Id="rId21" Type="http://schemas.openxmlformats.org/officeDocument/2006/relationships/hyperlink" Target="https://doi.org/10.1016/j.apr.2022.101514" TargetMode="External"/><Relationship Id="rId34" Type="http://schemas.openxmlformats.org/officeDocument/2006/relationships/hyperlink" Target="https://doi.org/10.3389/frhs.2025.1555284" TargetMode="External"/><Relationship Id="rId42" Type="http://schemas.openxmlformats.org/officeDocument/2006/relationships/hyperlink" Target="https://www.who.int/news-room/fact-sheets/detail/universal-health-coverage-(uhc)"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38/s41579-024-01026-0" TargetMode="External"/><Relationship Id="rId29" Type="http://schemas.openxmlformats.org/officeDocument/2006/relationships/hyperlink" Target="https://pmc.ncbi.nlm.nih.gov/articles/PMC10126977/" TargetMode="External"/><Relationship Id="rId11" Type="http://schemas.openxmlformats.org/officeDocument/2006/relationships/hyperlink" Target="https://doi.org/10.1002/osp4.507" TargetMode="External"/><Relationship Id="rId24" Type="http://schemas.openxmlformats.org/officeDocument/2006/relationships/hyperlink" Target="https://doi.org/10.1007/s10640-023-00794-2" TargetMode="External"/><Relationship Id="rId32" Type="http://schemas.openxmlformats.org/officeDocument/2006/relationships/hyperlink" Target="https://doi.org/10.1080/17441692.2021.1916056" TargetMode="External"/><Relationship Id="rId37" Type="http://schemas.openxmlformats.org/officeDocument/2006/relationships/hyperlink" Target="https://globalgoals.org/goals/3-good-health-and-well-being/" TargetMode="External"/><Relationship Id="rId40" Type="http://schemas.openxmlformats.org/officeDocument/2006/relationships/hyperlink" Target="https://doi.org/10.1080/09581596.2021.1929847"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jmir.org/2021/4/e21726/" TargetMode="External"/><Relationship Id="rId23" Type="http://schemas.openxmlformats.org/officeDocument/2006/relationships/hyperlink" Target="https://doi.org/10.1002/sd.3079" TargetMode="External"/><Relationship Id="rId28" Type="http://schemas.openxmlformats.org/officeDocument/2006/relationships/hyperlink" Target="https://doi.org/10.1093/scipol/scad021" TargetMode="External"/><Relationship Id="rId36" Type="http://schemas.openxmlformats.org/officeDocument/2006/relationships/hyperlink" Target="https://globalgoals.org/goals/13-climate-action/" TargetMode="External"/><Relationship Id="rId49" Type="http://schemas.openxmlformats.org/officeDocument/2006/relationships/fontTable" Target="fontTable.xml"/><Relationship Id="rId10" Type="http://schemas.openxmlformats.org/officeDocument/2006/relationships/hyperlink" Target="https://doi.org/10.1080/14693062.2020.1819190" TargetMode="External"/><Relationship Id="rId19" Type="http://schemas.openxmlformats.org/officeDocument/2006/relationships/hyperlink" Target="https://doi.org/10.1016/j.jiph.2024.102615" TargetMode="External"/><Relationship Id="rId31" Type="http://schemas.openxmlformats.org/officeDocument/2006/relationships/hyperlink" Target="https://iopscience.iop.org/article/10.1088/1748-9326/ac092c/meta" TargetMode="External"/><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doi.org/10.1007/698_2024_1093" TargetMode="External"/><Relationship Id="rId14" Type="http://schemas.openxmlformats.org/officeDocument/2006/relationships/hyperlink" Target="https://doi.org/10.1016/j.puhe.2021.08.009" TargetMode="External"/><Relationship Id="rId22" Type="http://schemas.openxmlformats.org/officeDocument/2006/relationships/hyperlink" Target="https://www.routledge.com/Clays-Handbook-of-Environmental-Health/Battersby/p/book/9780367476502" TargetMode="External"/><Relationship Id="rId27" Type="http://schemas.openxmlformats.org/officeDocument/2006/relationships/hyperlink" Target="https://www.taylorfrancis.com/chapters/edit/10.4324/9781315675411-18/capabilities-human-flourishing-health-gap-michael-marmot" TargetMode="External"/><Relationship Id="rId30" Type="http://schemas.openxmlformats.org/officeDocument/2006/relationships/hyperlink" Target="https://doi.org/10.1111/all.15419" TargetMode="External"/><Relationship Id="rId35" Type="http://schemas.openxmlformats.org/officeDocument/2006/relationships/hyperlink" Target="https://theses.hal.science/tel-05118671/"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1016/S0140-6736(22)01540-9" TargetMode="External"/><Relationship Id="rId17" Type="http://schemas.openxmlformats.org/officeDocument/2006/relationships/hyperlink" Target="https://www.rcpath.org/static/bf6094b6-2087-45a3-bef230c097d328ae/Letter-to-Medical-Royal-Colleges-and-Faculties-110723-final-WP.pdf" TargetMode="External"/><Relationship Id="rId25" Type="http://schemas.openxmlformats.org/officeDocument/2006/relationships/hyperlink" Target="https://www.thelancet.com/journals/lanepe/article/PIIS2666-7762(23)00106-0/fulltext" TargetMode="External"/><Relationship Id="rId33" Type="http://schemas.openxmlformats.org/officeDocument/2006/relationships/hyperlink" Target="https://doi.org/10.3389/fpubh.2023.1226175" TargetMode="External"/><Relationship Id="rId38" Type="http://schemas.openxmlformats.org/officeDocument/2006/relationships/hyperlink" Target="https://pmc.ncbi.nlm.nih.gov/articles/PMC8881365/t" TargetMode="External"/><Relationship Id="rId46" Type="http://schemas.openxmlformats.org/officeDocument/2006/relationships/footer" Target="footer2.xml"/><Relationship Id="rId20" Type="http://schemas.openxmlformats.org/officeDocument/2006/relationships/hyperlink" Target="https://www.thelancet.com/journals/lanplh/article/PIIS2542-5196(21)00110-8/fulltext" TargetMode="External"/><Relationship Id="rId41" Type="http://schemas.openxmlformats.org/officeDocument/2006/relationships/hyperlink" Target="https://www.who.int/news-room/fact-sheets/detail/maternal-mortalit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B0B14-BFF8-40DA-8D78-5BEA48E59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12</Pages>
  <Words>4232</Words>
  <Characters>24124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Aqila Khan (2224595)</cp:lastModifiedBy>
  <cp:revision>2</cp:revision>
  <dcterms:created xsi:type="dcterms:W3CDTF">2025-09-20T08:26:00Z</dcterms:created>
  <dcterms:modified xsi:type="dcterms:W3CDTF">2025-11-14T15:24:00Z</dcterms:modified>
</cp:coreProperties>
</file>