
<file path=[Content_Types].xml><?xml version="1.0" encoding="utf-8"?>
<Types xmlns="http://schemas.openxmlformats.org/package/2006/content-types">
  <Default Extension="xml" ContentType="application/xml"/>
  <Default Extension="jpeg" ContentType="image/jpeg"/>
  <Default Extension="JPG" ContentType="image/.jpg"/>
  <Default Extension="wdp" ContentType="image/vnd.ms-photo"/>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A96800">
      <w:pPr>
        <w:pageBreakBefore w:val="0"/>
        <w:kinsoku/>
        <w:wordWrap/>
        <w:overflowPunct/>
        <w:topLinePunct w:val="0"/>
        <w:bidi w:val="0"/>
        <w:snapToGrid/>
        <w:spacing w:after="200" w:line="240" w:lineRule="auto"/>
        <w:rPr>
          <w:rFonts w:hint="default" w:ascii="Arial" w:hAnsi="Arial" w:cs="Arial"/>
          <w:b/>
          <w:spacing w:val="-2"/>
        </w:rPr>
      </w:pPr>
      <w:r>
        <w:rPr>
          <w:rFonts w:hint="default" w:ascii="Arial" w:hAnsi="Arial" w:cs="Arial"/>
          <w:lang w:eastAsia="en-GB"/>
        </w:rPr>
        <w:drawing>
          <wp:anchor distT="0" distB="0" distL="114300" distR="114300" simplePos="0" relativeHeight="251661312" behindDoc="0" locked="0" layoutInCell="1" allowOverlap="1">
            <wp:simplePos x="0" y="0"/>
            <wp:positionH relativeFrom="margin">
              <wp:posOffset>850265</wp:posOffset>
            </wp:positionH>
            <wp:positionV relativeFrom="paragraph">
              <wp:posOffset>33020</wp:posOffset>
            </wp:positionV>
            <wp:extent cx="3452495" cy="1362075"/>
            <wp:effectExtent l="0" t="0" r="1905" b="889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Image result for university of wales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452495" cy="1362075"/>
                    </a:xfrm>
                    <a:prstGeom prst="rect">
                      <a:avLst/>
                    </a:prstGeom>
                    <a:noFill/>
                    <a:ln>
                      <a:noFill/>
                    </a:ln>
                  </pic:spPr>
                </pic:pic>
              </a:graphicData>
            </a:graphic>
          </wp:anchor>
        </w:drawing>
      </w:r>
    </w:p>
    <w:p w14:paraId="68A486C8">
      <w:pPr>
        <w:pageBreakBefore w:val="0"/>
        <w:kinsoku/>
        <w:wordWrap/>
        <w:overflowPunct/>
        <w:topLinePunct w:val="0"/>
        <w:bidi w:val="0"/>
        <w:snapToGrid/>
        <w:spacing w:after="200" w:line="240" w:lineRule="auto"/>
        <w:rPr>
          <w:rFonts w:hint="default" w:ascii="Arial" w:hAnsi="Arial" w:cs="Arial"/>
          <w:b/>
          <w:spacing w:val="-2"/>
        </w:rPr>
      </w:pPr>
    </w:p>
    <w:p w14:paraId="23117A87">
      <w:pPr>
        <w:pageBreakBefore w:val="0"/>
        <w:kinsoku/>
        <w:wordWrap/>
        <w:overflowPunct/>
        <w:topLinePunct w:val="0"/>
        <w:bidi w:val="0"/>
        <w:snapToGrid/>
        <w:spacing w:after="200" w:line="240" w:lineRule="auto"/>
        <w:rPr>
          <w:rFonts w:hint="default" w:ascii="Arial" w:hAnsi="Arial" w:cs="Arial"/>
          <w:b/>
          <w:spacing w:val="-2"/>
        </w:rPr>
      </w:pPr>
    </w:p>
    <w:p w14:paraId="260C5535">
      <w:pPr>
        <w:pageBreakBefore w:val="0"/>
        <w:kinsoku/>
        <w:wordWrap/>
        <w:overflowPunct/>
        <w:topLinePunct w:val="0"/>
        <w:bidi w:val="0"/>
        <w:snapToGrid/>
        <w:spacing w:after="200" w:line="240" w:lineRule="auto"/>
        <w:rPr>
          <w:rFonts w:hint="default" w:ascii="Arial" w:hAnsi="Arial" w:cs="Arial"/>
          <w:b/>
          <w:spacing w:val="-2"/>
        </w:rPr>
      </w:pPr>
    </w:p>
    <w:p w14:paraId="68EEC6A6">
      <w:pPr>
        <w:pageBreakBefore w:val="0"/>
        <w:kinsoku/>
        <w:wordWrap/>
        <w:overflowPunct/>
        <w:topLinePunct w:val="0"/>
        <w:bidi w:val="0"/>
        <w:snapToGrid/>
        <w:spacing w:line="240" w:lineRule="auto"/>
        <w:jc w:val="center"/>
        <w:rPr>
          <w:rFonts w:hint="default" w:ascii="Arial" w:hAnsi="Arial" w:eastAsia="Calibri" w:cs="Arial"/>
        </w:rPr>
      </w:pPr>
    </w:p>
    <w:p w14:paraId="3EB1C77E">
      <w:pPr>
        <w:pageBreakBefore w:val="0"/>
        <w:kinsoku/>
        <w:wordWrap/>
        <w:overflowPunct/>
        <w:topLinePunct w:val="0"/>
        <w:bidi w:val="0"/>
        <w:snapToGrid/>
        <w:spacing w:line="240" w:lineRule="auto"/>
        <w:jc w:val="center"/>
        <w:rPr>
          <w:rFonts w:hint="default" w:ascii="Arial" w:hAnsi="Arial" w:eastAsia="Calibri" w:cs="Arial"/>
        </w:rPr>
      </w:pPr>
    </w:p>
    <w:p w14:paraId="29935974">
      <w:pPr>
        <w:pageBreakBefore w:val="0"/>
        <w:shd w:val="clear" w:color="auto" w:fill="FFFFFF"/>
        <w:kinsoku/>
        <w:wordWrap/>
        <w:overflowPunct/>
        <w:topLinePunct w:val="0"/>
        <w:bidi w:val="0"/>
        <w:snapToGrid/>
        <w:spacing w:line="240" w:lineRule="auto"/>
        <w:ind w:left="142" w:hanging="142"/>
        <w:jc w:val="center"/>
        <w:rPr>
          <w:rFonts w:hint="default" w:ascii="Arial" w:hAnsi="Arial" w:cs="Arial"/>
          <w:b/>
          <w:sz w:val="28"/>
          <w:szCs w:val="28"/>
        </w:rPr>
      </w:pPr>
      <w:r>
        <w:rPr>
          <w:rFonts w:hint="default" w:ascii="Arial" w:hAnsi="Arial" w:cs="Arial"/>
          <w:b/>
          <w:sz w:val="28"/>
          <w:szCs w:val="28"/>
        </w:rPr>
        <w:t xml:space="preserve">              </w:t>
      </w:r>
    </w:p>
    <w:p w14:paraId="520AEB08">
      <w:pPr>
        <w:pStyle w:val="2"/>
        <w:keepNext/>
        <w:keepLines/>
        <w:pageBreakBefore w:val="0"/>
        <w:widowControl/>
        <w:kinsoku/>
        <w:wordWrap/>
        <w:overflowPunct/>
        <w:topLinePunct w:val="0"/>
        <w:autoSpaceDE/>
        <w:autoSpaceDN/>
        <w:bidi w:val="0"/>
        <w:adjustRightInd/>
        <w:snapToGrid/>
        <w:spacing w:line="240" w:lineRule="auto"/>
        <w:ind w:right="525" w:rightChars="250"/>
        <w:jc w:val="center"/>
        <w:textAlignment w:val="auto"/>
        <w:rPr>
          <w:rFonts w:hint="default" w:ascii="Arial" w:hAnsi="Arial" w:cs="Arial"/>
          <w:sz w:val="48"/>
          <w:szCs w:val="24"/>
          <w:lang w:val="en-US" w:eastAsia="zh-CN"/>
        </w:rPr>
      </w:pPr>
      <w:bookmarkStart w:id="0" w:name="_Toc30654"/>
      <w:bookmarkStart w:id="1" w:name="_Toc4165"/>
      <w:bookmarkStart w:id="2" w:name="_Toc16136"/>
      <w:bookmarkStart w:id="3" w:name="_Toc17193"/>
      <w:bookmarkStart w:id="4" w:name="_Toc30934"/>
      <w:bookmarkStart w:id="5" w:name="_Toc23003"/>
      <w:bookmarkStart w:id="6" w:name="_Toc5847"/>
      <w:bookmarkStart w:id="7" w:name="_Toc18683"/>
      <w:bookmarkStart w:id="8" w:name="_Toc19585"/>
      <w:bookmarkStart w:id="9" w:name="_Toc28874"/>
      <w:bookmarkStart w:id="10" w:name="_Toc1410"/>
      <w:bookmarkStart w:id="11" w:name="_Toc31960"/>
      <w:bookmarkStart w:id="12" w:name="_Toc4005"/>
      <w:bookmarkStart w:id="13" w:name="_Toc24691"/>
      <w:bookmarkStart w:id="14" w:name="_Toc1249"/>
      <w:r>
        <w:rPr>
          <w:rFonts w:hint="default" w:ascii="Arial" w:hAnsi="Arial" w:cs="Arial"/>
          <w:sz w:val="48"/>
          <w:szCs w:val="24"/>
          <w:lang w:val="en-US" w:eastAsia="zh-CN"/>
        </w:rPr>
        <w:t>Research on Genshin Impact`s Cultural Marketing</w:t>
      </w:r>
      <w:bookmarkEnd w:id="0"/>
      <w:bookmarkEnd w:id="1"/>
      <w:bookmarkEnd w:id="2"/>
      <w:bookmarkEnd w:id="3"/>
      <w:bookmarkEnd w:id="4"/>
      <w:r>
        <w:rPr>
          <w:rFonts w:hint="default" w:ascii="Arial" w:hAnsi="Arial" w:cs="Arial"/>
          <w:sz w:val="48"/>
          <w:szCs w:val="24"/>
          <w:lang w:val="en-US" w:eastAsia="zh-CN"/>
        </w:rPr>
        <w:t xml:space="preserve"> Strategy</w:t>
      </w:r>
      <w:bookmarkEnd w:id="5"/>
      <w:bookmarkEnd w:id="6"/>
      <w:bookmarkEnd w:id="7"/>
      <w:bookmarkEnd w:id="8"/>
    </w:p>
    <w:bookmarkEnd w:id="9"/>
    <w:bookmarkEnd w:id="10"/>
    <w:bookmarkEnd w:id="11"/>
    <w:bookmarkEnd w:id="12"/>
    <w:bookmarkEnd w:id="13"/>
    <w:bookmarkEnd w:id="14"/>
    <w:p w14:paraId="1BF97322">
      <w:pPr>
        <w:pageBreakBefore w:val="0"/>
        <w:shd w:val="clear" w:color="auto" w:fill="FFFFFF"/>
        <w:kinsoku/>
        <w:wordWrap/>
        <w:overflowPunct/>
        <w:topLinePunct w:val="0"/>
        <w:bidi w:val="0"/>
        <w:snapToGrid/>
        <w:spacing w:line="240" w:lineRule="auto"/>
        <w:ind w:left="142" w:hanging="142"/>
        <w:jc w:val="center"/>
        <w:rPr>
          <w:rFonts w:hint="default" w:ascii="Arial" w:hAnsi="Arial" w:cs="Arial"/>
          <w:b/>
          <w:sz w:val="28"/>
          <w:szCs w:val="28"/>
        </w:rPr>
      </w:pPr>
    </w:p>
    <w:p w14:paraId="3D02D101">
      <w:pPr>
        <w:pageBreakBefore w:val="0"/>
        <w:kinsoku/>
        <w:wordWrap/>
        <w:overflowPunct/>
        <w:topLinePunct w:val="0"/>
        <w:bidi w:val="0"/>
        <w:snapToGrid/>
        <w:spacing w:line="240" w:lineRule="auto"/>
        <w:jc w:val="center"/>
        <w:rPr>
          <w:rFonts w:hint="default" w:ascii="Arial" w:hAnsi="Arial" w:eastAsia="Calibri" w:cs="Arial"/>
          <w:sz w:val="28"/>
          <w:szCs w:val="28"/>
        </w:rPr>
      </w:pPr>
    </w:p>
    <w:p w14:paraId="33331482">
      <w:pPr>
        <w:pageBreakBefore w:val="0"/>
        <w:kinsoku/>
        <w:wordWrap/>
        <w:overflowPunct/>
        <w:topLinePunct w:val="0"/>
        <w:bidi w:val="0"/>
        <w:snapToGrid/>
        <w:spacing w:line="240" w:lineRule="auto"/>
        <w:jc w:val="center"/>
        <w:rPr>
          <w:rFonts w:hint="default" w:ascii="Arial" w:hAnsi="Arial" w:eastAsia="Calibri" w:cs="Arial"/>
        </w:rPr>
      </w:pPr>
    </w:p>
    <w:p w14:paraId="32E7581C">
      <w:pPr>
        <w:pageBreakBefore w:val="0"/>
        <w:kinsoku/>
        <w:wordWrap/>
        <w:overflowPunct/>
        <w:topLinePunct w:val="0"/>
        <w:bidi w:val="0"/>
        <w:snapToGrid/>
        <w:spacing w:line="240" w:lineRule="auto"/>
        <w:ind w:left="567" w:right="620" w:firstLine="567"/>
        <w:jc w:val="center"/>
        <w:rPr>
          <w:rFonts w:hint="default" w:ascii="Arial" w:hAnsi="Arial" w:eastAsia="Calibri" w:cs="Arial"/>
        </w:rPr>
      </w:pPr>
    </w:p>
    <w:p w14:paraId="02A1DADC">
      <w:pPr>
        <w:pageBreakBefore w:val="0"/>
        <w:kinsoku/>
        <w:wordWrap/>
        <w:overflowPunct/>
        <w:topLinePunct w:val="0"/>
        <w:bidi w:val="0"/>
        <w:snapToGrid/>
        <w:spacing w:line="240" w:lineRule="auto"/>
        <w:jc w:val="center"/>
        <w:rPr>
          <w:rFonts w:hint="default" w:ascii="Arial" w:hAnsi="Arial" w:eastAsia="Calibri" w:cs="Arial"/>
        </w:rPr>
      </w:pPr>
    </w:p>
    <w:p w14:paraId="56C26227">
      <w:pPr>
        <w:pageBreakBefore w:val="0"/>
        <w:kinsoku/>
        <w:wordWrap/>
        <w:overflowPunct/>
        <w:topLinePunct w:val="0"/>
        <w:bidi w:val="0"/>
        <w:snapToGrid/>
        <w:spacing w:line="240" w:lineRule="auto"/>
        <w:jc w:val="center"/>
        <w:rPr>
          <w:rFonts w:hint="default" w:ascii="Arial" w:hAnsi="Arial" w:eastAsia="Calibri" w:cs="Arial"/>
          <w:sz w:val="24"/>
          <w:szCs w:val="24"/>
        </w:rPr>
      </w:pPr>
      <w:r>
        <w:rPr>
          <w:rFonts w:hint="default" w:ascii="Arial" w:hAnsi="Arial" w:eastAsia="Calibri" w:cs="Arial"/>
          <w:sz w:val="24"/>
          <w:szCs w:val="24"/>
        </w:rPr>
        <w:t>A Dissertation submitted for the</w:t>
      </w:r>
    </w:p>
    <w:p w14:paraId="3149E67E">
      <w:pPr>
        <w:pageBreakBefore w:val="0"/>
        <w:kinsoku/>
        <w:wordWrap/>
        <w:overflowPunct/>
        <w:topLinePunct w:val="0"/>
        <w:bidi w:val="0"/>
        <w:snapToGrid/>
        <w:spacing w:line="240" w:lineRule="auto"/>
        <w:jc w:val="center"/>
        <w:rPr>
          <w:rFonts w:hint="default" w:ascii="Arial" w:hAnsi="Arial" w:eastAsia="宋体" w:cs="Arial"/>
          <w:sz w:val="24"/>
          <w:szCs w:val="24"/>
          <w:lang w:val="en-US" w:eastAsia="zh-CN"/>
        </w:rPr>
      </w:pPr>
      <w:r>
        <w:rPr>
          <w:rFonts w:hint="default" w:ascii="Arial" w:hAnsi="Arial" w:eastAsia="Calibri" w:cs="Arial"/>
          <w:sz w:val="24"/>
          <w:szCs w:val="24"/>
        </w:rPr>
        <w:t>Masters of Business Administration (MBA) 20</w:t>
      </w:r>
      <w:r>
        <w:rPr>
          <w:rFonts w:hint="default" w:ascii="Arial" w:hAnsi="Arial" w:eastAsia="宋体" w:cs="Arial"/>
          <w:sz w:val="24"/>
          <w:szCs w:val="24"/>
          <w:lang w:val="en-US" w:eastAsia="zh-CN"/>
        </w:rPr>
        <w:t>24</w:t>
      </w:r>
    </w:p>
    <w:p w14:paraId="232F2C1C">
      <w:pPr>
        <w:pageBreakBefore w:val="0"/>
        <w:kinsoku/>
        <w:wordWrap/>
        <w:overflowPunct/>
        <w:topLinePunct w:val="0"/>
        <w:bidi w:val="0"/>
        <w:snapToGrid/>
        <w:spacing w:line="240" w:lineRule="auto"/>
        <w:jc w:val="center"/>
        <w:rPr>
          <w:rFonts w:hint="default" w:ascii="Arial" w:hAnsi="Arial" w:eastAsia="宋体" w:cs="Arial"/>
          <w:sz w:val="24"/>
          <w:szCs w:val="24"/>
          <w:lang w:val="en-US" w:eastAsia="zh-CN"/>
        </w:rPr>
      </w:pPr>
      <w:r>
        <w:rPr>
          <w:rFonts w:hint="default" w:ascii="Arial" w:hAnsi="Arial" w:eastAsia="Calibri" w:cs="Arial"/>
          <w:sz w:val="24"/>
          <w:szCs w:val="24"/>
        </w:rPr>
        <w:t xml:space="preserve">Submitted: </w:t>
      </w:r>
      <w:r>
        <w:rPr>
          <w:rFonts w:hint="default" w:ascii="Arial" w:hAnsi="Arial" w:eastAsia="宋体" w:cs="Arial"/>
          <w:sz w:val="24"/>
          <w:szCs w:val="24"/>
          <w:lang w:val="en-US" w:eastAsia="zh-CN"/>
        </w:rPr>
        <w:t>27</w:t>
      </w:r>
      <w:r>
        <w:rPr>
          <w:rFonts w:hint="default" w:ascii="Arial" w:hAnsi="Arial" w:eastAsia="Calibri" w:cs="Arial"/>
          <w:sz w:val="24"/>
          <w:szCs w:val="24"/>
          <w:vertAlign w:val="superscript"/>
        </w:rPr>
        <w:t>th</w:t>
      </w:r>
      <w:r>
        <w:rPr>
          <w:rFonts w:hint="default" w:ascii="Arial" w:hAnsi="Arial" w:eastAsia="Calibri" w:cs="Arial"/>
          <w:sz w:val="24"/>
          <w:szCs w:val="24"/>
        </w:rPr>
        <w:t xml:space="preserve"> </w:t>
      </w:r>
      <w:r>
        <w:rPr>
          <w:rFonts w:hint="default" w:ascii="Arial" w:hAnsi="Arial" w:eastAsia="宋体" w:cs="Arial"/>
          <w:sz w:val="24"/>
          <w:szCs w:val="24"/>
          <w:lang w:val="en-US" w:eastAsia="zh-CN"/>
        </w:rPr>
        <w:t>September</w:t>
      </w:r>
      <w:r>
        <w:rPr>
          <w:rFonts w:hint="default" w:ascii="Arial" w:hAnsi="Arial" w:eastAsia="Calibri" w:cs="Arial"/>
          <w:sz w:val="24"/>
          <w:szCs w:val="24"/>
        </w:rPr>
        <w:t xml:space="preserve"> 20</w:t>
      </w:r>
      <w:r>
        <w:rPr>
          <w:rFonts w:hint="default" w:ascii="Arial" w:hAnsi="Arial" w:eastAsia="宋体" w:cs="Arial"/>
          <w:sz w:val="24"/>
          <w:szCs w:val="24"/>
          <w:lang w:val="en-US" w:eastAsia="zh-CN"/>
        </w:rPr>
        <w:t>24</w:t>
      </w:r>
    </w:p>
    <w:p w14:paraId="6AA91B19">
      <w:pPr>
        <w:pageBreakBefore w:val="0"/>
        <w:kinsoku/>
        <w:wordWrap/>
        <w:overflowPunct/>
        <w:topLinePunct w:val="0"/>
        <w:bidi w:val="0"/>
        <w:snapToGrid/>
        <w:spacing w:line="240" w:lineRule="auto"/>
        <w:rPr>
          <w:rFonts w:hint="default" w:ascii="Arial" w:hAnsi="Arial" w:eastAsia="Calibri" w:cs="Arial"/>
          <w:sz w:val="24"/>
          <w:szCs w:val="24"/>
        </w:rPr>
      </w:pPr>
    </w:p>
    <w:p w14:paraId="0F2E3449">
      <w:pPr>
        <w:pageBreakBefore w:val="0"/>
        <w:kinsoku/>
        <w:wordWrap/>
        <w:overflowPunct/>
        <w:topLinePunct w:val="0"/>
        <w:bidi w:val="0"/>
        <w:snapToGrid/>
        <w:spacing w:line="240" w:lineRule="auto"/>
        <w:jc w:val="center"/>
        <w:rPr>
          <w:rFonts w:hint="default" w:ascii="Arial" w:hAnsi="Arial" w:eastAsia="Calibri" w:cs="Arial"/>
          <w:sz w:val="24"/>
          <w:szCs w:val="24"/>
        </w:rPr>
      </w:pPr>
    </w:p>
    <w:p w14:paraId="58D85B4D">
      <w:pPr>
        <w:pageBreakBefore w:val="0"/>
        <w:kinsoku/>
        <w:wordWrap/>
        <w:overflowPunct/>
        <w:topLinePunct w:val="0"/>
        <w:bidi w:val="0"/>
        <w:snapToGrid/>
        <w:spacing w:line="240" w:lineRule="auto"/>
        <w:jc w:val="center"/>
        <w:rPr>
          <w:rFonts w:hint="default" w:ascii="Arial" w:hAnsi="Arial" w:eastAsia="宋体" w:cs="Arial"/>
          <w:sz w:val="24"/>
          <w:szCs w:val="24"/>
          <w:lang w:val="en-US" w:eastAsia="zh-CN"/>
        </w:rPr>
      </w:pPr>
      <w:r>
        <w:rPr>
          <w:rFonts w:hint="default" w:ascii="Arial" w:hAnsi="Arial" w:eastAsia="Calibri" w:cs="Arial"/>
          <w:sz w:val="24"/>
          <w:szCs w:val="24"/>
        </w:rPr>
        <w:t xml:space="preserve">Student: </w:t>
      </w:r>
      <w:r>
        <w:rPr>
          <w:rFonts w:hint="default" w:ascii="Arial" w:hAnsi="Arial" w:eastAsia="宋体" w:cs="Arial"/>
          <w:sz w:val="24"/>
          <w:szCs w:val="24"/>
          <w:lang w:val="en-US" w:eastAsia="zh-CN"/>
        </w:rPr>
        <w:t>Ke He</w:t>
      </w:r>
    </w:p>
    <w:p w14:paraId="517B0725">
      <w:pPr>
        <w:pageBreakBefore w:val="0"/>
        <w:kinsoku/>
        <w:wordWrap/>
        <w:overflowPunct/>
        <w:topLinePunct w:val="0"/>
        <w:bidi w:val="0"/>
        <w:snapToGrid/>
        <w:spacing w:line="240" w:lineRule="auto"/>
        <w:jc w:val="center"/>
        <w:rPr>
          <w:rFonts w:hint="default" w:ascii="Arial" w:hAnsi="Arial" w:eastAsia="宋体" w:cs="Arial"/>
          <w:sz w:val="24"/>
          <w:szCs w:val="24"/>
          <w:lang w:val="en-US" w:eastAsia="zh-CN"/>
        </w:rPr>
      </w:pPr>
      <w:r>
        <w:rPr>
          <w:rFonts w:hint="default" w:ascii="Arial" w:hAnsi="Arial" w:eastAsia="Calibri" w:cs="Arial"/>
          <w:sz w:val="24"/>
          <w:szCs w:val="24"/>
        </w:rPr>
        <w:t xml:space="preserve">Student Number: </w:t>
      </w:r>
      <w:r>
        <w:rPr>
          <w:rFonts w:hint="default" w:ascii="Arial" w:hAnsi="Arial" w:eastAsia="宋体" w:cs="Arial"/>
          <w:sz w:val="24"/>
          <w:szCs w:val="24"/>
          <w:lang w:val="en-US" w:eastAsia="zh-CN"/>
        </w:rPr>
        <w:t>2304696</w:t>
      </w:r>
    </w:p>
    <w:p w14:paraId="1AC8BD04">
      <w:pPr>
        <w:pageBreakBefore w:val="0"/>
        <w:kinsoku/>
        <w:wordWrap/>
        <w:overflowPunct/>
        <w:topLinePunct w:val="0"/>
        <w:bidi w:val="0"/>
        <w:snapToGrid/>
        <w:spacing w:line="240" w:lineRule="auto"/>
        <w:jc w:val="center"/>
        <w:rPr>
          <w:rFonts w:hint="default" w:ascii="Arial" w:hAnsi="Arial" w:eastAsia="Calibri" w:cs="Arial"/>
        </w:rPr>
      </w:pPr>
      <w:r>
        <w:rPr>
          <w:rFonts w:hint="default" w:ascii="Arial" w:hAnsi="Arial" w:eastAsia="Calibri" w:cs="Arial"/>
          <w:sz w:val="24"/>
          <w:szCs w:val="24"/>
        </w:rPr>
        <w:t xml:space="preserve">Supervisor: </w:t>
      </w:r>
      <w:r>
        <w:rPr>
          <w:rFonts w:hint="default" w:ascii="Arial" w:hAnsi="Arial" w:eastAsia="Calibri" w:cs="Arial"/>
          <w:sz w:val="24"/>
          <w:szCs w:val="24"/>
          <w:lang w:val="en-US" w:eastAsia="zh-CN"/>
        </w:rPr>
        <w:t>Sarah Peasley</w:t>
      </w:r>
      <w:r>
        <w:rPr>
          <w:rFonts w:hint="default" w:ascii="Arial" w:hAnsi="Arial" w:cs="Arial"/>
          <w:b/>
          <w:spacing w:val="-2"/>
        </w:rPr>
        <w:br w:type="page"/>
      </w:r>
    </w:p>
    <w:p w14:paraId="73211194">
      <w:pPr>
        <w:pageBreakBefore w:val="0"/>
        <w:tabs>
          <w:tab w:val="left" w:pos="7020"/>
          <w:tab w:val="right" w:pos="10826"/>
        </w:tabs>
        <w:suppressAutoHyphens/>
        <w:kinsoku/>
        <w:wordWrap/>
        <w:overflowPunct/>
        <w:topLinePunct w:val="0"/>
        <w:bidi w:val="0"/>
        <w:snapToGrid/>
        <w:spacing w:line="240" w:lineRule="auto"/>
        <w:jc w:val="both"/>
        <w:rPr>
          <w:rFonts w:hint="default" w:ascii="Arial" w:hAnsi="Arial" w:cs="Arial"/>
          <w:b/>
          <w:color w:val="auto"/>
          <w:sz w:val="24"/>
          <w:szCs w:val="24"/>
          <w:u w:val="single"/>
        </w:rPr>
      </w:pPr>
      <w:bookmarkStart w:id="15" w:name="_Toc481690776"/>
      <w:r>
        <w:rPr>
          <w:rFonts w:hint="default" w:ascii="Arial" w:hAnsi="Arial" w:cs="Arial"/>
          <w:b/>
          <w:color w:val="auto"/>
          <w:sz w:val="24"/>
          <w:szCs w:val="24"/>
          <w:u w:val="single"/>
        </w:rPr>
        <w:t>Declaration/Statements page</w:t>
      </w:r>
      <w:bookmarkEnd w:id="15"/>
    </w:p>
    <w:p w14:paraId="71EDEB50">
      <w:pPr>
        <w:pageBreakBefore w:val="0"/>
        <w:kinsoku/>
        <w:wordWrap/>
        <w:overflowPunct/>
        <w:topLinePunct w:val="0"/>
        <w:bidi w:val="0"/>
        <w:snapToGrid/>
        <w:spacing w:line="240" w:lineRule="auto"/>
        <w:rPr>
          <w:rFonts w:hint="default" w:ascii="Arial" w:hAnsi="Arial" w:cs="Arial"/>
          <w:sz w:val="24"/>
          <w:szCs w:val="24"/>
        </w:rPr>
      </w:pPr>
    </w:p>
    <w:p w14:paraId="2A15F56E">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This work has not previously been accepted in substance for any degree and is not being concurrently submitted in candidature for any degree.</w:t>
      </w:r>
      <w:r>
        <w:rPr>
          <w:rFonts w:hint="default" w:ascii="Arial" w:hAnsi="Arial" w:cs="Arial"/>
          <w:spacing w:val="-2"/>
          <w:sz w:val="24"/>
          <w:szCs w:val="24"/>
        </w:rPr>
        <w:tab/>
      </w:r>
    </w:p>
    <w:p w14:paraId="388631BD">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687C6BE4">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4B187E00">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Signed ................</w:t>
      </w:r>
      <w:r>
        <w:rPr>
          <w:rFonts w:hint="default" w:ascii="Brush Script MT" w:hAnsi="Brush Script MT" w:cs="Brush Script MT"/>
          <w:spacing w:val="-2"/>
          <w:sz w:val="24"/>
          <w:szCs w:val="24"/>
          <w:lang w:val="en-US" w:eastAsia="zh-CN"/>
        </w:rPr>
        <w:t>HE KE</w:t>
      </w:r>
      <w:r>
        <w:rPr>
          <w:rFonts w:hint="default" w:ascii="Arial" w:hAnsi="Arial" w:cs="Arial"/>
          <w:spacing w:val="-2"/>
          <w:sz w:val="24"/>
          <w:szCs w:val="24"/>
        </w:rPr>
        <w:t>...................................................... (candidate)</w:t>
      </w:r>
      <w:r>
        <w:rPr>
          <w:rFonts w:hint="default" w:ascii="Arial" w:hAnsi="Arial" w:cs="Arial"/>
          <w:spacing w:val="-2"/>
          <w:sz w:val="24"/>
          <w:szCs w:val="24"/>
        </w:rPr>
        <w:tab/>
      </w:r>
    </w:p>
    <w:p w14:paraId="22D1FBA3">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5A92405F">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Date ...................</w:t>
      </w:r>
      <w:r>
        <w:rPr>
          <w:rFonts w:hint="eastAsia" w:ascii="Arial" w:hAnsi="Arial" w:cs="Arial"/>
          <w:spacing w:val="-2"/>
          <w:sz w:val="24"/>
          <w:szCs w:val="24"/>
          <w:lang w:val="en-US" w:eastAsia="zh-CN"/>
        </w:rPr>
        <w:t>September 23, 2024</w:t>
      </w:r>
      <w:r>
        <w:rPr>
          <w:rFonts w:hint="default" w:ascii="Arial" w:hAnsi="Arial" w:cs="Arial"/>
          <w:spacing w:val="-2"/>
          <w:sz w:val="24"/>
          <w:szCs w:val="24"/>
        </w:rPr>
        <w:t>.....................................................</w:t>
      </w:r>
      <w:r>
        <w:rPr>
          <w:rFonts w:hint="default" w:ascii="Arial" w:hAnsi="Arial" w:cs="Arial"/>
          <w:spacing w:val="-2"/>
          <w:sz w:val="24"/>
          <w:szCs w:val="24"/>
        </w:rPr>
        <w:tab/>
      </w:r>
    </w:p>
    <w:p w14:paraId="3F3822B5">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02C069A6">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075CC713">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STATEMENT 1</w:t>
      </w:r>
      <w:r>
        <w:rPr>
          <w:rFonts w:hint="default" w:ascii="Arial" w:hAnsi="Arial" w:cs="Arial"/>
          <w:spacing w:val="-2"/>
          <w:sz w:val="24"/>
          <w:szCs w:val="24"/>
        </w:rPr>
        <w:tab/>
      </w:r>
    </w:p>
    <w:p w14:paraId="0B51327D">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141EFB78">
      <w:pPr>
        <w:pageBreakBefore w:val="0"/>
        <w:widowControl/>
        <w:kinsoku/>
        <w:wordWrap/>
        <w:overflowPunct/>
        <w:topLinePunct w:val="0"/>
        <w:bidi w:val="0"/>
        <w:snapToGrid/>
        <w:spacing w:after="160" w:line="240" w:lineRule="auto"/>
        <w:jc w:val="both"/>
        <w:rPr>
          <w:rFonts w:hint="default" w:ascii="Arial" w:hAnsi="Arial" w:cs="Arial" w:eastAsiaTheme="minorHAnsi"/>
          <w:spacing w:val="-2"/>
          <w:kern w:val="0"/>
          <w:sz w:val="24"/>
          <w:szCs w:val="24"/>
          <w:lang w:val="en-GB" w:eastAsia="en-US"/>
        </w:rPr>
      </w:pPr>
      <w:r>
        <w:rPr>
          <w:rFonts w:hint="default" w:ascii="Arial" w:hAnsi="Arial" w:cs="Arial" w:eastAsiaTheme="minorHAnsi"/>
          <w:spacing w:val="-2"/>
          <w:kern w:val="0"/>
          <w:sz w:val="24"/>
          <w:szCs w:val="24"/>
          <w:lang w:val="en-GB" w:eastAsia="en-US"/>
        </w:rPr>
        <w:t xml:space="preserve">This work is the result of my own investigations, except where otherwise stated. </w:t>
      </w:r>
    </w:p>
    <w:p w14:paraId="1DEAF01A">
      <w:pPr>
        <w:pageBreakBefore w:val="0"/>
        <w:widowControl/>
        <w:kinsoku/>
        <w:wordWrap/>
        <w:overflowPunct/>
        <w:topLinePunct w:val="0"/>
        <w:bidi w:val="0"/>
        <w:snapToGrid/>
        <w:spacing w:after="160" w:line="240" w:lineRule="auto"/>
        <w:ind w:left="720"/>
        <w:jc w:val="both"/>
        <w:rPr>
          <w:rFonts w:hint="default" w:ascii="Arial" w:hAnsi="Arial" w:cs="Arial" w:eastAsiaTheme="minorHAnsi"/>
          <w:spacing w:val="-2"/>
          <w:kern w:val="0"/>
          <w:sz w:val="24"/>
          <w:szCs w:val="24"/>
          <w:lang w:val="en-GB" w:eastAsia="en-US"/>
        </w:rPr>
      </w:pPr>
    </w:p>
    <w:p w14:paraId="24FCBBB4">
      <w:pPr>
        <w:pageBreakBefore w:val="0"/>
        <w:widowControl/>
        <w:kinsoku/>
        <w:wordWrap/>
        <w:overflowPunct/>
        <w:topLinePunct w:val="0"/>
        <w:bidi w:val="0"/>
        <w:snapToGrid/>
        <w:spacing w:after="160" w:line="240" w:lineRule="auto"/>
        <w:jc w:val="both"/>
        <w:rPr>
          <w:rFonts w:hint="default" w:ascii="Arial" w:hAnsi="Arial" w:cs="Arial" w:eastAsiaTheme="minorHAnsi"/>
          <w:spacing w:val="-2"/>
          <w:kern w:val="0"/>
          <w:sz w:val="24"/>
          <w:szCs w:val="24"/>
          <w:lang w:val="en-GB" w:eastAsia="en-US"/>
        </w:rPr>
      </w:pPr>
      <w:r>
        <w:rPr>
          <w:rFonts w:hint="default" w:ascii="Arial" w:hAnsi="Arial" w:cs="Arial" w:eastAsiaTheme="minorHAnsi"/>
          <w:spacing w:val="-2"/>
          <w:kern w:val="0"/>
          <w:sz w:val="24"/>
          <w:szCs w:val="24"/>
          <w:lang w:val="en-GB" w:eastAsia="en-US"/>
        </w:rPr>
        <w:t>Other sources are acknowledged by footnotes giving explicit references. A bibliography is appended.</w:t>
      </w:r>
    </w:p>
    <w:p w14:paraId="3702A434">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0CC431D4">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5411C75A">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Signed ....................</w:t>
      </w:r>
      <w:r>
        <w:rPr>
          <w:rFonts w:hint="default" w:ascii="Brush Script MT" w:hAnsi="Brush Script MT" w:cs="Brush Script MT"/>
          <w:spacing w:val="-2"/>
          <w:sz w:val="24"/>
          <w:szCs w:val="24"/>
          <w:lang w:val="en-US" w:eastAsia="zh-CN"/>
        </w:rPr>
        <w:t>HE KE</w:t>
      </w:r>
      <w:r>
        <w:rPr>
          <w:rFonts w:hint="default" w:ascii="Arial" w:hAnsi="Arial" w:cs="Arial"/>
          <w:spacing w:val="-2"/>
          <w:sz w:val="24"/>
          <w:szCs w:val="24"/>
        </w:rPr>
        <w:t>................................................. (candidate)</w:t>
      </w:r>
      <w:r>
        <w:rPr>
          <w:rFonts w:hint="default" w:ascii="Arial" w:hAnsi="Arial" w:cs="Arial"/>
          <w:spacing w:val="-2"/>
          <w:sz w:val="24"/>
          <w:szCs w:val="24"/>
        </w:rPr>
        <w:tab/>
      </w:r>
    </w:p>
    <w:p w14:paraId="1F26921B">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36C95133">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Date ...............</w:t>
      </w:r>
      <w:r>
        <w:rPr>
          <w:rFonts w:hint="eastAsia" w:ascii="Arial" w:hAnsi="Arial" w:cs="Arial"/>
          <w:spacing w:val="-2"/>
          <w:sz w:val="24"/>
          <w:szCs w:val="24"/>
          <w:lang w:val="en-US" w:eastAsia="zh-CN"/>
        </w:rPr>
        <w:t>September 23, 2024</w:t>
      </w:r>
      <w:r>
        <w:rPr>
          <w:rFonts w:hint="default" w:ascii="Arial" w:hAnsi="Arial" w:cs="Arial"/>
          <w:spacing w:val="-2"/>
          <w:sz w:val="24"/>
          <w:szCs w:val="24"/>
        </w:rPr>
        <w:t>.........................................................</w:t>
      </w:r>
      <w:r>
        <w:rPr>
          <w:rFonts w:hint="default" w:ascii="Arial" w:hAnsi="Arial" w:cs="Arial"/>
          <w:spacing w:val="-2"/>
          <w:sz w:val="24"/>
          <w:szCs w:val="24"/>
        </w:rPr>
        <w:tab/>
      </w:r>
    </w:p>
    <w:p w14:paraId="6E5C608F">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5B9990B7">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34317C3E">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STATEMENT 2</w:t>
      </w:r>
      <w:r>
        <w:rPr>
          <w:rFonts w:hint="default" w:ascii="Arial" w:hAnsi="Arial" w:cs="Arial"/>
          <w:spacing w:val="-2"/>
          <w:sz w:val="24"/>
          <w:szCs w:val="24"/>
        </w:rPr>
        <w:tab/>
      </w:r>
    </w:p>
    <w:p w14:paraId="70D24D44">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070D1A1C">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I hereby give consent for my work, if accepted, to be available for photocopying and for inter-library loan, and for the title and summary to be made available to outside organisations.</w:t>
      </w:r>
      <w:r>
        <w:rPr>
          <w:rFonts w:hint="default" w:ascii="Arial" w:hAnsi="Arial" w:cs="Arial"/>
          <w:spacing w:val="-2"/>
          <w:sz w:val="24"/>
          <w:szCs w:val="24"/>
        </w:rPr>
        <w:tab/>
      </w:r>
    </w:p>
    <w:p w14:paraId="5840D57E">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7F0AEBEF">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17E2B9D8">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Signed .....................</w:t>
      </w:r>
      <w:r>
        <w:rPr>
          <w:rFonts w:hint="default" w:ascii="Brush Script MT" w:hAnsi="Brush Script MT" w:cs="Brush Script MT"/>
          <w:spacing w:val="-2"/>
          <w:sz w:val="24"/>
          <w:szCs w:val="24"/>
          <w:lang w:val="en-US" w:eastAsia="zh-CN"/>
        </w:rPr>
        <w:t>HE KE</w:t>
      </w:r>
      <w:r>
        <w:rPr>
          <w:rFonts w:hint="default" w:ascii="Arial" w:hAnsi="Arial" w:cs="Arial"/>
          <w:spacing w:val="-2"/>
          <w:sz w:val="24"/>
          <w:szCs w:val="24"/>
        </w:rPr>
        <w:t>................................................. (candidate)</w:t>
      </w:r>
      <w:r>
        <w:rPr>
          <w:rFonts w:hint="default" w:ascii="Arial" w:hAnsi="Arial" w:cs="Arial"/>
          <w:spacing w:val="-2"/>
          <w:sz w:val="24"/>
          <w:szCs w:val="24"/>
        </w:rPr>
        <w:tab/>
      </w:r>
    </w:p>
    <w:p w14:paraId="4D80ACF8">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56565017">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Date ...................</w:t>
      </w:r>
      <w:r>
        <w:rPr>
          <w:rFonts w:hint="eastAsia" w:ascii="Arial" w:hAnsi="Arial" w:cs="Arial"/>
          <w:spacing w:val="-2"/>
          <w:sz w:val="24"/>
          <w:szCs w:val="24"/>
          <w:lang w:val="en-US" w:eastAsia="zh-CN"/>
        </w:rPr>
        <w:t>September 23, 2024</w:t>
      </w:r>
      <w:r>
        <w:rPr>
          <w:rFonts w:hint="default" w:ascii="Arial" w:hAnsi="Arial" w:cs="Arial"/>
          <w:spacing w:val="-2"/>
          <w:sz w:val="24"/>
          <w:szCs w:val="24"/>
        </w:rPr>
        <w:t>.....................................................</w:t>
      </w:r>
    </w:p>
    <w:p w14:paraId="5D1C1DEF">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439E4CB7">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5A00EF7A">
      <w:pPr>
        <w:pageBreakBefore w:val="0"/>
        <w:kinsoku/>
        <w:wordWrap/>
        <w:overflowPunct/>
        <w:topLinePunct w:val="0"/>
        <w:bidi w:val="0"/>
        <w:snapToGrid/>
        <w:spacing w:line="240" w:lineRule="auto"/>
        <w:ind w:left="720" w:hanging="720"/>
        <w:jc w:val="both"/>
        <w:rPr>
          <w:rFonts w:hint="default" w:ascii="Arial" w:hAnsi="Arial" w:cs="Arial"/>
          <w:spacing w:val="-2"/>
          <w:sz w:val="24"/>
          <w:szCs w:val="24"/>
        </w:rPr>
      </w:pPr>
      <w:r>
        <w:rPr>
          <w:rFonts w:hint="default" w:ascii="Arial" w:hAnsi="Arial" w:cs="Arial"/>
          <w:b/>
          <w:spacing w:val="-2"/>
          <w:sz w:val="24"/>
          <w:szCs w:val="24"/>
        </w:rPr>
        <w:t>NB:</w:t>
      </w:r>
      <w:r>
        <w:rPr>
          <w:rFonts w:hint="default" w:ascii="Arial" w:hAnsi="Arial" w:cs="Arial"/>
          <w:i/>
          <w:spacing w:val="-2"/>
          <w:sz w:val="24"/>
          <w:szCs w:val="24"/>
        </w:rPr>
        <w:tab/>
      </w:r>
      <w:r>
        <w:rPr>
          <w:rFonts w:hint="default" w:ascii="Arial" w:hAnsi="Arial" w:cs="Arial"/>
          <w:i/>
          <w:spacing w:val="-2"/>
          <w:sz w:val="24"/>
          <w:szCs w:val="24"/>
        </w:rPr>
        <w:t>Candidates on whose behalf a bar on access has been approved by the University (see Note 1), should use the following version of Statement 2:</w:t>
      </w:r>
      <w:r>
        <w:rPr>
          <w:rFonts w:hint="default" w:ascii="Arial" w:hAnsi="Arial" w:cs="Arial"/>
          <w:spacing w:val="-2"/>
          <w:sz w:val="24"/>
          <w:szCs w:val="24"/>
        </w:rPr>
        <w:tab/>
      </w:r>
    </w:p>
    <w:p w14:paraId="71AF202C">
      <w:pPr>
        <w:pageBreakBefore w:val="0"/>
        <w:kinsoku/>
        <w:wordWrap/>
        <w:overflowPunct/>
        <w:topLinePunct w:val="0"/>
        <w:bidi w:val="0"/>
        <w:snapToGrid/>
        <w:spacing w:line="240" w:lineRule="auto"/>
        <w:ind w:left="720"/>
        <w:jc w:val="both"/>
        <w:rPr>
          <w:rFonts w:hint="default" w:ascii="Arial" w:hAnsi="Arial" w:cs="Arial"/>
          <w:spacing w:val="-2"/>
          <w:sz w:val="24"/>
          <w:szCs w:val="24"/>
        </w:rPr>
      </w:pPr>
    </w:p>
    <w:p w14:paraId="017E6883">
      <w:pPr>
        <w:pageBreakBefore w:val="0"/>
        <w:kinsoku/>
        <w:wordWrap/>
        <w:overflowPunct/>
        <w:topLinePunct w:val="0"/>
        <w:bidi w:val="0"/>
        <w:snapToGrid/>
        <w:spacing w:line="240" w:lineRule="auto"/>
        <w:jc w:val="both"/>
        <w:rPr>
          <w:rFonts w:hint="default" w:ascii="Arial" w:hAnsi="Arial" w:cs="Arial"/>
          <w:b/>
          <w:spacing w:val="-2"/>
          <w:sz w:val="24"/>
          <w:szCs w:val="24"/>
        </w:rPr>
      </w:pPr>
      <w:r>
        <w:rPr>
          <w:rFonts w:hint="default" w:ascii="Arial" w:hAnsi="Arial" w:cs="Arial"/>
          <w:spacing w:val="-2"/>
          <w:sz w:val="24"/>
          <w:szCs w:val="24"/>
        </w:rPr>
        <w:t xml:space="preserve">I hereby give consent for my work, if accepted, to be available for photocopying and for inter-library loans </w:t>
      </w:r>
      <w:r>
        <w:rPr>
          <w:rFonts w:hint="default" w:ascii="Arial" w:hAnsi="Arial" w:cs="Arial"/>
          <w:b/>
          <w:spacing w:val="-2"/>
          <w:sz w:val="24"/>
          <w:szCs w:val="24"/>
        </w:rPr>
        <w:t>after expiry of a bar on access approved by the University.</w:t>
      </w:r>
    </w:p>
    <w:p w14:paraId="1C712DC9">
      <w:pPr>
        <w:pageBreakBefore w:val="0"/>
        <w:kinsoku/>
        <w:wordWrap/>
        <w:overflowPunct/>
        <w:topLinePunct w:val="0"/>
        <w:bidi w:val="0"/>
        <w:snapToGrid/>
        <w:spacing w:line="240" w:lineRule="auto"/>
        <w:ind w:left="1440"/>
        <w:jc w:val="both"/>
        <w:rPr>
          <w:rFonts w:hint="default" w:ascii="Arial" w:hAnsi="Arial" w:cs="Arial"/>
          <w:b/>
          <w:spacing w:val="-2"/>
          <w:sz w:val="24"/>
          <w:szCs w:val="24"/>
        </w:rPr>
      </w:pPr>
    </w:p>
    <w:p w14:paraId="2C732827">
      <w:pPr>
        <w:pageBreakBefore w:val="0"/>
        <w:kinsoku/>
        <w:wordWrap/>
        <w:overflowPunct/>
        <w:topLinePunct w:val="0"/>
        <w:bidi w:val="0"/>
        <w:snapToGrid/>
        <w:spacing w:line="240" w:lineRule="auto"/>
        <w:ind w:left="1440"/>
        <w:jc w:val="both"/>
        <w:rPr>
          <w:rFonts w:hint="default" w:ascii="Arial" w:hAnsi="Arial" w:cs="Arial"/>
          <w:b/>
          <w:spacing w:val="-2"/>
          <w:sz w:val="24"/>
          <w:szCs w:val="24"/>
        </w:rPr>
      </w:pPr>
    </w:p>
    <w:p w14:paraId="545A9CD1">
      <w:pPr>
        <w:pageBreakBefore w:val="0"/>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Signed ..................</w:t>
      </w:r>
      <w:r>
        <w:rPr>
          <w:rFonts w:hint="default" w:ascii="Brush Script MT" w:hAnsi="Brush Script MT" w:cs="Brush Script MT"/>
          <w:spacing w:val="-2"/>
          <w:sz w:val="24"/>
          <w:szCs w:val="24"/>
          <w:lang w:val="en-US" w:eastAsia="zh-CN"/>
        </w:rPr>
        <w:t>HE KE</w:t>
      </w:r>
      <w:r>
        <w:rPr>
          <w:rFonts w:hint="default" w:ascii="Arial" w:hAnsi="Arial" w:cs="Arial"/>
          <w:spacing w:val="-2"/>
          <w:sz w:val="24"/>
          <w:szCs w:val="24"/>
        </w:rPr>
        <w:t>.................................................... (candidate)</w:t>
      </w:r>
    </w:p>
    <w:p w14:paraId="3920CF0B">
      <w:pPr>
        <w:pageBreakBefore w:val="0"/>
        <w:tabs>
          <w:tab w:val="left" w:pos="-720"/>
        </w:tabs>
        <w:suppressAutoHyphens/>
        <w:kinsoku/>
        <w:wordWrap/>
        <w:overflowPunct/>
        <w:topLinePunct w:val="0"/>
        <w:bidi w:val="0"/>
        <w:snapToGrid/>
        <w:spacing w:line="240" w:lineRule="auto"/>
        <w:jc w:val="both"/>
        <w:rPr>
          <w:rFonts w:hint="default" w:ascii="Arial" w:hAnsi="Arial" w:cs="Arial"/>
          <w:spacing w:val="-2"/>
          <w:sz w:val="24"/>
          <w:szCs w:val="24"/>
        </w:rPr>
      </w:pPr>
    </w:p>
    <w:p w14:paraId="1428942D">
      <w:pPr>
        <w:pageBreakBefore w:val="0"/>
        <w:tabs>
          <w:tab w:val="left" w:pos="-720"/>
        </w:tabs>
        <w:suppressAutoHyphens/>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Date .....................</w:t>
      </w:r>
      <w:r>
        <w:rPr>
          <w:rFonts w:hint="eastAsia" w:ascii="Arial" w:hAnsi="Arial" w:cs="Arial"/>
          <w:spacing w:val="-2"/>
          <w:sz w:val="24"/>
          <w:szCs w:val="24"/>
          <w:lang w:val="en-US" w:eastAsia="zh-CN"/>
        </w:rPr>
        <w:t>September 23, 2024</w:t>
      </w:r>
      <w:r>
        <w:rPr>
          <w:rFonts w:hint="default" w:ascii="Arial" w:hAnsi="Arial" w:cs="Arial"/>
          <w:spacing w:val="-2"/>
          <w:sz w:val="24"/>
          <w:szCs w:val="24"/>
        </w:rPr>
        <w:t>...................................................</w:t>
      </w:r>
    </w:p>
    <w:p w14:paraId="6D9017DC">
      <w:pPr>
        <w:pageBreakBefore w:val="0"/>
        <w:tabs>
          <w:tab w:val="left" w:pos="-720"/>
        </w:tabs>
        <w:suppressAutoHyphens/>
        <w:kinsoku/>
        <w:wordWrap/>
        <w:overflowPunct/>
        <w:topLinePunct w:val="0"/>
        <w:bidi w:val="0"/>
        <w:snapToGrid/>
        <w:spacing w:line="240" w:lineRule="auto"/>
        <w:jc w:val="both"/>
        <w:rPr>
          <w:rFonts w:hint="default" w:ascii="Arial" w:hAnsi="Arial" w:cs="Arial"/>
          <w:spacing w:val="-2"/>
          <w:sz w:val="24"/>
          <w:szCs w:val="24"/>
        </w:rPr>
      </w:pPr>
    </w:p>
    <w:p w14:paraId="6B041C74">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r>
        <w:rPr>
          <w:rFonts w:hint="default" w:ascii="Arial" w:hAnsi="Arial" w:cs="Arial"/>
          <w:spacing w:val="-2"/>
          <w:sz w:val="24"/>
          <w:szCs w:val="24"/>
          <w:u w:val="single"/>
        </w:rPr>
        <w:t xml:space="preserve">         </w:t>
      </w:r>
    </w:p>
    <w:p w14:paraId="25284148">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7BC42719">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43F72F8C">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0E200F8E">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110C6B84">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6B15D0FB">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001775B6">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7A87FAA0">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1E95C492">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6582EFAF">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24C0864B">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7A83BB44">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731EBBAF">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52DE9DA3">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53E09F8F">
      <w:pPr>
        <w:pageBreakBefore w:val="0"/>
        <w:tabs>
          <w:tab w:val="left" w:pos="-720"/>
        </w:tabs>
        <w:suppressAutoHyphens/>
        <w:kinsoku/>
        <w:wordWrap/>
        <w:overflowPunct/>
        <w:topLinePunct w:val="0"/>
        <w:bidi w:val="0"/>
        <w:snapToGrid/>
        <w:spacing w:line="240" w:lineRule="auto"/>
        <w:jc w:val="both"/>
        <w:rPr>
          <w:rFonts w:hint="default" w:ascii="Arial" w:hAnsi="Arial" w:cs="Arial"/>
          <w:i/>
          <w:spacing w:val="-2"/>
          <w:sz w:val="24"/>
          <w:szCs w:val="24"/>
        </w:rPr>
      </w:pPr>
    </w:p>
    <w:p w14:paraId="05F0117C">
      <w:pPr>
        <w:pageBreakBefore w:val="0"/>
        <w:tabs>
          <w:tab w:val="left" w:pos="-720"/>
        </w:tabs>
        <w:suppressAutoHyphens/>
        <w:kinsoku/>
        <w:wordWrap/>
        <w:overflowPunct/>
        <w:topLinePunct w:val="0"/>
        <w:bidi w:val="0"/>
        <w:snapToGrid/>
        <w:spacing w:line="240" w:lineRule="auto"/>
        <w:jc w:val="both"/>
        <w:rPr>
          <w:rFonts w:hint="default" w:ascii="Arial" w:hAnsi="Arial" w:cs="Arial"/>
          <w:spacing w:val="-2"/>
          <w:sz w:val="24"/>
          <w:szCs w:val="24"/>
        </w:rPr>
      </w:pPr>
    </w:p>
    <w:p w14:paraId="0D787D7F">
      <w:pPr>
        <w:pageBreakBefore w:val="0"/>
        <w:tabs>
          <w:tab w:val="left" w:pos="-720"/>
        </w:tabs>
        <w:suppressAutoHyphens/>
        <w:kinsoku/>
        <w:wordWrap/>
        <w:overflowPunct/>
        <w:topLinePunct w:val="0"/>
        <w:bidi w:val="0"/>
        <w:snapToGrid/>
        <w:spacing w:line="240" w:lineRule="auto"/>
        <w:jc w:val="both"/>
        <w:rPr>
          <w:rFonts w:hint="default" w:ascii="Arial" w:hAnsi="Arial" w:cs="Arial"/>
          <w:spacing w:val="-2"/>
          <w:sz w:val="24"/>
          <w:szCs w:val="24"/>
        </w:rPr>
      </w:pPr>
      <w:r>
        <w:rPr>
          <w:rFonts w:hint="default" w:ascii="Arial" w:hAnsi="Arial" w:cs="Arial"/>
          <w:spacing w:val="-2"/>
          <w:sz w:val="24"/>
          <w:szCs w:val="24"/>
        </w:rPr>
        <w:t>Candidate's signature ..................</w:t>
      </w:r>
      <w:r>
        <w:rPr>
          <w:rFonts w:hint="default" w:ascii="Brush Script MT" w:hAnsi="Brush Script MT" w:cs="Brush Script MT"/>
          <w:spacing w:val="-2"/>
          <w:sz w:val="24"/>
          <w:szCs w:val="24"/>
          <w:lang w:val="en-US" w:eastAsia="zh-CN"/>
        </w:rPr>
        <w:t>HE KE</w:t>
      </w:r>
      <w:r>
        <w:rPr>
          <w:rFonts w:hint="default" w:ascii="Arial" w:hAnsi="Arial" w:cs="Arial"/>
          <w:spacing w:val="-2"/>
          <w:sz w:val="24"/>
          <w:szCs w:val="24"/>
        </w:rPr>
        <w:t>.........................................................   Date ...........</w:t>
      </w:r>
      <w:r>
        <w:rPr>
          <w:rFonts w:hint="eastAsia" w:ascii="Arial" w:hAnsi="Arial" w:cs="Arial"/>
          <w:spacing w:val="-2"/>
          <w:sz w:val="24"/>
          <w:szCs w:val="24"/>
          <w:lang w:val="en-US" w:eastAsia="zh-CN"/>
        </w:rPr>
        <w:t>September 23, 2024</w:t>
      </w:r>
      <w:r>
        <w:rPr>
          <w:rFonts w:hint="default" w:ascii="Arial" w:hAnsi="Arial" w:cs="Arial"/>
          <w:spacing w:val="-2"/>
          <w:sz w:val="24"/>
          <w:szCs w:val="24"/>
        </w:rPr>
        <w:t>..............................</w:t>
      </w:r>
    </w:p>
    <w:p w14:paraId="66ACD854">
      <w:pPr>
        <w:pageBreakBefore w:val="0"/>
        <w:kinsoku/>
        <w:wordWrap/>
        <w:overflowPunct/>
        <w:topLinePunct w:val="0"/>
        <w:bidi w:val="0"/>
        <w:snapToGrid/>
        <w:spacing w:after="200" w:line="240" w:lineRule="auto"/>
        <w:rPr>
          <w:rFonts w:hint="default" w:ascii="Arial" w:hAnsi="Arial" w:cs="Arial"/>
          <w:sz w:val="24"/>
          <w:szCs w:val="24"/>
        </w:rPr>
      </w:pPr>
    </w:p>
    <w:p w14:paraId="35B39807">
      <w:pPr>
        <w:pageBreakBefore w:val="0"/>
        <w:kinsoku/>
        <w:wordWrap/>
        <w:overflowPunct/>
        <w:topLinePunct w:val="0"/>
        <w:bidi w:val="0"/>
        <w:snapToGrid/>
        <w:spacing w:line="240" w:lineRule="auto"/>
        <w:rPr>
          <w:rFonts w:hint="default" w:ascii="Arial" w:hAnsi="Arial" w:cs="Arial"/>
          <w:sz w:val="24"/>
          <w:szCs w:val="24"/>
        </w:rPr>
      </w:pPr>
    </w:p>
    <w:p w14:paraId="116B2396">
      <w:pPr>
        <w:pageBreakBefore w:val="0"/>
        <w:kinsoku/>
        <w:wordWrap/>
        <w:overflowPunct/>
        <w:topLinePunct w:val="0"/>
        <w:bidi w:val="0"/>
        <w:snapToGrid/>
        <w:spacing w:line="240" w:lineRule="auto"/>
        <w:jc w:val="both"/>
        <w:rPr>
          <w:rFonts w:hint="default" w:ascii="Arial" w:hAnsi="Arial" w:cs="Arial"/>
          <w:b/>
          <w:sz w:val="24"/>
          <w:szCs w:val="24"/>
          <w:u w:val="single"/>
        </w:rPr>
      </w:pPr>
      <w:r>
        <w:rPr>
          <w:rFonts w:hint="default" w:ascii="Arial" w:hAnsi="Arial" w:cs="Arial"/>
          <w:sz w:val="24"/>
          <w:szCs w:val="24"/>
        </w:rPr>
        <w:t xml:space="preserve">        </w:t>
      </w:r>
      <w:r>
        <w:rPr>
          <w:rFonts w:hint="default" w:ascii="Arial" w:hAnsi="Arial" w:cs="Arial"/>
          <w:b/>
          <w:sz w:val="24"/>
          <w:szCs w:val="24"/>
          <w:u w:val="single"/>
        </w:rPr>
        <w:t xml:space="preserve">Word Count </w:t>
      </w:r>
    </w:p>
    <w:tbl>
      <w:tblPr>
        <w:tblStyle w:val="14"/>
        <w:tblpPr w:leftFromText="180" w:rightFromText="180" w:vertAnchor="text" w:horzAnchor="page" w:tblpXSpec="center" w:tblpY="19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28"/>
        <w:gridCol w:w="1559"/>
      </w:tblGrid>
      <w:tr w14:paraId="317E0B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5961CDE4">
            <w:pPr>
              <w:pageBreakBefore w:val="0"/>
              <w:tabs>
                <w:tab w:val="left" w:pos="960"/>
              </w:tabs>
              <w:kinsoku/>
              <w:wordWrap/>
              <w:overflowPunct/>
              <w:topLinePunct w:val="0"/>
              <w:bidi w:val="0"/>
              <w:snapToGrid/>
              <w:spacing w:after="0" w:line="240" w:lineRule="auto"/>
              <w:jc w:val="both"/>
              <w:rPr>
                <w:rFonts w:hint="default" w:ascii="Arial" w:hAnsi="Arial" w:cs="Arial"/>
                <w:b/>
                <w:sz w:val="24"/>
                <w:szCs w:val="24"/>
              </w:rPr>
            </w:pPr>
            <w:r>
              <w:rPr>
                <w:rFonts w:hint="default" w:ascii="Arial" w:hAnsi="Arial" w:cs="Arial"/>
                <w:b/>
                <w:sz w:val="24"/>
                <w:szCs w:val="24"/>
              </w:rPr>
              <w:t>Chapter</w:t>
            </w:r>
          </w:p>
        </w:tc>
        <w:tc>
          <w:tcPr>
            <w:tcW w:w="1559" w:type="dxa"/>
          </w:tcPr>
          <w:p w14:paraId="3B040371">
            <w:pPr>
              <w:pageBreakBefore w:val="0"/>
              <w:tabs>
                <w:tab w:val="left" w:pos="960"/>
              </w:tabs>
              <w:kinsoku/>
              <w:wordWrap/>
              <w:overflowPunct/>
              <w:topLinePunct w:val="0"/>
              <w:bidi w:val="0"/>
              <w:snapToGrid/>
              <w:spacing w:after="0" w:line="240" w:lineRule="auto"/>
              <w:jc w:val="both"/>
              <w:rPr>
                <w:rFonts w:hint="default" w:ascii="Arial" w:hAnsi="Arial" w:cs="Arial"/>
                <w:b/>
                <w:sz w:val="24"/>
                <w:szCs w:val="24"/>
              </w:rPr>
            </w:pPr>
            <w:r>
              <w:rPr>
                <w:rFonts w:hint="default" w:ascii="Arial" w:hAnsi="Arial" w:cs="Arial"/>
                <w:b/>
                <w:sz w:val="24"/>
                <w:szCs w:val="24"/>
              </w:rPr>
              <w:t>Word Count</w:t>
            </w:r>
          </w:p>
        </w:tc>
      </w:tr>
      <w:tr w14:paraId="07C968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024E1C7B">
            <w:pPr>
              <w:pageBreakBefore w:val="0"/>
              <w:tabs>
                <w:tab w:val="left" w:pos="960"/>
              </w:tabs>
              <w:kinsoku/>
              <w:wordWrap/>
              <w:overflowPunct/>
              <w:topLinePunct w:val="0"/>
              <w:bidi w:val="0"/>
              <w:snapToGrid/>
              <w:spacing w:after="0" w:line="240" w:lineRule="auto"/>
              <w:jc w:val="left"/>
              <w:rPr>
                <w:rFonts w:hint="default" w:ascii="Arial" w:hAnsi="Arial" w:cs="Arial"/>
                <w:sz w:val="24"/>
                <w:szCs w:val="24"/>
              </w:rPr>
            </w:pPr>
            <w:r>
              <w:rPr>
                <w:rFonts w:hint="default" w:ascii="Arial" w:hAnsi="Arial" w:cs="Arial"/>
                <w:sz w:val="24"/>
                <w:szCs w:val="24"/>
              </w:rPr>
              <w:t>Introduction</w:t>
            </w:r>
          </w:p>
        </w:tc>
        <w:tc>
          <w:tcPr>
            <w:tcW w:w="1559" w:type="dxa"/>
          </w:tcPr>
          <w:p w14:paraId="22B38FF7">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sz w:val="24"/>
                <w:szCs w:val="24"/>
                <w:lang w:val="en-US" w:eastAsia="zh-CN"/>
              </w:rPr>
            </w:pPr>
            <w:r>
              <w:rPr>
                <w:rFonts w:hint="default" w:ascii="Arial" w:hAnsi="Arial" w:cs="Arial"/>
                <w:sz w:val="24"/>
                <w:szCs w:val="24"/>
                <w:lang w:val="en-US" w:eastAsia="zh-CN"/>
              </w:rPr>
              <w:t>1,459</w:t>
            </w:r>
          </w:p>
        </w:tc>
      </w:tr>
      <w:tr w14:paraId="7D69E6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00E46F6A">
            <w:pPr>
              <w:pageBreakBefore w:val="0"/>
              <w:tabs>
                <w:tab w:val="left" w:pos="960"/>
              </w:tabs>
              <w:kinsoku/>
              <w:wordWrap/>
              <w:overflowPunct/>
              <w:topLinePunct w:val="0"/>
              <w:bidi w:val="0"/>
              <w:snapToGrid/>
              <w:spacing w:after="0" w:line="240" w:lineRule="auto"/>
              <w:jc w:val="left"/>
              <w:rPr>
                <w:rFonts w:hint="default" w:ascii="Arial" w:hAnsi="Arial" w:cs="Arial"/>
                <w:sz w:val="24"/>
                <w:szCs w:val="24"/>
              </w:rPr>
            </w:pPr>
            <w:r>
              <w:rPr>
                <w:rFonts w:hint="default" w:ascii="Arial" w:hAnsi="Arial" w:cs="Arial"/>
                <w:sz w:val="24"/>
                <w:szCs w:val="24"/>
              </w:rPr>
              <w:t>Literature Review</w:t>
            </w:r>
          </w:p>
        </w:tc>
        <w:tc>
          <w:tcPr>
            <w:tcW w:w="1559" w:type="dxa"/>
          </w:tcPr>
          <w:p w14:paraId="7238450E">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sz w:val="24"/>
                <w:szCs w:val="24"/>
                <w:lang w:val="en-US" w:eastAsia="zh-CN"/>
              </w:rPr>
            </w:pPr>
            <w:r>
              <w:rPr>
                <w:rFonts w:hint="default" w:ascii="Arial" w:hAnsi="Arial" w:cs="Arial"/>
                <w:sz w:val="24"/>
                <w:szCs w:val="24"/>
                <w:lang w:val="en-US" w:eastAsia="zh-CN"/>
              </w:rPr>
              <w:t>5,158</w:t>
            </w:r>
          </w:p>
        </w:tc>
      </w:tr>
      <w:tr w14:paraId="1B2411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148CB487">
            <w:pPr>
              <w:pageBreakBefore w:val="0"/>
              <w:tabs>
                <w:tab w:val="left" w:pos="960"/>
              </w:tabs>
              <w:kinsoku/>
              <w:wordWrap/>
              <w:overflowPunct/>
              <w:topLinePunct w:val="0"/>
              <w:bidi w:val="0"/>
              <w:snapToGrid/>
              <w:spacing w:after="0" w:line="240" w:lineRule="auto"/>
              <w:jc w:val="left"/>
              <w:rPr>
                <w:rFonts w:hint="default" w:ascii="Arial" w:hAnsi="Arial" w:cs="Arial"/>
                <w:sz w:val="24"/>
                <w:szCs w:val="24"/>
              </w:rPr>
            </w:pPr>
            <w:r>
              <w:rPr>
                <w:rFonts w:hint="default" w:ascii="Arial" w:hAnsi="Arial" w:cs="Arial"/>
                <w:sz w:val="24"/>
                <w:szCs w:val="24"/>
              </w:rPr>
              <w:t>Methodology</w:t>
            </w:r>
          </w:p>
        </w:tc>
        <w:tc>
          <w:tcPr>
            <w:tcW w:w="1559" w:type="dxa"/>
          </w:tcPr>
          <w:p w14:paraId="08659B39">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sz w:val="24"/>
                <w:szCs w:val="24"/>
                <w:lang w:val="en-US" w:eastAsia="zh-CN"/>
              </w:rPr>
            </w:pPr>
            <w:r>
              <w:rPr>
                <w:rFonts w:hint="default" w:ascii="Arial" w:hAnsi="Arial" w:cs="Arial"/>
                <w:sz w:val="24"/>
                <w:szCs w:val="24"/>
                <w:lang w:val="en-US" w:eastAsia="zh-CN"/>
              </w:rPr>
              <w:t>2,616</w:t>
            </w:r>
          </w:p>
        </w:tc>
      </w:tr>
      <w:tr w14:paraId="55AE3D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2834BFA0">
            <w:pPr>
              <w:pageBreakBefore w:val="0"/>
              <w:tabs>
                <w:tab w:val="left" w:pos="960"/>
              </w:tabs>
              <w:kinsoku/>
              <w:wordWrap/>
              <w:overflowPunct/>
              <w:topLinePunct w:val="0"/>
              <w:bidi w:val="0"/>
              <w:snapToGrid/>
              <w:spacing w:after="0" w:line="240" w:lineRule="auto"/>
              <w:jc w:val="left"/>
              <w:rPr>
                <w:rFonts w:hint="default" w:ascii="Arial" w:hAnsi="Arial" w:cs="Arial"/>
                <w:sz w:val="24"/>
                <w:szCs w:val="24"/>
              </w:rPr>
            </w:pPr>
            <w:r>
              <w:rPr>
                <w:rFonts w:hint="default" w:ascii="Arial" w:hAnsi="Arial" w:cs="Arial"/>
                <w:sz w:val="24"/>
                <w:szCs w:val="24"/>
              </w:rPr>
              <w:t>Data Analysis</w:t>
            </w:r>
          </w:p>
        </w:tc>
        <w:tc>
          <w:tcPr>
            <w:tcW w:w="1559" w:type="dxa"/>
          </w:tcPr>
          <w:p w14:paraId="26F4AB92">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sz w:val="24"/>
                <w:szCs w:val="24"/>
                <w:lang w:val="en-US" w:eastAsia="zh-CN"/>
              </w:rPr>
            </w:pPr>
            <w:r>
              <w:rPr>
                <w:rFonts w:hint="default" w:ascii="Arial" w:hAnsi="Arial" w:cs="Arial"/>
                <w:sz w:val="24"/>
                <w:szCs w:val="24"/>
                <w:lang w:val="en-US" w:eastAsia="zh-CN"/>
              </w:rPr>
              <w:t>4,788</w:t>
            </w:r>
          </w:p>
        </w:tc>
      </w:tr>
      <w:tr w14:paraId="7B41A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3EE85F60">
            <w:pPr>
              <w:pageBreakBefore w:val="0"/>
              <w:tabs>
                <w:tab w:val="left" w:pos="960"/>
              </w:tabs>
              <w:kinsoku/>
              <w:wordWrap/>
              <w:overflowPunct/>
              <w:topLinePunct w:val="0"/>
              <w:bidi w:val="0"/>
              <w:snapToGrid/>
              <w:spacing w:after="0" w:line="240" w:lineRule="auto"/>
              <w:jc w:val="left"/>
              <w:rPr>
                <w:rFonts w:hint="default" w:ascii="Arial" w:hAnsi="Arial" w:cs="Arial"/>
                <w:sz w:val="24"/>
                <w:szCs w:val="24"/>
              </w:rPr>
            </w:pPr>
            <w:r>
              <w:rPr>
                <w:rFonts w:hint="default" w:ascii="Arial" w:hAnsi="Arial" w:cs="Arial"/>
                <w:sz w:val="24"/>
                <w:szCs w:val="24"/>
              </w:rPr>
              <w:t>Discussion, Conclusion and Recommendations</w:t>
            </w:r>
          </w:p>
        </w:tc>
        <w:tc>
          <w:tcPr>
            <w:tcW w:w="1559" w:type="dxa"/>
          </w:tcPr>
          <w:p w14:paraId="290C8FDE">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sz w:val="24"/>
                <w:szCs w:val="24"/>
                <w:lang w:val="en-US" w:eastAsia="zh-CN"/>
              </w:rPr>
            </w:pPr>
            <w:r>
              <w:rPr>
                <w:rFonts w:hint="default" w:ascii="Arial" w:hAnsi="Arial" w:cs="Arial"/>
                <w:sz w:val="24"/>
                <w:szCs w:val="24"/>
                <w:lang w:val="en-US" w:eastAsia="zh-CN"/>
              </w:rPr>
              <w:t>2,159</w:t>
            </w:r>
          </w:p>
        </w:tc>
      </w:tr>
      <w:tr w14:paraId="54653F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8" w:type="dxa"/>
          </w:tcPr>
          <w:p w14:paraId="069AE4B9">
            <w:pPr>
              <w:pageBreakBefore w:val="0"/>
              <w:tabs>
                <w:tab w:val="left" w:pos="960"/>
              </w:tabs>
              <w:kinsoku/>
              <w:wordWrap/>
              <w:overflowPunct/>
              <w:topLinePunct w:val="0"/>
              <w:bidi w:val="0"/>
              <w:snapToGrid/>
              <w:spacing w:after="0" w:line="240" w:lineRule="auto"/>
              <w:jc w:val="left"/>
              <w:rPr>
                <w:rFonts w:hint="default" w:ascii="Arial" w:hAnsi="Arial" w:cs="Arial"/>
                <w:b/>
                <w:sz w:val="24"/>
                <w:szCs w:val="24"/>
              </w:rPr>
            </w:pPr>
            <w:r>
              <w:rPr>
                <w:rFonts w:hint="default" w:ascii="Arial" w:hAnsi="Arial" w:cs="Arial"/>
                <w:b/>
                <w:sz w:val="24"/>
                <w:szCs w:val="24"/>
              </w:rPr>
              <w:t>Total word count</w:t>
            </w:r>
          </w:p>
        </w:tc>
        <w:tc>
          <w:tcPr>
            <w:tcW w:w="1559" w:type="dxa"/>
          </w:tcPr>
          <w:p w14:paraId="51F66CC6">
            <w:pPr>
              <w:pageBreakBefore w:val="0"/>
              <w:tabs>
                <w:tab w:val="left" w:pos="960"/>
              </w:tabs>
              <w:kinsoku/>
              <w:wordWrap/>
              <w:overflowPunct/>
              <w:topLinePunct w:val="0"/>
              <w:bidi w:val="0"/>
              <w:snapToGrid/>
              <w:spacing w:after="0" w:line="240" w:lineRule="auto"/>
              <w:jc w:val="both"/>
              <w:rPr>
                <w:rFonts w:hint="default" w:ascii="Arial" w:hAnsi="Arial" w:cs="Arial" w:eastAsiaTheme="minorEastAsia"/>
                <w:b/>
                <w:sz w:val="24"/>
                <w:szCs w:val="24"/>
                <w:lang w:val="en-US" w:eastAsia="zh-CN"/>
              </w:rPr>
            </w:pPr>
            <w:r>
              <w:rPr>
                <w:rFonts w:hint="default" w:ascii="Arial" w:hAnsi="Arial" w:cs="Arial"/>
                <w:b/>
                <w:sz w:val="24"/>
                <w:szCs w:val="24"/>
                <w:lang w:val="en-US" w:eastAsia="zh-CN"/>
              </w:rPr>
              <w:t>15,882</w:t>
            </w:r>
          </w:p>
        </w:tc>
      </w:tr>
    </w:tbl>
    <w:p w14:paraId="1739F6B6">
      <w:pPr>
        <w:pageBreakBefore w:val="0"/>
        <w:kinsoku/>
        <w:wordWrap/>
        <w:overflowPunct/>
        <w:topLinePunct w:val="0"/>
        <w:bidi w:val="0"/>
        <w:snapToGrid/>
        <w:spacing w:line="240" w:lineRule="auto"/>
        <w:jc w:val="both"/>
        <w:rPr>
          <w:rFonts w:hint="default" w:ascii="Arial" w:hAnsi="Arial" w:cs="Arial"/>
          <w:sz w:val="24"/>
          <w:szCs w:val="24"/>
        </w:rPr>
      </w:pPr>
    </w:p>
    <w:p w14:paraId="3DDAFF49">
      <w:pPr>
        <w:pageBreakBefore w:val="0"/>
        <w:tabs>
          <w:tab w:val="left" w:pos="960"/>
        </w:tabs>
        <w:kinsoku/>
        <w:wordWrap/>
        <w:overflowPunct/>
        <w:topLinePunct w:val="0"/>
        <w:bidi w:val="0"/>
        <w:snapToGrid/>
        <w:spacing w:line="240" w:lineRule="auto"/>
        <w:jc w:val="both"/>
        <w:rPr>
          <w:rFonts w:hint="default" w:ascii="Arial" w:hAnsi="Arial" w:cs="Arial"/>
          <w:sz w:val="24"/>
          <w:szCs w:val="24"/>
        </w:rPr>
      </w:pPr>
      <w:r>
        <w:rPr>
          <w:rFonts w:hint="default" w:ascii="Arial" w:hAnsi="Arial" w:cs="Arial"/>
          <w:sz w:val="24"/>
          <w:szCs w:val="24"/>
        </w:rPr>
        <w:tab/>
      </w:r>
    </w:p>
    <w:p w14:paraId="2819EB84">
      <w:pPr>
        <w:pageBreakBefore w:val="0"/>
        <w:tabs>
          <w:tab w:val="left" w:pos="960"/>
        </w:tabs>
        <w:kinsoku/>
        <w:wordWrap/>
        <w:overflowPunct/>
        <w:topLinePunct w:val="0"/>
        <w:bidi w:val="0"/>
        <w:snapToGrid/>
        <w:spacing w:line="240" w:lineRule="auto"/>
        <w:jc w:val="both"/>
        <w:rPr>
          <w:rFonts w:hint="default" w:ascii="Arial" w:hAnsi="Arial" w:cs="Arial"/>
          <w:sz w:val="24"/>
          <w:szCs w:val="24"/>
        </w:rPr>
      </w:pPr>
    </w:p>
    <w:p w14:paraId="05D1315A">
      <w:pPr>
        <w:pageBreakBefore w:val="0"/>
        <w:tabs>
          <w:tab w:val="left" w:pos="960"/>
        </w:tabs>
        <w:kinsoku/>
        <w:wordWrap/>
        <w:overflowPunct/>
        <w:topLinePunct w:val="0"/>
        <w:bidi w:val="0"/>
        <w:snapToGrid/>
        <w:spacing w:line="240" w:lineRule="auto"/>
        <w:jc w:val="both"/>
        <w:rPr>
          <w:rFonts w:hint="default" w:ascii="Arial" w:hAnsi="Arial" w:cs="Arial"/>
          <w:sz w:val="24"/>
          <w:szCs w:val="24"/>
        </w:rPr>
      </w:pPr>
    </w:p>
    <w:p w14:paraId="47D80FEB">
      <w:pPr>
        <w:pageBreakBefore w:val="0"/>
        <w:tabs>
          <w:tab w:val="left" w:pos="960"/>
        </w:tabs>
        <w:kinsoku/>
        <w:wordWrap/>
        <w:overflowPunct/>
        <w:topLinePunct w:val="0"/>
        <w:bidi w:val="0"/>
        <w:snapToGrid/>
        <w:spacing w:line="240" w:lineRule="auto"/>
        <w:jc w:val="both"/>
        <w:rPr>
          <w:rFonts w:hint="default" w:ascii="Arial" w:hAnsi="Arial" w:cs="Arial"/>
          <w:sz w:val="24"/>
          <w:szCs w:val="24"/>
        </w:rPr>
      </w:pPr>
    </w:p>
    <w:p w14:paraId="32C5E1D9">
      <w:pPr>
        <w:pageBreakBefore w:val="0"/>
        <w:tabs>
          <w:tab w:val="left" w:pos="960"/>
        </w:tabs>
        <w:kinsoku/>
        <w:wordWrap/>
        <w:overflowPunct/>
        <w:topLinePunct w:val="0"/>
        <w:bidi w:val="0"/>
        <w:snapToGrid/>
        <w:spacing w:line="240" w:lineRule="auto"/>
        <w:jc w:val="both"/>
        <w:rPr>
          <w:rFonts w:hint="default" w:ascii="Arial" w:hAnsi="Arial" w:cs="Arial"/>
          <w:sz w:val="24"/>
          <w:szCs w:val="24"/>
        </w:rPr>
      </w:pPr>
    </w:p>
    <w:p w14:paraId="4B13483B">
      <w:pPr>
        <w:pageBreakBefore w:val="0"/>
        <w:kinsoku/>
        <w:wordWrap/>
        <w:overflowPunct/>
        <w:topLinePunct w:val="0"/>
        <w:bidi w:val="0"/>
        <w:snapToGrid/>
        <w:spacing w:line="240" w:lineRule="auto"/>
        <w:jc w:val="both"/>
        <w:rPr>
          <w:rFonts w:hint="default" w:ascii="Arial" w:hAnsi="Arial" w:cs="Arial"/>
          <w:sz w:val="24"/>
          <w:szCs w:val="24"/>
        </w:rPr>
      </w:pPr>
    </w:p>
    <w:p w14:paraId="6A72EA12">
      <w:pPr>
        <w:pageBreakBefore w:val="0"/>
        <w:kinsoku/>
        <w:wordWrap/>
        <w:overflowPunct/>
        <w:topLinePunct w:val="0"/>
        <w:bidi w:val="0"/>
        <w:snapToGrid/>
        <w:spacing w:line="240" w:lineRule="auto"/>
        <w:jc w:val="both"/>
        <w:rPr>
          <w:rFonts w:hint="default" w:ascii="Arial" w:hAnsi="Arial" w:cs="Arial"/>
          <w:sz w:val="24"/>
          <w:szCs w:val="24"/>
        </w:rPr>
      </w:pPr>
    </w:p>
    <w:p w14:paraId="1338EA25">
      <w:pPr>
        <w:pageBreakBefore w:val="0"/>
        <w:kinsoku/>
        <w:wordWrap/>
        <w:overflowPunct/>
        <w:topLinePunct w:val="0"/>
        <w:bidi w:val="0"/>
        <w:snapToGrid/>
        <w:spacing w:line="240" w:lineRule="auto"/>
        <w:jc w:val="both"/>
        <w:rPr>
          <w:rFonts w:hint="default" w:ascii="Arial" w:hAnsi="Arial" w:cs="Arial"/>
          <w:sz w:val="24"/>
          <w:szCs w:val="24"/>
        </w:rPr>
      </w:pPr>
    </w:p>
    <w:p w14:paraId="61EE6452">
      <w:pPr>
        <w:pageBreakBefore w:val="0"/>
        <w:kinsoku/>
        <w:wordWrap/>
        <w:overflowPunct/>
        <w:topLinePunct w:val="0"/>
        <w:bidi w:val="0"/>
        <w:snapToGrid/>
        <w:spacing w:line="240" w:lineRule="auto"/>
        <w:jc w:val="both"/>
        <w:rPr>
          <w:rFonts w:hint="default" w:ascii="Arial" w:hAnsi="Arial" w:cs="Arial"/>
          <w:sz w:val="24"/>
          <w:szCs w:val="24"/>
        </w:rPr>
      </w:pPr>
    </w:p>
    <w:p w14:paraId="6AE7F325">
      <w:pPr>
        <w:pageBreakBefore w:val="0"/>
        <w:kinsoku/>
        <w:wordWrap/>
        <w:overflowPunct/>
        <w:topLinePunct w:val="0"/>
        <w:bidi w:val="0"/>
        <w:snapToGrid/>
        <w:spacing w:line="240" w:lineRule="auto"/>
        <w:rPr>
          <w:rFonts w:hint="default" w:ascii="Arial" w:hAnsi="Arial" w:cs="Arial"/>
          <w:sz w:val="24"/>
          <w:szCs w:val="24"/>
        </w:rPr>
      </w:pPr>
    </w:p>
    <w:p w14:paraId="130C8E59">
      <w:pPr>
        <w:pageBreakBefore w:val="0"/>
        <w:kinsoku/>
        <w:wordWrap/>
        <w:overflowPunct/>
        <w:topLinePunct w:val="0"/>
        <w:bidi w:val="0"/>
        <w:snapToGrid/>
        <w:spacing w:line="240" w:lineRule="auto"/>
        <w:rPr>
          <w:rFonts w:hint="default" w:ascii="Arial" w:hAnsi="Arial" w:cs="Arial"/>
          <w:sz w:val="24"/>
          <w:szCs w:val="24"/>
        </w:rPr>
      </w:pPr>
    </w:p>
    <w:p w14:paraId="64483FDE">
      <w:pPr>
        <w:pageBreakBefore w:val="0"/>
        <w:kinsoku/>
        <w:wordWrap/>
        <w:overflowPunct/>
        <w:topLinePunct w:val="0"/>
        <w:bidi w:val="0"/>
        <w:snapToGrid/>
        <w:spacing w:line="240" w:lineRule="auto"/>
        <w:rPr>
          <w:rFonts w:hint="default" w:ascii="Arial" w:hAnsi="Arial" w:cs="Arial"/>
          <w:sz w:val="24"/>
          <w:szCs w:val="24"/>
        </w:rPr>
      </w:pPr>
    </w:p>
    <w:p w14:paraId="6E67C63F">
      <w:pPr>
        <w:pageBreakBefore w:val="0"/>
        <w:kinsoku/>
        <w:wordWrap/>
        <w:overflowPunct/>
        <w:topLinePunct w:val="0"/>
        <w:bidi w:val="0"/>
        <w:snapToGrid/>
        <w:spacing w:line="240" w:lineRule="auto"/>
        <w:rPr>
          <w:rFonts w:hint="default" w:ascii="Arial" w:hAnsi="Arial" w:cs="Arial"/>
          <w:sz w:val="24"/>
          <w:szCs w:val="24"/>
        </w:rPr>
      </w:pPr>
    </w:p>
    <w:p w14:paraId="0B858E53">
      <w:pPr>
        <w:pageBreakBefore w:val="0"/>
        <w:kinsoku/>
        <w:wordWrap/>
        <w:overflowPunct/>
        <w:topLinePunct w:val="0"/>
        <w:bidi w:val="0"/>
        <w:snapToGrid/>
        <w:spacing w:line="240" w:lineRule="auto"/>
        <w:rPr>
          <w:rFonts w:hint="default" w:ascii="Arial" w:hAnsi="Arial" w:cs="Arial"/>
          <w:sz w:val="24"/>
          <w:szCs w:val="24"/>
        </w:rPr>
      </w:pPr>
    </w:p>
    <w:p w14:paraId="4A6303B7">
      <w:pPr>
        <w:rPr>
          <w:rFonts w:hint="default"/>
        </w:rPr>
      </w:pPr>
      <w:bookmarkStart w:id="16" w:name="_Toc481690777"/>
    </w:p>
    <w:p w14:paraId="5D8C8F26">
      <w:pPr>
        <w:pStyle w:val="2"/>
        <w:pageBreakBefore w:val="0"/>
        <w:kinsoku/>
        <w:wordWrap/>
        <w:overflowPunct/>
        <w:topLinePunct w:val="0"/>
        <w:bidi w:val="0"/>
        <w:snapToGrid/>
        <w:spacing w:line="240" w:lineRule="auto"/>
        <w:rPr>
          <w:rFonts w:hint="default" w:ascii="Arial" w:hAnsi="Arial" w:cs="Arial"/>
          <w:color w:val="auto"/>
          <w:sz w:val="24"/>
          <w:szCs w:val="24"/>
          <w:u w:val="single"/>
        </w:rPr>
      </w:pPr>
      <w:bookmarkStart w:id="17" w:name="_Toc25026"/>
      <w:r>
        <w:rPr>
          <w:rFonts w:hint="default" w:ascii="Arial" w:hAnsi="Arial" w:cs="Arial"/>
          <w:color w:val="auto"/>
          <w:sz w:val="24"/>
          <w:szCs w:val="24"/>
          <w:u w:val="single"/>
        </w:rPr>
        <w:t>A</w:t>
      </w:r>
      <w:r>
        <w:rPr>
          <w:rFonts w:hint="default" w:ascii="Arial" w:hAnsi="Arial" w:cs="Arial"/>
          <w:b/>
          <w:color w:val="auto"/>
          <w:sz w:val="24"/>
          <w:szCs w:val="24"/>
          <w:u w:val="single"/>
        </w:rPr>
        <w:t>cknowledgements</w:t>
      </w:r>
      <w:bookmarkEnd w:id="16"/>
      <w:bookmarkEnd w:id="17"/>
    </w:p>
    <w:p w14:paraId="13A835EA">
      <w:pPr>
        <w:pageBreakBefore w:val="0"/>
        <w:kinsoku/>
        <w:wordWrap/>
        <w:overflowPunct/>
        <w:topLinePunct w:val="0"/>
        <w:bidi w:val="0"/>
        <w:snapToGrid/>
        <w:spacing w:line="240" w:lineRule="auto"/>
        <w:rPr>
          <w:rFonts w:hint="default" w:ascii="Arial" w:hAnsi="Arial" w:cs="Arial"/>
          <w:sz w:val="24"/>
          <w:szCs w:val="24"/>
        </w:rPr>
      </w:pPr>
    </w:p>
    <w:p w14:paraId="665F1367">
      <w:pPr>
        <w:pageBreakBefore w:val="0"/>
        <w:kinsoku/>
        <w:wordWrap/>
        <w:overflowPunct/>
        <w:topLinePunct w:val="0"/>
        <w:bidi w:val="0"/>
        <w:snapToGrid/>
        <w:spacing w:line="240" w:lineRule="auto"/>
        <w:rPr>
          <w:rFonts w:hint="default" w:ascii="Arial" w:hAnsi="Arial" w:cs="Arial" w:eastAsiaTheme="minorEastAsia"/>
          <w:sz w:val="24"/>
          <w:szCs w:val="24"/>
          <w:lang w:val="en-US" w:eastAsia="zh-CN"/>
        </w:rPr>
      </w:pPr>
      <w:r>
        <w:rPr>
          <w:rFonts w:hint="default" w:ascii="Arial" w:hAnsi="Arial" w:cs="Arial"/>
          <w:sz w:val="24"/>
          <w:szCs w:val="24"/>
        </w:rPr>
        <w:t xml:space="preserve">First, I would like to say thank you to </w:t>
      </w:r>
      <w:r>
        <w:rPr>
          <w:rFonts w:hint="default" w:ascii="Arial" w:hAnsi="Arial" w:cs="Arial"/>
          <w:sz w:val="24"/>
          <w:szCs w:val="24"/>
          <w:lang w:val="en-US" w:eastAsia="zh-CN"/>
        </w:rPr>
        <w:t>Sarah Peasley</w:t>
      </w:r>
      <w:r>
        <w:rPr>
          <w:rFonts w:hint="default" w:ascii="Arial" w:hAnsi="Arial" w:cs="Arial"/>
          <w:sz w:val="24"/>
          <w:szCs w:val="24"/>
        </w:rPr>
        <w:t xml:space="preserve">, for her continuous support, </w:t>
      </w:r>
      <w:r>
        <w:rPr>
          <w:rFonts w:hint="default" w:ascii="Arial" w:hAnsi="Arial" w:cs="Arial"/>
          <w:sz w:val="24"/>
          <w:szCs w:val="24"/>
          <w:lang w:val="en-US" w:eastAsia="zh-CN"/>
        </w:rPr>
        <w:t xml:space="preserve">kind and patient and encouraging </w:t>
      </w:r>
      <w:r>
        <w:rPr>
          <w:rFonts w:hint="default" w:ascii="Arial" w:hAnsi="Arial" w:cs="Arial"/>
          <w:sz w:val="24"/>
          <w:szCs w:val="24"/>
        </w:rPr>
        <w:t xml:space="preserve">supervision and advice, throughout the duration of the dissertation. </w:t>
      </w:r>
      <w:r>
        <w:rPr>
          <w:rFonts w:hint="default" w:ascii="Arial" w:hAnsi="Arial" w:cs="Arial"/>
          <w:sz w:val="24"/>
          <w:szCs w:val="24"/>
          <w:lang w:val="en-US" w:eastAsia="zh-CN"/>
        </w:rPr>
        <w:t>As Chinese education is criticism orientated, I can not express more gratitude to Professor Sarah for how she saw my potential and brought me confidence during the past few months, it is just beyond words, I fell literately levitated.</w:t>
      </w:r>
    </w:p>
    <w:p w14:paraId="2F169F1B">
      <w:pPr>
        <w:pageBreakBefore w:val="0"/>
        <w:kinsoku/>
        <w:wordWrap/>
        <w:overflowPunct/>
        <w:topLinePunct w:val="0"/>
        <w:bidi w:val="0"/>
        <w:snapToGrid/>
        <w:spacing w:line="240" w:lineRule="auto"/>
        <w:rPr>
          <w:rFonts w:hint="default" w:ascii="Arial" w:hAnsi="Arial" w:cs="Arial"/>
          <w:sz w:val="24"/>
          <w:szCs w:val="24"/>
        </w:rPr>
      </w:pPr>
    </w:p>
    <w:p w14:paraId="6381D5F8">
      <w:pPr>
        <w:pageBreakBefore w:val="0"/>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t xml:space="preserve">Second, thank you to Wriothesley of Genshin Impact. He motivates me to explore deeper into the gaming industry. Every chapter ended, I would buy a Wriothesley goos as if I had done well and been rewarded by him. Now that I have submitted this dissertation, we deserve a vacation to celebrate the completion of a project, so we`re heading to Hong Kong for a few days. I hope miHoYo gives him his first return now! </w:t>
      </w:r>
    </w:p>
    <w:p w14:paraId="7E3C2E32">
      <w:pPr>
        <w:pageBreakBefore w:val="0"/>
        <w:kinsoku/>
        <w:wordWrap/>
        <w:overflowPunct/>
        <w:topLinePunct w:val="0"/>
        <w:bidi w:val="0"/>
        <w:snapToGrid/>
        <w:spacing w:line="240" w:lineRule="auto"/>
        <w:rPr>
          <w:rFonts w:hint="default" w:ascii="Arial" w:hAnsi="Arial" w:cs="Arial"/>
          <w:sz w:val="24"/>
          <w:szCs w:val="24"/>
        </w:rPr>
      </w:pPr>
    </w:p>
    <w:p w14:paraId="12BE0BCA">
      <w:pPr>
        <w:pageBreakBefore w:val="0"/>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t>Also, I would like</w:t>
      </w:r>
      <w:r>
        <w:rPr>
          <w:rFonts w:hint="default" w:ascii="Arial" w:hAnsi="Arial" w:cs="Arial"/>
          <w:sz w:val="24"/>
          <w:szCs w:val="24"/>
        </w:rPr>
        <w:t xml:space="preserve"> to thank my partner </w:t>
      </w:r>
      <w:r>
        <w:rPr>
          <w:rFonts w:hint="default" w:ascii="Arial" w:hAnsi="Arial" w:cs="Arial"/>
          <w:sz w:val="24"/>
          <w:szCs w:val="24"/>
          <w:lang w:val="en-US" w:eastAsia="zh-CN"/>
        </w:rPr>
        <w:t>Percy Young</w:t>
      </w:r>
      <w:r>
        <w:rPr>
          <w:rFonts w:hint="default" w:ascii="Arial" w:hAnsi="Arial" w:cs="Arial"/>
          <w:sz w:val="24"/>
          <w:szCs w:val="24"/>
        </w:rPr>
        <w:t xml:space="preserve">, for </w:t>
      </w:r>
      <w:r>
        <w:rPr>
          <w:rFonts w:hint="default" w:ascii="Arial" w:hAnsi="Arial" w:cs="Arial"/>
          <w:sz w:val="24"/>
          <w:szCs w:val="24"/>
          <w:lang w:val="en-US" w:eastAsia="zh-CN"/>
        </w:rPr>
        <w:t xml:space="preserve">his </w:t>
      </w:r>
      <w:r>
        <w:rPr>
          <w:rFonts w:hint="default" w:ascii="Arial" w:hAnsi="Arial" w:cs="Arial"/>
          <w:sz w:val="24"/>
          <w:szCs w:val="24"/>
        </w:rPr>
        <w:t xml:space="preserve">continuous support and help throughout my studies. </w:t>
      </w:r>
    </w:p>
    <w:p w14:paraId="211DBFAF">
      <w:pPr>
        <w:pageBreakBefore w:val="0"/>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rPr>
        <w:br w:type="page"/>
      </w:r>
    </w:p>
    <w:p w14:paraId="7D1BD9BA">
      <w:pPr>
        <w:pStyle w:val="2"/>
        <w:pageBreakBefore w:val="0"/>
        <w:kinsoku/>
        <w:wordWrap/>
        <w:overflowPunct/>
        <w:topLinePunct w:val="0"/>
        <w:bidi w:val="0"/>
        <w:snapToGrid/>
        <w:spacing w:line="240" w:lineRule="auto"/>
        <w:rPr>
          <w:rFonts w:hint="default" w:ascii="Arial" w:hAnsi="Arial" w:cs="Arial"/>
          <w:b/>
          <w:vanish/>
          <w:color w:val="auto"/>
          <w:sz w:val="24"/>
          <w:szCs w:val="24"/>
          <w:u w:val="single"/>
        </w:rPr>
      </w:pPr>
      <w:bookmarkStart w:id="18" w:name="_Toc481690778"/>
      <w:bookmarkStart w:id="19" w:name="_Toc11219"/>
      <w:r>
        <w:rPr>
          <w:rFonts w:hint="default" w:ascii="Arial" w:hAnsi="Arial" w:cs="Arial"/>
          <w:b/>
          <w:color w:val="auto"/>
          <w:sz w:val="24"/>
          <w:szCs w:val="24"/>
          <w:u w:val="single"/>
        </w:rPr>
        <w:t>Abstract</w:t>
      </w:r>
      <w:bookmarkEnd w:id="18"/>
      <w:bookmarkEnd w:id="19"/>
    </w:p>
    <w:p w14:paraId="3CA51953">
      <w:pPr>
        <w:pStyle w:val="2"/>
        <w:pageBreakBefore w:val="0"/>
        <w:widowControl/>
        <w:kinsoku/>
        <w:wordWrap/>
        <w:overflowPunct/>
        <w:topLinePunct w:val="0"/>
        <w:bidi w:val="0"/>
        <w:snapToGrid/>
        <w:spacing w:before="240" w:after="0" w:line="240" w:lineRule="auto"/>
        <w:jc w:val="left"/>
        <w:rPr>
          <w:rFonts w:hint="default" w:ascii="Arial" w:hAnsi="Arial" w:cs="Arial" w:eastAsiaTheme="majorEastAsia"/>
          <w:b/>
          <w:color w:val="auto"/>
          <w:kern w:val="0"/>
          <w:sz w:val="24"/>
          <w:szCs w:val="24"/>
          <w:u w:val="single"/>
          <w:lang w:val="en-US" w:eastAsia="en-GB"/>
        </w:rPr>
      </w:pPr>
    </w:p>
    <w:p w14:paraId="78E75B83">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t xml:space="preserve">A thorough examination of the cultural marketing strategy used by miHoYo`s well-known open-world action role-playing game, Genshin Impact, is the goal of the proposed business project. Thanks to its compelling gameplay, fascinating narrative, and deep cultural issues, Genshin Impact has become incredibly popular all around the world. </w:t>
      </w:r>
    </w:p>
    <w:p w14:paraId="672C1636">
      <w:pPr>
        <w:pageBreakBefore w:val="0"/>
        <w:kinsoku/>
        <w:wordWrap/>
        <w:overflowPunct/>
        <w:topLinePunct w:val="0"/>
        <w:bidi w:val="0"/>
        <w:snapToGrid/>
        <w:spacing w:line="240" w:lineRule="auto"/>
        <w:rPr>
          <w:rFonts w:hint="default" w:ascii="Arial" w:hAnsi="Arial" w:cs="Arial"/>
          <w:sz w:val="24"/>
          <w:szCs w:val="24"/>
          <w:lang w:val="en-US" w:eastAsia="en-GB"/>
        </w:rPr>
      </w:pPr>
    </w:p>
    <w:p w14:paraId="3C6B4685">
      <w:pPr>
        <w:pageBreakBefore w:val="0"/>
        <w:kinsoku/>
        <w:wordWrap/>
        <w:overflowPunct/>
        <w:topLinePunct w:val="0"/>
        <w:bidi w:val="0"/>
        <w:snapToGrid/>
        <w:spacing w:line="240" w:lineRule="auto"/>
        <w:rPr>
          <w:rFonts w:hint="default" w:ascii="Arial" w:hAnsi="Arial" w:cs="Arial"/>
          <w:sz w:val="24"/>
          <w:szCs w:val="24"/>
          <w:lang w:val="en-US" w:eastAsia="en-GB"/>
        </w:rPr>
      </w:pPr>
      <w:r>
        <w:rPr>
          <w:rFonts w:hint="default" w:ascii="Arial" w:hAnsi="Arial" w:cs="Arial"/>
          <w:sz w:val="24"/>
          <w:szCs w:val="24"/>
          <w:lang w:val="en-US" w:eastAsia="zh-CN"/>
        </w:rPr>
        <w:t xml:space="preserve">This dissertation aims to conduct in-depth interviews with a sample of players to find out more about their perspectives, experiences, and attitudes on the cultural elements Genshin Impact uses in its marketing. In-depth interviews with players will be conducted as part of the study methodology, and topic evaluations of player comments and promotional materials` content will also be done. Numerous sources, such as official gaming channels, user forums, and social networking sites, will provide data for the collection. The study will use qualitative and quantitative analysis techniques to pinpoint significant themes, trends, and perspectives related to cultural marketing in Genshin Impact. </w:t>
      </w:r>
      <w:r>
        <w:rPr>
          <w:rFonts w:hint="default" w:ascii="Arial" w:hAnsi="Arial" w:cs="Arial"/>
          <w:sz w:val="24"/>
          <w:szCs w:val="24"/>
          <w:lang w:val="en-US" w:eastAsia="zh-CN"/>
        </w:rPr>
        <w:br w:type="textWrapping"/>
      </w:r>
    </w:p>
    <w:p w14:paraId="499A6A4E">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t xml:space="preserve">This dissertation aims to increase understanding of the cultural marketing strategies used by the gaming industry through in-depth research and helpful advice for improving cultural representation and involvement in marketing campaigns. </w:t>
      </w:r>
    </w:p>
    <w:p w14:paraId="72EA49CC">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br w:type="page"/>
      </w:r>
    </w:p>
    <w:p w14:paraId="657C708B">
      <w:pPr>
        <w:pageBreakBefore w:val="0"/>
        <w:kinsoku/>
        <w:wordWrap/>
        <w:overflowPunct/>
        <w:topLinePunct w:val="0"/>
        <w:bidi w:val="0"/>
        <w:snapToGrid/>
        <w:spacing w:line="240" w:lineRule="auto"/>
        <w:rPr>
          <w:rFonts w:hint="default" w:ascii="Arial" w:hAnsi="Arial" w:eastAsia="宋体" w:cs="Arial"/>
          <w:kern w:val="2"/>
          <w:sz w:val="24"/>
          <w:szCs w:val="24"/>
          <w:lang w:val="en-US" w:eastAsia="zh-CN" w:bidi="ar-SA"/>
        </w:rPr>
      </w:pPr>
    </w:p>
    <w:sdt>
      <w:sdtPr>
        <w:rPr>
          <w:rFonts w:hint="default" w:ascii="Arial" w:hAnsi="Arial" w:eastAsia="宋体" w:cs="Arial"/>
          <w:kern w:val="2"/>
          <w:sz w:val="24"/>
          <w:szCs w:val="24"/>
          <w:lang w:val="en-US" w:eastAsia="zh-CN" w:bidi="ar-SA"/>
        </w:rPr>
        <w:id w:val="147474635"/>
        <w15:color w:val="DBDBDB"/>
        <w:docPartObj>
          <w:docPartGallery w:val="Table of Contents"/>
          <w:docPartUnique/>
        </w:docPartObj>
      </w:sdtPr>
      <w:sdtEndPr>
        <w:rPr>
          <w:rFonts w:hint="default" w:ascii="Arial" w:hAnsi="Arial" w:eastAsia="黑体" w:cs="Arial"/>
          <w:b/>
          <w:kern w:val="2"/>
          <w:sz w:val="24"/>
          <w:szCs w:val="24"/>
          <w:lang w:val="en-US" w:eastAsia="zh-CN" w:bidi="ar-SA"/>
        </w:rPr>
      </w:sdtEndPr>
      <w:sdtContent>
        <w:p w14:paraId="3E54A8BE">
          <w:pPr>
            <w:pageBreakBefore w:val="0"/>
            <w:kinsoku/>
            <w:wordWrap/>
            <w:overflowPunct/>
            <w:topLinePunct w:val="0"/>
            <w:bidi w:val="0"/>
            <w:snapToGrid/>
            <w:spacing w:before="0" w:beforeLines="0" w:after="0" w:afterLines="0" w:line="240" w:lineRule="auto"/>
            <w:ind w:left="0" w:leftChars="0" w:right="0" w:rightChars="0" w:firstLine="0" w:firstLineChars="0"/>
            <w:jc w:val="center"/>
            <w:rPr>
              <w:rFonts w:hint="default" w:ascii="Arial" w:hAnsi="Arial" w:cs="Arial"/>
              <w:b/>
              <w:bCs/>
              <w:sz w:val="24"/>
              <w:szCs w:val="24"/>
              <w:lang w:val="en-US"/>
            </w:rPr>
          </w:pPr>
          <w:r>
            <w:rPr>
              <w:rFonts w:hint="default" w:ascii="Arial" w:hAnsi="Arial" w:eastAsia="宋体" w:cs="Arial"/>
              <w:b/>
              <w:bCs/>
              <w:kern w:val="2"/>
              <w:sz w:val="24"/>
              <w:szCs w:val="24"/>
              <w:lang w:val="en-US" w:eastAsia="zh-CN" w:bidi="ar-SA"/>
            </w:rPr>
            <w:t>CONTENT</w:t>
          </w:r>
        </w:p>
        <w:p w14:paraId="43DCA8A9">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"1-2"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_Toc19585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Declaration/Statements page</w:t>
          </w:r>
          <w:r>
            <w:rPr>
              <w:rFonts w:hint="default" w:ascii="Arial" w:hAnsi="Arial" w:cs="Arial"/>
              <w:sz w:val="24"/>
              <w:szCs w:val="24"/>
            </w:rPr>
            <w:tab/>
          </w:r>
          <w:r>
            <w:rPr>
              <w:rFonts w:hint="default" w:ascii="Arial" w:hAnsi="Arial" w:cs="Arial"/>
              <w:sz w:val="24"/>
              <w:szCs w:val="24"/>
              <w:lang w:val="en-US" w:eastAsia="zh-CN"/>
            </w:rPr>
            <w:t>i</w:t>
          </w:r>
          <w:r>
            <w:rPr>
              <w:rFonts w:hint="default" w:ascii="Arial" w:hAnsi="Arial" w:cs="Arial"/>
              <w:sz w:val="24"/>
              <w:szCs w:val="24"/>
            </w:rPr>
            <w:fldChar w:fldCharType="begin"/>
          </w:r>
          <w:r>
            <w:rPr>
              <w:rFonts w:hint="default" w:ascii="Arial" w:hAnsi="Arial" w:cs="Arial"/>
              <w:sz w:val="24"/>
              <w:szCs w:val="24"/>
            </w:rPr>
            <w:instrText xml:space="preserve"> PAGEREF _Toc19585 \h </w:instrText>
          </w:r>
          <w:r>
            <w:rPr>
              <w:rFonts w:hint="default" w:ascii="Arial" w:hAnsi="Arial" w:cs="Arial"/>
              <w:sz w:val="24"/>
              <w:szCs w:val="24"/>
            </w:rPr>
            <w:fldChar w:fldCharType="separate"/>
          </w:r>
          <w:r>
            <w:rPr>
              <w:rFonts w:hint="default" w:ascii="Arial" w:hAnsi="Arial" w:cs="Arial"/>
              <w:sz w:val="24"/>
              <w:szCs w:val="24"/>
            </w:rPr>
            <w:t>i</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47CFE46">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_Toc25026 </w:instrText>
          </w:r>
          <w:r>
            <w:rPr>
              <w:rFonts w:hint="default" w:ascii="Arial" w:hAnsi="Arial" w:cs="Arial"/>
              <w:sz w:val="24"/>
              <w:szCs w:val="24"/>
              <w:lang w:val="en-US" w:eastAsia="zh-CN"/>
            </w:rPr>
            <w:fldChar w:fldCharType="separate"/>
          </w:r>
          <w:r>
            <w:rPr>
              <w:rFonts w:hint="default" w:ascii="Arial" w:hAnsi="Arial" w:cs="Arial"/>
              <w:sz w:val="24"/>
              <w:szCs w:val="24"/>
            </w:rPr>
            <w:t>Acknowledgements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_Toc25026 \h </w:instrText>
          </w:r>
          <w:r>
            <w:rPr>
              <w:rFonts w:hint="default" w:ascii="Arial" w:hAnsi="Arial" w:cs="Arial"/>
              <w:sz w:val="24"/>
              <w:szCs w:val="24"/>
            </w:rPr>
            <w:fldChar w:fldCharType="separate"/>
          </w:r>
          <w:r>
            <w:rPr>
              <w:rFonts w:hint="default" w:ascii="Arial" w:hAnsi="Arial" w:cs="Arial"/>
              <w:sz w:val="24"/>
              <w:szCs w:val="24"/>
            </w:rPr>
            <w:t>iv</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0228082">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_Toc11219 </w:instrText>
          </w:r>
          <w:r>
            <w:rPr>
              <w:rFonts w:hint="default" w:ascii="Arial" w:hAnsi="Arial" w:cs="Arial"/>
              <w:sz w:val="24"/>
              <w:szCs w:val="24"/>
              <w:lang w:val="en-US" w:eastAsia="zh-CN"/>
            </w:rPr>
            <w:fldChar w:fldCharType="separate"/>
          </w:r>
          <w:r>
            <w:rPr>
              <w:rFonts w:hint="default" w:ascii="Arial" w:hAnsi="Arial" w:cs="Arial"/>
              <w:sz w:val="24"/>
              <w:szCs w:val="24"/>
            </w:rPr>
            <w:t>Abstract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_Toc11219 \h </w:instrText>
          </w:r>
          <w:r>
            <w:rPr>
              <w:rFonts w:hint="default" w:ascii="Arial" w:hAnsi="Arial" w:cs="Arial"/>
              <w:sz w:val="24"/>
              <w:szCs w:val="24"/>
            </w:rPr>
            <w:fldChar w:fldCharType="separate"/>
          </w:r>
          <w:r>
            <w:rPr>
              <w:rFonts w:hint="default" w:ascii="Arial" w:hAnsi="Arial" w:cs="Arial"/>
              <w:sz w:val="24"/>
              <w:szCs w:val="24"/>
            </w:rPr>
            <w:t>v</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E433B92">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_Toc26133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 Chapter 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_Toc26133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6F6CED63">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_Toc15276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1.1. Backgorund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_Toc15276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4"/>
              <w:lang w:val="en-US" w:eastAsia="zh-CN"/>
            </w:rPr>
            <w:fldChar w:fldCharType="end"/>
          </w:r>
          <w:bookmarkStart w:id="75" w:name="_GoBack"/>
          <w:bookmarkEnd w:id="75"/>
        </w:p>
        <w:p w14:paraId="6A0858E3">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_Toc21604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1.2. Rational for the </w:t>
          </w:r>
          <w:r>
            <w:rPr>
              <w:rFonts w:hint="eastAsia" w:ascii="Arial" w:hAnsi="Arial" w:cs="Arial"/>
              <w:sz w:val="24"/>
              <w:szCs w:val="24"/>
              <w:lang w:val="en-US" w:eastAsia="zh-CN"/>
            </w:rPr>
            <w:t>S</w:t>
          </w:r>
          <w:r>
            <w:rPr>
              <w:rFonts w:hint="default" w:ascii="Arial" w:hAnsi="Arial" w:cs="Arial"/>
              <w:sz w:val="24"/>
              <w:szCs w:val="24"/>
              <w:lang w:val="en-US" w:eastAsia="zh-CN"/>
            </w:rPr>
            <w:t>tudy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_Toc21604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20D45DB">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_Toc24439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1.3. Research Hypothesis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_Toc24439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4A96C48">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_Toc6528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1.4. Aims and 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_Toc6528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9538A5C">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_Toc2254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1.5. Structure of the Dissertation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_Toc2254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7187CF6">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_Toc5398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 Chapter 2: Literature Review</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_Toc5398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C045377">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_Toc2647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2.1. The Gaimg Industry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_Toc2647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260555D">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_Toc8761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 Marketing and Digital Marketing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_Toc8761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23671BA">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_Toc25041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 Culture in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_Toc25041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A0E7850">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_Toc701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2.4. Culture in Marketing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_Toc701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739316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_Toc24717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2.5. Cultural Marketing in Gaming Industry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_Toc24717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A3E3711">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_Toc9810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 Chapter 3: Research Methodology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_Toc9810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43D699B">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_Toc5268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_Toc5268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4A156B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_Toc13200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3.2. Research Design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_Toc13200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2D8EFB9">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_Toc24581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3.2.1. Research Philosophy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_Toc24581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65004CA1">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_Toc10840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3.2.2. Research approach</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_Toc10840 \h </w:instrText>
          </w:r>
          <w:r>
            <w:rPr>
              <w:rFonts w:hint="default" w:ascii="Arial" w:hAnsi="Arial" w:cs="Arial"/>
              <w:sz w:val="24"/>
              <w:szCs w:val="24"/>
            </w:rPr>
            <w:fldChar w:fldCharType="separate"/>
          </w:r>
          <w:r>
            <w:rPr>
              <w:rFonts w:hint="default" w:ascii="Arial" w:hAnsi="Arial" w:cs="Arial"/>
              <w:sz w:val="24"/>
              <w:szCs w:val="24"/>
            </w:rPr>
            <w:t>20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E61A601">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_Toc22651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3.3. Research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_Toc22651 \h </w:instrText>
          </w:r>
          <w:r>
            <w:rPr>
              <w:rFonts w:hint="default" w:ascii="Arial" w:hAnsi="Arial" w:cs="Arial"/>
              <w:sz w:val="24"/>
              <w:szCs w:val="24"/>
            </w:rPr>
            <w:fldChar w:fldCharType="separate"/>
          </w:r>
          <w:r>
            <w:rPr>
              <w:rFonts w:hint="default" w:ascii="Arial" w:hAnsi="Arial" w:cs="Arial"/>
              <w:sz w:val="24"/>
              <w:szCs w:val="24"/>
            </w:rPr>
            <w:t>20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033E63D">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_Toc29229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3.4. Data Collection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_Toc29229 \h </w:instrText>
          </w:r>
          <w:r>
            <w:rPr>
              <w:rFonts w:hint="default" w:ascii="Arial" w:hAnsi="Arial" w:cs="Arial"/>
              <w:sz w:val="24"/>
              <w:szCs w:val="24"/>
            </w:rPr>
            <w:fldChar w:fldCharType="separate"/>
          </w:r>
          <w:r>
            <w:rPr>
              <w:rFonts w:hint="default" w:ascii="Arial" w:hAnsi="Arial" w:cs="Arial"/>
              <w:sz w:val="24"/>
              <w:szCs w:val="24"/>
            </w:rPr>
            <w:t>22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64AB199">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_Toc5747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3.4.1. Qualitative Data Collection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_Toc5747 \h </w:instrText>
          </w:r>
          <w:r>
            <w:rPr>
              <w:rFonts w:hint="default" w:ascii="Arial" w:hAnsi="Arial" w:cs="Arial"/>
              <w:sz w:val="24"/>
              <w:szCs w:val="24"/>
            </w:rPr>
            <w:fldChar w:fldCharType="separate"/>
          </w:r>
          <w:r>
            <w:rPr>
              <w:rFonts w:hint="default" w:ascii="Arial" w:hAnsi="Arial" w:cs="Arial"/>
              <w:sz w:val="24"/>
              <w:szCs w:val="24"/>
            </w:rPr>
            <w:t>22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3EA42BD">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_Toc31867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3.4.2. Quantitative Data Collection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_Toc31867 \h </w:instrText>
          </w:r>
          <w:r>
            <w:rPr>
              <w:rFonts w:hint="default" w:ascii="Arial" w:hAnsi="Arial" w:cs="Arial"/>
              <w:sz w:val="24"/>
              <w:szCs w:val="24"/>
            </w:rPr>
            <w:fldChar w:fldCharType="separate"/>
          </w:r>
          <w:r>
            <w:rPr>
              <w:rFonts w:hint="default" w:ascii="Arial" w:hAnsi="Arial" w:cs="Arial"/>
              <w:sz w:val="24"/>
              <w:szCs w:val="24"/>
            </w:rPr>
            <w:t>23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4F8DD9B">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_Toc7434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3.5. Ethical Considerations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_Toc7434 \h </w:instrText>
          </w:r>
          <w:r>
            <w:rPr>
              <w:rFonts w:hint="default" w:ascii="Arial" w:hAnsi="Arial" w:cs="Arial"/>
              <w:sz w:val="24"/>
              <w:szCs w:val="24"/>
            </w:rPr>
            <w:fldChar w:fldCharType="separate"/>
          </w:r>
          <w:r>
            <w:rPr>
              <w:rFonts w:hint="default" w:ascii="Arial" w:hAnsi="Arial" w:cs="Arial"/>
              <w:sz w:val="24"/>
              <w:szCs w:val="24"/>
            </w:rPr>
            <w:t>23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78A3567">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_Toc8670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3.6. Reliability and Validity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_Toc8670 \h </w:instrText>
          </w:r>
          <w:r>
            <w:rPr>
              <w:rFonts w:hint="default" w:ascii="Arial" w:hAnsi="Arial" w:cs="Arial"/>
              <w:sz w:val="24"/>
              <w:szCs w:val="24"/>
            </w:rPr>
            <w:fldChar w:fldCharType="separate"/>
          </w:r>
          <w:r>
            <w:rPr>
              <w:rFonts w:hint="default" w:ascii="Arial" w:hAnsi="Arial" w:cs="Arial"/>
              <w:sz w:val="24"/>
              <w:szCs w:val="24"/>
            </w:rPr>
            <w:t>24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900B04C">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_Toc1164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3.7. Limitations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_Toc1164 \h </w:instrText>
          </w:r>
          <w:r>
            <w:rPr>
              <w:rFonts w:hint="default" w:ascii="Arial" w:hAnsi="Arial" w:cs="Arial"/>
              <w:sz w:val="24"/>
              <w:szCs w:val="24"/>
            </w:rPr>
            <w:fldChar w:fldCharType="separate"/>
          </w:r>
          <w:r>
            <w:rPr>
              <w:rFonts w:hint="default" w:ascii="Arial" w:hAnsi="Arial" w:cs="Arial"/>
              <w:sz w:val="24"/>
              <w:szCs w:val="24"/>
            </w:rPr>
            <w:t>24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ADF5700">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_Toc23278 </w:instrText>
          </w:r>
          <w:r>
            <w:rPr>
              <w:rFonts w:hint="default" w:ascii="Arial" w:hAnsi="Arial" w:cs="Arial"/>
              <w:sz w:val="24"/>
              <w:szCs w:val="24"/>
              <w:lang w:val="en-US" w:eastAsia="zh-CN"/>
            </w:rPr>
            <w:fldChar w:fldCharType="separate"/>
          </w:r>
          <w:r>
            <w:rPr>
              <w:rFonts w:hint="default" w:ascii="Arial" w:hAnsi="Arial" w:cs="Arial"/>
              <w:sz w:val="24"/>
              <w:szCs w:val="24"/>
              <w:lang w:val="en-GB" w:eastAsia="zh-CN"/>
            </w:rPr>
            <w:t>3.8.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_Toc23278 \h </w:instrText>
          </w:r>
          <w:r>
            <w:rPr>
              <w:rFonts w:hint="default" w:ascii="Arial" w:hAnsi="Arial" w:cs="Arial"/>
              <w:sz w:val="24"/>
              <w:szCs w:val="24"/>
            </w:rPr>
            <w:fldChar w:fldCharType="separate"/>
          </w:r>
          <w:r>
            <w:rPr>
              <w:rFonts w:hint="default" w:ascii="Arial" w:hAnsi="Arial" w:cs="Arial"/>
              <w:sz w:val="24"/>
              <w:szCs w:val="24"/>
            </w:rPr>
            <w:t>25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9A5D37E">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_Toc9906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4. </w:t>
          </w:r>
          <w:r>
            <w:rPr>
              <w:rFonts w:hint="default" w:ascii="Arial" w:hAnsi="Arial" w:cs="Arial"/>
              <w:sz w:val="24"/>
              <w:szCs w:val="24"/>
              <w:lang w:val="en-GB" w:eastAsia="zh-CN"/>
            </w:rPr>
            <w:t xml:space="preserve">Chapter </w:t>
          </w:r>
          <w:r>
            <w:rPr>
              <w:rFonts w:hint="default" w:ascii="Arial" w:hAnsi="Arial" w:cs="Arial"/>
              <w:sz w:val="24"/>
              <w:szCs w:val="24"/>
              <w:lang w:val="en-US" w:eastAsia="zh-CN"/>
            </w:rPr>
            <w:t>4</w:t>
          </w:r>
          <w:r>
            <w:rPr>
              <w:rFonts w:hint="default" w:ascii="Arial" w:hAnsi="Arial" w:cs="Arial"/>
              <w:sz w:val="24"/>
              <w:szCs w:val="24"/>
              <w:lang w:val="en-GB" w:eastAsia="zh-CN"/>
            </w:rPr>
            <w:t xml:space="preserve">: </w:t>
          </w:r>
          <w:r>
            <w:rPr>
              <w:rFonts w:hint="default" w:ascii="Arial" w:hAnsi="Arial" w:cs="Arial"/>
              <w:sz w:val="24"/>
              <w:szCs w:val="24"/>
              <w:lang w:val="en-US" w:eastAsia="zh-CN"/>
            </w:rPr>
            <w:t>Data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_Toc9906 \h </w:instrText>
          </w:r>
          <w:r>
            <w:rPr>
              <w:rFonts w:hint="default" w:ascii="Arial" w:hAnsi="Arial" w:cs="Arial"/>
              <w:sz w:val="24"/>
              <w:szCs w:val="24"/>
            </w:rPr>
            <w:fldChar w:fldCharType="separate"/>
          </w:r>
          <w:r>
            <w:rPr>
              <w:rFonts w:hint="default" w:ascii="Arial" w:hAnsi="Arial" w:cs="Arial"/>
              <w:sz w:val="24"/>
              <w:szCs w:val="24"/>
            </w:rPr>
            <w:t>26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7CC7E46">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_Toc14363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 Overall Data Reveal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_Toc14363 \h </w:instrText>
          </w:r>
          <w:r>
            <w:rPr>
              <w:rFonts w:hint="default" w:ascii="Arial" w:hAnsi="Arial" w:cs="Arial"/>
              <w:sz w:val="24"/>
              <w:szCs w:val="24"/>
            </w:rPr>
            <w:fldChar w:fldCharType="separate"/>
          </w:r>
          <w:r>
            <w:rPr>
              <w:rFonts w:hint="default" w:ascii="Arial" w:hAnsi="Arial" w:cs="Arial"/>
              <w:sz w:val="24"/>
              <w:szCs w:val="24"/>
            </w:rPr>
            <w:t>26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0A19E75">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_Toc16758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4.1.1. Basic Information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_Toc16758 \h </w:instrText>
          </w:r>
          <w:r>
            <w:rPr>
              <w:rFonts w:hint="default" w:ascii="Arial" w:hAnsi="Arial" w:cs="Arial"/>
              <w:sz w:val="24"/>
              <w:szCs w:val="24"/>
            </w:rPr>
            <w:fldChar w:fldCharType="separate"/>
          </w:r>
          <w:r>
            <w:rPr>
              <w:rFonts w:hint="default" w:ascii="Arial" w:hAnsi="Arial" w:cs="Arial"/>
              <w:sz w:val="24"/>
              <w:szCs w:val="24"/>
            </w:rPr>
            <w:t>26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7C5926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_Toc22929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4.1.2. Quantitative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_Toc22929 \h </w:instrText>
          </w:r>
          <w:r>
            <w:rPr>
              <w:rFonts w:hint="default" w:ascii="Arial" w:hAnsi="Arial" w:cs="Arial"/>
              <w:sz w:val="24"/>
              <w:szCs w:val="24"/>
            </w:rPr>
            <w:fldChar w:fldCharType="separate"/>
          </w:r>
          <w:r>
            <w:rPr>
              <w:rFonts w:hint="default" w:ascii="Arial" w:hAnsi="Arial" w:cs="Arial"/>
              <w:sz w:val="24"/>
              <w:szCs w:val="24"/>
            </w:rPr>
            <w:t>27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027F2EA">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_Toc28138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4.1.3. Qualitative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_Toc28138 \h </w:instrText>
          </w:r>
          <w:r>
            <w:rPr>
              <w:rFonts w:hint="default" w:ascii="Arial" w:hAnsi="Arial" w:cs="Arial"/>
              <w:sz w:val="24"/>
              <w:szCs w:val="24"/>
            </w:rPr>
            <w:fldChar w:fldCharType="separate"/>
          </w:r>
          <w:r>
            <w:rPr>
              <w:rFonts w:hint="default" w:ascii="Arial" w:hAnsi="Arial" w:cs="Arial"/>
              <w:sz w:val="24"/>
              <w:szCs w:val="24"/>
            </w:rPr>
            <w:t>30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69BE746">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_Toc28496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4.2. MDA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_Toc28496 \h </w:instrText>
          </w:r>
          <w:r>
            <w:rPr>
              <w:rFonts w:hint="default" w:ascii="Arial" w:hAnsi="Arial" w:cs="Arial"/>
              <w:sz w:val="24"/>
              <w:szCs w:val="24"/>
            </w:rPr>
            <w:fldChar w:fldCharType="separate"/>
          </w:r>
          <w:r>
            <w:rPr>
              <w:rFonts w:hint="default" w:ascii="Arial" w:hAnsi="Arial" w:cs="Arial"/>
              <w:sz w:val="24"/>
              <w:szCs w:val="24"/>
            </w:rPr>
            <w:t>34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DE7BE35">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_Toc29309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 4C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_Toc29309 \h </w:instrText>
          </w:r>
          <w:r>
            <w:rPr>
              <w:rFonts w:hint="default" w:ascii="Arial" w:hAnsi="Arial" w:cs="Arial"/>
              <w:sz w:val="24"/>
              <w:szCs w:val="24"/>
            </w:rPr>
            <w:fldChar w:fldCharType="separate"/>
          </w:r>
          <w:r>
            <w:rPr>
              <w:rFonts w:hint="default" w:ascii="Arial" w:hAnsi="Arial" w:cs="Arial"/>
              <w:sz w:val="24"/>
              <w:szCs w:val="24"/>
            </w:rPr>
            <w:t>35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6944E27A">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_Toc19150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4.3.1. Consumer (Customer Needs and Wants)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_Toc19150 \h </w:instrText>
          </w:r>
          <w:r>
            <w:rPr>
              <w:rFonts w:hint="default" w:ascii="Arial" w:hAnsi="Arial" w:cs="Arial"/>
              <w:sz w:val="24"/>
              <w:szCs w:val="24"/>
            </w:rPr>
            <w:fldChar w:fldCharType="separate"/>
          </w:r>
          <w:r>
            <w:rPr>
              <w:rFonts w:hint="default" w:ascii="Arial" w:hAnsi="Arial" w:cs="Arial"/>
              <w:sz w:val="24"/>
              <w:szCs w:val="24"/>
            </w:rPr>
            <w:t>35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41B6979">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_Toc29826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4.3.2. Cost (Cost to Satisfy)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_Toc29826 \h </w:instrText>
          </w:r>
          <w:r>
            <w:rPr>
              <w:rFonts w:hint="default" w:ascii="Arial" w:hAnsi="Arial" w:cs="Arial"/>
              <w:sz w:val="24"/>
              <w:szCs w:val="24"/>
            </w:rPr>
            <w:fldChar w:fldCharType="separate"/>
          </w:r>
          <w:r>
            <w:rPr>
              <w:rFonts w:hint="default" w:ascii="Arial" w:hAnsi="Arial" w:cs="Arial"/>
              <w:sz w:val="24"/>
              <w:szCs w:val="24"/>
            </w:rPr>
            <w:t>36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4A629F0">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_Toc5856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4.3.3. Convenience (Ease of Access)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_Toc5856 \h </w:instrText>
          </w:r>
          <w:r>
            <w:rPr>
              <w:rFonts w:hint="default" w:ascii="Arial" w:hAnsi="Arial" w:cs="Arial"/>
              <w:sz w:val="24"/>
              <w:szCs w:val="24"/>
            </w:rPr>
            <w:fldChar w:fldCharType="separate"/>
          </w:r>
          <w:r>
            <w:rPr>
              <w:rFonts w:hint="default" w:ascii="Arial" w:hAnsi="Arial" w:cs="Arial"/>
              <w:sz w:val="24"/>
              <w:szCs w:val="24"/>
            </w:rPr>
            <w:t>37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64C61DA0">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_Toc27399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4.3.4. Communication (Two-way Interaction)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_Toc27399 \h </w:instrText>
          </w:r>
          <w:r>
            <w:rPr>
              <w:rFonts w:hint="default" w:ascii="Arial" w:hAnsi="Arial" w:cs="Arial"/>
              <w:sz w:val="24"/>
              <w:szCs w:val="24"/>
            </w:rPr>
            <w:fldChar w:fldCharType="separate"/>
          </w:r>
          <w:r>
            <w:rPr>
              <w:rFonts w:hint="default" w:ascii="Arial" w:hAnsi="Arial" w:cs="Arial"/>
              <w:sz w:val="24"/>
              <w:szCs w:val="24"/>
            </w:rPr>
            <w:t>39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558089D">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_Toc12224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 Chapter 5 Conclusion and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_Toc12224 \h </w:instrText>
          </w:r>
          <w:r>
            <w:rPr>
              <w:rFonts w:hint="default" w:ascii="Arial" w:hAnsi="Arial" w:cs="Arial"/>
              <w:sz w:val="24"/>
              <w:szCs w:val="24"/>
            </w:rPr>
            <w:fldChar w:fldCharType="separate"/>
          </w:r>
          <w:r>
            <w:rPr>
              <w:rFonts w:hint="default" w:ascii="Arial" w:hAnsi="Arial" w:cs="Arial"/>
              <w:sz w:val="24"/>
              <w:szCs w:val="24"/>
            </w:rPr>
            <w:t>41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0EED560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_Toc1332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5.1.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_Toc1332 \h </w:instrText>
          </w:r>
          <w:r>
            <w:rPr>
              <w:rFonts w:hint="default" w:ascii="Arial" w:hAnsi="Arial" w:cs="Arial"/>
              <w:sz w:val="24"/>
              <w:szCs w:val="24"/>
            </w:rPr>
            <w:fldChar w:fldCharType="separate"/>
          </w:r>
          <w:r>
            <w:rPr>
              <w:rFonts w:hint="default" w:ascii="Arial" w:hAnsi="Arial" w:cs="Arial"/>
              <w:sz w:val="24"/>
              <w:szCs w:val="24"/>
            </w:rPr>
            <w:t>41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6E93244">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_Toc9321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_Toc9321 \h </w:instrText>
          </w:r>
          <w:r>
            <w:rPr>
              <w:rFonts w:hint="default" w:ascii="Arial" w:hAnsi="Arial" w:cs="Arial"/>
              <w:sz w:val="24"/>
              <w:szCs w:val="24"/>
            </w:rPr>
            <w:fldChar w:fldCharType="separate"/>
          </w:r>
          <w:r>
            <w:rPr>
              <w:rFonts w:hint="default" w:ascii="Arial" w:hAnsi="Arial" w:cs="Arial"/>
              <w:sz w:val="24"/>
              <w:szCs w:val="24"/>
            </w:rPr>
            <w:t>42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90A3039">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_Toc2250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5.2.1. Emphasizing Cultural Diversity in the Globalization of Games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_Toc2250 \h </w:instrText>
          </w:r>
          <w:r>
            <w:rPr>
              <w:rFonts w:hint="default" w:ascii="Arial" w:hAnsi="Arial" w:cs="Arial"/>
              <w:sz w:val="24"/>
              <w:szCs w:val="24"/>
            </w:rPr>
            <w:fldChar w:fldCharType="separate"/>
          </w:r>
          <w:r>
            <w:rPr>
              <w:rFonts w:hint="default" w:ascii="Arial" w:hAnsi="Arial" w:cs="Arial"/>
              <w:sz w:val="24"/>
              <w:szCs w:val="24"/>
            </w:rPr>
            <w:t>42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31F2B19">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_Toc29595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5.2.2. Integrating Asian Style into Cross-Cultural Marketing Activities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_Toc29595 \h </w:instrText>
          </w:r>
          <w:r>
            <w:rPr>
              <w:rFonts w:hint="default" w:ascii="Arial" w:hAnsi="Arial" w:cs="Arial"/>
              <w:sz w:val="24"/>
              <w:szCs w:val="24"/>
            </w:rPr>
            <w:fldChar w:fldCharType="separate"/>
          </w:r>
          <w:r>
            <w:rPr>
              <w:rFonts w:hint="default" w:ascii="Arial" w:hAnsi="Arial" w:cs="Arial"/>
              <w:sz w:val="24"/>
              <w:szCs w:val="24"/>
            </w:rPr>
            <w:t>43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58F9EE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_Toc4477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5.2.3. Leveraging Cultural Identity to Secure Financial Support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_Toc4477 \h </w:instrText>
          </w:r>
          <w:r>
            <w:rPr>
              <w:rFonts w:hint="default" w:ascii="Arial" w:hAnsi="Arial" w:cs="Arial"/>
              <w:sz w:val="24"/>
              <w:szCs w:val="24"/>
            </w:rPr>
            <w:fldChar w:fldCharType="separate"/>
          </w:r>
          <w:r>
            <w:rPr>
              <w:rFonts w:hint="default" w:ascii="Arial" w:hAnsi="Arial" w:cs="Arial"/>
              <w:sz w:val="24"/>
              <w:szCs w:val="24"/>
            </w:rPr>
            <w:t>44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A5A6031">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_Toc27210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5.2.4. Cross-Cultural Marketing for Emerging Market Brands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_Toc27210 \h </w:instrText>
          </w:r>
          <w:r>
            <w:rPr>
              <w:rFonts w:hint="default" w:ascii="Arial" w:hAnsi="Arial" w:cs="Arial"/>
              <w:sz w:val="24"/>
              <w:szCs w:val="24"/>
            </w:rPr>
            <w:fldChar w:fldCharType="separate"/>
          </w:r>
          <w:r>
            <w:rPr>
              <w:rFonts w:hint="default" w:ascii="Arial" w:hAnsi="Arial" w:cs="Arial"/>
              <w:sz w:val="24"/>
              <w:szCs w:val="24"/>
            </w:rPr>
            <w:t>46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031FDAE">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_Toc8252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6.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_Toc8252 \h </w:instrText>
          </w:r>
          <w:r>
            <w:rPr>
              <w:rFonts w:hint="default" w:ascii="Arial" w:hAnsi="Arial" w:cs="Arial"/>
              <w:sz w:val="24"/>
              <w:szCs w:val="24"/>
            </w:rPr>
            <w:fldChar w:fldCharType="separate"/>
          </w:r>
          <w:r>
            <w:rPr>
              <w:rFonts w:hint="default" w:ascii="Arial" w:hAnsi="Arial" w:cs="Arial"/>
              <w:sz w:val="24"/>
              <w:szCs w:val="24"/>
            </w:rPr>
            <w:t>47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63708CD">
          <w:pPr>
            <w:pStyle w:val="9"/>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_Toc30280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7. Appendices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_Toc30280 \h </w:instrText>
          </w:r>
          <w:r>
            <w:rPr>
              <w:rFonts w:hint="default" w:ascii="Arial" w:hAnsi="Arial" w:cs="Arial"/>
              <w:sz w:val="24"/>
              <w:szCs w:val="24"/>
            </w:rPr>
            <w:fldChar w:fldCharType="separate"/>
          </w:r>
          <w:r>
            <w:rPr>
              <w:rFonts w:hint="default" w:ascii="Arial" w:hAnsi="Arial" w:cs="Arial"/>
              <w:sz w:val="24"/>
              <w:szCs w:val="24"/>
            </w:rPr>
            <w:t>55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1318E95">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_Toc8619 </w:instrText>
          </w:r>
          <w:r>
            <w:rPr>
              <w:rFonts w:hint="default" w:ascii="Arial" w:hAnsi="Arial" w:cs="Arial"/>
              <w:sz w:val="24"/>
              <w:szCs w:val="24"/>
              <w:lang w:val="en-US" w:eastAsia="zh-CN"/>
            </w:rPr>
            <w:fldChar w:fldCharType="separate"/>
          </w:r>
          <w:r>
            <w:rPr>
              <w:rFonts w:hint="default" w:ascii="Arial" w:hAnsi="Arial" w:cs="Arial"/>
              <w:sz w:val="24"/>
              <w:szCs w:val="24"/>
            </w:rPr>
            <w:t xml:space="preserve">Appendix </w:t>
          </w:r>
          <w:r>
            <w:rPr>
              <w:rFonts w:hint="default" w:ascii="Arial" w:hAnsi="Arial" w:cs="Arial"/>
              <w:sz w:val="24"/>
              <w:szCs w:val="24"/>
              <w:lang w:val="en-US" w:eastAsia="zh-CN"/>
            </w:rPr>
            <w:t>1</w:t>
          </w:r>
          <w:r>
            <w:rPr>
              <w:rFonts w:hint="default" w:ascii="Arial" w:hAnsi="Arial" w:cs="Arial"/>
              <w:sz w:val="24"/>
              <w:szCs w:val="24"/>
            </w:rPr>
            <w:t>-Original online survey template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_Toc8619 \h </w:instrText>
          </w:r>
          <w:r>
            <w:rPr>
              <w:rFonts w:hint="default" w:ascii="Arial" w:hAnsi="Arial" w:cs="Arial"/>
              <w:sz w:val="24"/>
              <w:szCs w:val="24"/>
            </w:rPr>
            <w:fldChar w:fldCharType="separate"/>
          </w:r>
          <w:r>
            <w:rPr>
              <w:rFonts w:hint="default" w:ascii="Arial" w:hAnsi="Arial" w:cs="Arial"/>
              <w:sz w:val="24"/>
              <w:szCs w:val="24"/>
            </w:rPr>
            <w:t>55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6D87DFF">
          <w:pPr>
            <w:pStyle w:val="10"/>
            <w:pageBreakBefore w:val="0"/>
            <w:tabs>
              <w:tab w:val="right" w:leader="dot" w:pos="8306"/>
            </w:tabs>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_Toc5986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Appendix 2- Original Interview Question Script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_Toc5986 \h </w:instrText>
          </w:r>
          <w:r>
            <w:rPr>
              <w:rFonts w:hint="default" w:ascii="Arial" w:hAnsi="Arial" w:cs="Arial"/>
              <w:sz w:val="24"/>
              <w:szCs w:val="24"/>
            </w:rPr>
            <w:fldChar w:fldCharType="separate"/>
          </w:r>
          <w:r>
            <w:rPr>
              <w:rFonts w:hint="default" w:ascii="Arial" w:hAnsi="Arial" w:cs="Arial"/>
              <w:sz w:val="24"/>
              <w:szCs w:val="24"/>
            </w:rPr>
            <w:t>59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D40B805">
          <w:pPr>
            <w:pStyle w:val="3"/>
            <w:pageBreakBefore w:val="0"/>
            <w:numPr>
              <w:ilvl w:val="0"/>
              <w:numId w:val="0"/>
            </w:numPr>
            <w:kinsoku/>
            <w:wordWrap/>
            <w:overflowPunct/>
            <w:topLinePunct w:val="0"/>
            <w:bidi w:val="0"/>
            <w:snapToGrid/>
            <w:spacing w:line="240" w:lineRule="auto"/>
            <w:ind w:leftChars="0"/>
            <w:outlineLvl w:val="9"/>
            <w:rPr>
              <w:rFonts w:hint="default" w:ascii="Arial" w:hAnsi="Arial" w:eastAsia="黑体" w:cs="Arial"/>
              <w:b/>
              <w:kern w:val="2"/>
              <w:sz w:val="24"/>
              <w:szCs w:val="24"/>
              <w:lang w:val="en-US" w:eastAsia="zh-CN" w:bidi="ar-SA"/>
            </w:rPr>
          </w:pPr>
          <w:r>
            <w:rPr>
              <w:rFonts w:hint="default" w:ascii="Arial" w:hAnsi="Arial" w:cs="Arial"/>
              <w:sz w:val="24"/>
              <w:szCs w:val="24"/>
              <w:lang w:val="en-US" w:eastAsia="zh-CN"/>
            </w:rPr>
            <w:fldChar w:fldCharType="end"/>
          </w:r>
        </w:p>
      </w:sdtContent>
    </w:sdt>
    <w:p w14:paraId="640DA5E9">
      <w:pPr>
        <w:pageBreakBefore w:val="0"/>
        <w:kinsoku/>
        <w:wordWrap/>
        <w:overflowPunct/>
        <w:topLinePunct w:val="0"/>
        <w:bidi w:val="0"/>
        <w:snapToGrid/>
        <w:spacing w:line="240" w:lineRule="auto"/>
        <w:rPr>
          <w:rFonts w:hint="default" w:ascii="Arial" w:hAnsi="Arial" w:cs="Arial"/>
          <w:sz w:val="24"/>
          <w:szCs w:val="24"/>
          <w:lang w:val="en-US" w:eastAsia="zh-CN"/>
        </w:rPr>
      </w:pPr>
    </w:p>
    <w:p w14:paraId="550DA619">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sectPr>
          <w:footerReference r:id="rId3" w:type="default"/>
          <w:pgSz w:w="11906" w:h="16838"/>
          <w:pgMar w:top="1440" w:right="1800" w:bottom="1440" w:left="1800" w:header="851" w:footer="992" w:gutter="0"/>
          <w:pgNumType w:fmt="lowerRoman"/>
          <w:cols w:space="425" w:num="1"/>
          <w:docGrid w:type="lines" w:linePitch="312" w:charSpace="0"/>
        </w:sectPr>
      </w:pPr>
    </w:p>
    <w:p w14:paraId="6C0F2739">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20" w:name="_Toc26133"/>
      <w:r>
        <w:rPr>
          <w:rFonts w:hint="default" w:ascii="Arial" w:hAnsi="Arial" w:cs="Arial"/>
          <w:sz w:val="24"/>
          <w:szCs w:val="24"/>
          <w:lang w:val="en-US" w:eastAsia="zh-CN"/>
        </w:rPr>
        <w:t>Chapter 1 Introduction</w:t>
      </w:r>
      <w:bookmarkEnd w:id="20"/>
    </w:p>
    <w:p w14:paraId="0DC70E27">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21" w:name="_Toc15276"/>
      <w:r>
        <w:rPr>
          <w:rFonts w:hint="default" w:ascii="Arial" w:hAnsi="Arial" w:cs="Arial"/>
          <w:sz w:val="24"/>
          <w:szCs w:val="24"/>
          <w:lang w:val="en-US" w:eastAsia="zh-CN"/>
        </w:rPr>
        <w:t>Backgorund</w:t>
      </w:r>
      <w:bookmarkEnd w:id="21"/>
    </w:p>
    <w:p w14:paraId="269FA4E3">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Genshin Impact is an internationally successful action role-playing game (RPG) created by miHoYo and launched in September 2020. It rapidly became extremely popular, garnering a varied global audience and making billions of dollars in its first year. (Adams, 2022) The game`s open-world concept allows players to explore the fictional continent of Teyvat, which is lavishly detailed and lively, with a variety of landscapes, cities, and hidden treasures.</w:t>
      </w:r>
    </w:p>
    <w:p w14:paraId="18716EB8">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64B1FFA1">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Genshin Impact stands out for its character-driven tale. The game includes a diverse cast of characters, each with their own unique personalities, backstories, and talents. These personalities, who come from various parts of Teyvat, add to the game`s narrative richness, making it more interesting and personal for the players. The game`s success stems from its heavy emphasis on character development and interaction, since players frequently create emotional relationships with their favourite characters, which drives engagement and in-game purchases. (Al-Nawasreh, 2022)</w:t>
      </w:r>
    </w:p>
    <w:p w14:paraId="70367A5F">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226384E8">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 xml:space="preserve">The game`s open-world concept is another important selling point, allowing players to explore at their own speed, participate in combat, solve puzzles, and discover new places as the story develops. This nonlinear approach to exploring, along with a dynamic day-night cycle and shifting weather conditions, results in an immersive experience that keeps players engaged. </w:t>
      </w:r>
    </w:p>
    <w:p w14:paraId="2EA47459">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07AE7FE2">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Genshin Impact`s appeal in multiple cultural markets is due to its excellent incorporation of various cultural components into its design and storytelling. Each locale in the game is inspired by real-world cultures, as shown in the architecture, music, character designs, and even Teyvat`s mythology. For example, Liyue is greatly influenced by East Asian culture, whereas Fontaine has a European aesthetic. (Adams, 2022) This cultural diversity not only improves the game`s world-building, but it also resonates with players from all backgrounds, making it more approachable and appealing to a global audience.</w:t>
      </w:r>
    </w:p>
    <w:p w14:paraId="6A4903EE">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7891CAAA">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The game`s success is partly fueled by its free-to-play model, which is supplemented by a system in which users may spend money to purchase new characters and weapons. This business strategy, when combined with regular content updates and events, offers a consistent source of money and keeps the player base engaged. Genshin Impact has established itself as a global gaming industry leader by combining unique gameplay, a highly created setting, and effective cultural marketing.</w:t>
      </w:r>
      <w:bookmarkStart w:id="22" w:name="_Toc481690783"/>
      <w:r>
        <w:rPr>
          <w:rFonts w:hint="default" w:ascii="Arial" w:hAnsi="Arial" w:eastAsia="宋体" w:cs="Arial"/>
          <w:b w:val="0"/>
          <w:kern w:val="0"/>
          <w:sz w:val="24"/>
          <w:szCs w:val="24"/>
          <w:lang w:val="en-US" w:eastAsia="zh-CN" w:bidi="ar"/>
        </w:rPr>
        <w:t xml:space="preserve"> (Martijn, 2023)</w:t>
      </w:r>
    </w:p>
    <w:p w14:paraId="0F781C2B">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32E11BC6">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23" w:name="_Toc21604"/>
      <w:r>
        <w:rPr>
          <w:rFonts w:hint="default" w:ascii="Arial" w:hAnsi="Arial" w:cs="Arial"/>
          <w:sz w:val="24"/>
          <w:szCs w:val="24"/>
          <w:lang w:val="en-US" w:eastAsia="zh-CN"/>
        </w:rPr>
        <w:t xml:space="preserve">Rational for the </w:t>
      </w:r>
      <w:r>
        <w:rPr>
          <w:rFonts w:hint="eastAsia" w:cs="Arial"/>
          <w:sz w:val="24"/>
          <w:szCs w:val="24"/>
          <w:lang w:val="en-US" w:eastAsia="zh-CN"/>
        </w:rPr>
        <w:t>S</w:t>
      </w:r>
      <w:r>
        <w:rPr>
          <w:rFonts w:hint="default" w:ascii="Arial" w:hAnsi="Arial" w:cs="Arial"/>
          <w:sz w:val="24"/>
          <w:szCs w:val="24"/>
          <w:lang w:val="en-US" w:eastAsia="zh-CN"/>
        </w:rPr>
        <w:t>tudy</w:t>
      </w:r>
      <w:bookmarkEnd w:id="22"/>
      <w:bookmarkEnd w:id="23"/>
    </w:p>
    <w:p w14:paraId="7466642E">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Genshin Impact`s inclusion on the Chinese Ministry of Commerce`s list of important companies and big initiatives for national culture exports from 2021 to 2022 emphasises its importance as a cultural ambassador on the global arena. (Wang, 2024) This recognition by Chinese officials underscores the game`s importance not only as a commercial success, but also as a geopolitical tool in China`s efforts to break through the Western cultural monopoly. In today`s globalised world, cultural exports are vital to advancing a country`s economic and technological standing, and Genshin Impact has emerged as a prominent participant in this sector.</w:t>
      </w:r>
    </w:p>
    <w:p w14:paraId="55ACFE4E">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65D667DF">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The investigation of Genshin Impact`s marketing technique is thus both current and significant. Analysing its approach reveals not just the business techniques that have contributed to its success, but also how same strategies may be applied to future cultural exports from China. The game`s success teaches vital lessons about how to build a global perspective into a product, infuse it with culturally relevant values, and attract a worldwide audience through many dimensions—textual, linguistic, and visual. (Al-Nawasreh, 2022)</w:t>
      </w:r>
    </w:p>
    <w:p w14:paraId="70AA2485">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4EA5BBFD">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Furthermore, understanding how Genshin Impact was able to create a virtual global world that resonated with players from many backgrounds is critical. By investigating how the game attracts users through its narrative, aesthetics, and cultural elements, as well as how it uses marketing strategies to guide user consumption and generate profit. (Al-Nawasreh, 2022) This study will provide a comprehensive view of a sustainable operating system that can be replicated in other contexts.</w:t>
      </w:r>
    </w:p>
    <w:p w14:paraId="62BBABDF">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19D2C9B0">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In essence, this study examines not only a particular game`s marketing approach, but also the broader consequences for Chinese cultural exports. The insights gathered can help to build more successful tactics for promoting Chinese culture and products on a worldwide scale, thereby aiding China`s cultural, economic, and technical progress.</w:t>
      </w:r>
    </w:p>
    <w:p w14:paraId="1E3CA244">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24" w:name="_Toc481690784"/>
      <w:bookmarkStart w:id="25" w:name="_Toc24439"/>
      <w:r>
        <w:rPr>
          <w:rFonts w:hint="default" w:ascii="Arial" w:hAnsi="Arial" w:cs="Arial"/>
          <w:sz w:val="24"/>
          <w:szCs w:val="24"/>
          <w:lang w:val="en-US" w:eastAsia="zh-CN"/>
        </w:rPr>
        <w:t xml:space="preserve">Research </w:t>
      </w:r>
      <w:bookmarkEnd w:id="24"/>
      <w:r>
        <w:rPr>
          <w:rFonts w:hint="default" w:ascii="Arial" w:hAnsi="Arial" w:cs="Arial"/>
          <w:sz w:val="24"/>
          <w:szCs w:val="24"/>
          <w:lang w:val="en-US" w:eastAsia="zh-CN"/>
        </w:rPr>
        <w:t>Hypothesis</w:t>
      </w:r>
      <w:bookmarkEnd w:id="25"/>
    </w:p>
    <w:p w14:paraId="6CD5371B">
      <w:pPr>
        <w:pageBreakBefore w:val="0"/>
        <w:widowControl w:val="0"/>
        <w:numPr>
          <w:ilvl w:val="0"/>
          <w:numId w:val="2"/>
        </w:numPr>
        <w:kinsoku/>
        <w:wordWrap/>
        <w:overflowPunct/>
        <w:topLinePunct w:val="0"/>
        <w:bidi w:val="0"/>
        <w:snapToGrid/>
        <w:spacing w:line="240" w:lineRule="auto"/>
        <w:ind w:left="0" w:leftChars="0" w:firstLine="480" w:firstLineChars="20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Cultural promotion within Genshin Impact will influence player in-game purchases.</w:t>
      </w:r>
    </w:p>
    <w:p w14:paraId="2E99D986">
      <w:pPr>
        <w:pageBreakBefore w:val="0"/>
        <w:widowControl w:val="0"/>
        <w:numPr>
          <w:ilvl w:val="0"/>
          <w:numId w:val="2"/>
        </w:numPr>
        <w:kinsoku/>
        <w:wordWrap/>
        <w:overflowPunct/>
        <w:topLinePunct w:val="0"/>
        <w:bidi w:val="0"/>
        <w:snapToGrid/>
        <w:spacing w:line="240" w:lineRule="auto"/>
        <w:ind w:left="0" w:leftChars="0" w:firstLine="480" w:firstLineChars="20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Desire for cultural recognition among global players influence the effectiveness of Genshin Impact`s cultural marketing strategies.</w:t>
      </w:r>
    </w:p>
    <w:p w14:paraId="21445136">
      <w:pPr>
        <w:pageBreakBefore w:val="0"/>
        <w:widowControl w:val="0"/>
        <w:numPr>
          <w:ilvl w:val="0"/>
          <w:numId w:val="2"/>
        </w:numPr>
        <w:kinsoku/>
        <w:wordWrap/>
        <w:overflowPunct/>
        <w:topLinePunct w:val="0"/>
        <w:bidi w:val="0"/>
        <w:snapToGrid/>
        <w:spacing w:line="240" w:lineRule="auto"/>
        <w:ind w:left="0" w:leftChars="0" w:firstLine="480" w:firstLineChars="20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Cultural elements influence players` emotional attachment to characters in Genshin Impact, and this attachment will encourage the exploration of related cultural aspects such as music, values, and architecture.</w:t>
      </w:r>
    </w:p>
    <w:p w14:paraId="2C1CA0A5">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p>
    <w:p w14:paraId="4FDF7D24">
      <w:pPr>
        <w:pageBreakBefore w:val="0"/>
        <w:widowControl w:val="0"/>
        <w:numPr>
          <w:ilvl w:val="0"/>
          <w:numId w:val="0"/>
        </w:numPr>
        <w:kinsoku/>
        <w:wordWrap/>
        <w:overflowPunct/>
        <w:topLinePunct w:val="0"/>
        <w:bidi w:val="0"/>
        <w:snapToGrid/>
        <w:spacing w:line="240" w:lineRule="auto"/>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The study aims to validate the proposed hypotheses and critically evaluate the significance of cultural marketing within the gaming industry. The findings will provide insights into the effectiveness of cultural strategies in enhancing player engagement and driving in-game purchases, thereby contributing to a broader understanding of the role of cultural elements in global game promotion.</w:t>
      </w:r>
    </w:p>
    <w:p w14:paraId="638DCF42">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26" w:name="_Toc6528"/>
      <w:bookmarkStart w:id="27" w:name="_Toc481690785"/>
      <w:r>
        <w:rPr>
          <w:rFonts w:hint="default" w:ascii="Arial" w:hAnsi="Arial" w:cs="Arial"/>
          <w:sz w:val="24"/>
          <w:szCs w:val="24"/>
          <w:lang w:val="en-US" w:eastAsia="zh-CN"/>
        </w:rPr>
        <w:t>Aims and Objectives</w:t>
      </w:r>
      <w:bookmarkEnd w:id="26"/>
      <w:bookmarkEnd w:id="27"/>
    </w:p>
    <w:p w14:paraId="170381EB">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The principal aim of this study is to conduct a comprehensive analysis of the role that cultural marketing strategies play in the global success of Genshin Impact. This research aims to elucidate how cultural elements within the game influence player behavior, including in-game purchases and emotional engagement, and to evaluate the broader implications of these strategies for the gaming industry.</w:t>
      </w:r>
    </w:p>
    <w:p w14:paraId="41BB7B63">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5CB57DE3">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To achieve this overarching aim, the study will address the following specific objectives:</w:t>
      </w:r>
    </w:p>
    <w:p w14:paraId="762A9255">
      <w:pPr>
        <w:pageBreakBefore w:val="0"/>
        <w:widowControl w:val="0"/>
        <w:numPr>
          <w:ilvl w:val="0"/>
          <w:numId w:val="3"/>
        </w:numPr>
        <w:kinsoku/>
        <w:wordWrap/>
        <w:overflowPunct/>
        <w:topLinePunct w:val="0"/>
        <w:bidi w:val="0"/>
        <w:snapToGrid/>
        <w:spacing w:line="240" w:lineRule="auto"/>
        <w:ind w:left="0" w:leftChars="0" w:firstLine="400" w:firstLine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To critically assess the impact of cultural promotion on player behavior and in-game purchasing decisions within Genshin Impact.</w:t>
      </w:r>
    </w:p>
    <w:p w14:paraId="31675B34">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2305FE50">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This objective involves a detailed examination of how the incorporation of cultural themes and elements into the game`s marketing and content strategies affects players` purchasing behaviors. It will explore whether culturally themed promotions lead to increased spending on in-game items, characters, and other premium content, thereby influencing overall player engagement and retention.</w:t>
      </w:r>
    </w:p>
    <w:p w14:paraId="3155D3D0">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04EA2213">
      <w:pPr>
        <w:pageBreakBefore w:val="0"/>
        <w:widowControl w:val="0"/>
        <w:numPr>
          <w:ilvl w:val="0"/>
          <w:numId w:val="3"/>
        </w:numPr>
        <w:kinsoku/>
        <w:wordWrap/>
        <w:overflowPunct/>
        <w:topLinePunct w:val="0"/>
        <w:bidi w:val="0"/>
        <w:snapToGrid/>
        <w:spacing w:line="240" w:lineRule="auto"/>
        <w:ind w:left="0" w:leftChars="0" w:firstLine="400" w:firstLine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To evaluate the effectiveness of Genshin Impact`s cultural marketing strategies in engaging a diverse, global player base.</w:t>
      </w:r>
    </w:p>
    <w:p w14:paraId="7B778533">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122D4D11">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This objective aims to systematically assess how the game`s integration of various cultural elements resonates with players from different geographical and cultural backgrounds. The evaluation will focus on how these strategies contribute to the game`s widespread appeal and success across diverse markets, highlighting the role of cultural diversity in enhancing global engagement.</w:t>
      </w:r>
    </w:p>
    <w:p w14:paraId="412F67F9">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1E750954">
      <w:pPr>
        <w:pageBreakBefore w:val="0"/>
        <w:widowControl w:val="0"/>
        <w:numPr>
          <w:ilvl w:val="0"/>
          <w:numId w:val="3"/>
        </w:numPr>
        <w:kinsoku/>
        <w:wordWrap/>
        <w:overflowPunct/>
        <w:topLinePunct w:val="0"/>
        <w:bidi w:val="0"/>
        <w:snapToGrid/>
        <w:spacing w:line="240" w:lineRule="auto"/>
        <w:ind w:left="0" w:leftChars="0" w:firstLine="400" w:firstLine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To examine the influence of cultural elements on players` emotional attachment to characters and their subsequent exploration of related cultural content within Genshin Impact.</w:t>
      </w:r>
    </w:p>
    <w:p w14:paraId="55267DA0">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1646449B">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This objective seeks to investigate the extent to which cultural aspects embedded in character design, narrative elements, and game aesthetics foster strong emotional connections between players and characters. It will also explore how these emotional bonds encourage players to engage more deeply with the game`s cultural content, including its music, values, and architectural design, thereby enriching their overall gaming experience.</w:t>
      </w:r>
    </w:p>
    <w:p w14:paraId="2C141E8E">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763ADAC4">
      <w:pPr>
        <w:pageBreakBefore w:val="0"/>
        <w:widowControl w:val="0"/>
        <w:numPr>
          <w:ilvl w:val="0"/>
          <w:numId w:val="3"/>
        </w:numPr>
        <w:kinsoku/>
        <w:wordWrap/>
        <w:overflowPunct/>
        <w:topLinePunct w:val="0"/>
        <w:bidi w:val="0"/>
        <w:snapToGrid/>
        <w:spacing w:line="240" w:lineRule="auto"/>
        <w:ind w:left="0" w:leftChars="0" w:firstLine="400" w:firstLine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To analyze the broader implications of cultural marketing within the gaming industry, using Genshin Impact as a case study.</w:t>
      </w:r>
    </w:p>
    <w:p w14:paraId="630FE364">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40BC3B52">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This objective focuses on deriving generalize insights from Genshin Impact`s approach to cultural marketing. The analysis will evaluate how the game`s success in integrating cultural elements can inform the development of future cultural products and marketing strategies within the gaming industry. This includes assessing the potential for cultural marketing to drive commercial success and enhance global cultural influence, providing valuable recommendations for other game developers and marketers.</w:t>
      </w:r>
    </w:p>
    <w:p w14:paraId="49FD4840">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3FC68534">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By addressing these objectives, the study aims to provide a thorough understanding of the role and impact of cultural marketing strategies in the success of Genshin Impact. It will also contribute to the broader discourse on the significance of cultural elements in global marketing and game design.</w:t>
      </w:r>
    </w:p>
    <w:p w14:paraId="1152A2B2">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28" w:name="_Toc2254"/>
      <w:r>
        <w:rPr>
          <w:rFonts w:hint="default" w:ascii="Arial" w:hAnsi="Arial" w:cs="Arial"/>
          <w:sz w:val="24"/>
          <w:szCs w:val="24"/>
          <w:lang w:val="en-US" w:eastAsia="zh-CN"/>
        </w:rPr>
        <w:t>Structure of the Dissertation</w:t>
      </w:r>
      <w:bookmarkEnd w:id="28"/>
    </w:p>
    <w:p w14:paraId="549A1DAE">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The dissertation is organized into five chapters, each addressing a specific aspect of the research on Genshin Impact`s cultural marketing strategy.</w:t>
      </w:r>
    </w:p>
    <w:p w14:paraId="469E764E">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001F7B3D">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r>
        <w:rPr>
          <w:rFonts w:hint="default" w:ascii="Arial" w:hAnsi="Arial" w:eastAsia="宋体" w:cs="Arial"/>
          <w:b w:val="0"/>
          <w:kern w:val="0"/>
          <w:sz w:val="24"/>
          <w:szCs w:val="24"/>
          <w:lang w:val="en-US" w:eastAsia="zh-CN" w:bidi="ar"/>
        </w:rPr>
        <w:t>Chapter 1of Introduction introduces the research topic, outlines the study`s objectives, and explains the rationale behind the research. It also introduces the key research questions and hypotheses that guide the investigation. Chapter 2 of Literature Review provides a comprehensive analysis of existing research related to cultural marketing in video games, cross-cultural communication, and player behavior. This chapter identifies gaps in the literature and establishes the theoretical framework for the study. Chapter 3 of Research Methodology details the research methods and approaches used in the study, including the research onion framework, the 4C model, and Multimodal Discourse Analysis (MDA). It discusses the rationale for choosing these methods and explains how they were applied to collect and analyze data. Chapter 4 is Analysis and Findings, in this chapter, the data collected through interviews and other sources are analyzed using the methodologies outlined in Chapter 3. The findings are presented in relation to the research hypotheses, with a focus on understanding how cultural elements in Genshin Impact influence player behavior and purchases. Chapter 5 is Conclusion and Recommendations which summarizes the key findings of the study, discusses their implications for both theory and practice, and offers recommendations for future research. It also reflects on the limitations of the study and suggests ways in which the research could be expanded or refined in the future.</w:t>
      </w:r>
    </w:p>
    <w:p w14:paraId="45F6E4D9">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1B372013">
      <w:pPr>
        <w:pageBreakBefore w:val="0"/>
        <w:widowControl w:val="0"/>
        <w:numPr>
          <w:ilvl w:val="0"/>
          <w:numId w:val="0"/>
        </w:numPr>
        <w:kinsoku/>
        <w:wordWrap/>
        <w:overflowPunct/>
        <w:topLinePunct w:val="0"/>
        <w:bidi w:val="0"/>
        <w:snapToGrid/>
        <w:spacing w:line="240" w:lineRule="auto"/>
        <w:ind w:leftChars="0"/>
        <w:jc w:val="both"/>
        <w:rPr>
          <w:rFonts w:hint="default" w:ascii="Arial" w:hAnsi="Arial" w:eastAsia="宋体" w:cs="Arial"/>
          <w:b w:val="0"/>
          <w:kern w:val="0"/>
          <w:sz w:val="24"/>
          <w:szCs w:val="24"/>
          <w:lang w:val="en-US" w:eastAsia="zh-CN" w:bidi="ar"/>
        </w:rPr>
      </w:pPr>
    </w:p>
    <w:p w14:paraId="2E80FC35">
      <w:pPr>
        <w:pageBreakBefore w:val="0"/>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rPr>
        <w:br w:type="page"/>
      </w:r>
    </w:p>
    <w:p w14:paraId="1C609578">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29" w:name="_Toc5398"/>
      <w:r>
        <w:rPr>
          <w:rFonts w:hint="default" w:ascii="Arial" w:hAnsi="Arial" w:cs="Arial"/>
          <w:sz w:val="24"/>
          <w:szCs w:val="24"/>
          <w:lang w:val="en-US" w:eastAsia="zh-CN"/>
        </w:rPr>
        <w:t>Chapter 2: Literature Review</w:t>
      </w:r>
      <w:bookmarkEnd w:id="29"/>
    </w:p>
    <w:p w14:paraId="26DB143A">
      <w:pPr>
        <w:pageBreakBefore w:val="0"/>
        <w:widowControl/>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eastAsia="宋体" w:cs="Arial"/>
          <w:kern w:val="0"/>
          <w:sz w:val="24"/>
          <w:szCs w:val="24"/>
          <w:lang w:val="en-US" w:eastAsia="zh-CN" w:bidi="ar"/>
        </w:rPr>
        <w:t>This chapter presents a critical analysis of the existing literature on the gaming industry, cultural marketing, and cross-cultural engagement. The literature review will look at the theoretical basis of cultural marketing techniques and their impact on worldwide customer bases. The evaluation will build on previous studies on cross-cultural communication and marketing, focusing on how gaming brands incorporate culture into their goods to appeal to a wide range of people. This review seeks to lay the theoretical groundwork for the forthcoming study of Genshin Impact`s cultural marketing strategies.</w:t>
      </w:r>
    </w:p>
    <w:p w14:paraId="4052D577">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0" w:name="_Toc2647"/>
      <w:r>
        <w:rPr>
          <w:rFonts w:hint="default" w:ascii="Arial" w:hAnsi="Arial" w:cs="Arial"/>
          <w:sz w:val="24"/>
          <w:szCs w:val="24"/>
          <w:lang w:val="en-US" w:eastAsia="zh-CN"/>
        </w:rPr>
        <w:t>The Gaimg Industry</w:t>
      </w:r>
      <w:bookmarkEnd w:id="30"/>
    </w:p>
    <w:p w14:paraId="44D40AE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The gaming business has evolved dramatically over the last few decades, from simple, single-player experiences to intricate, multi-layered virtual worlds that engage millions of </w:t>
      </w:r>
      <w:r>
        <w:rPr>
          <w:rFonts w:hint="default" w:ascii="Arial" w:hAnsi="Arial" w:eastAsia="宋体" w:cs="Arial"/>
          <w:kern w:val="0"/>
          <w:sz w:val="24"/>
          <w:szCs w:val="24"/>
          <w:lang w:val="en-US" w:eastAsia="zh-CN" w:bidi="ar"/>
        </w:rPr>
        <w:t>players</w:t>
      </w:r>
      <w:r>
        <w:rPr>
          <w:rFonts w:hint="default" w:ascii="Arial" w:hAnsi="Arial" w:eastAsia="宋体" w:cs="Arial"/>
          <w:kern w:val="0"/>
          <w:sz w:val="24"/>
          <w:szCs w:val="24"/>
          <w:lang w:bidi="ar"/>
        </w:rPr>
        <w:t xml:space="preserve"> worldwide. This progression has been accelerated by technological advancements such as augmented reality (AR), virtual reality (VR), and extended reality (XR). The rise of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a collective virtual shared environment, has hastened this shift, opening up new avenues for involvement and connection. Modern games are mostly decentralised and peer-to-peer (P2P), allowing players to engage directly within complex gaming environments.</w:t>
      </w:r>
    </w:p>
    <w:p w14:paraId="4A8B528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EA5EA8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article from Verma in 2023</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explores the future of the gaming industry, with a focus on the metaverse. Extended reality (XR) engines are poised to transform the gaming environment by combining sensory touch with real-time streaming capabilities via P2P networks. (Verma et al, 2023) This development will improve the realism of virtual environments, allowing for more natural interactions and immersive experiences. The developer of Genshin Impact has lofty intentions to grow the game into a comprehensive metaverse that would engage 1 billion gamers by 2030. This vision is consistent with the trends outlined in Verma`s paper, where XR technology and decentralised networks play critical roles. This study lays the groundwork for investigating specific applications in the game business.</w:t>
      </w:r>
    </w:p>
    <w:p w14:paraId="0E23FDF7">
      <w:pPr>
        <w:pageBreakBefore w:val="0"/>
        <w:kinsoku/>
        <w:wordWrap/>
        <w:overflowPunct/>
        <w:topLinePunct w:val="0"/>
        <w:bidi w:val="0"/>
        <w:snapToGrid/>
        <w:spacing w:line="240" w:lineRule="auto"/>
        <w:rPr>
          <w:rFonts w:hint="default" w:ascii="Arial" w:hAnsi="Arial" w:cs="Arial"/>
          <w:sz w:val="24"/>
          <w:szCs w:val="24"/>
        </w:rPr>
      </w:pPr>
    </w:p>
    <w:p w14:paraId="15D29EE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Hashem investigates how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xml:space="preserve"> might improve customer engagement through new marketing methods. The report emphasises that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xml:space="preserve"> offers unique chances for marketers to connect with consumers in immersive and interactive ways. (Hashem, 2023) These opportunities include hosting virtual events, designing branded virtual environments, and providing interactive digital content. According to the authors, as more organisations invest in these technologies,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xml:space="preserve"> will become an important component of the marketing landscape. This investment will increase consumer engagement and loyalty by providing more interactive and personalised experiences. </w:t>
      </w:r>
    </w:p>
    <w:p w14:paraId="4C280520">
      <w:pPr>
        <w:pageBreakBefore w:val="0"/>
        <w:kinsoku/>
        <w:wordWrap/>
        <w:overflowPunct/>
        <w:topLinePunct w:val="0"/>
        <w:bidi w:val="0"/>
        <w:snapToGrid/>
        <w:spacing w:line="240" w:lineRule="auto"/>
        <w:rPr>
          <w:rFonts w:hint="default" w:ascii="Arial" w:hAnsi="Arial" w:cs="Arial"/>
          <w:sz w:val="24"/>
          <w:szCs w:val="24"/>
        </w:rPr>
      </w:pPr>
    </w:p>
    <w:p w14:paraId="36596F5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Key findings from this study show that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xml:space="preserve">`s ability to combine physical and digital encounters creates a more immersive marketing environment. Brands can use this combination to provide unique experiences that traditional marketing channels cannot replicate. As the technology behind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 xml:space="preserve"> advances, its importance in marketing campaigns is projected to expand, giving organisations with new ways to reach and engage their target customers.</w:t>
      </w:r>
    </w:p>
    <w:p w14:paraId="2011713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64EAB0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To assess Genshin Impact`s performance in this business, Khairunnisa and Evanita in 2024, looked into the elements that influence e-impulse buying behaviour among Genshin Impact players, with a focus on limited-time scarcity, advertising, and electronic word-of-mouth. The authors also demonstrate that, while limited-time scarcity has no significant effect on e-impulse buying, advertising and E-WOM (Electronic-word of mouth) are important drivers of such behaviour. Visually appealing and informative commercials dramatically increase impulse purchases. Furthermore, E-WOM, or players sharing their experiences and opinions online, has a significant impact on other players` purchasing decisions. This study emphasises the necessity of effective advertising and building pleasant online communities to increase virtual item sales in online games. According to the findings, game developers and marketers should work on developing appealing adverts and increasing player interactions in order to improve E-WOM. These strategies can effectively boost player engagement and sales, emphasising the relationship between marketing approaches and consumer behaviour in the gaming business.</w:t>
      </w:r>
    </w:p>
    <w:p w14:paraId="194A60E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F1D311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The studied literature of this section offers a thorough overview of current trends and future directions in the gaming business. The papers highlight the </w:t>
      </w:r>
      <w:r>
        <w:rPr>
          <w:rFonts w:hint="default" w:ascii="Arial" w:hAnsi="Arial" w:eastAsia="宋体" w:cs="Arial"/>
          <w:kern w:val="0"/>
          <w:sz w:val="24"/>
          <w:szCs w:val="24"/>
          <w:lang w:eastAsia="zh-CN" w:bidi="ar"/>
        </w:rPr>
        <w:t>meta-verse</w:t>
      </w:r>
      <w:r>
        <w:rPr>
          <w:rFonts w:hint="default" w:ascii="Arial" w:hAnsi="Arial" w:eastAsia="宋体" w:cs="Arial"/>
          <w:kern w:val="0"/>
          <w:sz w:val="24"/>
          <w:szCs w:val="24"/>
          <w:lang w:bidi="ar"/>
        </w:rPr>
        <w:t>`s revolutionary potential for increasing customer interaction, as well as the success of new marketing methods in driving consumer behaviour. As the industry evolves, these insights will be critical in understanding how to use new technology and techniques to produce engaging and effective gaming experiences. In section 2.2, the review will explore how marketing and digital marketing techniques are pivotal in promoting games, building brand loyalty, and driving sales in this dynamic industry.</w:t>
      </w:r>
    </w:p>
    <w:p w14:paraId="5DEFFB31">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1" w:name="_Toc8761"/>
      <w:r>
        <w:rPr>
          <w:rFonts w:hint="default" w:ascii="Arial" w:hAnsi="Arial" w:cs="Arial"/>
          <w:sz w:val="24"/>
          <w:szCs w:val="24"/>
          <w:lang w:val="en-US" w:eastAsia="zh-CN"/>
        </w:rPr>
        <w:t>Marketing and Digital Marketing</w:t>
      </w:r>
      <w:bookmarkEnd w:id="31"/>
      <w:r>
        <w:rPr>
          <w:rFonts w:hint="default" w:ascii="Arial" w:hAnsi="Arial" w:cs="Arial"/>
          <w:sz w:val="24"/>
          <w:szCs w:val="24"/>
          <w:lang w:val="en-US" w:eastAsia="zh-CN"/>
        </w:rPr>
        <w:t xml:space="preserve"> </w:t>
      </w:r>
    </w:p>
    <w:p w14:paraId="5A84727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According to Philip Kotler, marketing is the process of generating, conveying, delivering, and exchanging offerings that have value for consumers, clients, partners, and society as a whole. Marketing is "the science and art of exploring, creating, and delivering value to satisfy the needs of a target market at a profit" (Kotler &amp; Armstrong, 2020). This definition emphasises marketing`s twin function of recognising and addressing client requirements while also maintaining organisational profitability. The concept of customer orientation is central to Kotler`s viewpoint, which holds that marketing plans should begin with a thorough grasp of client desires, preferences, and behaviours. Businesses that focus on customer needs can adjust their products, services, and communication techniques to better match consumer demands and expectations.</w:t>
      </w:r>
    </w:p>
    <w:p w14:paraId="2628667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6EFF39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Critically, while Kotler`s definition provides a solid framework for understanding marketing`s strategic role, further study is required to investigate new trends and problems in marketing practice. Kotler`s book Marketing 4.0, published 2017 reveals how the world moved from traditional to digital.</w:t>
      </w:r>
    </w:p>
    <w:p w14:paraId="6E61CF0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9516A8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It</w:t>
      </w:r>
      <w:r>
        <w:rPr>
          <w:rFonts w:hint="default" w:ascii="Arial" w:hAnsi="Arial" w:eastAsia="宋体" w:cs="Arial"/>
          <w:kern w:val="0"/>
          <w:sz w:val="24"/>
          <w:szCs w:val="24"/>
          <w:lang w:bidi="ar"/>
        </w:rPr>
        <w:t xml:space="preserve"> is a </w:t>
      </w:r>
      <w:r>
        <w:rPr>
          <w:rFonts w:hint="default" w:ascii="Arial" w:hAnsi="Arial" w:eastAsia="宋体" w:cs="Arial"/>
          <w:kern w:val="0"/>
          <w:sz w:val="24"/>
          <w:szCs w:val="24"/>
          <w:lang w:eastAsia="zh-CN" w:bidi="ar"/>
        </w:rPr>
        <w:t>transitional</w:t>
      </w:r>
      <w:r>
        <w:rPr>
          <w:rFonts w:hint="default" w:ascii="Arial" w:hAnsi="Arial" w:eastAsia="宋体" w:cs="Arial"/>
          <w:kern w:val="0"/>
          <w:sz w:val="24"/>
          <w:szCs w:val="24"/>
          <w:lang w:bidi="ar"/>
        </w:rPr>
        <w:t xml:space="preserve"> approach to marketing that combines traditional and digital techniques to engage today`s connected consumers.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 xml:space="preserve">(Kotler, Kartajaya, &amp; Setiawan, 2017) </w:t>
      </w:r>
      <w:r>
        <w:rPr>
          <w:rFonts w:hint="default" w:ascii="Arial" w:hAnsi="Arial" w:eastAsia="宋体" w:cs="Arial"/>
          <w:kern w:val="0"/>
          <w:sz w:val="24"/>
          <w:szCs w:val="24"/>
          <w:lang w:val="en-US" w:eastAsia="zh-CN" w:bidi="ar"/>
        </w:rPr>
        <w:t>The book</w:t>
      </w:r>
      <w:r>
        <w:rPr>
          <w:rFonts w:hint="default" w:ascii="Arial" w:hAnsi="Arial" w:eastAsia="宋体" w:cs="Arial"/>
          <w:kern w:val="0"/>
          <w:sz w:val="24"/>
          <w:szCs w:val="24"/>
          <w:lang w:bidi="ar"/>
        </w:rPr>
        <w:t xml:space="preserve">, coined by Philip Kotler, Hermawan Kartajaya, and Iwan Setiawan, expands on previous marketing paradigms to handle the ever-changing landscape influenced by digital technology and dynamic customer behaviours. A client-centric strategy is central to </w:t>
      </w:r>
      <w:r>
        <w:rPr>
          <w:rFonts w:hint="default" w:ascii="Arial" w:hAnsi="Arial" w:eastAsia="宋体" w:cs="Arial"/>
          <w:kern w:val="0"/>
          <w:sz w:val="24"/>
          <w:szCs w:val="24"/>
          <w:lang w:val="en-US" w:eastAsia="zh-CN" w:bidi="ar"/>
        </w:rPr>
        <w:t>it</w:t>
      </w:r>
      <w:r>
        <w:rPr>
          <w:rFonts w:hint="default" w:ascii="Arial" w:hAnsi="Arial" w:eastAsia="宋体" w:cs="Arial"/>
          <w:kern w:val="0"/>
          <w:sz w:val="24"/>
          <w:szCs w:val="24"/>
          <w:lang w:bidi="ar"/>
        </w:rPr>
        <w:t>, emphasising understanding and addressing customer needs through personalised experiences made possible by digital platforms (Kotler, Kartajaya, &amp; Setiawan, 2017). This paradigm recognises the connectivity of online and offline interactions and advocates for seamless channel integration to produce a cohesive brand experience (Kotler, Kartajaya, and Setiawan, 2017).</w:t>
      </w:r>
    </w:p>
    <w:p w14:paraId="0371D06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6CC6E2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Kotler</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perspective on marketing emphasizes the transformative impact of connectivity on consumer behavior and marketing strategies, building upon the foundational principles of viral marketing. The earlier work focuses on the mechanics of </w:t>
      </w:r>
      <w:r>
        <w:rPr>
          <w:rFonts w:hint="default" w:ascii="Arial" w:hAnsi="Arial" w:eastAsia="宋体" w:cs="Arial"/>
          <w:kern w:val="0"/>
          <w:sz w:val="24"/>
          <w:szCs w:val="24"/>
          <w:lang w:val="en-US" w:eastAsia="zh-CN" w:bidi="ar"/>
        </w:rPr>
        <w:t>E-WOM</w:t>
      </w:r>
      <w:r>
        <w:rPr>
          <w:rFonts w:hint="default" w:ascii="Arial" w:hAnsi="Arial" w:eastAsia="宋体" w:cs="Arial"/>
          <w:kern w:val="0"/>
          <w:sz w:val="24"/>
          <w:szCs w:val="24"/>
          <w:lang w:bidi="ar"/>
        </w:rPr>
        <w:t xml:space="preserve"> promotion in the digital era, highlighting the elements that drive content to become viral. In contrast, Kotler</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approach expands the scope by examining how digital connectivity creates new channels for customer engagement and loyalty, thus providing a more comprehensive strategic framework.</w:t>
      </w:r>
    </w:p>
    <w:p w14:paraId="741084D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8C58E6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Data-driven decision-making, uses big data and analytics to optimise campaigns, personalise content, and accurately assess ROI (Kotler, Kartajaya, &amp; Setiawan, 2017). Marketers are encouraged to use agile methods that respond fast to market developments and customer insights, increasing relevance and engagement (Kotler, Kartajaya, and Setiawan, 2017). Content marketing is critical because it allows you to interact and educate your customers across multiple digital contact points. Marketers should generate quality, relevant content that resonates with their target audiences to foster long-term connections and brand advocacy (Kotler, Kartajaya, &amp; Setiawan, 2017).</w:t>
      </w:r>
    </w:p>
    <w:p w14:paraId="0DF45B1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2571CC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Ethical considerations are also important as marketers deal with data privacy, transparency, and ethical use of consumer information. Building trust and credibility through ethical practices is critical to preserving favourable brand perceptions in the digital era (Kotler, Kartajaya, &amp; Setiawan, 2017). Kotler</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work is also distinguished by its strategic approach to technology. Compared to earlier texts, which primarily provides tactical advice on digital tools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David Meerman Scott</w:t>
      </w:r>
      <w:r>
        <w:rPr>
          <w:rFonts w:hint="default" w:ascii="Arial" w:hAnsi="Arial" w:eastAsia="宋体" w:cs="Arial"/>
          <w:kern w:val="0"/>
          <w:sz w:val="24"/>
          <w:szCs w:val="24"/>
          <w:lang w:val="en-US" w:eastAsia="zh-CN" w:bidi="ar"/>
        </w:rPr>
        <w:t>, 2010)</w:t>
      </w:r>
      <w:r>
        <w:rPr>
          <w:rFonts w:hint="default" w:ascii="Arial" w:hAnsi="Arial" w:eastAsia="宋体" w:cs="Arial"/>
          <w:kern w:val="0"/>
          <w:sz w:val="24"/>
          <w:szCs w:val="24"/>
          <w:lang w:bidi="ar"/>
        </w:rPr>
        <w:t>, Kotler</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work</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discusses how technology can be strategically integrated into the broader marketing strategy. This includes leveraging big data, AI, and machine learning to understand and predict consumer behavior, thereby making marketing efforts more precise and effective.</w:t>
      </w:r>
    </w:p>
    <w:p w14:paraId="12F7EA9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3CA3D4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There is a key strategic value for digital marketing in today`s competitive landscape, where digital marketing is described as using digital technologies, platforms, and channels to engage with customers and achieve corporate goals (Chaffey &amp; Ellis-Chadwick, 2019). This definition emphasises the importance of technology in altering consumer interactions and marketing results.</w:t>
      </w:r>
    </w:p>
    <w:p w14:paraId="5031EAC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B80800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This methodology is built around the RACE (Reach, Act, Convert, Engage) paradigm, which offers a disciplined way to planning and optimising digital marketing activities (Chaffey &amp; Smith, 2017). The RACE model walks marketers through the process of attracting audiences, engaging them with appealing content, converting visitors into customers, and building long-term connections through ongoing engagement methods.</w:t>
      </w:r>
    </w:p>
    <w:p w14:paraId="7BBCB56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18926D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contrast, whereas Kotler`s work offers a strategic view on harnessing digital transformation for marketing success, Chaffey`s contributions are quite practical, providing marketers with concrete frameworks and tools for implementing digital campaigns, focusing on the evolution of digital marketing channels and platforms. SEO (Search Engine Optimisation), PPC (Pay-Per-Click) advertising, social media marketing, email marketing, and content marketing are all important components of a holistic digital strategy (Chaffey &amp; Ellis-Chadwick, 2019). Depending on the marketing objectives and target audience demographics, each medium has various benefits for reaching and influencing them.</w:t>
      </w:r>
    </w:p>
    <w:p w14:paraId="55A3AC8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31F314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SEO involves optimizing website content to rank higher in search engine results. Effective SEO strategies include keyword research, high-quality content creation, backlink building, and technical optimizations. Higher search rankings increase visibility and drive organic traffic.</w:t>
      </w:r>
    </w:p>
    <w:p w14:paraId="5EB34AE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F4CC03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Digital marketing includes a range of strategies, such as social media marketing, content marketing, search engine optimization (SEO), and influencer marketing, that can help companies effectively reach out to and attract consumers from different cultures.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(Bala, M. &amp; Verma, D., 2018) SEO optimizes the content and structure of the website to position the search engine results in different regions, thus increasing the visibility and influence of the brand in the global market. (Bala, M. &amp; Verma, D., 2018) Influencer Marketing uses social media influencers with a large number of local followers to enhance the trust and visibility of the brand in a specific culture through their recommendation and promotion. In short, digital marketing plays a key role in cross-cultural marketing. By making effective use of strategies such as social media, content marketing, SEO and influencer marketing, enterprises can better understand and meet the needs of consumers from different cultural backgrounds and enhance the competitiveness of their brands in the global market.</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(Bala, M. &amp; Verma, D., 2018)</w:t>
      </w:r>
    </w:p>
    <w:p w14:paraId="5E77792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86F2E8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developer has provided a lot of content for Genshin Impact, such as thorough game instructions, character introductions, and narrative movies. This content keeps players interested and attracts new users. Genshin Impact employs SEO tactics to ensure that game-related material appears high in search engine results.</w:t>
      </w:r>
      <w:r>
        <w:rPr>
          <w:rFonts w:hint="default" w:ascii="Arial" w:hAnsi="Arial" w:eastAsia="宋体" w:cs="Arial"/>
          <w:kern w:val="0"/>
          <w:sz w:val="24"/>
          <w:szCs w:val="24"/>
          <w:lang w:val="en-US" w:eastAsia="zh-CN" w:bidi="ar"/>
        </w:rPr>
        <w:t xml:space="preserve"> (Adams, 2022)</w:t>
      </w:r>
      <w:r>
        <w:rPr>
          <w:rFonts w:hint="default" w:ascii="Arial" w:hAnsi="Arial" w:eastAsia="宋体" w:cs="Arial"/>
          <w:kern w:val="0"/>
          <w:sz w:val="24"/>
          <w:szCs w:val="24"/>
          <w:lang w:bidi="ar"/>
        </w:rPr>
        <w:t xml:space="preserve"> PPC ads are often used to advertise new upgrades and events. Digital marketing tactics such as content marketing, social media marketing, influencer marketing, SEO, PPC, email marketing, and affiliate marketing are critical in today`s company environment.</w:t>
      </w:r>
      <w:r>
        <w:rPr>
          <w:rFonts w:hint="default" w:ascii="Arial" w:hAnsi="Arial" w:eastAsia="宋体" w:cs="Arial"/>
          <w:kern w:val="0"/>
          <w:sz w:val="24"/>
          <w:szCs w:val="24"/>
          <w:lang w:val="en-US" w:eastAsia="zh-CN" w:bidi="ar"/>
        </w:rPr>
        <w:t xml:space="preserve"> </w:t>
      </w:r>
      <w:r>
        <w:rPr>
          <w:rFonts w:hint="default" w:ascii="Arial" w:hAnsi="Arial" w:eastAsia="宋体" w:cs="Arial"/>
          <w:b w:val="0"/>
          <w:kern w:val="0"/>
          <w:sz w:val="24"/>
          <w:szCs w:val="24"/>
          <w:lang w:val="en-US" w:eastAsia="zh-CN" w:bidi="ar"/>
        </w:rPr>
        <w:t>(Adams, 2022)</w:t>
      </w:r>
      <w:r>
        <w:rPr>
          <w:rFonts w:hint="default" w:ascii="Arial" w:hAnsi="Arial" w:eastAsia="宋体" w:cs="Arial"/>
          <w:kern w:val="0"/>
          <w:sz w:val="24"/>
          <w:szCs w:val="24"/>
          <w:lang w:bidi="ar"/>
        </w:rPr>
        <w:t xml:space="preserve"> The gaming sector, with its distinct demands and opportunities, effectively uses these tactics to engage and develop its audience.</w:t>
      </w:r>
    </w:p>
    <w:p w14:paraId="4C58995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223489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Marketing has developed to include both traditional and digital techniques, with each playing an important part in engaging and maintaining clients. Traditional marketing approaches such as print ads and television commercials continue to establish a broad brand presence, whilst digital marketing channels provide focused reach and measurable results.</w:t>
      </w:r>
      <w:r>
        <w:rPr>
          <w:rFonts w:hint="default" w:ascii="Arial" w:hAnsi="Arial" w:eastAsia="宋体" w:cs="Arial"/>
          <w:kern w:val="0"/>
          <w:sz w:val="24"/>
          <w:szCs w:val="24"/>
          <w:lang w:val="en-US" w:eastAsia="zh-CN" w:bidi="ar"/>
        </w:rPr>
        <w:t xml:space="preserve"> </w:t>
      </w:r>
      <w:r>
        <w:rPr>
          <w:rFonts w:hint="default" w:ascii="Arial" w:hAnsi="Arial" w:eastAsia="宋体" w:cs="Arial"/>
          <w:b w:val="0"/>
          <w:kern w:val="0"/>
          <w:sz w:val="24"/>
          <w:szCs w:val="24"/>
          <w:lang w:val="en-US" w:eastAsia="zh-CN" w:bidi="ar"/>
        </w:rPr>
        <w:t>(Adams, 2022)</w:t>
      </w:r>
      <w:r>
        <w:rPr>
          <w:rFonts w:hint="default" w:ascii="Arial" w:hAnsi="Arial" w:eastAsia="宋体" w:cs="Arial"/>
          <w:kern w:val="0"/>
          <w:sz w:val="24"/>
          <w:szCs w:val="24"/>
          <w:lang w:bidi="ar"/>
        </w:rPr>
        <w:t xml:space="preserve"> Integrating these tactics enables organisations to increase marketing effectiveness by harnessing the assets of both offline and online channels. However, this integration brings issues such as managing digital complexity and ensuring consistent brand messaging across media and cultures.</w:t>
      </w:r>
      <w:r>
        <w:rPr>
          <w:rFonts w:hint="default" w:ascii="Arial" w:hAnsi="Arial" w:eastAsia="宋体" w:cs="Arial"/>
          <w:kern w:val="0"/>
          <w:sz w:val="24"/>
          <w:szCs w:val="24"/>
          <w:lang w:val="en-US" w:eastAsia="zh-CN" w:bidi="ar"/>
        </w:rPr>
        <w:t xml:space="preserve"> (Adams, 2022)</w:t>
      </w:r>
      <w:r>
        <w:rPr>
          <w:rFonts w:hint="default" w:ascii="Arial" w:hAnsi="Arial" w:eastAsia="宋体" w:cs="Arial"/>
          <w:kern w:val="0"/>
          <w:sz w:val="24"/>
          <w:szCs w:val="24"/>
          <w:lang w:bidi="ar"/>
        </w:rPr>
        <w:t xml:space="preserve"> Looking ahead, AI-driven personalisation, ethical marketing practices, cross cultural communication, and sustainability efforts are anticipated to advance, resulting in tactics that engage authentically with varied customer segments and support long-term corporate growth.</w:t>
      </w:r>
      <w:r>
        <w:rPr>
          <w:rFonts w:hint="default" w:ascii="Arial" w:hAnsi="Arial" w:eastAsia="宋体" w:cs="Arial"/>
          <w:kern w:val="0"/>
          <w:sz w:val="24"/>
          <w:szCs w:val="24"/>
          <w:lang w:val="en-US" w:eastAsia="zh-CN" w:bidi="ar"/>
        </w:rPr>
        <w:t xml:space="preserve"> (Wang, 2024)</w:t>
      </w:r>
      <w:r>
        <w:rPr>
          <w:rFonts w:hint="default" w:ascii="Arial" w:hAnsi="Arial" w:eastAsia="宋体" w:cs="Arial"/>
          <w:kern w:val="0"/>
          <w:sz w:val="24"/>
          <w:szCs w:val="24"/>
          <w:lang w:bidi="ar"/>
        </w:rPr>
        <w:t xml:space="preserve"> Moving into section 2.3, the review will discuss how understanding and integrating cultural considerations into business practices can significantly enhance marketing efforts and overall business success.</w:t>
      </w:r>
    </w:p>
    <w:p w14:paraId="7EA4ABFB">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2" w:name="_Toc25041"/>
      <w:r>
        <w:rPr>
          <w:rFonts w:hint="default" w:ascii="Arial" w:hAnsi="Arial" w:cs="Arial"/>
          <w:sz w:val="24"/>
          <w:szCs w:val="24"/>
          <w:lang w:val="en-US" w:eastAsia="zh-CN"/>
        </w:rPr>
        <w:t>Culture in Business</w:t>
      </w:r>
      <w:bookmarkEnd w:id="32"/>
    </w:p>
    <w:p w14:paraId="0E66C84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connection of culture and business practices is becoming an increasingly important subject of research, especially in light of globalisation and the expanding diversity of markets and workforces. Scholars critically analyse the impact of cultural factors on corporate operations. (Venaik et al, 2023) They emphasise the limitations of Hofstede`s and the GLOBE study models</w:t>
      </w:r>
      <w:r>
        <w:rPr>
          <w:rFonts w:hint="default" w:ascii="Arial" w:hAnsi="Arial" w:eastAsia="宋体" w:cs="Arial"/>
          <w:kern w:val="0"/>
          <w:sz w:val="24"/>
          <w:szCs w:val="24"/>
          <w:lang w:val="en-US" w:eastAsia="zh-CN" w:bidi="ar"/>
        </w:rPr>
        <w:t xml:space="preserve"> from 1980 and 2000</w:t>
      </w:r>
      <w:r>
        <w:rPr>
          <w:rFonts w:hint="default" w:ascii="Arial" w:hAnsi="Arial" w:eastAsia="宋体" w:cs="Arial"/>
          <w:kern w:val="0"/>
          <w:sz w:val="24"/>
          <w:szCs w:val="24"/>
          <w:lang w:bidi="ar"/>
        </w:rPr>
        <w:t>, arguing that national culture is more nuanced than these frameworks suggest.</w:t>
      </w:r>
    </w:p>
    <w:p w14:paraId="181EFF3A">
      <w:pPr>
        <w:pageBreakBefore w:val="0"/>
        <w:kinsoku/>
        <w:wordWrap/>
        <w:overflowPunct/>
        <w:topLinePunct w:val="0"/>
        <w:bidi w:val="0"/>
        <w:snapToGrid/>
        <w:spacing w:line="240" w:lineRule="auto"/>
        <w:rPr>
          <w:rFonts w:hint="default" w:ascii="Arial" w:hAnsi="Arial" w:cs="Arial"/>
          <w:sz w:val="24"/>
          <w:szCs w:val="24"/>
        </w:rPr>
      </w:pPr>
    </w:p>
    <w:p w14:paraId="783211F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Cultural issues in business involve a wide range of factors, including communication techniques, managerial practices, negotiating strategies, and consumer behaviour. Effective cross-cultural management necessitates an understanding of these distinctions and the ability to adjust techniques accordingly. Multinational corporations` organisational cultures can have a substantial impact on performance and employee satisfaction. Companies with strong, inclusive cultures that value diversity and encourage cross-cultural collaboration have higher staff retention and innovation rates. (Venaik et al, 2023).</w:t>
      </w:r>
    </w:p>
    <w:p w14:paraId="35F5E26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CB7941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Genshin Impact makes deliberate use of cultural differences to boost player involvement and immersion. The game is available in multiple languages, including English, Chinese, Japanese, and French. Each language version is thoroughly localised to capture the linguistic nuances and cultural context of the respective places. Localization includes not only translation but also the adaptation of dialogues, idiomatic expressions, and cultural references. For example, jokes, idioms, and culturally specific terms are customised to the local culture, making the content more relevant and understandable to local players. (Ananta et al., 2024)</w:t>
      </w:r>
    </w:p>
    <w:p w14:paraId="33E7E58E">
      <w:pPr>
        <w:pageBreakBefore w:val="0"/>
        <w:widowControl/>
        <w:kinsoku/>
        <w:wordWrap/>
        <w:overflowPunct/>
        <w:topLinePunct w:val="0"/>
        <w:bidi w:val="0"/>
        <w:snapToGrid/>
        <w:spacing w:line="240" w:lineRule="auto"/>
        <w:rPr>
          <w:rFonts w:hint="default" w:ascii="Arial" w:hAnsi="Arial" w:eastAsia="宋体" w:cs="Arial"/>
          <w:color w:val="0000FF"/>
          <w:kern w:val="0"/>
          <w:sz w:val="24"/>
          <w:szCs w:val="24"/>
          <w:lang w:bidi="ar"/>
        </w:rPr>
      </w:pPr>
    </w:p>
    <w:p w14:paraId="625E54A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Studies also show that organisations must develop cultural intelligence in order to successfully traverse these disparities. This entails understanding cultural factors outlined by Hofstede, such as power distance, individuality against collectivism, masculinity versus femininity, uncertainty avoidance, long-term orientation, and indulgence versus restraint. These characteristics have an impact on how people interact within organisations as well as how organisations operate across boundaries. According to research, building an inclusive culture and respect for varied perspectives can lead to greater problem-solving and creative outcomes. Companies that value diversity and cross-cultural collaboration frequently experience increased creativity and a larger range of ideas, which are crucial for innovation and competitive advantage. (Venaik et al, 2023) </w:t>
      </w:r>
    </w:p>
    <w:p w14:paraId="57E32D63">
      <w:pPr>
        <w:pageBreakBefore w:val="0"/>
        <w:widowControl/>
        <w:kinsoku/>
        <w:wordWrap/>
        <w:overflowPunct/>
        <w:topLinePunct w:val="0"/>
        <w:bidi w:val="0"/>
        <w:snapToGrid/>
        <w:spacing w:line="240" w:lineRule="auto"/>
        <w:rPr>
          <w:rFonts w:hint="default" w:ascii="Arial" w:hAnsi="Arial" w:eastAsia="宋体" w:cs="Arial"/>
          <w:color w:val="0000FF"/>
          <w:kern w:val="0"/>
          <w:sz w:val="24"/>
          <w:szCs w:val="24"/>
          <w:lang w:bidi="ar"/>
        </w:rPr>
      </w:pPr>
    </w:p>
    <w:p w14:paraId="4151262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Cultural values have a significant impact on innovation. Studies shows that countries with a performance-oriented culture have higher innovation inputs and trajectories than those with a humane orientation. (Escandon-Barbosa et al. 2022) This shows that cultural influences play an important part in influencing a country`s ability to innovate. Countries with robust institutions, human capital, and market sophistication tend to produce more substantial innovation outputs, such as patents and creative works. This emphasises the need of integrating cultural characteristics with innovative methods in order to improve economic performance and competitive positioning.</w:t>
      </w:r>
    </w:p>
    <w:p w14:paraId="613265C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578B1C1">
      <w:pPr>
        <w:pageBreakBefore w:val="0"/>
        <w:widowControl/>
        <w:kinsoku/>
        <w:wordWrap/>
        <w:overflowPunct/>
        <w:topLinePunct w:val="0"/>
        <w:bidi w:val="0"/>
        <w:snapToGrid/>
        <w:spacing w:line="240" w:lineRule="auto"/>
        <w:rPr>
          <w:rFonts w:hint="default" w:ascii="Arial" w:hAnsi="Arial" w:cs="Arial"/>
          <w:sz w:val="24"/>
          <w:szCs w:val="24"/>
        </w:rPr>
      </w:pPr>
      <w:r>
        <w:rPr>
          <w:rFonts w:hint="default" w:ascii="Arial" w:hAnsi="Arial" w:eastAsia="宋体" w:cs="Arial"/>
          <w:kern w:val="0"/>
          <w:sz w:val="24"/>
          <w:szCs w:val="24"/>
          <w:lang w:bidi="ar"/>
        </w:rPr>
        <w:t>Studies also offer six essential aspects to demonstrate the growing importance of cultural constructs in business research. (Masuda et al, 2020) These frameworks offer a framework for comprehending cultural variations in commercial settings. Individualism vs. collectivism, for example, effects managerial performance and decision-making processes, with individualistic cultures prioritising personal achievement and collectivistic cultures emphasising group harmony (Masuda et al, 2020). Cultural differences influence how items are perceived and marketing tactics are established. For example, customers in high uncertainty avoidance cultures are less likely to adopt new technology and prefer known items, which has important consequences for worldwide marketing strategies (Masuda et al, 2020). Similarly, organisational behaviour research has found that cultural diversity can either help or hinder group performance, depending on how well cultural differences are managed within teams.</w:t>
      </w:r>
    </w:p>
    <w:p w14:paraId="6248271B">
      <w:pPr>
        <w:pageBreakBefore w:val="0"/>
        <w:widowControl/>
        <w:kinsoku/>
        <w:wordWrap/>
        <w:overflowPunct/>
        <w:topLinePunct w:val="0"/>
        <w:bidi w:val="0"/>
        <w:snapToGrid/>
        <w:spacing w:line="240" w:lineRule="auto"/>
        <w:rPr>
          <w:rFonts w:hint="default" w:ascii="Arial" w:hAnsi="Arial" w:eastAsia="宋体" w:cs="Arial"/>
          <w:color w:val="0000FF"/>
          <w:kern w:val="0"/>
          <w:sz w:val="24"/>
          <w:szCs w:val="24"/>
          <w:lang w:bidi="ar"/>
        </w:rPr>
      </w:pPr>
    </w:p>
    <w:p w14:paraId="0511298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future of business research depends on the continuous integration of cultural psychology and commercial practices. There is a need for more indigenous and emic-oriented notions that reflect the distinct cultural settings of nonwestern countries. Furthermore, as firms expand globally, the ability to manage and use cultural differences will become increasingly important for success. Researchers and practitioners must collaborate to create culturally informed business strategies that can adapt to the changing global market (Masuda et al., 2020).</w:t>
      </w:r>
    </w:p>
    <w:p w14:paraId="7E72D70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D4266A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Companies entering new cultural environments face various challenges, such as differences in tastes and preferences, norms, language barriers, and beliefs. These factors significantly impact the management and operations of companies. To address these challenges, there are several strategies, including a combination of standardization and localization. (Hong, 2021) Standardization helps reduce production costs and maintain brand consistency globally, while localization adapts to local cultures and consumer needs, enhancing market competitiveness and customer satisfaction. For example, Genshin Impact effectively attracts players worldwide by introducing localized game content and events in different regions.</w:t>
      </w:r>
    </w:p>
    <w:p w14:paraId="70F5CB8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14FDE9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Moreover, literature </w:t>
      </w:r>
      <w:r>
        <w:rPr>
          <w:rFonts w:hint="default" w:ascii="Arial" w:hAnsi="Arial" w:eastAsia="宋体" w:cs="Arial"/>
          <w:kern w:val="0"/>
          <w:sz w:val="24"/>
          <w:szCs w:val="24"/>
          <w:lang w:val="en-US" w:eastAsia="zh-CN" w:bidi="ar"/>
        </w:rPr>
        <w:t>(</w:t>
      </w:r>
      <w:r>
        <w:rPr>
          <w:rFonts w:hint="default" w:ascii="Arial" w:hAnsi="Arial" w:eastAsia="宋体" w:cs="Arial"/>
          <w:kern w:val="0"/>
          <w:sz w:val="24"/>
          <w:szCs w:val="24"/>
          <w:lang w:bidi="ar"/>
        </w:rPr>
        <w:t>Greting</w:t>
      </w:r>
      <w:r>
        <w:rPr>
          <w:rFonts w:hint="default" w:ascii="Arial" w:hAnsi="Arial" w:eastAsia="宋体" w:cs="Arial"/>
          <w:kern w:val="0"/>
          <w:sz w:val="24"/>
          <w:szCs w:val="24"/>
          <w:lang w:val="en-US" w:eastAsia="zh-CN" w:bidi="ar"/>
        </w:rPr>
        <w:t xml:space="preserve">, et al., 2022) </w:t>
      </w:r>
      <w:r>
        <w:rPr>
          <w:rFonts w:hint="default" w:ascii="Arial" w:hAnsi="Arial" w:eastAsia="宋体" w:cs="Arial"/>
          <w:kern w:val="0"/>
          <w:sz w:val="24"/>
          <w:szCs w:val="24"/>
          <w:lang w:bidi="ar"/>
        </w:rPr>
        <w:t>highlights the importance of cross-cultural training to improve employees`s cultural adaptability and cross-cultural communication skills. For a global game company like Genshin Impact, understanding and respecting the uniqueness of different cultures helps build stronger brand loyalty and user engagement in the international market.</w:t>
      </w:r>
    </w:p>
    <w:p w14:paraId="601B758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06EDED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Understanding the relationship between culture and business is critical for organisations` success in a globalised environment. Scholars who incorporate cultural dimensions into business studies can create more effective marketing strategies, improve organisational behaviour, and establish successful cross-cultural relationships. This cultural awareness is especially crucial in marketing, where messages must resonate with diverse audiences. In section 2.4, the review will delve deeper into how cultural nuances shape marketing campaigns and influence consumer behavior, highlighting the importance of culturally-informed marketing approaches.</w:t>
      </w:r>
    </w:p>
    <w:p w14:paraId="4868949C">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3" w:name="_Toc701"/>
      <w:r>
        <w:rPr>
          <w:rFonts w:hint="default" w:ascii="Arial" w:hAnsi="Arial" w:cs="Arial"/>
          <w:sz w:val="24"/>
          <w:szCs w:val="24"/>
          <w:lang w:val="en-US" w:eastAsia="zh-CN"/>
        </w:rPr>
        <w:t>Culture in Marketing</w:t>
      </w:r>
      <w:bookmarkEnd w:id="33"/>
    </w:p>
    <w:p w14:paraId="6F19F3B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Integrating cultural insights into business strategies is crucial for navigating the complexities of international markets. By moving beyond simplistic cultural models and embracing a more nuanced understanding of cultural differences, businesses can enhance their global operations and achieve sustainable success.</w:t>
      </w:r>
    </w:p>
    <w:p w14:paraId="51A7CBE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D4588A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Marketing can be defined as the process of discovering and addressing human and social demands (Cateora, Gilly, &amp; Graham, 2020). This fundamental definition emphasises the necessity of understanding consumer demands and generating value through a variety of marketing initiatives. As for international marketing, it is the method by which goods and services reach consumers or users in multiple countries (Cateora, Gilly, &amp; Graham, 2020), which means many businesses have evolved from "where should we establish new factories or markets at home" to "where should we manufacture or sell new products around the world". Marketing has evolved from old tactics to digital approaches, reflecting technical improvements and shifting customer behaviours.</w:t>
      </w:r>
    </w:p>
    <w:p w14:paraId="5F972EB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B2F74D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i/>
          <w:iCs/>
          <w:kern w:val="0"/>
          <w:sz w:val="24"/>
          <w:szCs w:val="24"/>
          <w:lang w:bidi="ar"/>
        </w:rPr>
        <w:t xml:space="preserve">Global Marketing </w:t>
      </w:r>
      <w:r>
        <w:rPr>
          <w:rFonts w:hint="default" w:ascii="Arial" w:hAnsi="Arial" w:eastAsia="宋体" w:cs="Arial"/>
          <w:kern w:val="0"/>
          <w:sz w:val="24"/>
          <w:szCs w:val="24"/>
          <w:lang w:bidi="ar"/>
        </w:rPr>
        <w:t>provides a thorough examination of worldwide marketing tactics in today`s global corporate environment. (Gillespie &amp; Swan, 2021) It dives into crucial topics such market entry strategies, cultural adaptation, and the global marketing mix. Gillespie and Swan investigated several modalities of market penetration, including exporting, licencing, joint ventures, and direct investing, stressing the strategic concerns and problems unique to each option. Using frameworks such as Hofstede`s cultural dimensions</w:t>
      </w:r>
      <w:r>
        <w:rPr>
          <w:rFonts w:hint="default" w:ascii="Arial" w:hAnsi="Arial" w:eastAsia="宋体" w:cs="Arial"/>
          <w:kern w:val="0"/>
          <w:sz w:val="24"/>
          <w:szCs w:val="24"/>
          <w:lang w:val="en-US" w:eastAsia="zh-CN" w:bidi="ar"/>
        </w:rPr>
        <w:t xml:space="preserve"> of 1980</w:t>
      </w:r>
      <w:r>
        <w:rPr>
          <w:rFonts w:hint="default" w:ascii="Arial" w:hAnsi="Arial" w:eastAsia="宋体" w:cs="Arial"/>
          <w:kern w:val="0"/>
          <w:sz w:val="24"/>
          <w:szCs w:val="24"/>
          <w:lang w:bidi="ar"/>
        </w:rPr>
        <w:t>, the authors demonstrate how cultural influences determine consumer behaviour and influence global marketing techniques, which could provide case analysis experience on different projects or products. Emerging trends such as digital transformation, sustainability initiatives, and geopolitical influences on global marketing strategies are a valuable resource for understanding and navigating the complexities of international marketing in today`s interconnected global economy, and also could help in guiding on how to conduct investigation on the cultural elements of our topic. (Gillespie &amp; Swan, 2021)</w:t>
      </w:r>
    </w:p>
    <w:p w14:paraId="05F6FB5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3CBEB8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global corporate climate is moulded by rapid technical breakthroughs, globalisation, and evolving customer behaviours made possible by internet access. (Sudirjo, 2023) These variables not only provide chances for worldwide expansion, but also provide substantial problems that demand precise marketing tactics. It emphasises the significance of personalised marketing tactics that can adjust to changing market conditions and consumer preferences around the world. (Sudirjo, 2023) Companies must negotiate the intricacies of global competition by deliberately positioning their brands and products to appeal to local cultures while retaining a consistent global identity. This dual approach ensures that businesses may capitalise on market possibilities while successfully handling the inherent constraints of global market dynamics.</w:t>
      </w:r>
    </w:p>
    <w:p w14:paraId="1117BC0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6959A3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Qualitative research methods, which include data collection through listening and recording essential information, as well as data analysis techniques such as data reduction and conclusion drawing, provide valuable insights into the nuanced factors influencing global market success. (Sudirjo, 2023) These methodologies enable researchers and practitioners to identify unique market insights and strategic answers that support successful marketing activities in today`s dynamic multicultural marketplace.</w:t>
      </w:r>
    </w:p>
    <w:p w14:paraId="444AB80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D6B534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Cultural variables have a strong influence on consumer behaviour and choices. To effectively target and engage consumers in many cultural contexts, marketing techniques must take these variances into account. (Liao, 2020) states that by using cross-cultural insights, marketers may modify their messaging and offers to meet local consumer expectations, increasing relevance and appeal. There is a need for localization in adjusting digital content and campaigns to cultural preferences and sensitivities. This comprises language localization, cultural iconography, and content adaptation to local digital behaviours. </w:t>
      </w:r>
    </w:p>
    <w:p w14:paraId="75EDE5A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EE63D7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examining the cross-cultural marketing strategies employed by Genshin Impact, the linguocultural features of marketing discourse provide a valuable framework (Hafizov, 2023). This underscores the importance of understanding how language and culture intertwine in marketing communications and their impact on message effectiveness. Marketing discourse is heavily influenced by cultural values, norms, and expectations, which shape language use, message construction, and audience reception, which is in line with Liao`s idea. (Liao, 2020)</w:t>
      </w:r>
    </w:p>
    <w:p w14:paraId="3A0F1FE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E50260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 has successfully navigated the complexities of cross-cultural marketing by employing a blend of standardization and localization strategies. Standardization ensures consistent branding and cost efficiency, while localization tailors the game`s content to fit the cultural preferences and norms of different regions. For instance, the game features culturally relevant events and character designs that resonate with local audiences, enhancing its global appeal. The study also highlights the significance of adapting to different communication styles and cultural nuances (Hafizov, 2023). For Genshin Impact, this means creating marketing messages that respect local languages and cultural symbols, and employing region-specific social media strategies to engage players. Understanding the target audience`s cultural background and preferences is essential for crafting messages that resonate and foster a strong connection with users.</w:t>
      </w:r>
    </w:p>
    <w:p w14:paraId="63CED32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0872A1B">
      <w:pPr>
        <w:pageBreakBefore w:val="0"/>
        <w:widowControl/>
        <w:kinsoku/>
        <w:wordWrap/>
        <w:overflowPunct/>
        <w:topLinePunct w:val="0"/>
        <w:bidi w:val="0"/>
        <w:snapToGrid/>
        <w:spacing w:line="240" w:lineRule="auto"/>
        <w:rPr>
          <w:rFonts w:hint="default" w:ascii="Arial" w:hAnsi="Arial" w:cs="Arial" w:eastAsiaTheme="minorEastAsia"/>
          <w:kern w:val="0"/>
          <w:sz w:val="24"/>
          <w:szCs w:val="24"/>
          <w:lang w:val="en-US" w:eastAsia="zh-CN" w:bidi="ar"/>
        </w:rPr>
      </w:pPr>
      <w:r>
        <w:rPr>
          <w:rFonts w:hint="default" w:ascii="Arial" w:hAnsi="Arial" w:eastAsia="宋体" w:cs="Arial"/>
          <w:kern w:val="0"/>
          <w:sz w:val="24"/>
          <w:szCs w:val="24"/>
          <w:lang w:bidi="ar"/>
        </w:rPr>
        <w:t>What else Genshin Impact has taken advantage of is social media platforms (Hafizov, 2023). This marketing approach is an important instruments for international marketing, however their efficiency varies by culture. Global brand management is facilitated by digital platforms, which provide a platform for consistent brand message and customer involvement around the world. However, managing a digital brand presence across multiple cultural settings necessitates cultural sensitivity and the capacity to modify methods as needed. AI could be useful in coping with the aforementioned challenges in today`s fast developing digital world. For scholars and businesspeople, it would be figuring out how to balance the complex and diverse cultural ties. For example, AI-powered natural language processing (NLP) tools can analyze and understand different languages, dialects, and cultural contexts. This capability enables companies to tailor their communication to be culturally sensitive and appropriate. For example, AI can help in translating marketing materials in a way that maintains cultural relevance and avoids misinterpretations.</w:t>
      </w:r>
      <w:r>
        <w:rPr>
          <w:rFonts w:hint="default" w:ascii="Arial" w:hAnsi="Arial" w:eastAsia="宋体" w:cs="Arial"/>
          <w:kern w:val="0"/>
          <w:sz w:val="24"/>
          <w:szCs w:val="24"/>
          <w:lang w:val="en-US" w:eastAsia="zh-CN" w:bidi="ar"/>
        </w:rPr>
        <w:t xml:space="preserve"> (Van Esch, &amp; Stewart Black, 2021)</w:t>
      </w:r>
    </w:p>
    <w:p w14:paraId="2C67045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71EF9E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AI is revolutionising marketing techniques. (Rajagopal et al, 2022) It covers the integration of artificial intelligence (AI) with customer relationship management (CRM) systems, highlighting the increased efficiency and effectiveness in operational procedures. AI`s capacity to analyse large amounts of data enables more exact targeting and personalisation in marketing campaigns. This technology breakthrough not only improves traditional marketing, but also opens up new prospects in digital marketing by automating decision-making processes and optimising customer interactions. Also, for example, AI algorithms can analyze vast amounts of data to identify cultural preferences and behaviors among different demographic groups. This insight allows businesses to create personalized marketing campaigns that resonate with specific cultural values and traditions, improving engagement and effectiveness. The study emphasises that, while AI provides tremendous benefits, its deployment necessitates alignment of AI technologies with company objectives as well as a willingness to embrace digital transformation.</w:t>
      </w:r>
    </w:p>
    <w:p w14:paraId="4A6569B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753386E">
      <w:pPr>
        <w:pageBreakBefore w:val="0"/>
        <w:widowControl/>
        <w:kinsoku/>
        <w:wordWrap/>
        <w:overflowPunct/>
        <w:topLinePunct w:val="0"/>
        <w:bidi w:val="0"/>
        <w:snapToGrid/>
        <w:spacing w:line="240" w:lineRule="auto"/>
        <w:rPr>
          <w:rFonts w:hint="default" w:ascii="Arial" w:hAnsi="Arial" w:eastAsia="宋体" w:cs="Arial"/>
          <w:color w:val="0000FF"/>
          <w:kern w:val="0"/>
          <w:sz w:val="24"/>
          <w:szCs w:val="24"/>
          <w:lang w:bidi="ar"/>
        </w:rPr>
      </w:pPr>
      <w:r>
        <w:rPr>
          <w:rFonts w:hint="default" w:ascii="Arial" w:hAnsi="Arial" w:eastAsia="宋体" w:cs="Arial"/>
          <w:kern w:val="0"/>
          <w:sz w:val="24"/>
          <w:szCs w:val="24"/>
          <w:lang w:bidi="ar"/>
        </w:rPr>
        <w:t>To summarise, research on the international market, global market, and brand cross-cultural communication, among other dimensions, provides critical strategies and execution methodologies for increasing product competitiveness in the highly competitive global marketplace. This understanding is particularly vital in the gaming industry, where cultural differences can greatly influence game design, marketing, and player engagement. In section 2.5, the review will examine how cultural marketing specifically impacts the gaming industry, highlighting successful strategies that cater to diverse global audiences.</w:t>
      </w:r>
    </w:p>
    <w:p w14:paraId="1EA878C1">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4" w:name="_Toc24717"/>
      <w:r>
        <w:rPr>
          <w:rFonts w:hint="default" w:ascii="Arial" w:hAnsi="Arial" w:cs="Arial"/>
          <w:sz w:val="24"/>
          <w:szCs w:val="24"/>
          <w:lang w:val="en-US" w:eastAsia="zh-CN"/>
        </w:rPr>
        <w:t>Cultural Marketing in Gaming Industry</w:t>
      </w:r>
      <w:bookmarkEnd w:id="34"/>
    </w:p>
    <w:p w14:paraId="402D3EB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Cultural marketing in the gaming business is a complex approach for connecting global game producers with varied user populations. This method entails not just translating language, but also altering tales, characters, and marketing campaigns to represent the distinct cultural subtleties of other countries.</w:t>
      </w:r>
    </w:p>
    <w:p w14:paraId="22CB813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429F90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video game industry is a crucial component within the broader gaming industry, encompassing a diverse array of interactive digital entertainment. Specifically, it leads in technological innovation, driving advancements in graphics, artificial intelligence (AI), virtual reality (VR), and online multiplayer experiences (Goh et al, 2023). This sector not only pioneers digital gaming</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evolution from physical copies to digital downloads and cloud gaming but also influences technological integration across the wider gaming industry. Culturally, video games shape trends, narratives, and social interactions globally, setting standards for storytelling and user engagement. Moreover, its marketing strategies, leveraging digital platforms and influencer partnerships, often set precedents for consumer engagement and outreach in other gaming formats</w:t>
      </w:r>
    </w:p>
    <w:p w14:paraId="09440CD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2AC5E1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fact is, the Video Game Industry (VGI) has received a lot of attention in recent years because of its rapid expansion and far-reaching economic and social consequences. Despite this increased attention, the research landscape remains fragmented, with no comprehensive framework for adequately understanding the industry`s complexity. A new study tries to close this gap by undertaking a thorough evaluation of existing VGI research from a business and management standpoint. (Goh et al, 2023) They synthesise important concepts and components from 84 publications published over the last 15 years to create an integrated evidence-based framework that maps the industry`s core parts and defines their conceptual linkages. While this framework gives a much-needed comprehensive understanding of the VGI, the study also indicates key research gaps, indicating potential future directions for scholars to investigate and enhance their grasp of this dynamic and inventive business.</w:t>
      </w:r>
    </w:p>
    <w:p w14:paraId="79A303C7">
      <w:pPr>
        <w:pageBreakBefore w:val="0"/>
        <w:kinsoku/>
        <w:wordWrap/>
        <w:overflowPunct/>
        <w:topLinePunct w:val="0"/>
        <w:bidi w:val="0"/>
        <w:snapToGrid/>
        <w:spacing w:line="240" w:lineRule="auto"/>
        <w:rPr>
          <w:rFonts w:hint="default" w:ascii="Arial" w:hAnsi="Arial" w:cs="Arial"/>
          <w:sz w:val="24"/>
          <w:szCs w:val="24"/>
        </w:rPr>
      </w:pPr>
    </w:p>
    <w:p w14:paraId="7DD4DE8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Meanwhile, the merging of cultural assets and gaming experiences has received a lot of attention, especially in the context of location-based games (LBG). The development of Generation Z, a digital native group, has accelerated this tendency, as they seek new methods to interact with and learn about cultural heritage. One qualitative study in the journal Sustainability investigates this confluence and proposes a methodology for merging cultural heritage and gaming experiences in LBGs designed for Generation Z. Yun`s research, which involved play-testing the LBG Jungdong Milseo with fifteen participants, gives insights into how diverse experiences can be harmoniously combined without jeopardising the game`s integrity. (Yun, 2023) Generation Z prefers LBGs that not only contain historical narratives but also provide fascinating and immersive gaming mechanics, developing a greater understanding and appreciation for cultural heritage. This merging of gaming and cultural legacy has the potential to benefit not only enjoyment, but also education and the preservation of cultural memory.</w:t>
      </w:r>
    </w:p>
    <w:p w14:paraId="6A6AD1C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EFE208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There is an intricate relationship between video games and cultural affinity, revealing a multifaceted area of scholarly inquiry. Vindigni (2023) Video games serve as contemporary digital mediums that enhance narrative expression, allowing players to engage as active participants and observers of dramatic scenarios. They employ visual aesthetics to depict societal and cultural elements, incorporating architectural styles, avant-garde character cultures, and symbolic landscapes. As the digital era progresses, the intertwining of narrative expressiveness, visual aesthetics, and interactive design in video games creates a cultural sphere that merges traditional storytelling with advanced technological capabilities. This integration not only enhances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immersive experiences but also facilitates the dissemination and perpetuation of cultural values. Consequently, comprehensively decoding cultural affinity in video games necessitates a thorough examination of narrative, visual, and interactive design attributes to fully grasp the role and significance of video games within contemporary cultural contexts.</w:t>
      </w:r>
    </w:p>
    <w:p w14:paraId="16318F3E">
      <w:pPr>
        <w:pageBreakBefore w:val="0"/>
        <w:kinsoku/>
        <w:wordWrap/>
        <w:overflowPunct/>
        <w:topLinePunct w:val="0"/>
        <w:bidi w:val="0"/>
        <w:snapToGrid/>
        <w:spacing w:line="240" w:lineRule="auto"/>
        <w:rPr>
          <w:rFonts w:hint="default" w:ascii="Arial" w:hAnsi="Arial" w:cs="Arial"/>
          <w:sz w:val="24"/>
          <w:szCs w:val="24"/>
        </w:rPr>
      </w:pPr>
    </w:p>
    <w:p w14:paraId="0650EE9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For example, the Chinese gaming industry has developed as a significant international trade engine, transitioning from a sector based on imitation to a global leader in original game development and export. This transformation has been accelerated by the expansion of digital devices, the internet, and computing technology, which have driven the gaming sector to the forefront of global economic growth. (Saparova, 2024) Among the various Chinese gaming companies that have earned international notoriety, MiHoYo, which operates under the HoYoverse brand internationally and is the developer of Genshin Impact, is a perfect example of how the Chinese gaming sector may boost overseas trade. HoYoverse has demonstrated the vibrancy and promise of China`s gaming sector in the global market by producing high-quality gaming goods that appeal to an international audience. (Saparova, 2024) Saparova</w:t>
      </w:r>
      <w:r>
        <w:rPr>
          <w:rFonts w:hint="default" w:ascii="Arial" w:hAnsi="Arial" w:eastAsia="宋体" w:cs="Arial"/>
          <w:kern w:val="0"/>
          <w:sz w:val="24"/>
          <w:szCs w:val="24"/>
          <w:lang w:val="en-US" w:eastAsia="zh-CN" w:bidi="ar"/>
        </w:rPr>
        <w:t xml:space="preserve"> also </w:t>
      </w:r>
      <w:r>
        <w:rPr>
          <w:rFonts w:hint="default" w:ascii="Arial" w:hAnsi="Arial" w:eastAsia="宋体" w:cs="Arial"/>
          <w:kern w:val="0"/>
          <w:sz w:val="24"/>
          <w:szCs w:val="24"/>
          <w:lang w:bidi="ar"/>
        </w:rPr>
        <w:t>focuses on the Chinese gaming industry`s role in promoting cross-border economic engagement, as well as strategic initiatives taken by companies such as HoYoverse to broaden their global reach and strengthen foreign trade ties.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(Saparova, 2024)</w:t>
      </w:r>
    </w:p>
    <w:p w14:paraId="69DE62CF">
      <w:pPr>
        <w:pageBreakBefore w:val="0"/>
        <w:kinsoku/>
        <w:wordWrap/>
        <w:overflowPunct/>
        <w:topLinePunct w:val="0"/>
        <w:bidi w:val="0"/>
        <w:snapToGrid/>
        <w:spacing w:line="240" w:lineRule="auto"/>
        <w:rPr>
          <w:rFonts w:hint="default" w:ascii="Arial" w:hAnsi="Arial" w:cs="Arial"/>
          <w:sz w:val="24"/>
          <w:szCs w:val="24"/>
        </w:rPr>
      </w:pPr>
    </w:p>
    <w:p w14:paraId="1381896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To elaborate, the study closely evaluated miHoYo`s success, and concluded that it was due to its creative game development and marketing techniques. (Yao, 2024) The company`s games prioritise user experience, featuring interesting storylines, immersive graphics, and simple controls. In addition, miHoYo connects with its target audience through a multi-channel marketing strategy that includes social media, online communities, and influencer marketing. Current research on miHoYo`s game development and marketing methods has centred on a variety of topics, including its unique approach to game design, smart marketing campaigns, and cultural export initiatives. He praised the company`s ability to make games that appeal to a broad audience while retaining a distinct cultural identity. Furthermore, the author investigated the influence of technology in miHoYo`s success, namely the incorporation of AR and VR into game concepts, and suggests that technical improvement would be the next trend that dominate the game market for better player experience. (Yao, 2024)</w:t>
      </w:r>
    </w:p>
    <w:p w14:paraId="6B7FEA1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54523E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To sum up, cultural marketing in the gaming business refers to a variety of tactics for making games more appealing and accessible to gamers from varied cultural backgrounds. By adopting cultural marketing, game makers may build more interesting and inclusive experiences that appeal to players globally.</w:t>
      </w:r>
    </w:p>
    <w:p w14:paraId="687EB512">
      <w:pPr>
        <w:pageBreakBefore w:val="0"/>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br w:type="page"/>
      </w:r>
    </w:p>
    <w:p w14:paraId="5FF56C2C">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35" w:name="_Toc9810"/>
      <w:r>
        <w:rPr>
          <w:rFonts w:hint="default" w:ascii="Arial" w:hAnsi="Arial" w:cs="Arial"/>
          <w:sz w:val="24"/>
          <w:szCs w:val="24"/>
          <w:lang w:val="en-US" w:eastAsia="zh-CN"/>
        </w:rPr>
        <w:t>Chapter 3: Research Methodology</w:t>
      </w:r>
      <w:bookmarkEnd w:id="35"/>
    </w:p>
    <w:p w14:paraId="282F8E8F">
      <w:pPr>
        <w:pageBreakBefore w:val="0"/>
        <w:widowControl/>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eastAsia="宋体" w:cs="Arial"/>
          <w:kern w:val="0"/>
          <w:sz w:val="24"/>
          <w:szCs w:val="24"/>
          <w:lang w:val="en-US" w:eastAsia="zh-CN" w:bidi="ar"/>
        </w:rPr>
        <w:t xml:space="preserve">This chapter discusses research methodology, from which this paper will be drawn. The rationale for selecting the interpretative research paradigm are outlined, as well as the approach, methodologies, and design for data collection using the Research Onion. The investigative techniques of Genshin Impact interviews and questionnaires for developing cross-cultural marketing strategies are also covered. </w:t>
      </w:r>
    </w:p>
    <w:p w14:paraId="6543BEC1">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6" w:name="_Toc5268"/>
      <w:r>
        <w:rPr>
          <w:rFonts w:hint="default" w:ascii="Arial" w:hAnsi="Arial" w:cs="Arial"/>
          <w:sz w:val="24"/>
          <w:szCs w:val="24"/>
          <w:lang w:val="en-US" w:eastAsia="zh-CN"/>
        </w:rPr>
        <w:t>Introduction</w:t>
      </w:r>
      <w:bookmarkEnd w:id="36"/>
    </w:p>
    <w:p w14:paraId="72F9EC1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primary goal of this chapter is to outline the study technique used to investigate the cultural marketing strategies adopted by Genshin Impact. This comprises the research design, data collection methods, data analysis procedures, ethical issues, and measures for ensuring that the findings are reliable and valid. The study takes a mixed-methods approach, integrating qualitative and quantitative research methodologies to provide a thorough knowledge of how cultural components are integrated into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marketing strategy and how they influence player perceptions and behaviours. The qualitative component comprises 4C modal (Kotler, Kartajaya, and Setiawan, 2017), multimodal discourse analysis (Halliday, 2008) of marketing materials and in-game content, whilst the quantitative component includes a survey and interviews with players to capture their viewpoints and experiences.</w:t>
      </w:r>
    </w:p>
    <w:p w14:paraId="78E349D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4294469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This study will use a mixed-methods approach to capture the complexity and richness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strategy, providing insights into how the game appeals to a diverse, global audience and how it uses cultural elements to increase player engagement and satisfaction.</w:t>
      </w:r>
    </w:p>
    <w:p w14:paraId="4D661E4C">
      <w:pPr>
        <w:pageBreakBefore w:val="0"/>
        <w:kinsoku/>
        <w:wordWrap/>
        <w:overflowPunct/>
        <w:topLinePunct w:val="0"/>
        <w:bidi w:val="0"/>
        <w:snapToGrid/>
        <w:spacing w:line="240" w:lineRule="auto"/>
        <w:rPr>
          <w:rFonts w:hint="default" w:ascii="Arial" w:hAnsi="Arial" w:cs="Arial"/>
          <w:sz w:val="24"/>
          <w:szCs w:val="24"/>
        </w:rPr>
      </w:pPr>
    </w:p>
    <w:p w14:paraId="61A52FF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Research objectives that directly address each of the goals and help to realise the study`s overarching purpose are as follows:</w:t>
      </w:r>
    </w:p>
    <w:p w14:paraId="192DCEDB">
      <w:pPr>
        <w:pageBreakBefore w:val="0"/>
        <w:widowControl/>
        <w:numPr>
          <w:ilvl w:val="0"/>
          <w:numId w:val="4"/>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What aspects of culture are included in and how are they portrayed in Genshin Impact`s marketing collateral? </w:t>
      </w:r>
    </w:p>
    <w:p w14:paraId="0D655CE9">
      <w:pPr>
        <w:pageBreakBefore w:val="0"/>
        <w:widowControl/>
        <w:numPr>
          <w:ilvl w:val="0"/>
          <w:numId w:val="4"/>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How do players with different cultural backgrounds view and react to Genshin Impact`s cultural marketing initiatives? </w:t>
      </w:r>
    </w:p>
    <w:p w14:paraId="04AA16B6">
      <w:pPr>
        <w:pageBreakBefore w:val="0"/>
        <w:widowControl/>
        <w:numPr>
          <w:ilvl w:val="0"/>
          <w:numId w:val="4"/>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How may the cultural marketing strategy of Genshin Impact be applied to other games or businesses to improve audience engagement and cultural inclusivity?</w:t>
      </w:r>
    </w:p>
    <w:p w14:paraId="0C360336">
      <w:pPr>
        <w:pageBreakBefore w:val="0"/>
        <w:kinsoku/>
        <w:wordWrap/>
        <w:overflowPunct/>
        <w:topLinePunct w:val="0"/>
        <w:bidi w:val="0"/>
        <w:snapToGrid/>
        <w:spacing w:line="240" w:lineRule="auto"/>
        <w:rPr>
          <w:rFonts w:hint="default" w:ascii="Arial" w:hAnsi="Arial" w:cs="Arial"/>
          <w:sz w:val="24"/>
          <w:szCs w:val="24"/>
        </w:rPr>
      </w:pPr>
    </w:p>
    <w:p w14:paraId="0F25DFD9">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37" w:name="_Toc13200"/>
      <w:r>
        <w:rPr>
          <w:rFonts w:hint="default" w:ascii="Arial" w:hAnsi="Arial" w:cs="Arial"/>
          <w:sz w:val="24"/>
          <w:szCs w:val="24"/>
          <w:lang w:val="en-US" w:eastAsia="zh-CN"/>
        </w:rPr>
        <w:t>Research Design</w:t>
      </w:r>
      <w:bookmarkEnd w:id="37"/>
    </w:p>
    <w:p w14:paraId="3B094845">
      <w:pPr>
        <w:pageBreakBefore w:val="0"/>
        <w:kinsoku/>
        <w:wordWrap/>
        <w:overflowPunct/>
        <w:topLinePunct w:val="0"/>
        <w:bidi w:val="0"/>
        <w:snapToGrid/>
        <w:spacing w:line="240" w:lineRule="auto"/>
        <w:jc w:val="center"/>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eastAsia="en-GB"/>
          <w14:textFill>
            <w14:solidFill>
              <w14:schemeClr w14:val="tx1"/>
            </w14:solidFill>
          </w14:textFill>
        </w:rPr>
        <w:drawing>
          <wp:inline distT="0" distB="0" distL="0" distR="0">
            <wp:extent cx="3833495" cy="2552700"/>
            <wp:effectExtent l="0" t="0" r="9525" b="5715"/>
            <wp:docPr id="2" name="图片 2" descr="reference/2017.07.26%20methodology/research%20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reference/2017.07.26%20methodology/research%20onion.png"/>
                    <pic:cNvPicPr>
                      <a:picLocks noChangeAspect="1" noChangeArrowheads="1"/>
                    </pic:cNvPicPr>
                  </pic:nvPicPr>
                  <pic:blipFill>
                    <a:blip r:embed="rId7" cstate="print">
                      <a:extLst>
                        <a:ext uri="{BEBA8EAE-BF5A-486C-A8C5-ECC9F3942E4B}">
                          <a14:imgProps xmlns:a14="http://schemas.microsoft.com/office/drawing/2010/main">
                            <a14:imgLayer r:embed="rId8">
                              <a14:imgEffect>
                                <a14:saturation sat="200000"/>
                              </a14:imgEffect>
                            </a14:imgLayer>
                          </a14:imgProps>
                        </a:ext>
                        <a:ext uri="{28A0092B-C50C-407E-A947-70E740481C1C}">
                          <a14:useLocalDpi xmlns:a14="http://schemas.microsoft.com/office/drawing/2010/main" val="0"/>
                        </a:ext>
                      </a:extLst>
                    </a:blip>
                    <a:srcRect/>
                    <a:stretch>
                      <a:fillRect/>
                    </a:stretch>
                  </pic:blipFill>
                  <pic:spPr>
                    <a:xfrm>
                      <a:off x="0" y="0"/>
                      <a:ext cx="3891767" cy="2591394"/>
                    </a:xfrm>
                    <a:prstGeom prst="rect">
                      <a:avLst/>
                    </a:prstGeom>
                    <a:noFill/>
                    <a:ln>
                      <a:noFill/>
                    </a:ln>
                  </pic:spPr>
                </pic:pic>
              </a:graphicData>
            </a:graphic>
          </wp:inline>
        </w:drawing>
      </w:r>
    </w:p>
    <w:p w14:paraId="5163FFFC">
      <w:pPr>
        <w:pageBreakBefore w:val="0"/>
        <w:kinsoku/>
        <w:wordWrap/>
        <w:overflowPunct/>
        <w:topLinePunct w:val="0"/>
        <w:bidi w:val="0"/>
        <w:snapToGrid/>
        <w:spacing w:line="240" w:lineRule="auto"/>
        <w:jc w:val="center"/>
        <w:rPr>
          <w:rFonts w:hint="default" w:ascii="Arial" w:hAnsi="Arial" w:eastAsia="宋体" w:cs="Arial"/>
          <w:kern w:val="0"/>
          <w:sz w:val="24"/>
          <w:szCs w:val="24"/>
          <w:lang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14:textFill>
            <w14:solidFill>
              <w14:schemeClr w14:val="tx1"/>
            </w14:solidFill>
          </w14:textFill>
        </w:rPr>
        <w:t>1</w:t>
      </w:r>
      <w:r>
        <w:rPr>
          <w:rFonts w:hint="default" w:ascii="Arial" w:hAnsi="Arial" w:cs="Arial"/>
          <w:b/>
          <w:bCs/>
          <w:color w:val="000000" w:themeColor="text1"/>
          <w:sz w:val="20"/>
          <w:szCs w:val="20"/>
          <w:lang w:val="en-GB"/>
          <w14:textFill>
            <w14:solidFill>
              <w14:schemeClr w14:val="tx1"/>
            </w14:solidFill>
          </w14:textFill>
        </w:rPr>
        <w:t xml:space="preserve">: The research </w:t>
      </w:r>
      <w:r>
        <w:rPr>
          <w:rFonts w:hint="default" w:ascii="Arial" w:hAnsi="Arial" w:cs="Arial"/>
          <w:b/>
          <w:bCs/>
          <w:color w:val="000000" w:themeColor="text1"/>
          <w:sz w:val="20"/>
          <w:szCs w:val="20"/>
          <w:lang w:val="en-GB" w:eastAsia="zh-CN"/>
          <w14:textFill>
            <w14:solidFill>
              <w14:schemeClr w14:val="tx1"/>
            </w14:solidFill>
          </w14:textFill>
        </w:rPr>
        <w:t>`</w:t>
      </w:r>
      <w:r>
        <w:rPr>
          <w:rFonts w:hint="default" w:ascii="Arial" w:hAnsi="Arial" w:cs="Arial"/>
          <w:b/>
          <w:bCs/>
          <w:color w:val="000000" w:themeColor="text1"/>
          <w:sz w:val="20"/>
          <w:szCs w:val="20"/>
          <w:lang w:val="en-GB"/>
          <w14:textFill>
            <w14:solidFill>
              <w14:schemeClr w14:val="tx1"/>
            </w14:solidFill>
          </w14:textFill>
        </w:rPr>
        <w:t>Onion</w:t>
      </w:r>
      <w:r>
        <w:rPr>
          <w:rFonts w:hint="default" w:ascii="Arial" w:hAnsi="Arial" w:cs="Arial"/>
          <w:b/>
          <w:bCs/>
          <w:color w:val="000000" w:themeColor="text1"/>
          <w:sz w:val="20"/>
          <w:szCs w:val="20"/>
          <w:lang w:val="en-GB" w:eastAsia="zh-CN"/>
          <w14:textFill>
            <w14:solidFill>
              <w14:schemeClr w14:val="tx1"/>
            </w14:solidFill>
          </w14:textFill>
        </w:rPr>
        <w:t>`</w:t>
      </w:r>
      <w:r>
        <w:rPr>
          <w:rFonts w:hint="default" w:ascii="Arial" w:hAnsi="Arial" w:cs="Arial"/>
          <w:b/>
          <w:bCs/>
          <w:color w:val="000000" w:themeColor="text1"/>
          <w:sz w:val="20"/>
          <w:szCs w:val="20"/>
          <w:lang w:val="en-GB"/>
          <w14:textFill>
            <w14:solidFill>
              <w14:schemeClr w14:val="tx1"/>
            </w14:solidFill>
          </w14:textFill>
        </w:rPr>
        <w:t>adapted from Saunders, 2015</w:t>
      </w:r>
    </w:p>
    <w:p w14:paraId="04604F60">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GB" w:eastAsia="zh-CN"/>
        </w:rPr>
      </w:pPr>
      <w:bookmarkStart w:id="38" w:name="_Toc493843093"/>
      <w:bookmarkStart w:id="39" w:name="_Toc24581"/>
      <w:r>
        <w:rPr>
          <w:rFonts w:hint="default" w:ascii="Arial" w:hAnsi="Arial" w:cs="Arial"/>
          <w:sz w:val="24"/>
          <w:szCs w:val="24"/>
          <w:lang w:val="en-GB" w:eastAsia="zh-CN"/>
        </w:rPr>
        <w:t>Research Philosophy</w:t>
      </w:r>
      <w:bookmarkEnd w:id="38"/>
      <w:bookmarkEnd w:id="39"/>
    </w:p>
    <w:p w14:paraId="7DD1CDC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A mixed-methods approach is ideal for this subject since it allows for the examination of complicated phenomena from various angles. The research onion framework, created by Saunders et al. (2015), provides a thorough structure for developing and carrying out research. It has six layers: research philosophy, research methodology, research strategy, research options, time horizon, and methodologies and procedures. Each layer influences the decisions taken in later phases of the research process.The qualitative component allows for a thorough evaluation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marketing materials and in-game content using multimodal discourse analysis, revealing the nuanced ways in which cultural components are entrenched and communicated. The quantitative component, which includes surveys and interviews with players, collects statistical data on player attitudes and behaviours, providing generalizable insights.</w:t>
      </w:r>
    </w:p>
    <w:p w14:paraId="4D9282A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E8CB5B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philosophy is founded on interpretivism, which asserts that reality is socially constructed and subjective. This philosophy focuses on comprehending people`s meanings and experiences in their own context. Interpretivists argue that quantitative measures cannot fully explain the complexities of human conduct and societal processes. Instead, qualitative methods like as interviews, focus groups, and ethnography are used to gain a thorough knowledge of people`s perspectives and experiences. (</w:t>
      </w:r>
      <w:r>
        <w:rPr>
          <w:rFonts w:hint="default" w:ascii="Arial" w:hAnsi="Arial" w:eastAsia="宋体" w:cs="Arial"/>
          <w:kern w:val="0"/>
          <w:sz w:val="24"/>
          <w:szCs w:val="24"/>
          <w:lang w:bidi="ar"/>
        </w:rPr>
        <w:t>Melnikovas, 2018)</w:t>
      </w:r>
    </w:p>
    <w:p w14:paraId="0663F10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45F12AC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Another philosophy is pragmatism, which is a realistic and adaptive research philosophy that focuses on the study topic and applies all available approaches to address it. Pragmatists believe that the approach chosen should be determined by the study question rather than any philosophical position. This strategy typically results in the employment of mixed methods, which blend quantitative and qualitative methodologies to provide a more comprehensive understanding of the research topic. Pragmatism prioritises the practical application of research findings and values results that address real-world problems. (</w:t>
      </w:r>
      <w:r>
        <w:rPr>
          <w:rFonts w:hint="default" w:ascii="Arial" w:hAnsi="Arial" w:eastAsia="宋体" w:cs="Arial"/>
          <w:kern w:val="0"/>
          <w:sz w:val="24"/>
          <w:szCs w:val="24"/>
          <w:lang w:bidi="ar"/>
        </w:rPr>
        <w:t>Melnikovas, 2018)</w:t>
      </w:r>
    </w:p>
    <w:p w14:paraId="4B65B86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2E4DE4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For the study on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strategy, a combination of interpretivism and pragmatism provides a robust framework for understanding the complex and multifaceted nature of cultural marketing in digital games. The interpretivist stance allows for an in-depth exploration of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subjective experiences and perceptions, while pragmatism ensures that the research methods are flexible and suited to the research questions.</w:t>
      </w:r>
    </w:p>
    <w:p w14:paraId="74CFEBBC">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GB" w:eastAsia="zh-CN"/>
        </w:rPr>
      </w:pPr>
      <w:bookmarkStart w:id="40" w:name="_Toc493843094"/>
      <w:bookmarkStart w:id="41" w:name="_Toc10840"/>
      <w:bookmarkStart w:id="42" w:name="_Toc493843095"/>
      <w:r>
        <w:rPr>
          <w:rFonts w:hint="default" w:ascii="Arial" w:hAnsi="Arial" w:cs="Arial"/>
          <w:sz w:val="24"/>
          <w:szCs w:val="24"/>
          <w:lang w:val="en-GB" w:eastAsia="zh-CN"/>
        </w:rPr>
        <w:t>Research approach</w:t>
      </w:r>
      <w:bookmarkEnd w:id="40"/>
      <w:bookmarkEnd w:id="41"/>
    </w:p>
    <w:p w14:paraId="67937E2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GB" w:bidi="ar"/>
        </w:rPr>
        <w:t>The mixed-methods technique is ideal for investigating complicated phenomena like cultural marketing in digital games. It draws on the qualities of both qualitative and quantitative methodologies to capture both the depth of subjective experiences and the variety of measurable outcomes. This technique is consistent with the interpretivism research philosophy in that it prioritises the study of meanings and experiences, whilst pragmatism leads the practical application of procedures to efficiently achieve research objectives.</w:t>
      </w:r>
      <w:r>
        <w:rPr>
          <w:rFonts w:hint="default" w:ascii="Arial" w:hAnsi="Arial" w:eastAsia="宋体" w:cs="Arial"/>
          <w:kern w:val="0"/>
          <w:sz w:val="24"/>
          <w:szCs w:val="24"/>
          <w:lang w:val="en-US" w:eastAsia="zh-CN" w:bidi="ar"/>
        </w:rPr>
        <w:t xml:space="preserve"> (Asher &amp; Popper, 2019)</w:t>
      </w:r>
    </w:p>
    <w:p w14:paraId="1CAC91C2">
      <w:pPr>
        <w:pageBreakBefore w:val="0"/>
        <w:widowControl/>
        <w:kinsoku/>
        <w:wordWrap/>
        <w:overflowPunct/>
        <w:topLinePunct w:val="0"/>
        <w:bidi w:val="0"/>
        <w:snapToGrid/>
        <w:spacing w:line="240" w:lineRule="auto"/>
        <w:rPr>
          <w:rFonts w:hint="default" w:ascii="Arial" w:hAnsi="Arial" w:eastAsia="宋体" w:cs="Arial"/>
          <w:kern w:val="0"/>
          <w:sz w:val="24"/>
          <w:szCs w:val="24"/>
          <w:lang w:val="en-GB" w:bidi="ar"/>
        </w:rPr>
      </w:pPr>
    </w:p>
    <w:p w14:paraId="205BD645">
      <w:pPr>
        <w:pageBreakBefore w:val="0"/>
        <w:widowControl/>
        <w:kinsoku/>
        <w:wordWrap/>
        <w:overflowPunct/>
        <w:topLinePunct w:val="0"/>
        <w:bidi w:val="0"/>
        <w:snapToGrid/>
        <w:spacing w:line="240" w:lineRule="auto"/>
        <w:rPr>
          <w:rFonts w:hint="default" w:ascii="Arial" w:hAnsi="Arial" w:eastAsia="宋体" w:cs="Arial"/>
          <w:kern w:val="0"/>
          <w:sz w:val="24"/>
          <w:szCs w:val="24"/>
          <w:lang w:val="en-GB" w:bidi="ar"/>
        </w:rPr>
      </w:pPr>
      <w:r>
        <w:rPr>
          <w:rFonts w:hint="default" w:ascii="Arial" w:hAnsi="Arial" w:eastAsia="宋体" w:cs="Arial"/>
          <w:kern w:val="0"/>
          <w:sz w:val="24"/>
          <w:szCs w:val="24"/>
          <w:lang w:val="en-GB" w:eastAsia="zh-CN" w:bidi="ar"/>
        </w:rPr>
        <w:t>The research methodology combines deductive and inductive principles. The study begins with existing cultural marketing ideas (deductive) and tries to verify and refine them using empirical evidence. Concurrently, it uses inductive reasoning to identify new insights and patterns in the qualitative data. This mixed-methods approach, based on the philosophical underpinnings of interpretivism and pragmatism, ensures a thorough and nuanced understanding of how cultural components are incorporated into Genshin Impact`s marketing strategy and how players interact with these elements.</w:t>
      </w:r>
    </w:p>
    <w:p w14:paraId="7E37D3B4">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43" w:name="_Toc22651"/>
      <w:r>
        <w:rPr>
          <w:rFonts w:hint="default" w:ascii="Arial" w:hAnsi="Arial" w:cs="Arial"/>
          <w:sz w:val="24"/>
          <w:szCs w:val="24"/>
          <w:lang w:val="en-GB" w:eastAsia="zh-CN"/>
        </w:rPr>
        <w:t>Research strategy</w:t>
      </w:r>
      <w:bookmarkEnd w:id="42"/>
      <w:bookmarkEnd w:id="43"/>
    </w:p>
    <w:p w14:paraId="3EC19AE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Multimodal Discourse Analysis (MDA) is an analytical technique utilised in a variety of subjects, including linguistics, communication studies, media studies, and cultural studies.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(Halliday 2008) It examines how meaning is formed by the interaction of various modes of communication within a text or discourse. This method is particularly useful for analysing advertising materials and game content that use a variety of semiotic resources to convey cultural messages.It looks at not only the linguistic components of communication, but also how these linguistic parts interact with other nonverbal modalities to create meaning within a text or speech.</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MDA is used in a variety of scenarios, including analysing ads, movies, video games, social media posts, and other types of media and communication. In the context of your Genshin Impact research, you would use MDA to analyse how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promotional materials, in-game storylines, and visual and auditory elements work together to express cultural themes and messages.</w:t>
      </w:r>
      <w:r>
        <w:rPr>
          <w:rFonts w:hint="default" w:ascii="Arial" w:hAnsi="Arial" w:eastAsia="宋体" w:cs="Arial"/>
          <w:kern w:val="0"/>
          <w:sz w:val="24"/>
          <w:szCs w:val="24"/>
          <w:lang w:val="en-US" w:eastAsia="zh-CN" w:bidi="ar"/>
        </w:rPr>
        <w:t xml:space="preserve"> (Cesário, et al., 2023)</w:t>
      </w:r>
    </w:p>
    <w:p w14:paraId="246042C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BEF4C6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MDA enables academics to investigate how cultural marketing strategies use different modes (such as visuals, language, and symbols) to express and communicate cultural symbols, values, and identities.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(Halliday 2008) In the case of Genshin Impact, for example, MDA would examine how people, settings, and storylines are depicted visually and narratively in order to engage with cultural themes inspired by real-world civilizations such as Chinese and Japanese traditions.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Furthermore, MDA aids in understanding how cultural meanings are formed and communicated via marketing materials. It investigates how many forms interact to express particular cultural meanings and beliefs.</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(Halliday 2008) For example, in cultural marketing for Genshin Impact, MDA could examine how promotional videos, character designs, and in-game events use visual and narrative components to create cultural authenticity or appeal.MDA can help with comparisons across cultural contexts by examining how marketing tactics adapt or reinterpret cultural symbols for global consumers. In the example of Genshin Impact, which is inspired by many East Asian cultures, MDA may investigate how these cultural components are localised and presented to appeal to gamers worldwide.</w:t>
      </w:r>
    </w:p>
    <w:p w14:paraId="4652B90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0223C3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To summarise, Multimodal Discourse Analysis offers a methodological framework for examining how cultural marketing tactics use multimodal communication to represent, construct, and express cultural meanings and identities. It provides insights on how these methods influence audience perceptions and contribute to cultural engagement in the context of media and entertainment, such as video games like Genshin Impact.</w:t>
      </w:r>
    </w:p>
    <w:p w14:paraId="437E452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C6C6E5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After a thorough analysis of how culture is within and influences the product itself, testing how its cultural elements also perform and affect consumers becomes clear. Therefore, the 4C model offers a structured framework for assessing major areas of marketing effectiveness in terms of cultural representation and participation. </w:t>
      </w:r>
    </w:p>
    <w:p w14:paraId="16D18BD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FEDC22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The "Consumer" component of the 4C model focuses on determining player demographics, preferences, and cultural sensitivity. This involves examining how Genshin Impact tailors its characters, tales, and advertising materials to appeal to a wide range of global audiences while respecting and accurately expressing regional nuances. The "Cost" component evaluates the perceived value and cost of in-game purchases, impacted by cultural factors. It investigates how cultural marketing methods influence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propensity to invest in virtual goods or experiences based on cultural themes. The "Convenience" dimension looks at the accessibility and user experience of culturally oriented information on Genshin Impact. It looks at how well the game incorporates cultural factors into gameplay mechanics and user interactions. The "Communication" element evaluates the effectiveness of communication tactics in conveying cultural themes to participants. It looks at how Genshin Impact communicates cultural authenticity and relevance through storytelling, visual design, and community engagement.</w:t>
      </w:r>
      <w:r>
        <w:rPr>
          <w:rFonts w:hint="default" w:ascii="Arial" w:hAnsi="Arial" w:eastAsia="宋体" w:cs="Arial"/>
          <w:kern w:val="0"/>
          <w:sz w:val="24"/>
          <w:szCs w:val="24"/>
          <w:lang w:val="en-US" w:eastAsia="zh-CN" w:bidi="ar"/>
        </w:rPr>
        <w:t xml:space="preserve"> (Gupta et al., 2021)</w:t>
      </w:r>
    </w:p>
    <w:p w14:paraId="66F301C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08F62CD">
      <w:pPr>
        <w:pageBreakBefore w:val="0"/>
        <w:widowControl/>
        <w:kinsoku/>
        <w:wordWrap/>
        <w:overflowPunct/>
        <w:topLinePunct w:val="0"/>
        <w:bidi w:val="0"/>
        <w:snapToGrid/>
        <w:spacing w:line="240" w:lineRule="auto"/>
        <w:rPr>
          <w:rFonts w:hint="default" w:ascii="Arial" w:hAnsi="Arial" w:cs="Arial"/>
          <w:sz w:val="24"/>
          <w:szCs w:val="24"/>
        </w:rPr>
      </w:pPr>
      <w:r>
        <w:rPr>
          <w:rFonts w:hint="default" w:ascii="Arial" w:hAnsi="Arial" w:eastAsia="宋体" w:cs="Arial"/>
          <w:kern w:val="0"/>
          <w:sz w:val="24"/>
          <w:szCs w:val="24"/>
          <w:lang w:bidi="ar"/>
        </w:rPr>
        <w:t>This part finishes with an overview of how the 4C model was used to evaluate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approach. It highlights key findings and insights from each model component, allowing for a more comprehensive understanding of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approach to cultural representation and audience interaction.</w:t>
      </w:r>
      <w:r>
        <w:rPr>
          <w:rFonts w:hint="default" w:ascii="Arial" w:hAnsi="Arial" w:eastAsia="宋体" w:cs="Arial"/>
          <w:kern w:val="0"/>
          <w:sz w:val="24"/>
          <w:szCs w:val="24"/>
          <w:lang w:val="en-US" w:eastAsia="zh-CN" w:bidi="ar"/>
        </w:rPr>
        <w:t xml:space="preserve"> (Gupta et al., 2021)</w:t>
      </w:r>
      <w:r>
        <w:rPr>
          <w:rFonts w:hint="default" w:ascii="Arial" w:hAnsi="Arial" w:eastAsia="宋体" w:cs="Arial"/>
          <w:kern w:val="0"/>
          <w:sz w:val="24"/>
          <w:szCs w:val="24"/>
          <w:lang w:bidi="ar"/>
        </w:rPr>
        <w:t xml:space="preserve"> By incorporating the 4C model into the research technique, this study attempts to give an organised and informative analysis of how Genshin Impact uses cultural components to connect with players around the world. This method ensures a detailed analysis of marketing effectiveness while taking into account cultural sensitivity and audience perceptions.</w:t>
      </w:r>
    </w:p>
    <w:p w14:paraId="77CE306E">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44" w:name="_Toc29229"/>
      <w:r>
        <w:rPr>
          <w:rFonts w:hint="default" w:ascii="Arial" w:hAnsi="Arial" w:cs="Arial"/>
          <w:sz w:val="24"/>
          <w:szCs w:val="24"/>
          <w:lang w:val="en-GB" w:eastAsia="zh-CN"/>
        </w:rPr>
        <w:t>Data Collection</w:t>
      </w:r>
      <w:bookmarkEnd w:id="44"/>
    </w:p>
    <w:p w14:paraId="6E3D27B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This section describes the data collection methods utilised in the study, including the procedures for acquiring qualitative and quantitative data to evaluate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approach. The data collection process aims to deliver comprehensive insights by combining multimodal discourse analysis, questionnaires, and interviews.</w:t>
      </w:r>
    </w:p>
    <w:p w14:paraId="3B2AB430">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GB" w:eastAsia="zh-CN"/>
        </w:rPr>
      </w:pPr>
      <w:bookmarkStart w:id="45" w:name="_Toc5747"/>
      <w:r>
        <w:rPr>
          <w:rFonts w:hint="default" w:ascii="Arial" w:hAnsi="Arial" w:cs="Arial"/>
          <w:sz w:val="24"/>
          <w:szCs w:val="24"/>
          <w:lang w:val="en-GB" w:eastAsia="zh-CN"/>
        </w:rPr>
        <w:t>Qualitative Data Collection</w:t>
      </w:r>
      <w:bookmarkEnd w:id="45"/>
    </w:p>
    <w:p w14:paraId="704F5B3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MDA is used to analyse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advertising materials and in-game content, with a focus on how different modes of communication interact to express cultural themes. MDA collects data from official promotional movies and trailers, social media marketing, and in-game content like as character designs, narratives, events, and locations. </w:t>
      </w:r>
      <w:r>
        <w:rPr>
          <w:rFonts w:hint="default" w:ascii="Arial" w:hAnsi="Arial" w:eastAsia="宋体" w:cs="Arial"/>
          <w:kern w:val="0"/>
          <w:sz w:val="24"/>
          <w:szCs w:val="24"/>
          <w:lang w:val="en-US" w:eastAsia="zh-CN" w:bidi="ar"/>
        </w:rPr>
        <w:t xml:space="preserve">(Cesário, et al., 2023) </w:t>
      </w:r>
      <w:r>
        <w:rPr>
          <w:rFonts w:hint="default" w:ascii="Arial" w:hAnsi="Arial" w:eastAsia="宋体" w:cs="Arial"/>
          <w:kern w:val="0"/>
          <w:sz w:val="24"/>
          <w:szCs w:val="24"/>
          <w:lang w:bidi="ar"/>
        </w:rPr>
        <w:t>The data gathering technique entails selecting a representative sample of materials, categorising them to discover recurring themes and symbols, and integrating the results to better understand how different modes together express cultural meanings. This approach aids in uncovering the subtle ways in which cultural aspects are incorporated and conveyed across diverse media.</w:t>
      </w:r>
      <w:r>
        <w:rPr>
          <w:rFonts w:hint="default" w:ascii="Arial" w:hAnsi="Arial" w:eastAsia="宋体" w:cs="Arial"/>
          <w:kern w:val="0"/>
          <w:sz w:val="24"/>
          <w:szCs w:val="24"/>
          <w:lang w:val="en-US" w:eastAsia="zh-CN" w:bidi="ar"/>
        </w:rPr>
        <w:t xml:space="preserve"> </w:t>
      </w:r>
      <w:r>
        <w:rPr>
          <w:rFonts w:hint="default" w:ascii="Arial" w:hAnsi="Arial" w:eastAsia="宋体" w:cs="Arial"/>
          <w:kern w:val="0"/>
          <w:sz w:val="24"/>
          <w:szCs w:val="24"/>
          <w:lang w:bidi="ar"/>
        </w:rPr>
        <w:t>(Halliday 2008)</w:t>
      </w:r>
    </w:p>
    <w:p w14:paraId="2F6A6B2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E50A96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Semi-structured interviews are done with Genshin Impact players to collect detailed qualitative data on their perceptions and experiences with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Purposive sampling is used to choose participants from a diverse range of demographic and cultural backgrounds. The interview guide consists of open-ended questions aimed at assessing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awareness, perceptions, and interaction with cultural topics in the game. Interviews are done in person or online, then transcribed and analysed using thematic analysis to discover major themes and patterns. This technique provides in-depth insights on how players engage with and interpret the cultural themes given in Genshin Impact.</w:t>
      </w:r>
    </w:p>
    <w:p w14:paraId="677F158D">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GB" w:eastAsia="zh-CN"/>
        </w:rPr>
      </w:pPr>
      <w:bookmarkStart w:id="46" w:name="_Toc31867"/>
      <w:r>
        <w:rPr>
          <w:rFonts w:hint="default" w:ascii="Arial" w:hAnsi="Arial" w:cs="Arial"/>
          <w:sz w:val="24"/>
          <w:szCs w:val="24"/>
          <w:lang w:val="en-GB" w:eastAsia="zh-CN"/>
        </w:rPr>
        <w:t>Quantitative Data Collection</w:t>
      </w:r>
      <w:bookmarkEnd w:id="46"/>
    </w:p>
    <w:p w14:paraId="405F56D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Surveys are used to gather quantifiable data on player awareness, perceptions, and behaviours about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efforts. The survey questionnaire includes closed-ended questions about player demographics, awareness of cultural themes, perceptions of cultural representation, and spending habits. Before dissemination, the survey is pre-tested with a limited group of players to confirm its clarity and dependability. The survey is then distributed online via gaming forums, social media groups, and other venues popular among Genshin Impact gamers. The collected replies are securely saved to protect confidentiality and analysed using statistical software to find trends and correlations. This strategy provides a broad, generalised view of how players react 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initiatives.</w:t>
      </w:r>
    </w:p>
    <w:p w14:paraId="41565ED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1CD467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As time, space, and distance, and other elements considered, a suitable data base include 6 interviews of people from 3 countries, and 100 surveys would be assignable. Interviews will conduct via Tencent and ZOOM platform, while surveys will be handed out via wenjuanxing and miyoshe platform.</w:t>
      </w:r>
    </w:p>
    <w:p w14:paraId="12AEB5A8">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47" w:name="_Toc7434"/>
      <w:r>
        <w:rPr>
          <w:rFonts w:hint="default" w:ascii="Arial" w:hAnsi="Arial" w:cs="Arial"/>
          <w:sz w:val="24"/>
          <w:szCs w:val="24"/>
          <w:lang w:val="en-GB" w:eastAsia="zh-CN"/>
        </w:rPr>
        <w:t>Ethical Considerations</w:t>
      </w:r>
      <w:bookmarkEnd w:id="47"/>
    </w:p>
    <w:p w14:paraId="537B969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A number of crucial aspects are covered by ethical concerns for research on Genshin Impact`s cultural marketing approach in order to safeguard participant rights, privacy, and well-being in addition to maintaining the integrity of the study procedure. The following are some particular ethical issues with this subject: </w:t>
      </w:r>
    </w:p>
    <w:p w14:paraId="474C1CC8">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Make sure that before consenting to participate, participants are thoroughly educated about the purpose, methodology, possible dangers, and rewards of the research. </w:t>
      </w:r>
    </w:p>
    <w:p w14:paraId="4DF8F1E8">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Get the informed consent of every participant, including the players, interview subjects, and others whose conversations or material is being examined. </w:t>
      </w:r>
    </w:p>
    <w:p w14:paraId="62653589">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Preserve the privacy of the data and personal information that research participants provide. </w:t>
      </w:r>
    </w:p>
    <w:p w14:paraId="5FC3A3F5">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Respect and acknowledge cultural sensitivity, customs, and beliefs that are pertinent to the study`s subject and participants. </w:t>
      </w:r>
    </w:p>
    <w:p w14:paraId="6F75CA03">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Steer clear of misrepresenting or stereotyping cultural components in marketing tactics or promotional materials that are examined. </w:t>
      </w:r>
    </w:p>
    <w:p w14:paraId="1DFAEC60">
      <w:pPr>
        <w:pageBreakBefore w:val="0"/>
        <w:widowControl/>
        <w:numPr>
          <w:ilvl w:val="0"/>
          <w:numId w:val="5"/>
        </w:numPr>
        <w:kinsoku/>
        <w:wordWrap/>
        <w:overflowPunct/>
        <w:topLinePunct w:val="0"/>
        <w:bidi w:val="0"/>
        <w:snapToGrid/>
        <w:spacing w:line="240" w:lineRule="auto"/>
        <w:ind w:firstLine="480" w:firstLineChars="200"/>
        <w:rPr>
          <w:rFonts w:hint="default" w:ascii="Arial" w:hAnsi="Arial" w:cs="Arial"/>
          <w:sz w:val="24"/>
          <w:szCs w:val="24"/>
        </w:rPr>
      </w:pPr>
      <w:r>
        <w:rPr>
          <w:rFonts w:hint="default" w:ascii="Arial" w:hAnsi="Arial" w:eastAsia="宋体" w:cs="Arial"/>
          <w:kern w:val="0"/>
          <w:sz w:val="24"/>
          <w:szCs w:val="24"/>
          <w:lang w:bidi="ar"/>
        </w:rPr>
        <w:t>To guarantee appropriate interpretation and representation of cultural components in the research, get feedback from participants or cultural experts.</w:t>
      </w:r>
    </w:p>
    <w:p w14:paraId="3E4AD892">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48" w:name="_Toc8670"/>
      <w:r>
        <w:rPr>
          <w:rFonts w:hint="default" w:ascii="Arial" w:hAnsi="Arial" w:cs="Arial"/>
          <w:sz w:val="24"/>
          <w:szCs w:val="24"/>
          <w:lang w:val="en-GB" w:eastAsia="zh-CN"/>
        </w:rPr>
        <w:t>Reliability and Validity</w:t>
      </w:r>
      <w:bookmarkEnd w:id="48"/>
    </w:p>
    <w:p w14:paraId="58632DA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Reliability refers to the regularity and reliability of study results. To assure the study</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dependability, numerous steps were done. To begin, consistent data collection techniques were adopted to ensure uniformity. Similarly, a semi-structured interview guide was utilised to ensure that core subjects were covered consistently across all interviews, while also providing for freedom to delve deeper into certain areas as needed. Second, the research team responsible for data collection and analysis received extensive training to guarantee a common grasp of the data collection devices and procedures, thereby reducing potential variability. In addition, both the survey and interview guides were pilot tested with a small group of participants. </w:t>
      </w:r>
    </w:p>
    <w:p w14:paraId="6FDA7C7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47213E1">
      <w:pPr>
        <w:pageBreakBefore w:val="0"/>
        <w:widowControl/>
        <w:kinsoku/>
        <w:wordWrap/>
        <w:overflowPunct/>
        <w:topLinePunct w:val="0"/>
        <w:bidi w:val="0"/>
        <w:snapToGrid/>
        <w:spacing w:line="240" w:lineRule="auto"/>
        <w:rPr>
          <w:rFonts w:hint="default" w:ascii="Arial" w:hAnsi="Arial" w:cs="Arial"/>
          <w:sz w:val="24"/>
          <w:szCs w:val="24"/>
        </w:rPr>
      </w:pPr>
      <w:r>
        <w:rPr>
          <w:rFonts w:hint="default" w:ascii="Arial" w:hAnsi="Arial" w:eastAsia="宋体" w:cs="Arial"/>
          <w:kern w:val="0"/>
          <w:sz w:val="24"/>
          <w:szCs w:val="24"/>
          <w:lang w:bidi="ar"/>
        </w:rPr>
        <w:t xml:space="preserve">Validity refers to the accuracy and veracity of research findings. Content validity was maintained by carefully selecting survey and interview questions that matched the research goals. To address construct validity, recognised theoretical frameworks, such as the 4C model and multimodal discourse analysis, were used to guide research design and analysis. This congruence with theoretical conceptions ensures that the study appropriately assesses the desired notions. Furthermore, to enhance external validity, a broad and representative sample of Genshin Impact players was chosen, increasing the generalizability of the results. Throughout the research process, the methodology was documented clearly and transparently, allowing other researchers to replicate and verify the work. </w:t>
      </w:r>
    </w:p>
    <w:p w14:paraId="47715B6E">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49" w:name="_Toc1164"/>
      <w:r>
        <w:rPr>
          <w:rFonts w:hint="default" w:ascii="Arial" w:hAnsi="Arial" w:cs="Arial"/>
          <w:sz w:val="24"/>
          <w:szCs w:val="24"/>
          <w:lang w:val="en-GB" w:eastAsia="zh-CN"/>
        </w:rPr>
        <w:t>Limitations</w:t>
      </w:r>
      <w:bookmarkEnd w:id="49"/>
    </w:p>
    <w:p w14:paraId="309E579E">
      <w:pPr>
        <w:pageBreakBefore w:val="0"/>
        <w:widowControl/>
        <w:kinsoku/>
        <w:wordWrap/>
        <w:overflowPunct/>
        <w:topLinePunct w:val="0"/>
        <w:bidi w:val="0"/>
        <w:snapToGrid/>
        <w:spacing w:line="240" w:lineRule="auto"/>
        <w:rPr>
          <w:rFonts w:hint="default" w:ascii="Arial" w:hAnsi="Arial" w:cs="Arial"/>
          <w:sz w:val="24"/>
          <w:szCs w:val="24"/>
        </w:rPr>
      </w:pPr>
      <w:r>
        <w:rPr>
          <w:rFonts w:hint="default" w:ascii="Arial" w:hAnsi="Arial" w:eastAsia="宋体" w:cs="Arial"/>
          <w:kern w:val="0"/>
          <w:sz w:val="24"/>
          <w:szCs w:val="24"/>
          <w:lang w:bidi="ar"/>
        </w:rPr>
        <w:t>This study on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strategy has a few shortcomings that should be noted. The sample size and diversity of participants may not accurately represent the larger player base, thereby limiting the findings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generalizability. The use of self-reported data from surveys and interviews involves biases such social desirability and recollection bias, which can undermine data dependability. Compared to a longitudinal method, the cross-sectional design limits the ability to capture changes in player perceptions and behaviours over time. Furthermore, the subjective nature of cultural interpretation means that various players may perceive cultural aspects differently, and researcher biases may influence the qualitative analysis. The study</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scope was relatively limited, focusing solely on advertising materials, in-game content, and player perceptions rather than diving extensively into larger marketing techniques and trends. Technological restrictions in managing and analysing complex multimodal data limited the depth of the analysis. Despite these limitations, the study offers useful insights while also highlighting topics for future research to have a more complete understanding of cultural marketing in digital games.</w:t>
      </w:r>
    </w:p>
    <w:p w14:paraId="45940910">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GB" w:eastAsia="zh-CN"/>
        </w:rPr>
      </w:pPr>
      <w:bookmarkStart w:id="50" w:name="_Toc23278"/>
      <w:r>
        <w:rPr>
          <w:rFonts w:hint="default" w:ascii="Arial" w:hAnsi="Arial" w:cs="Arial"/>
          <w:sz w:val="24"/>
          <w:szCs w:val="24"/>
          <w:lang w:val="en-GB" w:eastAsia="zh-CN"/>
        </w:rPr>
        <w:t>Conclusion</w:t>
      </w:r>
      <w:bookmarkEnd w:id="50"/>
    </w:p>
    <w:p w14:paraId="5B2C7B4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This chapter describes the research methods used in the analysis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approach. The chapter opened with an overview of the research approach, emphasising the use of both qualitative and quantitative methodologies to provide a full study. The research design section described how the MDA and the 4C model were integrated to lead the investigation, resulting in an organised and theoretically grounded approach. Data collection approaches, such as surveys, interviews, and multimodal discourse analysis, were explained, emphasising the significance of gathering diverse and rich data.</w:t>
      </w:r>
    </w:p>
    <w:p w14:paraId="54827C8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CEF4AA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conclusion, this chapter has offered a full overview of the methodological framework and techniques employed in this study, enabling a thorough and trustworthy analysis into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strategies. The following chapters will expand on this foundation by presenting the findings and analysis produced from the collected data, as well as analysing the implications for understanding and improving cultural marketing in digital games.</w:t>
      </w:r>
    </w:p>
    <w:p w14:paraId="73102183">
      <w:pPr>
        <w:pageBreakBefore w:val="0"/>
        <w:kinsoku/>
        <w:wordWrap/>
        <w:overflowPunct/>
        <w:topLinePunct w:val="0"/>
        <w:bidi w:val="0"/>
        <w:snapToGrid/>
        <w:spacing w:line="240" w:lineRule="auto"/>
        <w:rPr>
          <w:rFonts w:hint="default" w:ascii="Arial" w:hAnsi="Arial" w:cs="Arial"/>
          <w:color w:val="0000FF"/>
          <w:sz w:val="24"/>
          <w:szCs w:val="24"/>
        </w:rPr>
      </w:pPr>
    </w:p>
    <w:p w14:paraId="5765ECC9">
      <w:pPr>
        <w:pageBreakBefore w:val="0"/>
        <w:kinsoku/>
        <w:wordWrap/>
        <w:overflowPunct/>
        <w:topLinePunct w:val="0"/>
        <w:bidi w:val="0"/>
        <w:snapToGrid/>
        <w:spacing w:line="240" w:lineRule="auto"/>
        <w:rPr>
          <w:rFonts w:hint="default" w:ascii="Arial" w:hAnsi="Arial" w:cs="Arial"/>
          <w:sz w:val="24"/>
          <w:szCs w:val="24"/>
        </w:rPr>
      </w:pPr>
      <w:r>
        <w:rPr>
          <w:rFonts w:hint="default" w:ascii="Arial" w:hAnsi="Arial" w:cs="Arial"/>
          <w:sz w:val="24"/>
          <w:szCs w:val="24"/>
        </w:rPr>
        <w:br w:type="page"/>
      </w:r>
    </w:p>
    <w:p w14:paraId="0BB9C786">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51" w:name="_Toc9906"/>
      <w:r>
        <w:rPr>
          <w:rFonts w:hint="default" w:ascii="Arial" w:hAnsi="Arial" w:cs="Arial"/>
          <w:sz w:val="24"/>
          <w:szCs w:val="24"/>
          <w:lang w:val="en-GB" w:eastAsia="zh-CN"/>
        </w:rPr>
        <w:t xml:space="preserve">Chapter </w:t>
      </w:r>
      <w:r>
        <w:rPr>
          <w:rFonts w:hint="default" w:ascii="Arial" w:hAnsi="Arial" w:cs="Arial"/>
          <w:sz w:val="24"/>
          <w:szCs w:val="24"/>
          <w:lang w:val="en-US" w:eastAsia="zh-CN"/>
        </w:rPr>
        <w:t>4</w:t>
      </w:r>
      <w:r>
        <w:rPr>
          <w:rFonts w:hint="default" w:ascii="Arial" w:hAnsi="Arial" w:cs="Arial"/>
          <w:sz w:val="24"/>
          <w:szCs w:val="24"/>
          <w:lang w:val="en-GB" w:eastAsia="zh-CN"/>
        </w:rPr>
        <w:t xml:space="preserve">: </w:t>
      </w:r>
      <w:r>
        <w:rPr>
          <w:rFonts w:hint="default" w:ascii="Arial" w:hAnsi="Arial" w:cs="Arial"/>
          <w:sz w:val="24"/>
          <w:szCs w:val="24"/>
          <w:lang w:val="en-US" w:eastAsia="zh-CN"/>
        </w:rPr>
        <w:t>Data Analysis</w:t>
      </w:r>
      <w:bookmarkEnd w:id="51"/>
    </w:p>
    <w:p w14:paraId="6AC415A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This chapter provides a thorough examination of the data gathered from the surveys and interviews conducted for this study. The analysis is based on two major frameworks: the MAD (Multimodal Analysis Discourse) and the 4C model, which provide a solid technique for investigating Genshin Impact`s cultural marketing methods. The MAD framework will allow for a thorough evaluation of the game`s multimodal elements, and the 4C model—which includes Customer Value, Cost to the Customer, Convenience, and Communication—will shed light on the strategic marketing aspects.</w:t>
      </w:r>
    </w:p>
    <w:p w14:paraId="1C0B9E1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7E731A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decision to employ MDA is based on interview data, which demonstrated that customers are most motivated to pay for the game`s content—storytelling, music, and visual features. This implies that the game`s multimodal aspects have an important role in attracting and retaining players. (Cao, 2024) As a result, the first analysis section of this chapter uses MDA to investigate how these product aspects effect player engagement and spending, and how its culture communication is well embraced by them. (Cesário, et al., 2023) Following the MDA, the 4C model will be used to investigate player reactions to the product. This approach sheds light on the strategic marketing components, demonstrating how the game`s content influences player perceptions and behaviours.</w:t>
      </w:r>
    </w:p>
    <w:p w14:paraId="160D2B8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99865B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chapter begins with a descriptive study of the overall results, followed by an in-depth exploration into the underlying logic of consumption. By combining these findings, the study hopes to reveal the subtle ways in which Genshin Impact interacts its varied player base through culturally relevant content. This method not only illuminates the game`s marketing strategies, but it also provides a more comprehensive understanding of its global appeal.</w:t>
      </w:r>
    </w:p>
    <w:p w14:paraId="5182C8FC">
      <w:pPr>
        <w:pageBreakBefore w:val="0"/>
        <w:kinsoku/>
        <w:wordWrap/>
        <w:overflowPunct/>
        <w:topLinePunct w:val="0"/>
        <w:bidi w:val="0"/>
        <w:snapToGrid/>
        <w:spacing w:line="240" w:lineRule="auto"/>
        <w:rPr>
          <w:rFonts w:hint="default" w:ascii="Arial" w:hAnsi="Arial" w:cs="Arial"/>
          <w:sz w:val="24"/>
          <w:szCs w:val="24"/>
          <w:lang w:val="en-US" w:eastAsia="zh-CN"/>
        </w:rPr>
      </w:pPr>
    </w:p>
    <w:p w14:paraId="269940FB">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52" w:name="_Toc14363"/>
      <w:r>
        <w:rPr>
          <w:rFonts w:hint="default" w:ascii="Arial" w:hAnsi="Arial" w:cs="Arial"/>
          <w:sz w:val="24"/>
          <w:szCs w:val="24"/>
          <w:lang w:val="en-US" w:eastAsia="zh-CN"/>
        </w:rPr>
        <w:t>Overall Data Reveal</w:t>
      </w:r>
      <w:bookmarkEnd w:id="52"/>
    </w:p>
    <w:p w14:paraId="462E4075">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53" w:name="_Toc16758"/>
      <w:r>
        <w:rPr>
          <w:rFonts w:hint="default" w:ascii="Arial" w:hAnsi="Arial" w:cs="Arial"/>
          <w:sz w:val="24"/>
          <w:szCs w:val="24"/>
          <w:lang w:val="en-US" w:eastAsia="zh-CN"/>
        </w:rPr>
        <w:t>Basic Information</w:t>
      </w:r>
      <w:bookmarkEnd w:id="53"/>
    </w:p>
    <w:p w14:paraId="2D5E9E7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study used both quantitative and qualitative data collection approaches to conduct a thorough investigation of player involvement with Genshin Impact`s cultural components. The poll was completed by 100 people, the vast majority of whom were between the ages of 18 and 34. The gender distribution was nicely balanced, ensuring a diversity of opinions. Geographically, 70% of respondents were from Asia, with 30% from Western regions, allowing for a comparison of cultural preferences between different groups. The poll aims to collect comprehensive statistical data on player preferences, such as preferred in-game regions, personalities, and cultural themes.</w:t>
      </w:r>
    </w:p>
    <w:p w14:paraId="68DCA62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09316A3">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In addition to the survey, in-depth interviews with six individuals were undertaken to obtain more detailed information. These interviews focused on personal experiences with the game, namely how cultural factors, character development, and the game`s music and visuals influenced players` overall participation. The respondents were a broad group, and their opinions complemented the qualitative study. The study and interviews provided a comprehensive understanding of how different cultural features of the game resonate with players of various demographics, establishing the framework for analysing the influence of these factors on player behaviour and Genshin influence`s cultural marketing efforts.</w:t>
      </w:r>
    </w:p>
    <w:p w14:paraId="6C18152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3B811810">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54" w:name="_Toc22929"/>
      <w:r>
        <w:rPr>
          <w:rFonts w:hint="default" w:ascii="Arial" w:hAnsi="Arial" w:cs="Arial"/>
          <w:sz w:val="24"/>
          <w:szCs w:val="24"/>
          <w:lang w:val="en-US" w:eastAsia="zh-CN"/>
        </w:rPr>
        <w:t>Quantitative Analysis</w:t>
      </w:r>
      <w:bookmarkEnd w:id="54"/>
      <w:r>
        <w:rPr>
          <w:rFonts w:hint="default" w:ascii="Arial" w:hAnsi="Arial" w:cs="Arial"/>
          <w:sz w:val="24"/>
          <w:szCs w:val="24"/>
          <w:lang w:val="en-US" w:eastAsia="zh-CN"/>
        </w:rPr>
        <w:t xml:space="preserve"> </w:t>
      </w:r>
    </w:p>
    <w:p w14:paraId="000A78D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Surveys have been sent out online and collected 100 results. Noticeable data are shown below:</w:t>
      </w:r>
    </w:p>
    <w:p w14:paraId="33225D5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88BF72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tbl>
      <w:tblPr>
        <w:tblStyle w:val="13"/>
        <w:tblW w:w="8255" w:type="dxa"/>
        <w:tblInd w:w="99"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3196"/>
        <w:gridCol w:w="914"/>
        <w:gridCol w:w="1376"/>
        <w:gridCol w:w="1400"/>
        <w:gridCol w:w="1537"/>
      </w:tblGrid>
      <w:tr w14:paraId="072A491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tcBorders>
              <w:top w:val="single" w:color="000000" w:sz="4" w:space="0"/>
              <w:left w:val="single" w:color="000000" w:sz="4" w:space="0"/>
              <w:bottom w:val="single" w:color="FFFFFF" w:sz="4" w:space="0"/>
              <w:right w:val="single" w:color="FFFFFF" w:sz="4" w:space="0"/>
            </w:tcBorders>
            <w:shd w:val="clear" w:color="000000" w:fill="A6A6A6"/>
            <w:noWrap/>
            <w:vAlign w:val="center"/>
          </w:tcPr>
          <w:p w14:paraId="640D6D8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Title</w:t>
            </w:r>
          </w:p>
        </w:tc>
        <w:tc>
          <w:tcPr>
            <w:tcW w:w="2142" w:type="dxa"/>
            <w:gridSpan w:val="2"/>
            <w:tcBorders>
              <w:top w:val="single" w:color="000000" w:sz="4" w:space="0"/>
              <w:left w:val="single" w:color="FFFFFF" w:sz="4" w:space="0"/>
              <w:bottom w:val="single" w:color="FFFFFF" w:sz="4" w:space="0"/>
              <w:right w:val="single" w:color="FFFFFF" w:sz="4" w:space="0"/>
            </w:tcBorders>
            <w:shd w:val="clear" w:color="000000" w:fill="A6A6A6"/>
            <w:noWrap/>
            <w:vAlign w:val="center"/>
          </w:tcPr>
          <w:p w14:paraId="2E5F01A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Groups</w:t>
            </w:r>
          </w:p>
        </w:tc>
        <w:tc>
          <w:tcPr>
            <w:tcW w:w="1405" w:type="dxa"/>
            <w:tcBorders>
              <w:top w:val="single" w:color="000000" w:sz="4" w:space="0"/>
              <w:left w:val="single" w:color="FFFFFF" w:sz="4" w:space="0"/>
              <w:bottom w:val="single" w:color="FFFFFF" w:sz="4" w:space="0"/>
              <w:right w:val="single" w:color="FFFFFF" w:sz="4" w:space="0"/>
            </w:tcBorders>
            <w:shd w:val="clear" w:color="000000" w:fill="A6A6A6"/>
            <w:noWrap/>
            <w:vAlign w:val="center"/>
          </w:tcPr>
          <w:p w14:paraId="0901DCC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Frequency</w:t>
            </w:r>
          </w:p>
        </w:tc>
        <w:tc>
          <w:tcPr>
            <w:tcW w:w="1569" w:type="dxa"/>
            <w:tcBorders>
              <w:top w:val="single" w:color="000000" w:sz="4" w:space="0"/>
              <w:left w:val="single" w:color="FFFFFF" w:sz="4" w:space="0"/>
              <w:bottom w:val="single" w:color="FFFFFF" w:sz="4" w:space="0"/>
              <w:right w:val="single" w:color="000000" w:sz="4" w:space="0"/>
            </w:tcBorders>
            <w:shd w:val="clear" w:color="000000" w:fill="A6A6A6"/>
            <w:noWrap/>
            <w:vAlign w:val="center"/>
          </w:tcPr>
          <w:p w14:paraId="410061E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Proportion</w:t>
            </w:r>
          </w:p>
        </w:tc>
      </w:tr>
      <w:tr w14:paraId="535A070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0" w:type="auto"/>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44F56F1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 xml:space="preserve">Age </w:t>
            </w: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169D753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18-34</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2E3C916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100</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5805CB0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w:t>
            </w:r>
          </w:p>
        </w:tc>
      </w:tr>
      <w:tr w14:paraId="4704F0B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restart"/>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39F14DF7">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Gender</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1C9EBD19">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Male</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62E771C5">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62</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243516C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0.62</w:t>
            </w:r>
          </w:p>
        </w:tc>
      </w:tr>
      <w:tr w14:paraId="25C1C66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continue"/>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17CC3577">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B98526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Female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61ABF61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38</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2F5039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0.38</w:t>
            </w:r>
          </w:p>
        </w:tc>
      </w:tr>
      <w:tr w14:paraId="1A4948E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0" w:type="auto"/>
            <w:vMerge w:val="restart"/>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09B61E1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Geographical Distributed</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1FC28EB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Asia</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62FA2B7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72</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6642C37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0.72</w:t>
            </w:r>
          </w:p>
        </w:tc>
      </w:tr>
      <w:tr w14:paraId="77A9B79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continue"/>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372B6F5E">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5426A9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West</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81308B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22</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B4CB449">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0.22</w:t>
            </w:r>
          </w:p>
        </w:tc>
      </w:tr>
      <w:tr w14:paraId="4FC482B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2E9B0CE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Preferred In-game Region</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0A083B9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Average</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282ED91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lang w:val="en-US" w:eastAsia="zh-CN"/>
              </w:rPr>
            </w:pPr>
            <w:r>
              <w:rPr>
                <w:rFonts w:hint="default" w:ascii="Arial" w:hAnsi="Arial" w:eastAsia="宋体" w:cs="Arial"/>
                <w:i w:val="0"/>
                <w:iCs w:val="0"/>
                <w:color w:val="000000"/>
                <w:sz w:val="24"/>
                <w:szCs w:val="24"/>
                <w:u w:val="none"/>
                <w:lang w:val="en-US" w:eastAsia="zh-CN"/>
              </w:rPr>
              <w:t>19.3</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347D078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lang w:val="en-US"/>
              </w:rPr>
            </w:pPr>
            <w:r>
              <w:rPr>
                <w:rFonts w:hint="default" w:ascii="Arial" w:hAnsi="Arial" w:eastAsia="宋体" w:cs="Arial"/>
                <w:i w:val="0"/>
                <w:iCs w:val="0"/>
                <w:color w:val="000000"/>
                <w:kern w:val="0"/>
                <w:sz w:val="24"/>
                <w:szCs w:val="24"/>
                <w:u w:val="none"/>
                <w:lang w:val="en-US" w:eastAsia="zh-CN" w:bidi="ar"/>
              </w:rPr>
              <w:t>0.19</w:t>
            </w:r>
          </w:p>
        </w:tc>
      </w:tr>
      <w:tr w14:paraId="341BE73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restart"/>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4CFD39B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Cultural Theme Preference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03E04EB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Asia</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3442BA6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Fontaine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2AEF3F7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68</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67CA243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0.68</w:t>
            </w:r>
          </w:p>
        </w:tc>
      </w:tr>
      <w:tr w14:paraId="1873699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continue"/>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49E5623B">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0D281B7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West</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1E86BBC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Sumeru</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114409A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56</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09ABD3A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0.56</w:t>
            </w:r>
          </w:p>
        </w:tc>
      </w:tr>
      <w:tr w14:paraId="2DF97C4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restart"/>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3F0DA91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Engagement Frequency</w:t>
            </w: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3543ED62">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Daily</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04AF5D9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54</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5522627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0.54</w:t>
            </w:r>
          </w:p>
        </w:tc>
      </w:tr>
      <w:tr w14:paraId="5CAA089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0" w:type="auto"/>
            <w:vMerge w:val="continue"/>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3F5FCE5A">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41D58CF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Weekly</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1BA68DC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43</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170DB25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0.43</w:t>
            </w:r>
          </w:p>
        </w:tc>
      </w:tr>
      <w:tr w14:paraId="228827C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0" w:type="auto"/>
            <w:vMerge w:val="continue"/>
            <w:tcBorders>
              <w:top w:val="single" w:color="FFFFFF" w:sz="4" w:space="0"/>
              <w:left w:val="single" w:color="000000" w:sz="4" w:space="0"/>
              <w:bottom w:val="single" w:color="FFFFFF" w:sz="4" w:space="0"/>
              <w:right w:val="single" w:color="FFFFFF" w:sz="4" w:space="0"/>
            </w:tcBorders>
            <w:shd w:val="clear" w:color="000000" w:fill="A6A6A6"/>
            <w:noWrap/>
            <w:vAlign w:val="center"/>
          </w:tcPr>
          <w:p w14:paraId="6470BC82">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660325B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Monthly</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E4F341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4BD530FA">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0.03</w:t>
            </w:r>
          </w:p>
        </w:tc>
      </w:tr>
      <w:tr w14:paraId="511B122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26BB5E9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How much does the cultural representation influence decision to purchase in-game content?</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55585A4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Not at All</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2CE0C63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75</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1265E8F5">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0.75</w:t>
            </w:r>
          </w:p>
        </w:tc>
      </w:tr>
      <w:tr w14:paraId="4B9AD18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7BAFA9A9">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91E006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Slightly</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4D681D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23</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535C005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0.23</w:t>
            </w:r>
          </w:p>
        </w:tc>
      </w:tr>
      <w:tr w14:paraId="14EA955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66EECFC1">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799E9FE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Moderately</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7C83025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4E0DE67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0.02</w:t>
            </w:r>
          </w:p>
        </w:tc>
      </w:tr>
      <w:tr w14:paraId="53176A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7E8FBE80">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C1330C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Very Much</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1D1E047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B3144C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w:t>
            </w:r>
          </w:p>
        </w:tc>
      </w:tr>
      <w:tr w14:paraId="0C2BC74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700"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2780E48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Have any specific marketing campaigns (e.g., regional events, themed promotions) motivated to make in-game purchases?</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4D104BC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Yes</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546C6ED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67</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6DD1D8D2">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0.67</w:t>
            </w:r>
          </w:p>
        </w:tc>
      </w:tr>
      <w:tr w14:paraId="0012CE4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72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1A38CDB9">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3DBD9C8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No</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0343C58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33</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04FF646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0.33</w:t>
            </w:r>
          </w:p>
        </w:tc>
      </w:tr>
      <w:tr w14:paraId="55E500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0"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0416EBE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Does Genshin Impact`s cultural representation enhance your perception of the brand?</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0731119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Yes</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3584748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78</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2D91CB3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0.78</w:t>
            </w:r>
          </w:p>
        </w:tc>
      </w:tr>
      <w:tr w14:paraId="3A8203A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8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605A9A6E">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C40F60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No</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9B7B10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2DD01C5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0.02</w:t>
            </w:r>
          </w:p>
        </w:tc>
      </w:tr>
      <w:tr w14:paraId="5BC7B25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8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4F8A408F">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22A9D2C7">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Neutral</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2D2E44CA">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7E64E26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w:t>
            </w:r>
          </w:p>
        </w:tc>
      </w:tr>
      <w:tr w14:paraId="043BDBC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49724DC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What percentage of your in-game spending is on culturally themed content?</w:t>
            </w: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F60934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0-25%</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B99066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37</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3AEFEBD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0.37</w:t>
            </w:r>
          </w:p>
        </w:tc>
      </w:tr>
      <w:tr w14:paraId="0F39FB1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3778D5EA">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69EE6A5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26-50%</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25320F0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54</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4F919537">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0.54</w:t>
            </w:r>
          </w:p>
        </w:tc>
      </w:tr>
      <w:tr w14:paraId="0679567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6AF9A5F4">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26A6B665">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51-75%</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6BA5F6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C8038D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0.07</w:t>
            </w:r>
          </w:p>
        </w:tc>
      </w:tr>
      <w:tr w14:paraId="0B565C2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0FC2BB25">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2366D3A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76-100%</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739B285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282B500D">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0.02</w:t>
            </w:r>
          </w:p>
        </w:tc>
      </w:tr>
      <w:tr w14:paraId="7A8347C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7B6F6E6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What kind of cultural themes would you like to see in future Genshin Impact updates?</w:t>
            </w: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FAEDDD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Asian</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39FA87D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23</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2DFE876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0.23</w:t>
            </w:r>
          </w:p>
        </w:tc>
      </w:tr>
      <w:tr w14:paraId="1BE3AF4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466A2FE2">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021E204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European</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59AA93C5">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34</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543B17F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0.34</w:t>
            </w:r>
          </w:p>
        </w:tc>
      </w:tr>
      <w:tr w14:paraId="73E33F6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5B9DF681">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0126716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African</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EF98022">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12</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44D7FF2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0.12</w:t>
            </w:r>
          </w:p>
        </w:tc>
      </w:tr>
      <w:tr w14:paraId="108A8E3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5333B98E">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3247045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Others</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5D43224C">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6D62391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0.03</w:t>
            </w:r>
          </w:p>
        </w:tc>
      </w:tr>
      <w:tr w14:paraId="17E617F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16CB3219">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773F9789">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Neutral</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847FFF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28</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D61ECE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0.28</w:t>
            </w:r>
          </w:p>
        </w:tc>
      </w:tr>
      <w:tr w14:paraId="417031D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7161D6C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How effective do you think Genshin Impact`s cultural marketing strategy is?</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7F1F8A3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Not Effective</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7B9508A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56EEA61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0.07</w:t>
            </w:r>
          </w:p>
        </w:tc>
      </w:tr>
      <w:tr w14:paraId="7543B4B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5819C6F7">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07EBE68A">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Somewhat Effective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493883E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74</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0FA0A9F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0.74</w:t>
            </w:r>
          </w:p>
        </w:tc>
      </w:tr>
      <w:tr w14:paraId="4B57B5F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2"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307351CA">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4C1378B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Very Effective</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3E7D935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19</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0196537A">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0.19</w:t>
            </w:r>
          </w:p>
        </w:tc>
      </w:tr>
      <w:tr w14:paraId="7E27543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20"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730F2DB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Do you believe that incorporating diverse cultural elements in the game could significantly impact Genshin Impact`s global sales?</w:t>
            </w: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1B933142">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Yes</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3C2AABF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82</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7FF91FCE">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0.82</w:t>
            </w:r>
          </w:p>
        </w:tc>
      </w:tr>
      <w:tr w14:paraId="3A276B9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2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0C5E6B6E">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660678B4">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No</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6AD88AFA">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79B21CB2">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0.02</w:t>
            </w:r>
          </w:p>
        </w:tc>
      </w:tr>
      <w:tr w14:paraId="6457A43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68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35698A6E">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1D6E962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Unsure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598D726B">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16</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3AF8F59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0.16</w:t>
            </w:r>
          </w:p>
        </w:tc>
      </w:tr>
      <w:tr w14:paraId="6BC9D23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60" w:hRule="atLeast"/>
        </w:trPr>
        <w:tc>
          <w:tcPr>
            <w:tcW w:w="3146" w:type="dxa"/>
            <w:vMerge w:val="restart"/>
            <w:tcBorders>
              <w:top w:val="single" w:color="FFFFFF" w:sz="4" w:space="0"/>
              <w:left w:val="single" w:color="000000" w:sz="4" w:space="0"/>
              <w:bottom w:val="single" w:color="FFFFFF" w:sz="4" w:space="0"/>
              <w:right w:val="single" w:color="FFFFFF" w:sz="4" w:space="0"/>
            </w:tcBorders>
            <w:shd w:val="clear" w:color="000000" w:fill="A6A6A6"/>
            <w:vAlign w:val="center"/>
          </w:tcPr>
          <w:p w14:paraId="7E84B6C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b/>
                <w:bCs/>
                <w:i w:val="0"/>
                <w:iCs w:val="0"/>
                <w:color w:val="FFFFFF"/>
                <w:sz w:val="24"/>
                <w:szCs w:val="24"/>
                <w:u w:val="none"/>
              </w:rPr>
            </w:pPr>
            <w:r>
              <w:rPr>
                <w:rFonts w:hint="default" w:ascii="Arial" w:hAnsi="Arial" w:eastAsia="宋体" w:cs="Arial"/>
                <w:b/>
                <w:bCs/>
                <w:i w:val="0"/>
                <w:iCs w:val="0"/>
                <w:color w:val="FFFFFF"/>
                <w:kern w:val="0"/>
                <w:sz w:val="24"/>
                <w:szCs w:val="24"/>
                <w:u w:val="none"/>
                <w:lang w:val="en-US" w:eastAsia="zh-CN" w:bidi="ar"/>
              </w:rPr>
              <w:t>How does Genshin Impact`s cultural marketing compare to other games you play?</w:t>
            </w: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734031E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Better</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21354E81">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93</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7BC5C2D5">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0.93</w:t>
            </w:r>
          </w:p>
        </w:tc>
      </w:tr>
      <w:tr w14:paraId="57DD9CE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8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334F2FCC">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622BF133">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Worse</w:t>
            </w:r>
          </w:p>
        </w:tc>
        <w:tc>
          <w:tcPr>
            <w:tcW w:w="0" w:type="auto"/>
            <w:tcBorders>
              <w:top w:val="single" w:color="FFFFFF" w:sz="4" w:space="0"/>
              <w:left w:val="single" w:color="FFFFFF" w:sz="4" w:space="0"/>
              <w:bottom w:val="single" w:color="FFFFFF" w:sz="4" w:space="0"/>
              <w:right w:val="single" w:color="FFFFFF" w:sz="4" w:space="0"/>
            </w:tcBorders>
            <w:shd w:val="clear" w:color="CCCCCC" w:fill="CCCCCC"/>
            <w:noWrap/>
            <w:vAlign w:val="center"/>
          </w:tcPr>
          <w:p w14:paraId="5F7D5AF8">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w:t>
            </w:r>
          </w:p>
        </w:tc>
        <w:tc>
          <w:tcPr>
            <w:tcW w:w="0" w:type="auto"/>
            <w:tcBorders>
              <w:top w:val="single" w:color="FFFFFF" w:sz="4" w:space="0"/>
              <w:left w:val="single" w:color="FFFFFF" w:sz="4" w:space="0"/>
              <w:bottom w:val="single" w:color="FFFFFF" w:sz="4" w:space="0"/>
              <w:right w:val="single" w:color="000000" w:sz="4" w:space="0"/>
            </w:tcBorders>
            <w:shd w:val="clear" w:color="CCCCCC" w:fill="CCCCCC"/>
            <w:noWrap/>
            <w:vAlign w:val="center"/>
          </w:tcPr>
          <w:p w14:paraId="3B75EC66">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w:t>
            </w:r>
          </w:p>
        </w:tc>
      </w:tr>
      <w:tr w14:paraId="344A810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420" w:hRule="atLeast"/>
        </w:trPr>
        <w:tc>
          <w:tcPr>
            <w:tcW w:w="3146" w:type="dxa"/>
            <w:vMerge w:val="continue"/>
            <w:tcBorders>
              <w:top w:val="single" w:color="FFFFFF" w:sz="4" w:space="0"/>
              <w:left w:val="single" w:color="000000" w:sz="4" w:space="0"/>
              <w:bottom w:val="single" w:color="FFFFFF" w:sz="4" w:space="0"/>
              <w:right w:val="single" w:color="FFFFFF" w:sz="4" w:space="0"/>
            </w:tcBorders>
            <w:shd w:val="clear" w:color="000000" w:fill="A6A6A6"/>
            <w:vAlign w:val="center"/>
          </w:tcPr>
          <w:p w14:paraId="1BA1E843">
            <w:pPr>
              <w:pageBreakBefore w:val="0"/>
              <w:kinsoku/>
              <w:wordWrap/>
              <w:overflowPunct/>
              <w:topLinePunct w:val="0"/>
              <w:bidi w:val="0"/>
              <w:snapToGrid/>
              <w:spacing w:line="240" w:lineRule="auto"/>
              <w:jc w:val="center"/>
              <w:rPr>
                <w:rFonts w:hint="default" w:ascii="Arial" w:hAnsi="Arial" w:eastAsia="宋体" w:cs="Arial"/>
                <w:b/>
                <w:bCs/>
                <w:i w:val="0"/>
                <w:iCs w:val="0"/>
                <w:color w:val="FFFFFF"/>
                <w:sz w:val="24"/>
                <w:szCs w:val="24"/>
                <w:u w:val="none"/>
              </w:rPr>
            </w:pPr>
          </w:p>
        </w:tc>
        <w:tc>
          <w:tcPr>
            <w:tcW w:w="0" w:type="auto"/>
            <w:gridSpan w:val="2"/>
            <w:tcBorders>
              <w:top w:val="single" w:color="FFFFFF" w:sz="4" w:space="0"/>
              <w:left w:val="single" w:color="FFFFFF" w:sz="4" w:space="0"/>
              <w:bottom w:val="single" w:color="FFFFFF" w:sz="4" w:space="0"/>
              <w:right w:val="single" w:color="FFFFFF" w:sz="4" w:space="0"/>
            </w:tcBorders>
            <w:shd w:val="clear" w:color="auto" w:fill="auto"/>
            <w:noWrap/>
            <w:vAlign w:val="center"/>
          </w:tcPr>
          <w:p w14:paraId="472E88F0">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Same</w:t>
            </w:r>
          </w:p>
        </w:tc>
        <w:tc>
          <w:tcPr>
            <w:tcW w:w="0" w:type="auto"/>
            <w:tcBorders>
              <w:top w:val="single" w:color="FFFFFF" w:sz="4" w:space="0"/>
              <w:left w:val="single" w:color="FFFFFF" w:sz="4" w:space="0"/>
              <w:bottom w:val="single" w:color="FFFFFF" w:sz="4" w:space="0"/>
              <w:right w:val="single" w:color="FFFFFF" w:sz="4" w:space="0"/>
            </w:tcBorders>
            <w:shd w:val="clear" w:color="auto" w:fill="auto"/>
            <w:noWrap/>
            <w:vAlign w:val="center"/>
          </w:tcPr>
          <w:p w14:paraId="4F101D37">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7</w:t>
            </w:r>
          </w:p>
        </w:tc>
        <w:tc>
          <w:tcPr>
            <w:tcW w:w="0" w:type="auto"/>
            <w:tcBorders>
              <w:top w:val="single" w:color="FFFFFF" w:sz="4" w:space="0"/>
              <w:left w:val="single" w:color="FFFFFF" w:sz="4" w:space="0"/>
              <w:bottom w:val="single" w:color="FFFFFF" w:sz="4" w:space="0"/>
              <w:right w:val="single" w:color="000000" w:sz="4" w:space="0"/>
            </w:tcBorders>
            <w:shd w:val="clear" w:color="auto" w:fill="auto"/>
            <w:noWrap/>
            <w:vAlign w:val="center"/>
          </w:tcPr>
          <w:p w14:paraId="6D1B08BF">
            <w:pPr>
              <w:keepNext w:val="0"/>
              <w:keepLines w:val="0"/>
              <w:pageBreakBefore w:val="0"/>
              <w:widowControl/>
              <w:suppressLineNumbers w:val="0"/>
              <w:kinsoku/>
              <w:wordWrap/>
              <w:overflowPunct/>
              <w:topLinePunct w:val="0"/>
              <w:bidi w:val="0"/>
              <w:snapToGrid/>
              <w:spacing w:line="240" w:lineRule="auto"/>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0.07</w:t>
            </w:r>
          </w:p>
        </w:tc>
      </w:tr>
    </w:tbl>
    <w:p w14:paraId="5B742469">
      <w:pPr>
        <w:pageBreakBefore w:val="0"/>
        <w:widowControl/>
        <w:kinsoku/>
        <w:wordWrap/>
        <w:overflowPunct/>
        <w:topLinePunct w:val="0"/>
        <w:bidi w:val="0"/>
        <w:snapToGrid/>
        <w:spacing w:line="240" w:lineRule="auto"/>
        <w:jc w:val="center"/>
        <w:rPr>
          <w:rFonts w:hint="default" w:ascii="Arial" w:hAnsi="Arial" w:cs="Arial"/>
          <w:b/>
          <w:bCs/>
          <w:color w:val="000000" w:themeColor="text1"/>
          <w:sz w:val="20"/>
          <w:szCs w:val="20"/>
          <w:lang w:val="en-US" w:eastAsia="zh-CN"/>
          <w14:textFill>
            <w14:solidFill>
              <w14:schemeClr w14:val="tx1"/>
            </w14:solidFill>
          </w14:textFill>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2</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Main Survey Results, 2024</w:t>
      </w:r>
    </w:p>
    <w:p w14:paraId="25C732A3">
      <w:pPr>
        <w:pageBreakBefore w:val="0"/>
        <w:widowControl/>
        <w:kinsoku/>
        <w:wordWrap/>
        <w:overflowPunct/>
        <w:topLinePunct w:val="0"/>
        <w:bidi w:val="0"/>
        <w:snapToGrid/>
        <w:spacing w:line="240" w:lineRule="auto"/>
        <w:jc w:val="center"/>
        <w:rPr>
          <w:rFonts w:hint="default" w:ascii="Arial" w:hAnsi="Arial" w:eastAsia="宋体" w:cs="Arial"/>
          <w:kern w:val="0"/>
          <w:sz w:val="24"/>
          <w:szCs w:val="24"/>
          <w:lang w:val="en-US" w:eastAsia="zh-CN"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3</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Main Survey Results (for Asian vs. Western Comparison), 2024</w:t>
      </w:r>
      <w:r>
        <w:rPr>
          <w:rFonts w:hint="default" w:ascii="Arial" w:hAnsi="Arial" w:cs="Arial"/>
          <w:sz w:val="24"/>
          <w:szCs w:val="24"/>
        </w:rPr>
        <w:drawing>
          <wp:anchor distT="0" distB="0" distL="114300" distR="114300" simplePos="0" relativeHeight="251660288" behindDoc="0" locked="0" layoutInCell="1" allowOverlap="1">
            <wp:simplePos x="0" y="0"/>
            <wp:positionH relativeFrom="column">
              <wp:posOffset>-1028700</wp:posOffset>
            </wp:positionH>
            <wp:positionV relativeFrom="paragraph">
              <wp:posOffset>91440</wp:posOffset>
            </wp:positionV>
            <wp:extent cx="7390130" cy="3928745"/>
            <wp:effectExtent l="4445" t="4445" r="10795" b="6985"/>
            <wp:wrapTopAndBottom/>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701226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To compare the perception between Asian players and Western players, data are separated as above.</w:t>
      </w:r>
    </w:p>
    <w:p w14:paraId="53088A6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E0F515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To test hypothesis 1, cultural promotion within Genshin Impact will influence player in-game purchases, survey results showed that 75% of respondents said cultural representation had no influence on their purchase decisions, 23% said it had a minor influence, and 2% said it had a moderate impact. Given the modest levels of effect observed, the data do not clearly support this hypothesis, implying that other factors may play a larger role in motivating in-game purchases. Data from Asian and Western gamers demonstrate that neither group considers cultural representation to be a significant factor influencing purchasing decisions. However, Asian players reported somewhat higher satisfaction with cultural representation (score of 4) than Western players (score of 3), suggesting that, while cultural representation does not drive purchases, it does influence player enjoyment, particularly in the Asian market.</w:t>
      </w:r>
    </w:p>
    <w:p w14:paraId="69C4B55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9EEB5B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As with hypothesis 2, desire for cultural recognition among global players influence the effectiveness of Genshin Impact`s cultural marketing strategies, the results revealed that 68% of Asian respondents preferred cultural aspects specific to their region, while 74% of all participants thought the game`s cultural marketing strategy was somewhat effective. This supports the premise that cultural awareness has a considerable impact on marketing efficacy.The study discovered that Asian players rated the perceived authenticity of cultural components higher (4.3) than Western players (3.9). Furthermore, Asian players were substantially more interested in culturally relevant events (4.8) than Western players (3.7). This demonstrates that Genshin Impact`s cultural marketing strategies are particularly effective among Asian players, who are more likely to see features of their own culture reflected in the game.</w:t>
      </w:r>
    </w:p>
    <w:p w14:paraId="25492B8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D9BD31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For hypothesis 3, cultural elements influence players` emotional attachment to characters in Genshin Impact, and this attachment will encourage the exploration of related cultural aspects such as music, values, and architecture, the analysis revealed that a sizable proportion of players (54%) played the game on a daily basis, with 54% of respondents spending 26-50% of their in-game budget on culturally themed stuff. This lends support to the concept that cultural factors play an important role in developing emotional attachment, which in turn motivates investigation of related cultural features.Both Asian and Western players were highly engaged in character backstories, with Asian players scoring somewhat higher (4.6) than Western players (4.1). Furthermore, Asian players gave the game a higher rating for cultural awareness (4.5) than Westerners (3.8). This shows that cultural aspects of the game may resonate more strongly with Asian players, resulting in stronger emotional relationships and a greater appreciation for cultural content.</w:t>
      </w:r>
    </w:p>
    <w:p w14:paraId="2AEC60B2">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55" w:name="_Toc28138"/>
      <w:r>
        <w:rPr>
          <w:rFonts w:hint="default" w:ascii="Arial" w:hAnsi="Arial" w:cs="Arial"/>
          <w:sz w:val="24"/>
          <w:szCs w:val="24"/>
          <w:lang w:val="en-US" w:eastAsia="zh-CN"/>
        </w:rPr>
        <w:t>Qualitative Analysis</w:t>
      </w:r>
      <w:bookmarkEnd w:id="55"/>
    </w:p>
    <w:p w14:paraId="7820E3F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This study interviewed six players from varied areas and roles, each with over a year of gameplay experience, to provide a thorough comprehension of the game and trustworthy data. The table below summarises the basic information of the interviewees:</w:t>
      </w:r>
    </w:p>
    <w:p w14:paraId="254CDC5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drawing>
          <wp:inline distT="0" distB="0" distL="114300" distR="114300">
            <wp:extent cx="5274310" cy="1421130"/>
            <wp:effectExtent l="0" t="0" r="4445" b="3810"/>
            <wp:docPr id="3" name="图片 3" descr="1722914265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722914265779"/>
                    <pic:cNvPicPr>
                      <a:picLocks noChangeAspect="1"/>
                    </pic:cNvPicPr>
                  </pic:nvPicPr>
                  <pic:blipFill>
                    <a:blip r:embed="rId10"/>
                    <a:stretch>
                      <a:fillRect/>
                    </a:stretch>
                  </pic:blipFill>
                  <pic:spPr>
                    <a:xfrm>
                      <a:off x="0" y="0"/>
                      <a:ext cx="5274310" cy="1421130"/>
                    </a:xfrm>
                    <a:prstGeom prst="rect">
                      <a:avLst/>
                    </a:prstGeom>
                  </pic:spPr>
                </pic:pic>
              </a:graphicData>
            </a:graphic>
          </wp:inline>
        </w:drawing>
      </w:r>
    </w:p>
    <w:p w14:paraId="15DA4CEB">
      <w:pPr>
        <w:pageBreakBefore w:val="0"/>
        <w:widowControl/>
        <w:kinsoku/>
        <w:wordWrap/>
        <w:overflowPunct/>
        <w:topLinePunct w:val="0"/>
        <w:bidi w:val="0"/>
        <w:snapToGrid/>
        <w:spacing w:line="240" w:lineRule="auto"/>
        <w:jc w:val="center"/>
        <w:rPr>
          <w:rFonts w:hint="default" w:ascii="Arial" w:hAnsi="Arial" w:cs="Arial"/>
          <w:b/>
          <w:bCs/>
          <w:color w:val="000000" w:themeColor="text1"/>
          <w:sz w:val="20"/>
          <w:szCs w:val="20"/>
          <w:lang w:val="en-US" w:eastAsia="zh-CN"/>
          <w14:textFill>
            <w14:solidFill>
              <w14:schemeClr w14:val="tx1"/>
            </w14:solidFill>
          </w14:textFill>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4</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Interviewees Background Information, 2024</w:t>
      </w:r>
    </w:p>
    <w:p w14:paraId="52C78151">
      <w:pPr>
        <w:pageBreakBefore w:val="0"/>
        <w:widowControl/>
        <w:kinsoku/>
        <w:wordWrap/>
        <w:overflowPunct/>
        <w:topLinePunct w:val="0"/>
        <w:bidi w:val="0"/>
        <w:snapToGrid/>
        <w:spacing w:line="240" w:lineRule="auto"/>
        <w:jc w:val="center"/>
        <w:rPr>
          <w:rFonts w:hint="default" w:ascii="Arial" w:hAnsi="Arial" w:cs="Arial"/>
          <w:b/>
          <w:bCs/>
          <w:color w:val="000000" w:themeColor="text1"/>
          <w:sz w:val="24"/>
          <w:szCs w:val="24"/>
          <w:lang w:val="en-US" w:eastAsia="zh-CN"/>
          <w14:textFill>
            <w14:solidFill>
              <w14:schemeClr w14:val="tx1"/>
            </w14:solidFill>
          </w14:textFill>
        </w:rPr>
      </w:pPr>
    </w:p>
    <w:p w14:paraId="6C23E51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Based on the data collected from interviews, several key findings have emerged:</w:t>
      </w:r>
    </w:p>
    <w:p w14:paraId="0240CC46">
      <w:pPr>
        <w:pageBreakBefore w:val="0"/>
        <w:widowControl/>
        <w:numPr>
          <w:ilvl w:val="0"/>
          <w:numId w:val="6"/>
        </w:numPr>
        <w:kinsoku/>
        <w:wordWrap/>
        <w:overflowPunct/>
        <w:topLinePunct w:val="0"/>
        <w:bidi w:val="0"/>
        <w:snapToGrid/>
        <w:spacing w:line="240" w:lineRule="auto"/>
        <w:ind w:left="420" w:leftChars="0" w:hanging="420" w:firstLineChars="0"/>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Initial Engagement vs. Sustained Investment</w:t>
      </w:r>
    </w:p>
    <w:p w14:paraId="6EDC625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According to all interviews, players from various demographics first became interested in Genshin Impact because of its promotional operations, which had fine graphics and great music with which no other game could compete. Following are what some interviewees said about their first PV:</w:t>
      </w:r>
    </w:p>
    <w:p w14:paraId="6711AA8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71C85646">
      <w:pPr>
        <w:pageBreakBefore w:val="0"/>
        <w:widowControl/>
        <w:kinsoku/>
        <w:wordWrap/>
        <w:overflowPunct/>
        <w:topLinePunct w:val="0"/>
        <w:bidi w:val="0"/>
        <w:snapToGrid/>
        <w:spacing w:line="240" w:lineRule="auto"/>
        <w:jc w:val="both"/>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“Player1: Never have seen any game is like this before.</w:t>
      </w:r>
    </w:p>
    <w:p w14:paraId="0AB12EAB">
      <w:pPr>
        <w:pageBreakBefore w:val="0"/>
        <w:widowControl/>
        <w:kinsoku/>
        <w:wordWrap/>
        <w:overflowPunct/>
        <w:topLinePunct w:val="0"/>
        <w:bidi w:val="0"/>
        <w:snapToGrid/>
        <w:spacing w:line="240" w:lineRule="auto"/>
        <w:jc w:val="both"/>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Player3: The music is just so attracting, like it echos my heart.</w:t>
      </w:r>
    </w:p>
    <w:p w14:paraId="6C6D16AA">
      <w:pPr>
        <w:pageBreakBefore w:val="0"/>
        <w:widowControl/>
        <w:kinsoku/>
        <w:wordWrap/>
        <w:overflowPunct/>
        <w:topLinePunct w:val="0"/>
        <w:bidi w:val="0"/>
        <w:snapToGrid/>
        <w:spacing w:line="240" w:lineRule="auto"/>
        <w:jc w:val="both"/>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Player4: When you first look at you`d want to jump into it, everybody knows that.</w:t>
      </w:r>
    </w:p>
    <w:p w14:paraId="12939F0A">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t>......”</w:t>
      </w:r>
    </w:p>
    <w:p w14:paraId="23D44E2E">
      <w:pPr>
        <w:pageBreakBefore w:val="0"/>
        <w:widowControl/>
        <w:kinsoku/>
        <w:wordWrap/>
        <w:overflowPunct/>
        <w:topLinePunct w:val="0"/>
        <w:bidi w:val="0"/>
        <w:snapToGrid/>
        <w:spacing w:line="240" w:lineRule="auto"/>
        <w:jc w:val="both"/>
        <w:rPr>
          <w:rFonts w:hint="default" w:ascii="Arial" w:hAnsi="Arial" w:eastAsia="宋体" w:cs="Arial"/>
          <w:i/>
          <w:iCs/>
          <w:kern w:val="0"/>
          <w:sz w:val="24"/>
          <w:szCs w:val="24"/>
          <w:lang w:val="en-US" w:eastAsia="zh-CN" w:bidi="ar"/>
        </w:rPr>
      </w:pPr>
    </w:p>
    <w:p w14:paraId="6C6AC92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visual and auditory experience enticed millions of players to download the game, resulting in Genshin Impact`s first success in lunching. Following that, Genshin Impact launched more advertisements with numerous aspects on a high frequency monthly, attracting players from a wide range to join the game or continue playing. For example, Genshin Impact would encourage players with actual bonuses to make re-creations that include gay fanfictions in order to attract LGBT groups, demonstrating a highly friendly and inclusive environment within the game, and players commented this a great improvement for human development:</w:t>
      </w:r>
    </w:p>
    <w:p w14:paraId="0912086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D18DBFB">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 xml:space="preserve">“ </w:t>
      </w:r>
      <w:r>
        <w:rPr>
          <w:rFonts w:hint="default" w:ascii="Arial" w:hAnsi="Arial" w:eastAsia="宋体" w:cs="Arial"/>
          <w:b/>
          <w:bCs/>
          <w:i/>
          <w:iCs/>
          <w:kern w:val="0"/>
          <w:sz w:val="24"/>
          <w:szCs w:val="24"/>
          <w:lang w:val="en-US" w:eastAsia="zh-CN" w:bidi="ar"/>
        </w:rPr>
        <w:t>Question: Have you posted re-creations or do you like being seen them on social platforms?</w:t>
      </w:r>
    </w:p>
    <w:p w14:paraId="21AAF58A">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Answers: (Player2) Yes, I love those CPs and every body`s talking about it. There`s no judgment against any CPs, everyone`s respecting each others preferences. This has never happened in any other games before. People will always fight for their own characters, but in Genshin Impact, it just amazingly do not exist such a things. Like all of us are well educated to accept who they want to be, I would like to say it is a great improvement of our world.”</w:t>
      </w:r>
    </w:p>
    <w:p w14:paraId="22F127FE">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p>
    <w:p w14:paraId="0AB1412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Despite being attracted in by promos, players choose to spend money on the game because of its content. According to the data collected in this study, no player made an in-game purchase for any commercial or campaign activity. Players are willing to pay for narration, music, and visual features that they value highly. </w:t>
      </w:r>
    </w:p>
    <w:p w14:paraId="3CE3520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84F7F2E">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lang w:val="en-US" w:eastAsia="zh-CN" w:bidi="ar"/>
        </w:rPr>
      </w:pPr>
      <w:r>
        <w:rPr>
          <w:rFonts w:hint="default" w:ascii="Arial" w:hAnsi="Arial" w:eastAsia="宋体" w:cs="Arial"/>
          <w:i/>
          <w:iCs/>
          <w:kern w:val="0"/>
          <w:sz w:val="24"/>
          <w:szCs w:val="24"/>
          <w:lang w:val="en-US" w:eastAsia="zh-CN" w:bidi="ar"/>
        </w:rPr>
        <w:t xml:space="preserve">“ </w:t>
      </w:r>
      <w:r>
        <w:rPr>
          <w:rFonts w:hint="default" w:ascii="Arial" w:hAnsi="Arial" w:eastAsia="宋体" w:cs="Arial"/>
          <w:b/>
          <w:bCs/>
          <w:i/>
          <w:iCs/>
          <w:kern w:val="0"/>
          <w:sz w:val="24"/>
          <w:szCs w:val="24"/>
          <w:lang w:val="en-US" w:eastAsia="zh-CN" w:bidi="ar"/>
        </w:rPr>
        <w:t>Question: Have you made any in-game purchase?</w:t>
      </w:r>
    </w:p>
    <w:p w14:paraId="07E767A6">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Answer: (Player2) Yes, I topped up for Wriothesley.</w:t>
      </w:r>
    </w:p>
    <w:p w14:paraId="1E65F43E">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lang w:val="en-US" w:eastAsia="zh-CN" w:bidi="ar"/>
        </w:rPr>
      </w:pPr>
      <w:r>
        <w:rPr>
          <w:rFonts w:hint="default" w:ascii="Arial" w:hAnsi="Arial" w:eastAsia="宋体" w:cs="Arial"/>
          <w:b/>
          <w:bCs/>
          <w:i/>
          <w:iCs/>
          <w:kern w:val="0"/>
          <w:sz w:val="24"/>
          <w:szCs w:val="24"/>
          <w:lang w:val="en-US" w:eastAsia="zh-CN" w:bidi="ar"/>
        </w:rPr>
        <w:t>Question: What makes you want to pay, is it the commercial advertisement too attractive?</w:t>
      </w:r>
    </w:p>
    <w:p w14:paraId="3309FDBC">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Answer:(Player2) No, I did not like Wrio at all at the beginning. Later when I evolved in the stories, that is where I find him charming. How can you not want to give your best to Wrio when knowing his broken past. I`m willing to top up more for him.”</w:t>
      </w:r>
    </w:p>
    <w:p w14:paraId="0B5B469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C53EBE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From the conversation, it is easy to find that the immersive and high-quality content is what finally persuades players to buy in-game items. After recognising this scenario, Genshin Impact pursued other promotional strategies, which will be discussed in Section 4.3.</w:t>
      </w:r>
    </w:p>
    <w:p w14:paraId="4AA4F64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58BD62B">
      <w:pPr>
        <w:pageBreakBefore w:val="0"/>
        <w:widowControl/>
        <w:numPr>
          <w:ilvl w:val="0"/>
          <w:numId w:val="6"/>
        </w:numPr>
        <w:kinsoku/>
        <w:wordWrap/>
        <w:overflowPunct/>
        <w:topLinePunct w:val="0"/>
        <w:bidi w:val="0"/>
        <w:snapToGrid/>
        <w:spacing w:line="240" w:lineRule="auto"/>
        <w:ind w:left="420" w:leftChars="0" w:hanging="420" w:firstLineChars="0"/>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Differences Thinking Logic Between Western and Chinese Players</w:t>
      </w:r>
    </w:p>
    <w:p w14:paraId="353548E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The study`s most interesting finding is that Western players have different goals and game experiences than Chinese players. These distinctions are influenced by different logical thinking processes, living conditions, education, and cultural beliefs. (Danesi, 2024) Western players frequently seek a more personalised and exploratory gaming experience, prioritising narrative richness and character development. They prefer to perceive themselves as global citizens, and hence would adopt this orientation in the open-world game, which means they do not need to see many self-presented cultural items, but rather more details about other cultures. But the data on how they like Liyue (represents China in the game) reveals discouragement. More than 80% of players would not willingly want to explore Liyue, palyer5 also mentioned </w:t>
      </w:r>
      <w:r>
        <w:rPr>
          <w:rFonts w:hint="default" w:ascii="Arial" w:hAnsi="Arial" w:eastAsia="宋体" w:cs="Arial"/>
          <w:i/>
          <w:iCs/>
          <w:kern w:val="0"/>
          <w:sz w:val="24"/>
          <w:szCs w:val="24"/>
          <w:lang w:val="en-US" w:eastAsia="zh-CN" w:bidi="ar"/>
        </w:rPr>
        <w:t>“Liyue is too mountainous, it`s my least like area.”</w:t>
      </w:r>
      <w:r>
        <w:rPr>
          <w:rFonts w:hint="default" w:ascii="Arial" w:hAnsi="Arial" w:eastAsia="宋体" w:cs="Arial"/>
          <w:kern w:val="0"/>
          <w:sz w:val="24"/>
          <w:szCs w:val="24"/>
          <w:lang w:val="en-US" w:eastAsia="zh-CN" w:bidi="ar"/>
        </w:rPr>
        <w:t>, despite the fact that the likeness of Liyue characters is over 95%, preference for non-character related designs, such as willingness to in-depth culture heritage knowledge, shows neural, and overall satisfaction is not as expected by the study, which hypothesises that the likeness and exploration preference and other coefficients are positively correlated. Detailed examples during the interview is as followed:</w:t>
      </w:r>
    </w:p>
    <w:p w14:paraId="3307026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02ECC2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14:paraId="5E3ADEA0">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Player5(English)</w:t>
            </w:r>
          </w:p>
        </w:tc>
        <w:tc>
          <w:tcPr>
            <w:tcW w:w="4261" w:type="dxa"/>
          </w:tcPr>
          <w:p w14:paraId="13D58831">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Player2(Chinese)</w:t>
            </w:r>
          </w:p>
        </w:tc>
      </w:tr>
      <w:tr w14:paraId="251C61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17431AA7">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How do you like Liyue?</w:t>
            </w:r>
          </w:p>
          <w:p w14:paraId="4FC1E3B8">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It is my least like area, too many mountains.</w:t>
            </w:r>
          </w:p>
        </w:tc>
        <w:tc>
          <w:tcPr>
            <w:tcW w:w="4261" w:type="dxa"/>
          </w:tcPr>
          <w:p w14:paraId="79449995">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How do you think of Liyue?</w:t>
            </w:r>
          </w:p>
          <w:p w14:paraId="2A0F4A06">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It`s perfect. It well combined our culture elements, I love it. Makes me feel home.</w:t>
            </w:r>
          </w:p>
        </w:tc>
      </w:tr>
      <w:tr w14:paraId="166999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64F2ECB4">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Any Liyue character you like?</w:t>
            </w:r>
          </w:p>
          <w:p w14:paraId="24103746">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Yes, Hutao and Gaming. I love Hutao.</w:t>
            </w:r>
          </w:p>
        </w:tc>
        <w:tc>
          <w:tcPr>
            <w:tcW w:w="4261" w:type="dxa"/>
          </w:tcPr>
          <w:p w14:paraId="2E27E46A">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Any Liyue character you like?</w:t>
            </w:r>
          </w:p>
          <w:p w14:paraId="4002F5F8">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Zhongli, Xiao.They are a perfect match, and their story touched me so hard.</w:t>
            </w:r>
          </w:p>
        </w:tc>
      </w:tr>
      <w:tr w14:paraId="54000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26ED490B">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Is it because the life-death value Hutao promotes that attracted you?</w:t>
            </w:r>
          </w:p>
          <w:p w14:paraId="595541B4">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No. She`s pretty, gorgeous. Her design is sexy.</w:t>
            </w:r>
          </w:p>
        </w:tc>
        <w:tc>
          <w:tcPr>
            <w:tcW w:w="4261" w:type="dxa"/>
          </w:tcPr>
          <w:p w14:paraId="7029D59A">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What of Liyue attract you?</w:t>
            </w:r>
          </w:p>
          <w:p w14:paraId="5B58678D">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The design, buildings, clothes, food, stories, values, everything.</w:t>
            </w:r>
          </w:p>
        </w:tc>
      </w:tr>
      <w:tr w14:paraId="735EEB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05657991">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Has Hutao ever encouraged you to explore more in Liyue or say interested you to find out more about Chinese culture?</w:t>
            </w:r>
          </w:p>
          <w:p w14:paraId="22A7DD1E">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 xml:space="preserve">As I said earlier, I have not explored much in Liyue. </w:t>
            </w:r>
          </w:p>
        </w:tc>
        <w:tc>
          <w:tcPr>
            <w:tcW w:w="4261" w:type="dxa"/>
          </w:tcPr>
          <w:p w14:paraId="46F2F9E1">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Do you expect foreign players to like Liyue? Is Chinese culture well present in the game?</w:t>
            </w:r>
          </w:p>
          <w:p w14:paraId="5327408D">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Sure, I would hope them like our culture. And yes, absolutely well presented, even though not all of our culture, after all we are so big, but yes.</w:t>
            </w:r>
          </w:p>
        </w:tc>
      </w:tr>
      <w:tr w14:paraId="49DB55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559DCB72">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Do you expect to see more of your culture in the game?</w:t>
            </w:r>
          </w:p>
          <w:p w14:paraId="281624A6">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No need to. But if there is, it is nice, but does not have to. I would like to see more cultures of others.</w:t>
            </w:r>
          </w:p>
        </w:tc>
        <w:tc>
          <w:tcPr>
            <w:tcW w:w="4261" w:type="dxa"/>
          </w:tcPr>
          <w:p w14:paraId="12912972">
            <w:pPr>
              <w:pageBreakBefore w:val="0"/>
              <w:widowControl/>
              <w:kinsoku/>
              <w:wordWrap/>
              <w:overflowPunct/>
              <w:topLinePunct w:val="0"/>
              <w:bidi w:val="0"/>
              <w:snapToGrid/>
              <w:spacing w:line="240" w:lineRule="auto"/>
              <w:rPr>
                <w:rFonts w:hint="default" w:ascii="Arial" w:hAnsi="Arial" w:eastAsia="宋体" w:cs="Arial"/>
                <w:b/>
                <w:bCs/>
                <w:i/>
                <w:iCs/>
                <w:kern w:val="0"/>
                <w:sz w:val="24"/>
                <w:szCs w:val="24"/>
                <w:vertAlign w:val="baseline"/>
                <w:lang w:val="en-US" w:eastAsia="zh-CN" w:bidi="ar"/>
              </w:rPr>
            </w:pPr>
            <w:r>
              <w:rPr>
                <w:rFonts w:hint="default" w:ascii="Arial" w:hAnsi="Arial" w:eastAsia="宋体" w:cs="Arial"/>
                <w:b/>
                <w:bCs/>
                <w:i/>
                <w:iCs/>
                <w:kern w:val="0"/>
                <w:sz w:val="24"/>
                <w:szCs w:val="24"/>
                <w:vertAlign w:val="baseline"/>
                <w:lang w:val="en-US" w:eastAsia="zh-CN" w:bidi="ar"/>
              </w:rPr>
              <w:t>Do you want to see more cultures or just more Chinese culture to attract foreign players?</w:t>
            </w:r>
          </w:p>
          <w:p w14:paraId="34CF7F18">
            <w:pPr>
              <w:pageBreakBefore w:val="0"/>
              <w:widowControl/>
              <w:kinsoku/>
              <w:wordWrap/>
              <w:overflowPunct/>
              <w:topLinePunct w:val="0"/>
              <w:bidi w:val="0"/>
              <w:snapToGrid/>
              <w:spacing w:line="240" w:lineRule="auto"/>
              <w:rPr>
                <w:rFonts w:hint="default" w:ascii="Arial" w:hAnsi="Arial" w:eastAsia="宋体" w:cs="Arial"/>
                <w:i/>
                <w:iCs/>
                <w:kern w:val="0"/>
                <w:sz w:val="24"/>
                <w:szCs w:val="24"/>
                <w:vertAlign w:val="baseline"/>
                <w:lang w:val="en-US" w:eastAsia="zh-CN" w:bidi="ar"/>
              </w:rPr>
            </w:pPr>
            <w:r>
              <w:rPr>
                <w:rFonts w:hint="default" w:ascii="Arial" w:hAnsi="Arial" w:eastAsia="宋体" w:cs="Arial"/>
                <w:i/>
                <w:iCs/>
                <w:kern w:val="0"/>
                <w:sz w:val="24"/>
                <w:szCs w:val="24"/>
                <w:vertAlign w:val="baseline"/>
                <w:lang w:val="en-US" w:eastAsia="zh-CN" w:bidi="ar"/>
              </w:rPr>
              <w:t>No need to focus on Chinese culture. I would like to see all kinds of cultures in the game, I`m looking forward to the Russian map. But of course I would like foreign players to like our culture, but if they are not interested, we can not force them.</w:t>
            </w:r>
          </w:p>
        </w:tc>
      </w:tr>
    </w:tbl>
    <w:p w14:paraId="5D25F0EF">
      <w:pPr>
        <w:pageBreakBefore w:val="0"/>
        <w:widowControl/>
        <w:kinsoku/>
        <w:wordWrap/>
        <w:overflowPunct/>
        <w:topLinePunct w:val="0"/>
        <w:bidi w:val="0"/>
        <w:snapToGrid/>
        <w:spacing w:line="240" w:lineRule="auto"/>
        <w:jc w:val="center"/>
        <w:rPr>
          <w:rFonts w:hint="default" w:ascii="Arial" w:hAnsi="Arial" w:eastAsia="宋体" w:cs="Arial"/>
          <w:b/>
          <w:bCs/>
          <w:kern w:val="0"/>
          <w:sz w:val="20"/>
          <w:szCs w:val="20"/>
          <w:lang w:val="en-US" w:eastAsia="zh-CN"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5</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Interviewees Comparison of Culture Communication between Chinese and English Players, 2024</w:t>
      </w:r>
    </w:p>
    <w:p w14:paraId="554B253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Chinese players, on the other hand, may hope western players to see or admire Liyue`s music, cultures, or viewpoints, because global citizenship is not a mainstream concept in China. 81 % Chinese players from the surveys want the game to be a successful culture exporting project, and hope western players to know Genshin Impact is a Chinese brand, demonstrating a strong collectivism identity based on Hofstede`s theory. (Hofstede, 1980) However, Chinese players who have adopted global citizenship principles reflect the Western view that it is more vital to explore the globe than to promote their own nation, accounting for 19% of the proportion. The variety of gaming goals and experiences reflects cultural variances in gaming preferences and behaviours.</w:t>
      </w:r>
    </w:p>
    <w:p w14:paraId="6B4B23D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4A9F753">
      <w:pPr>
        <w:pageBreakBefore w:val="0"/>
        <w:widowControl/>
        <w:numPr>
          <w:ilvl w:val="0"/>
          <w:numId w:val="6"/>
        </w:numPr>
        <w:kinsoku/>
        <w:wordWrap/>
        <w:overflowPunct/>
        <w:topLinePunct w:val="0"/>
        <w:bidi w:val="0"/>
        <w:snapToGrid/>
        <w:spacing w:line="240" w:lineRule="auto"/>
        <w:ind w:left="420" w:leftChars="0" w:hanging="420" w:firstLineChars="0"/>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Diversity and Representation</w:t>
      </w:r>
    </w:p>
    <w:p w14:paraId="37ECEF2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With Nata (based on South America) coming, western players are strongly advocating for greater diversity representation, including more dark-skinned characters. This is viewed as a step towards increased diversity and representation in the gaming industry. In contrast, Chinese players frequently see the inclusion of more dark-skinned characters as an imposition of political correctness, and believe westerners have a dual standard towards races because they did not ask for yellow skin characters for Asians. (Dunhaj, 2024)</w:t>
      </w:r>
    </w:p>
    <w:p w14:paraId="2879F6E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B389931">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 xml:space="preserve">“ </w:t>
      </w:r>
      <w:r>
        <w:rPr>
          <w:rFonts w:hint="default" w:ascii="Arial" w:hAnsi="Arial" w:eastAsia="宋体" w:cs="Arial"/>
          <w:b/>
          <w:bCs/>
          <w:i/>
          <w:iCs/>
          <w:kern w:val="0"/>
          <w:sz w:val="24"/>
          <w:szCs w:val="24"/>
          <w:lang w:val="en-US" w:eastAsia="zh-CN" w:bidi="ar"/>
        </w:rPr>
        <w:t>Question: How do you think some westerners are asking for more dark skin characters?</w:t>
      </w:r>
    </w:p>
    <w:p w14:paraId="26F80197">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Answer:(Player1) So they think we Asians skins are as light as they are? They never said Asian characters not yellow enough. And I don`t think may players actually care, it is just some western rights-fever groups are making noises.</w:t>
      </w:r>
    </w:p>
    <w:p w14:paraId="674FD134">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(Player3) It is ok to have more dark skin characters, but it`s just a game, not everything is about politics. I don`t think there are racial problems in Asia.</w:t>
      </w:r>
    </w:p>
    <w:p w14:paraId="0FCF1C2B">
      <w:pPr>
        <w:pageBreakBefore w:val="0"/>
        <w:widowControl/>
        <w:kinsoku/>
        <w:wordWrap/>
        <w:overflowPunct/>
        <w:topLinePunct w:val="0"/>
        <w:bidi w:val="0"/>
        <w:snapToGrid/>
        <w:spacing w:line="240" w:lineRule="auto"/>
        <w:rPr>
          <w:rFonts w:hint="default" w:ascii="Arial" w:hAnsi="Arial" w:eastAsia="宋体" w:cs="Arial"/>
          <w:i/>
          <w:iCs/>
          <w:kern w:val="0"/>
          <w:sz w:val="24"/>
          <w:szCs w:val="24"/>
          <w:lang w:val="en-US" w:eastAsia="zh-CN" w:bidi="ar"/>
        </w:rPr>
      </w:pPr>
      <w:r>
        <w:rPr>
          <w:rFonts w:hint="default" w:ascii="Arial" w:hAnsi="Arial" w:eastAsia="宋体" w:cs="Arial"/>
          <w:i/>
          <w:iCs/>
          <w:kern w:val="0"/>
          <w:sz w:val="24"/>
          <w:szCs w:val="24"/>
          <w:lang w:val="en-US" w:eastAsia="zh-CN" w:bidi="ar"/>
        </w:rPr>
        <w:t>(Player5) It is true that there are only a few dark skin characters. If Genshin Impact wants do global and culture, it should definitely consider that.”</w:t>
      </w:r>
    </w:p>
    <w:p w14:paraId="1C265FE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7B6E06E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This reflects broader culture ideas about race and representation, which can vary greatly from Western perspectives. Furthermore, China`s historical and national background as a non-immigrant country support this stance. Many players may not completely comprehend the importance of including diverse characters, viewing them as less essential to their settings. (Cao, 2024) However, from a company`s standpoint, the inclusion of different characters is an essential activity for worldwide appeal and diversity, and deserves additional consideration.</w:t>
      </w:r>
    </w:p>
    <w:p w14:paraId="2BD86DD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3C0DA0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These key findings provide a full understanding of player motives and cultural differences, which will be used in later analyses with the MDA and the 4C model.</w:t>
      </w:r>
    </w:p>
    <w:p w14:paraId="010CE95D">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56" w:name="_Toc28496"/>
      <w:r>
        <w:rPr>
          <w:rFonts w:hint="default" w:ascii="Arial" w:hAnsi="Arial" w:cs="Arial"/>
          <w:sz w:val="24"/>
          <w:szCs w:val="24"/>
          <w:lang w:val="en-US" w:eastAsia="zh-CN"/>
        </w:rPr>
        <w:t>MDA Analysis</w:t>
      </w:r>
      <w:bookmarkEnd w:id="56"/>
    </w:p>
    <w:p w14:paraId="18A4669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To analyse the gaming industry`s influence on players, we must first understand how games operate. This involves the Multimodal Large Language Model, which aims to use text, images, and sound, among other things, to provide players with a more comprehensive and rich interactive experience, while the game`s localisation and scene style design will have a direct impact on the players` consumption, which will eventually be reflected in the company`s profits. (Bai, 2024) The narrative approach is critical in the gaming industry, not only because it is a significant aspect of the product`s features, but also because cultural transmission and communication occur through the storytelling. (Cao, 2024) Currently, there is a mature Hollywood industrialisation narrative system that can assist game companies with game planning, character design, and scripts design, but the effective of operation is determined by the player market. (Damberg, 2024) In other words, in the gaming industry, story narrative to a large extent determines the effectiveness of game product`s cross-cultural strategy, no matter it is an export game project or not. (Joos, 2024) This was also confirmed in interviews, with every player agreeing that Genshin Impact is a cultural product. Thus, in-depth MDA analysis of game products is appropriate and important.</w:t>
      </w:r>
    </w:p>
    <w:p w14:paraId="4C9C949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D2FADE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Genshin Impact excels in crafting detailed and immersive character backstories that contribute to the overall narrative depth. Each character in the game has a distinct background that explains their motives, hardships, and personal development. To better explain the specialty in this gaming industry, following analysis will take one character as example along with interview respond to assist this point. According to Genshin Impact`s Overseas Character Popularity Results, character Furina, origins from France, maintained top 1, earning $5,270,732 on the character`s first day of release. (Cao, 2024) Surprisingly, half of the interviewees made their first in-game purchase for this character because of its captivating story, charming demeanour, and value, an artistic proud french young goddess who adores exquisite french opera and European literature and burdened responsibilities for centuries alone then sacrificed to save the world. This emotional resonance has a tremendous impact on player investment, as players feel more committed to the characters and the world they inhabit. According to interview feedback, players frequently remember and replay specific cutscenes or moments that struck a chord with them emotionally, emphasising the importance of visual aesthetics in establishing long-lasting memories within games. This is not a common scenario in other industries such as retail, fast-food, or finance, etc. Consequently, the brand reputation through this culture communication has trieved Genshin Impact a second big victory after their first similar movement in 2022. By the time of Furina`s first return in 2024, the cash flow has broke the $250,882 Chinese market record. (Cao, 2024)</w:t>
      </w:r>
    </w:p>
    <w:p w14:paraId="3862D3C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DB1046E">
      <w:pPr>
        <w:pageBreakBefore w:val="0"/>
        <w:widowControl/>
        <w:kinsoku/>
        <w:wordWrap/>
        <w:overflowPunct/>
        <w:topLinePunct w:val="0"/>
        <w:bidi w:val="0"/>
        <w:snapToGrid/>
        <w:spacing w:line="240" w:lineRule="auto"/>
        <w:jc w:val="center"/>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drawing>
          <wp:inline distT="0" distB="0" distL="114300" distR="114300">
            <wp:extent cx="2914650" cy="2227580"/>
            <wp:effectExtent l="0" t="0" r="0" b="6985"/>
            <wp:docPr id="6" name="图片 6" descr="1726636964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726636964765"/>
                    <pic:cNvPicPr>
                      <a:picLocks noChangeAspect="1"/>
                    </pic:cNvPicPr>
                  </pic:nvPicPr>
                  <pic:blipFill>
                    <a:blip r:embed="rId11"/>
                    <a:stretch>
                      <a:fillRect/>
                    </a:stretch>
                  </pic:blipFill>
                  <pic:spPr>
                    <a:xfrm>
                      <a:off x="0" y="0"/>
                      <a:ext cx="2914650" cy="2227580"/>
                    </a:xfrm>
                    <a:prstGeom prst="rect">
                      <a:avLst/>
                    </a:prstGeom>
                  </pic:spPr>
                </pic:pic>
              </a:graphicData>
            </a:graphic>
          </wp:inline>
        </w:drawing>
      </w:r>
    </w:p>
    <w:p w14:paraId="260F1ED0">
      <w:pPr>
        <w:pageBreakBefore w:val="0"/>
        <w:widowControl/>
        <w:kinsoku/>
        <w:wordWrap/>
        <w:overflowPunct/>
        <w:topLinePunct w:val="0"/>
        <w:bidi w:val="0"/>
        <w:snapToGrid/>
        <w:spacing w:line="240" w:lineRule="auto"/>
        <w:jc w:val="center"/>
        <w:rPr>
          <w:rFonts w:hint="default" w:ascii="Arial" w:hAnsi="Arial" w:eastAsia="宋体" w:cs="Arial"/>
          <w:kern w:val="0"/>
          <w:sz w:val="20"/>
          <w:szCs w:val="20"/>
          <w:lang w:val="en-US" w:eastAsia="zh-CN"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5</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Example of Design for Furina in Trial, 2023</w:t>
      </w:r>
    </w:p>
    <w:p w14:paraId="06D299F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A250CF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MDA analysis reveals that the storytelling, visual aesthetics, and music of Genshin Impact play a crucial role in cultural communication. These elements work synergistically to create an immersive experience that resonates with players on multiple levels, driving their continued engagement and financial investment. (Kovalenko, 2024) This detailed understanding of how multimodal elements influence player behavior sets the stage for the subsequent analysis using the 4C model.</w:t>
      </w:r>
    </w:p>
    <w:p w14:paraId="5955BBBC">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57" w:name="_Toc29309"/>
      <w:r>
        <w:rPr>
          <w:rFonts w:hint="default" w:ascii="Arial" w:hAnsi="Arial" w:cs="Arial"/>
          <w:sz w:val="24"/>
          <w:szCs w:val="24"/>
          <w:lang w:val="en-US" w:eastAsia="zh-CN"/>
        </w:rPr>
        <w:t>4C Model</w:t>
      </w:r>
      <w:bookmarkEnd w:id="57"/>
    </w:p>
    <w:p w14:paraId="2D90BC75">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58" w:name="_Toc19150"/>
      <w:r>
        <w:rPr>
          <w:rFonts w:hint="default" w:ascii="Arial" w:hAnsi="Arial" w:cs="Arial"/>
          <w:sz w:val="24"/>
          <w:szCs w:val="24"/>
          <w:lang w:val="en-US" w:eastAsia="zh-CN"/>
        </w:rPr>
        <w:t>Consumer (Customer Needs and Wants)</w:t>
      </w:r>
      <w:bookmarkEnd w:id="58"/>
    </w:p>
    <w:p w14:paraId="3B23582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success can be largely attributed to its deep understanding of player preferences across different cultural and regional backgrounds. The developers have skillfully integrated diverse cultural elements into the game, such as identity, power, and morality. This thoughtful inclusion of cultural diversity helps players feel represented and more connected 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world.</w:t>
      </w:r>
      <w:r>
        <w:rPr>
          <w:rFonts w:hint="default" w:ascii="Arial" w:hAnsi="Arial" w:eastAsia="宋体" w:cs="Arial"/>
          <w:kern w:val="0"/>
          <w:sz w:val="24"/>
          <w:szCs w:val="24"/>
          <w:lang w:val="en-US" w:eastAsia="zh-CN" w:bidi="ar"/>
        </w:rPr>
        <w:t xml:space="preserve"> (Greting, 2022) </w:t>
      </w:r>
      <w:r>
        <w:rPr>
          <w:rFonts w:hint="default" w:ascii="Arial" w:hAnsi="Arial" w:eastAsia="宋体" w:cs="Arial"/>
          <w:kern w:val="0"/>
          <w:sz w:val="24"/>
          <w:szCs w:val="24"/>
          <w:lang w:bidi="ar"/>
        </w:rPr>
        <w:t>Moreover, Genshin Impact offers a wide array of content that caters to different types of players, whether they prefer lore-rich narratives, intense combat, or puzzle-solving. This variety ensures that a broad spectrum of gaming preferences is addressed, keeping players engaged.</w:t>
      </w:r>
      <w:r>
        <w:rPr>
          <w:rFonts w:hint="default" w:ascii="Arial" w:hAnsi="Arial" w:eastAsia="宋体" w:cs="Arial"/>
          <w:kern w:val="0"/>
          <w:sz w:val="24"/>
          <w:szCs w:val="24"/>
          <w:lang w:val="en-US" w:eastAsia="zh-CN" w:bidi="ar"/>
        </w:rPr>
        <w:t xml:space="preserve"> (Asher, 2019)</w:t>
      </w:r>
      <w:r>
        <w:rPr>
          <w:rFonts w:hint="default" w:ascii="Arial" w:hAnsi="Arial" w:eastAsia="宋体" w:cs="Arial"/>
          <w:kern w:val="0"/>
          <w:sz w:val="24"/>
          <w:szCs w:val="24"/>
          <w:lang w:bidi="ar"/>
        </w:rPr>
        <w:t xml:space="preserve">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storytelling is particularly noteworthy, as it features complex character development and evolving storylines that keep players invested over time. Many players are drawn to the emotional depth and relatability of the characters and their stories, which is a critical factor in sustaining their engagement. </w:t>
      </w:r>
    </w:p>
    <w:p w14:paraId="66E1B17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D7E8ACE">
      <w:pPr>
        <w:pageBreakBefore w:val="0"/>
        <w:widowControl/>
        <w:kinsoku/>
        <w:wordWrap/>
        <w:overflowPunct/>
        <w:topLinePunct w:val="0"/>
        <w:bidi w:val="0"/>
        <w:snapToGrid/>
        <w:spacing w:line="240" w:lineRule="auto"/>
        <w:rPr>
          <w:rFonts w:hint="default" w:ascii="Arial" w:hAnsi="Arial" w:eastAsia="宋体" w:cs="Arial"/>
          <w:kern w:val="0"/>
          <w:sz w:val="24"/>
          <w:szCs w:val="24"/>
          <w:lang w:eastAsia="zh-CN" w:bidi="ar"/>
        </w:rPr>
      </w:pPr>
      <w:r>
        <w:rPr>
          <w:rFonts w:hint="default" w:ascii="Arial" w:hAnsi="Arial" w:eastAsia="宋体" w:cs="Arial"/>
          <w:kern w:val="0"/>
          <w:sz w:val="24"/>
          <w:szCs w:val="24"/>
          <w:lang w:eastAsia="zh-CN" w:bidi="ar"/>
        </w:rPr>
        <w:drawing>
          <wp:inline distT="0" distB="0" distL="114300" distR="114300">
            <wp:extent cx="5269230" cy="2420620"/>
            <wp:effectExtent l="0" t="0" r="9525" b="8255"/>
            <wp:docPr id="7" name="图片 7" descr="1726637831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726637831683"/>
                    <pic:cNvPicPr>
                      <a:picLocks noChangeAspect="1"/>
                    </pic:cNvPicPr>
                  </pic:nvPicPr>
                  <pic:blipFill>
                    <a:blip r:embed="rId12"/>
                    <a:stretch>
                      <a:fillRect/>
                    </a:stretch>
                  </pic:blipFill>
                  <pic:spPr>
                    <a:xfrm>
                      <a:off x="0" y="0"/>
                      <a:ext cx="5269230" cy="2420620"/>
                    </a:xfrm>
                    <a:prstGeom prst="rect">
                      <a:avLst/>
                    </a:prstGeom>
                  </pic:spPr>
                </pic:pic>
              </a:graphicData>
            </a:graphic>
          </wp:inline>
        </w:drawing>
      </w:r>
    </w:p>
    <w:p w14:paraId="5ADC97AF">
      <w:pPr>
        <w:pageBreakBefore w:val="0"/>
        <w:widowControl/>
        <w:kinsoku/>
        <w:wordWrap/>
        <w:overflowPunct/>
        <w:topLinePunct w:val="0"/>
        <w:bidi w:val="0"/>
        <w:snapToGrid/>
        <w:spacing w:line="240" w:lineRule="auto"/>
        <w:jc w:val="center"/>
        <w:rPr>
          <w:rFonts w:hint="default" w:ascii="Arial" w:hAnsi="Arial" w:eastAsia="宋体" w:cs="Arial"/>
          <w:kern w:val="0"/>
          <w:sz w:val="20"/>
          <w:szCs w:val="20"/>
          <w:lang w:val="en-US" w:eastAsia="zh-CN"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6</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Example of Representation for Egypt and Indian Culture, 2022</w:t>
      </w:r>
    </w:p>
    <w:p w14:paraId="2B632BF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B81BB9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Customization and personalization are other key aspects of how Genshin Impact meets the needs and wants of its players. The game allows players to choose and develop characters that align with their play style and aesthetic preferences, fostering a personal connection to the game.</w:t>
      </w:r>
      <w:r>
        <w:rPr>
          <w:rFonts w:hint="default" w:ascii="Arial" w:hAnsi="Arial" w:eastAsia="宋体" w:cs="Arial"/>
          <w:kern w:val="0"/>
          <w:sz w:val="24"/>
          <w:szCs w:val="24"/>
          <w:lang w:val="en-US" w:eastAsia="zh-CN" w:bidi="ar"/>
        </w:rPr>
        <w:t xml:space="preserve"> (Bala, 2018)</w:t>
      </w:r>
      <w:r>
        <w:rPr>
          <w:rFonts w:hint="default" w:ascii="Arial" w:hAnsi="Arial" w:eastAsia="宋体" w:cs="Arial"/>
          <w:kern w:val="0"/>
          <w:sz w:val="24"/>
          <w:szCs w:val="24"/>
          <w:lang w:bidi="ar"/>
        </w:rPr>
        <w:t xml:space="preserve"> This is further enhanced by the gacha system, where players can “wish” for characters and weapons, adding a layer of anticipation and satisfaction when they acquire a desired character. The ability to tailor the gaming experience to individual tastes, along with the option to explore the game world at one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own pace, gives players a sense of autonomy that is highly appealing. Furthermore, the social features of the game, such as the co-op mode, enable players to share their personalized experiences with others, deepening their engagement and connection to the game.</w:t>
      </w:r>
    </w:p>
    <w:p w14:paraId="1B8555B3">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59" w:name="_Toc29826"/>
      <w:r>
        <w:rPr>
          <w:rFonts w:hint="default" w:ascii="Arial" w:hAnsi="Arial" w:cs="Arial"/>
          <w:sz w:val="24"/>
          <w:szCs w:val="24"/>
          <w:lang w:val="en-US" w:eastAsia="zh-CN"/>
        </w:rPr>
        <w:t>Cost (Cost to Satisfy)</w:t>
      </w:r>
      <w:bookmarkEnd w:id="59"/>
    </w:p>
    <w:p w14:paraId="65222E9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monetization strategy is a crucial component of its overall success, balancing cost with perceived value in a way that resonates with its diverse player base. The game employs a free-to-play model supplemented by microtransactions, including gacha mechanics for obtaining characters and weapons, battle passes, and other in-game purchases. This model allows players to engage with the game without any upfront cost, lowering the barrier to entry and attracting a wide audience. However, the way players perceive the value of in-game purchases varies significantly based on their personal experiences and cultural backgrounds.</w:t>
      </w:r>
      <w:r>
        <w:rPr>
          <w:rFonts w:hint="default" w:ascii="Arial" w:hAnsi="Arial" w:eastAsia="宋体" w:cs="Arial"/>
          <w:kern w:val="0"/>
          <w:sz w:val="24"/>
          <w:szCs w:val="24"/>
          <w:lang w:val="en-US" w:eastAsia="zh-CN" w:bidi="ar"/>
        </w:rPr>
        <w:t xml:space="preserve"> (Bartosik-Purgat, 2024)</w:t>
      </w:r>
    </w:p>
    <w:p w14:paraId="3A4B25B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6A1BF5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The perceived value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content is a key factor influencing player spending. Many players justify their expenditures by pointing 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high-quality production, including its deep and engaging storyline, meticulously designed characters, and the immersive open-world experience. For these players, the cost of in-game purchases is seen as a fair trade-off for the enjoyment and satisfaction they derive from the game. </w:t>
      </w:r>
      <w:r>
        <w:rPr>
          <w:rFonts w:hint="default" w:ascii="Arial" w:hAnsi="Arial" w:eastAsia="宋体" w:cs="Arial"/>
          <w:kern w:val="0"/>
          <w:sz w:val="24"/>
          <w:szCs w:val="24"/>
          <w:lang w:val="en-US" w:eastAsia="zh-CN" w:bidi="ar"/>
        </w:rPr>
        <w:t xml:space="preserve">(Cao, 2024) </w:t>
      </w:r>
      <w:r>
        <w:rPr>
          <w:rFonts w:hint="default" w:ascii="Arial" w:hAnsi="Arial" w:eastAsia="宋体" w:cs="Arial"/>
          <w:kern w:val="0"/>
          <w:sz w:val="24"/>
          <w:szCs w:val="24"/>
          <w:lang w:bidi="ar"/>
        </w:rPr>
        <w:t>The continuous release of new content, such as character updates, events, and story expansions, also helps maintain this perception of value, as players feel they are getting ongoing entertainment and fresh experiences for their investment.</w:t>
      </w:r>
    </w:p>
    <w:p w14:paraId="6234CFB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7BCD4C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Differences in cultural perspectives on spending also play a role in how the cost is perceived. For instance, Western players might be more focused on the fairness of the gacha system and how it compares to other games, while players from other regions might view the system through a different lens, possibly influenced by local gaming culture and societal attitudes towards spending on entertainment.</w:t>
      </w:r>
      <w:r>
        <w:rPr>
          <w:rFonts w:hint="default" w:ascii="Arial" w:hAnsi="Arial" w:eastAsia="宋体" w:cs="Arial"/>
          <w:kern w:val="0"/>
          <w:sz w:val="24"/>
          <w:szCs w:val="24"/>
          <w:lang w:val="en-US" w:eastAsia="zh-CN" w:bidi="ar"/>
        </w:rPr>
        <w:t xml:space="preserve"> (Bhattacharya, 2023)</w:t>
      </w:r>
      <w:r>
        <w:rPr>
          <w:rFonts w:hint="default" w:ascii="Arial" w:hAnsi="Arial" w:eastAsia="宋体" w:cs="Arial"/>
          <w:kern w:val="0"/>
          <w:sz w:val="24"/>
          <w:szCs w:val="24"/>
          <w:lang w:bidi="ar"/>
        </w:rPr>
        <w:t xml:space="preserve"> These varying perceptions can impact the overall player experience, with some players feeling satisfied with their purchases while others may be more critical of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monetization practices.</w:t>
      </w:r>
    </w:p>
    <w:p w14:paraId="6123DD9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642799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Genshin Impact also balances cost with convenience, ensuring that players who choose to spend money feel that they are receiving value for their investment. For example, the game offers various in-game currencies that can be purchased and used to acquire characters, weapons, or other items, allowing players to enhance their experience without needing to invest excessive time. Additionally, the game often provides opportunities for players to earn in-game rewards through gameplay, which can reduce the pressure to spend real money, making the game accessible to both free-to-play and paying players.</w:t>
      </w:r>
      <w:r>
        <w:rPr>
          <w:rFonts w:hint="default" w:ascii="Arial" w:hAnsi="Arial" w:eastAsia="宋体" w:cs="Arial"/>
          <w:kern w:val="0"/>
          <w:sz w:val="24"/>
          <w:szCs w:val="24"/>
          <w:lang w:val="en-US" w:eastAsia="zh-CN" w:bidi="ar"/>
        </w:rPr>
        <w:t xml:space="preserve"> (Dewi, 2024)</w:t>
      </w:r>
    </w:p>
    <w:p w14:paraId="0509BD3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1A0469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conclusion,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approach to cost is multifaceted, with a focus on delivering value that aligns with player expectations.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monetization strategies are designed to appeal to a broad audience, offering a flexible and rewarding experience regardless of how much a player chooses to spend. This balance between cost and satisfaction is a critical aspect of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enduring popularity and success.</w:t>
      </w:r>
    </w:p>
    <w:p w14:paraId="0D62A4A1">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0" w:name="_Toc5856"/>
      <w:r>
        <w:rPr>
          <w:rFonts w:hint="default" w:ascii="Arial" w:hAnsi="Arial" w:cs="Arial"/>
          <w:sz w:val="24"/>
          <w:szCs w:val="24"/>
          <w:lang w:val="en-US" w:eastAsia="zh-CN"/>
        </w:rPr>
        <w:t>Convenience (Ease of Access)</w:t>
      </w:r>
      <w:bookmarkEnd w:id="60"/>
    </w:p>
    <w:p w14:paraId="7D29942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success can also be attributed to the high level of convenience it offers players, ensuring that the game is easily accessible to a broad and diverse audience. One of the key factors in this accessibility is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availability across multiple platforms, including PC, console, and mobile devices. This cross-platform availability allows players to engage with the game in a way that suits their lifestyle, whether they prefer playing at home on a high-end gaming PC or on the go using a mobile device. </w:t>
      </w:r>
      <w:r>
        <w:rPr>
          <w:rFonts w:hint="default" w:ascii="Arial" w:hAnsi="Arial" w:eastAsia="宋体" w:cs="Arial"/>
          <w:kern w:val="0"/>
          <w:sz w:val="24"/>
          <w:szCs w:val="24"/>
          <w:lang w:val="en-US" w:eastAsia="zh-CN" w:bidi="ar"/>
        </w:rPr>
        <w:t xml:space="preserve">(Molnar, 2024) </w:t>
      </w:r>
      <w:r>
        <w:rPr>
          <w:rFonts w:hint="default" w:ascii="Arial" w:hAnsi="Arial" w:eastAsia="宋体" w:cs="Arial"/>
          <w:kern w:val="0"/>
          <w:sz w:val="24"/>
          <w:szCs w:val="24"/>
          <w:lang w:bidi="ar"/>
        </w:rPr>
        <w:t>The seamless experience across these platforms also means that players can switch between devices without losing progress, adding 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overall convenience.</w:t>
      </w:r>
    </w:p>
    <w:p w14:paraId="08F6FA0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FD5D06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Another critical aspect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accessibility is its localization efforts, which have been instrumental in making the game appealing to a global audience. The developers have invested in translating the game into multiple languages and tailoring certain aspects of the game to fit cultural preferences in different regions. This comprehensive localization goes beyond just language translation, extending to cultural nuances in character dialogue, story elements, and even the design of certain in-game assets. As a result, players from various cultural backgrounds can enjoy the game in a way that feels familiar and culturally relevant, enhancing their overall experience and satisfaction.</w:t>
      </w:r>
      <w:r>
        <w:rPr>
          <w:rFonts w:hint="default" w:ascii="Arial" w:hAnsi="Arial" w:eastAsia="宋体" w:cs="Arial"/>
          <w:kern w:val="0"/>
          <w:sz w:val="24"/>
          <w:szCs w:val="24"/>
          <w:lang w:val="en-US" w:eastAsia="zh-CN" w:bidi="ar"/>
        </w:rPr>
        <w:t xml:space="preserve"> (Ni, 2024)</w:t>
      </w:r>
    </w:p>
    <w:p w14:paraId="0341B8F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E0AE70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user experience (UX) design also plays a significant role in its accessibility. The game features a well-designed and intuitive interface that caters to both seasoned gamers and newcomers alike. The onboarding process is smooth, with tutorials and guidance that help new players understand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mechanics without feeling overwhelmed. Moreover,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user-friendly controls and navigation, particularly on mobile devices, make it easy for players of all skill levels to engage with the content. This ease of use lowers the barrier to entry and encourages a wider range of players to explore and enjoy the game.</w:t>
      </w:r>
    </w:p>
    <w:p w14:paraId="52B2281C">
      <w:pPr>
        <w:pageBreakBefore w:val="0"/>
        <w:widowControl/>
        <w:kinsoku/>
        <w:wordWrap/>
        <w:overflowPunct/>
        <w:topLinePunct w:val="0"/>
        <w:bidi w:val="0"/>
        <w:snapToGrid/>
        <w:spacing w:line="240" w:lineRule="auto"/>
        <w:rPr>
          <w:rFonts w:hint="default" w:ascii="Arial" w:hAnsi="Arial" w:eastAsia="宋体" w:cs="Arial"/>
          <w:kern w:val="0"/>
          <w:sz w:val="24"/>
          <w:szCs w:val="24"/>
          <w:lang w:eastAsia="zh-CN" w:bidi="ar"/>
        </w:rPr>
      </w:pPr>
    </w:p>
    <w:p w14:paraId="6D8F283E">
      <w:pPr>
        <w:pageBreakBefore w:val="0"/>
        <w:widowControl/>
        <w:kinsoku/>
        <w:wordWrap/>
        <w:overflowPunct/>
        <w:topLinePunct w:val="0"/>
        <w:bidi w:val="0"/>
        <w:snapToGrid/>
        <w:spacing w:line="240" w:lineRule="auto"/>
        <w:rPr>
          <w:rFonts w:hint="default" w:ascii="Arial" w:hAnsi="Arial" w:eastAsia="宋体" w:cs="Arial"/>
          <w:kern w:val="0"/>
          <w:sz w:val="24"/>
          <w:szCs w:val="24"/>
          <w:lang w:eastAsia="zh-CN" w:bidi="ar"/>
        </w:rPr>
      </w:pPr>
      <w:r>
        <w:rPr>
          <w:rFonts w:hint="default" w:ascii="Arial" w:hAnsi="Arial" w:eastAsia="宋体" w:cs="Arial"/>
          <w:kern w:val="0"/>
          <w:sz w:val="24"/>
          <w:szCs w:val="24"/>
          <w:lang w:eastAsia="zh-CN" w:bidi="ar"/>
        </w:rPr>
        <w:drawing>
          <wp:inline distT="0" distB="0" distL="114300" distR="114300">
            <wp:extent cx="5273040" cy="2299335"/>
            <wp:effectExtent l="0" t="0" r="0" b="0"/>
            <wp:docPr id="8" name="图片 8" descr="e97cdb8657a5fca11f74a1179c784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e97cdb8657a5fca11f74a1179c784de"/>
                    <pic:cNvPicPr>
                      <a:picLocks noChangeAspect="1"/>
                    </pic:cNvPicPr>
                  </pic:nvPicPr>
                  <pic:blipFill>
                    <a:blip r:embed="rId13"/>
                    <a:srcRect b="3104"/>
                    <a:stretch>
                      <a:fillRect/>
                    </a:stretch>
                  </pic:blipFill>
                  <pic:spPr>
                    <a:xfrm>
                      <a:off x="0" y="0"/>
                      <a:ext cx="5273040" cy="2299335"/>
                    </a:xfrm>
                    <a:prstGeom prst="rect">
                      <a:avLst/>
                    </a:prstGeom>
                  </pic:spPr>
                </pic:pic>
              </a:graphicData>
            </a:graphic>
          </wp:inline>
        </w:drawing>
      </w:r>
    </w:p>
    <w:p w14:paraId="08505DC4">
      <w:pPr>
        <w:pageBreakBefore w:val="0"/>
        <w:widowControl/>
        <w:kinsoku/>
        <w:wordWrap/>
        <w:overflowPunct/>
        <w:topLinePunct w:val="0"/>
        <w:bidi w:val="0"/>
        <w:snapToGrid/>
        <w:spacing w:line="240" w:lineRule="auto"/>
        <w:jc w:val="center"/>
        <w:rPr>
          <w:rFonts w:hint="default" w:ascii="Arial" w:hAnsi="Arial" w:eastAsia="宋体" w:cs="Arial"/>
          <w:kern w:val="0"/>
          <w:sz w:val="20"/>
          <w:szCs w:val="20"/>
          <w:lang w:val="en-US"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7</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Example of Genshin Impact`s Easy Control UX Design, 2024</w:t>
      </w:r>
    </w:p>
    <w:p w14:paraId="7262B3F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22F29A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addition to these factors,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online infrastructure ensures that players can easily access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content, regardless of their geographical location.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servers are distributed globally, which helps in reducing latency and providing a smooth gameplay experience.</w:t>
      </w:r>
      <w:r>
        <w:rPr>
          <w:rFonts w:hint="default" w:ascii="Arial" w:hAnsi="Arial" w:eastAsia="宋体" w:cs="Arial"/>
          <w:kern w:val="0"/>
          <w:sz w:val="24"/>
          <w:szCs w:val="24"/>
          <w:lang w:val="en-US" w:eastAsia="zh-CN" w:bidi="ar"/>
        </w:rPr>
        <w:t xml:space="preserve"> (Rajagopal et al., 2022)</w:t>
      </w:r>
      <w:r>
        <w:rPr>
          <w:rFonts w:hint="default" w:ascii="Arial" w:hAnsi="Arial" w:eastAsia="宋体" w:cs="Arial"/>
          <w:kern w:val="0"/>
          <w:sz w:val="24"/>
          <w:szCs w:val="24"/>
          <w:lang w:bidi="ar"/>
        </w:rPr>
        <w:t xml:space="preserve"> The developers also regularly update the game to fix bugs, improve performance, and introduce new features, which enhances the reliability and convenience of playing Genshin Impact over the long term.</w:t>
      </w:r>
    </w:p>
    <w:p w14:paraId="1D83EEC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AB9905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summary,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commitment to convenience and accessibility is evident in its platform availability, localization efforts, user experience design, and robust online infrastructure. These factors have made the game easily accessible to a wide audience, contributing significantly to its global appeal and sustained success.</w:t>
      </w:r>
    </w:p>
    <w:p w14:paraId="7D965AF5">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1" w:name="_Toc27399"/>
      <w:r>
        <w:rPr>
          <w:rFonts w:hint="default" w:ascii="Arial" w:hAnsi="Arial" w:cs="Arial"/>
          <w:sz w:val="24"/>
          <w:szCs w:val="24"/>
          <w:lang w:val="en-US" w:eastAsia="zh-CN"/>
        </w:rPr>
        <w:t>Communication (Two-way Interaction)</w:t>
      </w:r>
      <w:bookmarkEnd w:id="61"/>
    </w:p>
    <w:p w14:paraId="7EC1831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strong emphasis on communication and interaction with its player community is a vital component of its success.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developers have cultivated an environment where two-way communication is not only encouraged but actively integrated into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development and marketing strategies.</w:t>
      </w:r>
      <w:r>
        <w:rPr>
          <w:rFonts w:hint="default" w:ascii="Arial" w:hAnsi="Arial" w:eastAsia="宋体" w:cs="Arial"/>
          <w:kern w:val="0"/>
          <w:sz w:val="24"/>
          <w:szCs w:val="24"/>
          <w:lang w:val="en-US" w:eastAsia="zh-CN" w:bidi="ar"/>
        </w:rPr>
        <w:t xml:space="preserve"> (Sudirjo, 2023)</w:t>
      </w:r>
      <w:r>
        <w:rPr>
          <w:rFonts w:hint="default" w:ascii="Arial" w:hAnsi="Arial" w:eastAsia="宋体" w:cs="Arial"/>
          <w:kern w:val="0"/>
          <w:sz w:val="24"/>
          <w:szCs w:val="24"/>
          <w:lang w:bidi="ar"/>
        </w:rPr>
        <w:t xml:space="preserve"> This ongoing dialogue with the player base has allowed the developers to remain attuned to the community</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needs, preferences, and concerns, thereby fostering a sense of trust and loyalty among players.</w:t>
      </w:r>
    </w:p>
    <w:p w14:paraId="2A7AD6A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2E5AAE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One of the primary ways Genshin Impact facilitates communication is through its active presence on social media platforms, such as Twitter, YouTube, and Discord.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official accounts frequently post updates, announcements, and behind-the-scenes content, keeping players informed about upcoming events, new character releases, and other game-related news. This regular communication helps maintain player interest and anticipation, as they feel connected to the ongoing development of the game.</w:t>
      </w:r>
      <w:r>
        <w:rPr>
          <w:rFonts w:hint="default" w:ascii="Arial" w:hAnsi="Arial" w:eastAsia="宋体" w:cs="Arial"/>
          <w:kern w:val="0"/>
          <w:sz w:val="24"/>
          <w:szCs w:val="24"/>
          <w:lang w:val="en-US" w:eastAsia="zh-CN" w:bidi="ar"/>
        </w:rPr>
        <w:t xml:space="preserve"> (Venaik et al., 2023)</w:t>
      </w:r>
      <w:r>
        <w:rPr>
          <w:rFonts w:hint="default" w:ascii="Arial" w:hAnsi="Arial" w:eastAsia="宋体" w:cs="Arial"/>
          <w:kern w:val="0"/>
          <w:sz w:val="24"/>
          <w:szCs w:val="24"/>
          <w:lang w:bidi="ar"/>
        </w:rPr>
        <w:t xml:space="preserve"> Moreover, the developers often engage directly with player feedback on these platforms, responding to comments and suggestions, which helps reinforce the idea that the community</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voice is heard and valued.</w:t>
      </w:r>
    </w:p>
    <w:p w14:paraId="701076F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87C64E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In addition to social media, Genshin Impact has created opportunities for more structured feedback through surveys and in-game feedback forms. Players are regularly invited to share their thoughts on various aspects of the game, from new features to overall gameplay experience. The insights gathered from these surveys are often reflected in subsequent updates and patches, demonstrating the developers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commitment to incorporating player input into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evolution. This responsiveness not only enhances the player experience but also fosters a sense of involvement, as players see their feedback leading to tangible changes within the game.</w:t>
      </w:r>
      <w:r>
        <w:rPr>
          <w:rFonts w:hint="default" w:ascii="Arial" w:hAnsi="Arial" w:eastAsia="宋体" w:cs="Arial"/>
          <w:kern w:val="0"/>
          <w:sz w:val="24"/>
          <w:szCs w:val="24"/>
          <w:lang w:val="en-US" w:eastAsia="zh-CN" w:bidi="ar"/>
        </w:rPr>
        <w:t xml:space="preserve"> (Sun et al., 2023)</w:t>
      </w:r>
    </w:p>
    <w:p w14:paraId="058688F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ED089F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Community engagement is further strengthened through special events and initiatives that encourage player participation. For example,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anniversary celebrations and themed events often include contests, fan art showcases, and collaborative activities that bring the community together. These events not only create a sense of camaraderie among players but also provide a platform for players to express their creativity and connect with others who share their passion for the game. The developers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support for these community-driven activities highlights their recognition of the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role in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success and their willingness to celebrate that contribution.</w:t>
      </w:r>
    </w:p>
    <w:p w14:paraId="7621AF5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9B98458">
      <w:pPr>
        <w:pageBreakBefore w:val="0"/>
        <w:widowControl/>
        <w:kinsoku/>
        <w:wordWrap/>
        <w:overflowPunct/>
        <w:topLinePunct w:val="0"/>
        <w:bidi w:val="0"/>
        <w:snapToGrid/>
        <w:spacing w:line="240" w:lineRule="auto"/>
        <w:rPr>
          <w:rFonts w:hint="default" w:ascii="Arial" w:hAnsi="Arial" w:eastAsia="宋体" w:cs="Arial"/>
          <w:kern w:val="0"/>
          <w:sz w:val="24"/>
          <w:szCs w:val="24"/>
          <w:lang w:eastAsia="zh-CN" w:bidi="ar"/>
        </w:rPr>
      </w:pPr>
      <w:r>
        <w:rPr>
          <w:rFonts w:hint="default" w:ascii="Arial" w:hAnsi="Arial" w:eastAsia="宋体" w:cs="Arial"/>
          <w:kern w:val="0"/>
          <w:sz w:val="24"/>
          <w:szCs w:val="24"/>
          <w:lang w:eastAsia="zh-CN" w:bidi="ar"/>
        </w:rPr>
        <w:drawing>
          <wp:inline distT="0" distB="0" distL="114300" distR="114300">
            <wp:extent cx="5264785" cy="2888615"/>
            <wp:effectExtent l="0" t="0" r="3175" b="4445"/>
            <wp:docPr id="9" name="图片 9" descr="1726639074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726639074649"/>
                    <pic:cNvPicPr>
                      <a:picLocks noChangeAspect="1"/>
                    </pic:cNvPicPr>
                  </pic:nvPicPr>
                  <pic:blipFill>
                    <a:blip r:embed="rId14"/>
                    <a:stretch>
                      <a:fillRect/>
                    </a:stretch>
                  </pic:blipFill>
                  <pic:spPr>
                    <a:xfrm>
                      <a:off x="0" y="0"/>
                      <a:ext cx="5264785" cy="2888615"/>
                    </a:xfrm>
                    <a:prstGeom prst="rect">
                      <a:avLst/>
                    </a:prstGeom>
                  </pic:spPr>
                </pic:pic>
              </a:graphicData>
            </a:graphic>
          </wp:inline>
        </w:drawing>
      </w:r>
    </w:p>
    <w:p w14:paraId="737953F4">
      <w:pPr>
        <w:pageBreakBefore w:val="0"/>
        <w:widowControl/>
        <w:kinsoku/>
        <w:wordWrap/>
        <w:overflowPunct/>
        <w:topLinePunct w:val="0"/>
        <w:bidi w:val="0"/>
        <w:snapToGrid/>
        <w:spacing w:line="240" w:lineRule="auto"/>
        <w:jc w:val="center"/>
        <w:rPr>
          <w:rFonts w:hint="default" w:ascii="Arial" w:hAnsi="Arial" w:eastAsia="宋体" w:cs="Arial"/>
          <w:kern w:val="0"/>
          <w:sz w:val="20"/>
          <w:szCs w:val="20"/>
          <w:lang w:bidi="ar"/>
        </w:rPr>
      </w:pPr>
      <w:r>
        <w:rPr>
          <w:rFonts w:hint="default" w:ascii="Arial" w:hAnsi="Arial" w:cs="Arial"/>
          <w:b/>
          <w:bCs/>
          <w:color w:val="000000" w:themeColor="text1"/>
          <w:sz w:val="20"/>
          <w:szCs w:val="20"/>
          <w:lang w:val="en-GB"/>
          <w14:textFill>
            <w14:solidFill>
              <w14:schemeClr w14:val="tx1"/>
            </w14:solidFill>
          </w14:textFill>
        </w:rPr>
        <w:t xml:space="preserve">Figure </w:t>
      </w:r>
      <w:r>
        <w:rPr>
          <w:rFonts w:hint="default" w:ascii="Arial" w:hAnsi="Arial" w:cs="Arial"/>
          <w:b/>
          <w:bCs/>
          <w:color w:val="000000" w:themeColor="text1"/>
          <w:sz w:val="20"/>
          <w:szCs w:val="20"/>
          <w:lang w:val="en-US" w:eastAsia="zh-CN"/>
          <w14:textFill>
            <w14:solidFill>
              <w14:schemeClr w14:val="tx1"/>
            </w14:solidFill>
          </w14:textFill>
        </w:rPr>
        <w:t>8</w:t>
      </w:r>
      <w:r>
        <w:rPr>
          <w:rFonts w:hint="default" w:ascii="Arial" w:hAnsi="Arial" w:cs="Arial"/>
          <w:b/>
          <w:bCs/>
          <w:color w:val="000000" w:themeColor="text1"/>
          <w:sz w:val="20"/>
          <w:szCs w:val="20"/>
          <w:lang w:val="en-GB"/>
          <w14:textFill>
            <w14:solidFill>
              <w14:schemeClr w14:val="tx1"/>
            </w14:solidFill>
          </w14:textFill>
        </w:rPr>
        <w:t xml:space="preserve">: </w:t>
      </w:r>
      <w:r>
        <w:rPr>
          <w:rFonts w:hint="default" w:ascii="Arial" w:hAnsi="Arial" w:cs="Arial"/>
          <w:b/>
          <w:bCs/>
          <w:color w:val="000000" w:themeColor="text1"/>
          <w:sz w:val="20"/>
          <w:szCs w:val="20"/>
          <w:lang w:val="en-US" w:eastAsia="zh-CN"/>
          <w14:textFill>
            <w14:solidFill>
              <w14:schemeClr w14:val="tx1"/>
            </w14:solidFill>
          </w14:textFill>
        </w:rPr>
        <w:t>Example of Official Organised Communication, Genshin Impact Birthday, 2024</w:t>
      </w:r>
    </w:p>
    <w:p w14:paraId="611D9C1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49D6B6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Cultural sensitivity is another important aspect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communication strategy.</w:t>
      </w:r>
      <w:r>
        <w:rPr>
          <w:rFonts w:hint="default" w:ascii="Arial" w:hAnsi="Arial" w:eastAsia="宋体" w:cs="Arial"/>
          <w:kern w:val="0"/>
          <w:sz w:val="24"/>
          <w:szCs w:val="24"/>
          <w:lang w:val="en-US" w:eastAsia="zh-CN" w:bidi="ar"/>
        </w:rPr>
        <w:t xml:space="preserve"> (Van Esch et al., 2021)</w:t>
      </w:r>
      <w:r>
        <w:rPr>
          <w:rFonts w:hint="default" w:ascii="Arial" w:hAnsi="Arial" w:eastAsia="宋体" w:cs="Arial"/>
          <w:kern w:val="0"/>
          <w:sz w:val="24"/>
          <w:szCs w:val="24"/>
          <w:lang w:bidi="ar"/>
        </w:rPr>
        <w:t xml:space="preserve"> Given its global audience, the game must navigate cultural differences carefully in its interactions with players. The developers have shown an awareness of these differences by tailoring communication strategies to resonate with various cultural contexts, whether through localized content or culturally specific references in their messaging. This approach has helped the game avoid potential missteps and has contributed to its positive reception across different regions.</w:t>
      </w:r>
    </w:p>
    <w:p w14:paraId="61F5842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3ED777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conclusion,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approach to communication is characterized by its commitment to two-way interaction with the player community. Through active social media engagement, structured feedback mechanisms, and culturally sensitive communication strategies, the game has successfully built a strong, loyal player base that feels connected to and valued by the developers. This ongoing dialogue is a crucial element of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ability to adapt and thrive in a competitive global market.</w:t>
      </w:r>
    </w:p>
    <w:p w14:paraId="61D3B007">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br w:type="page"/>
      </w:r>
    </w:p>
    <w:p w14:paraId="621EAA03">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62" w:name="_Toc12224"/>
      <w:r>
        <w:rPr>
          <w:rFonts w:hint="default" w:ascii="Arial" w:hAnsi="Arial" w:cs="Arial"/>
          <w:sz w:val="24"/>
          <w:szCs w:val="24"/>
          <w:lang w:val="en-US" w:eastAsia="zh-CN"/>
        </w:rPr>
        <w:t>Chapter 5 Conclusion and Recommendations</w:t>
      </w:r>
      <w:bookmarkEnd w:id="62"/>
    </w:p>
    <w:p w14:paraId="6F53253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This chapter will summarise previous discussions to draw conclusions about Genshin Impact's cross-cultural marketing efficiency, and to exam the objectives the paper brought has reached or not. Four recommendations will be offered to Genshin Impact as well as other brands facing similar marketing challenges, including emphasizing cultural diversity in the globalization of games, integrating Asian style into cross-cultural marketing activities, leveraging cultural identity to secure financial support, and future research significance of cross-cultural marketing for Emerging Market Brands.</w:t>
      </w:r>
    </w:p>
    <w:p w14:paraId="089AA408">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63" w:name="_Toc1332"/>
      <w:r>
        <w:rPr>
          <w:rFonts w:hint="default" w:ascii="Arial" w:hAnsi="Arial" w:cs="Arial"/>
          <w:sz w:val="24"/>
          <w:szCs w:val="24"/>
          <w:lang w:val="en-US" w:eastAsia="zh-CN"/>
        </w:rPr>
        <w:t>Conclusion</w:t>
      </w:r>
      <w:bookmarkEnd w:id="63"/>
    </w:p>
    <w:p w14:paraId="4F849D1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This dissertation explored the role of cultural marketing strategies in Genshin Impact, focusing on how these strategies influence player behavior, particularly in terms of in-game purchases, emotional attachment to characters, and the effectiveness of cultural recognition. The findings revealed that while cultural promotion may not be a direct driver of in-game purchases for most players, it significantly enhances their satisfaction and engagement with the game. This was particularly evident among Asian players, who reported higher levels of satisfaction with cultural representation, perceived authenticity, and interest in culturally-themed events compared to their Western counterparts.</w:t>
      </w:r>
      <w:r>
        <w:rPr>
          <w:rFonts w:hint="default" w:ascii="Arial" w:hAnsi="Arial" w:eastAsia="宋体" w:cs="Arial"/>
          <w:kern w:val="0"/>
          <w:sz w:val="24"/>
          <w:szCs w:val="24"/>
          <w:lang w:val="en-US" w:eastAsia="zh-CN" w:bidi="ar"/>
        </w:rPr>
        <w:t xml:space="preserve"> And each objectives from chapter 1 has been met:</w:t>
      </w:r>
    </w:p>
    <w:p w14:paraId="1A2EE39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30DAFACC">
      <w:pPr>
        <w:pageBreakBefore w:val="0"/>
        <w:widowControl/>
        <w:numPr>
          <w:ilvl w:val="0"/>
          <w:numId w:val="7"/>
        </w:numPr>
        <w:kinsoku/>
        <w:wordWrap/>
        <w:overflowPunct/>
        <w:topLinePunct w:val="0"/>
        <w:bidi w:val="0"/>
        <w:snapToGrid/>
        <w:spacing w:line="240" w:lineRule="auto"/>
        <w:ind w:left="0" w:leftChars="0"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Critically Assessing the Impact of Cultural Promotion on Player Behavior and In-Game Purchasing Decisions:</w:t>
      </w:r>
    </w:p>
    <w:p w14:paraId="05F7CF51">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study found that cultural promotion has a considerable impact on player behaviour, particularly in terms of emotional engagement and spending decisions. According to the literature, cultural narratives and immersive encounters increase players` attachment to a game. (Vindigni, 2023) In the instance of Genshin Impact, interviews and survey data show that players are driven to make in-game purchases because they value the cultural components included in the game, such as region-specific characters, costumes, and events. This is consistent with previous research highlighting the value of cultural authenticity and storytelling in determining player behaviour and purchasing decisions.</w:t>
      </w:r>
    </w:p>
    <w:p w14:paraId="26BA72EE">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4B0E3298">
      <w:pPr>
        <w:pageBreakBefore w:val="0"/>
        <w:widowControl/>
        <w:numPr>
          <w:ilvl w:val="0"/>
          <w:numId w:val="7"/>
        </w:numPr>
        <w:kinsoku/>
        <w:wordWrap/>
        <w:overflowPunct/>
        <w:topLinePunct w:val="0"/>
        <w:bidi w:val="0"/>
        <w:snapToGrid/>
        <w:spacing w:line="240" w:lineRule="auto"/>
        <w:ind w:left="0" w:leftChars="0"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Evaluating the Effectiveness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Cultural Marketing Strategies:</w:t>
      </w:r>
    </w:p>
    <w:p w14:paraId="33AE537C">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study`s findings indicate that Genshin Impact has successfully employed cultural marketing to engage a wide global audience. The literature on cross-cultural marketing tactics supports the notion that successful games combine local and global cultural components to appeal to a diverse audience. Interview data and player feedback show how the game`s combination of cultural motifs from many countries adds to its popularity. (Zhang, 2024) Genshin Impact illustrates a successful cultural marketing strategy by embracing global cultural narratives while keeping local authenticity, lending weight to the literature`s thesis for the need for culturally adapted techniques.</w:t>
      </w:r>
    </w:p>
    <w:p w14:paraId="286A4687">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D0504BD">
      <w:pPr>
        <w:pageBreakBefore w:val="0"/>
        <w:widowControl/>
        <w:numPr>
          <w:ilvl w:val="0"/>
          <w:numId w:val="7"/>
        </w:numPr>
        <w:kinsoku/>
        <w:wordWrap/>
        <w:overflowPunct/>
        <w:topLinePunct w:val="0"/>
        <w:bidi w:val="0"/>
        <w:snapToGrid/>
        <w:spacing w:line="240" w:lineRule="auto"/>
        <w:ind w:left="0" w:leftChars="0"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Examining the Influence of Cultural Elements on Players</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 Emotional Attachment to Characters:</w:t>
      </w:r>
    </w:p>
    <w:p w14:paraId="5D1DC4EF">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 study demonstrates that cultural factors are important in building emotional attachment between players and in-game characters. The literature, particularly on character development and cultural narratives, explains how players establish stronger emotional ties with characters who reflect specific cultural values or themes. (Masuda et al., 2020) Interviews reveal that players have a greater connection with characters who represent behaviours, backgrounds, or aesthetics from cultures they relate to or respect, which encourages them to investigate the game`s cultural material. This is consistent with the literature, which suggests that emotional attachment to characters is a significant driver of both player retention.</w:t>
      </w:r>
    </w:p>
    <w:p w14:paraId="40091D68">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92AD32E">
      <w:pPr>
        <w:pageBreakBefore w:val="0"/>
        <w:widowControl/>
        <w:numPr>
          <w:ilvl w:val="0"/>
          <w:numId w:val="7"/>
        </w:numPr>
        <w:kinsoku/>
        <w:wordWrap/>
        <w:overflowPunct/>
        <w:topLinePunct w:val="0"/>
        <w:bidi w:val="0"/>
        <w:snapToGrid/>
        <w:spacing w:line="240" w:lineRule="auto"/>
        <w:ind w:left="0" w:leftChars="0" w:firstLine="480" w:firstLineChars="200"/>
        <w:rPr>
          <w:rFonts w:hint="default" w:ascii="Arial" w:hAnsi="Arial" w:eastAsia="宋体" w:cs="Arial"/>
          <w:kern w:val="0"/>
          <w:sz w:val="24"/>
          <w:szCs w:val="24"/>
          <w:lang w:bidi="ar"/>
        </w:rPr>
      </w:pPr>
      <w:r>
        <w:rPr>
          <w:rFonts w:hint="default" w:ascii="Arial" w:hAnsi="Arial" w:eastAsia="宋体" w:cs="Arial"/>
          <w:kern w:val="0"/>
          <w:sz w:val="24"/>
          <w:szCs w:val="24"/>
          <w:lang w:bidi="ar"/>
        </w:rPr>
        <w:t>Analyzing the Broader Implications of Cultural Marketing in the Gaming Industry:</w:t>
      </w:r>
    </w:p>
    <w:p w14:paraId="19E90E4F">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The literature discusses the broader ramifications of cultural marketing methods, demonstrating how cultural authenticity and inclusiveness can improve a game`s marketability and lifespan. Genshin Impact is a case study of how incorporating varied cultural characteristics leads to increased engagement and overall market success. (Liu, 2024) The dissertation`s findings support the concept that cultural marketing is about more than just promoting content, it is also about facilitating cultural interaction and inclusivity, which are emphasised in the literature. This shows that stronger cultural integration can help the gaming sector attract global players and assure long-term prosperity.</w:t>
      </w:r>
    </w:p>
    <w:p w14:paraId="20B58829">
      <w:pPr>
        <w:pageBreakBefore w:val="0"/>
        <w:widowControl/>
        <w:numPr>
          <w:ilvl w:val="0"/>
          <w:numId w:val="0"/>
        </w:numPr>
        <w:kinsoku/>
        <w:wordWrap/>
        <w:overflowPunct/>
        <w:topLinePunct w:val="0"/>
        <w:bidi w:val="0"/>
        <w:snapToGrid/>
        <w:spacing w:line="240" w:lineRule="auto"/>
        <w:rPr>
          <w:rFonts w:hint="default" w:ascii="Arial" w:hAnsi="Arial" w:eastAsia="宋体" w:cs="Arial"/>
          <w:kern w:val="0"/>
          <w:sz w:val="24"/>
          <w:szCs w:val="24"/>
          <w:lang w:bidi="ar"/>
        </w:rPr>
      </w:pPr>
    </w:p>
    <w:p w14:paraId="436128B4">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Overall, the research highlights the importance of culturally tailored marketing strategies in global games like Genshin Impact. By effectively integrating diverse cultural elements, the game not only appeals to a wide audience but also fosters deeper connections with players, enhancing their overall gaming experience.</w:t>
      </w:r>
    </w:p>
    <w:p w14:paraId="22AEA3EF">
      <w:pPr>
        <w:pStyle w:val="3"/>
        <w:pageBreakBefore w:val="0"/>
        <w:numPr>
          <w:ilvl w:val="1"/>
          <w:numId w:val="1"/>
        </w:numPr>
        <w:kinsoku/>
        <w:wordWrap/>
        <w:overflowPunct/>
        <w:topLinePunct w:val="0"/>
        <w:bidi w:val="0"/>
        <w:snapToGrid/>
        <w:spacing w:line="240" w:lineRule="auto"/>
        <w:ind w:left="567" w:leftChars="0" w:hanging="567" w:firstLineChars="0"/>
        <w:rPr>
          <w:rFonts w:hint="default" w:ascii="Arial" w:hAnsi="Arial" w:cs="Arial"/>
          <w:sz w:val="24"/>
          <w:szCs w:val="24"/>
          <w:lang w:val="en-US" w:eastAsia="zh-CN"/>
        </w:rPr>
      </w:pPr>
      <w:bookmarkStart w:id="64" w:name="_Toc9321"/>
      <w:r>
        <w:rPr>
          <w:rFonts w:hint="default" w:ascii="Arial" w:hAnsi="Arial" w:cs="Arial"/>
          <w:sz w:val="24"/>
          <w:szCs w:val="24"/>
          <w:lang w:val="en-US" w:eastAsia="zh-CN"/>
        </w:rPr>
        <w:t>Recommendations</w:t>
      </w:r>
      <w:bookmarkEnd w:id="64"/>
    </w:p>
    <w:p w14:paraId="7EC0B78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Based on the findings, several recommendations can be made for game developers and marketers:</w:t>
      </w:r>
    </w:p>
    <w:p w14:paraId="783CE68E">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5" w:name="_Toc2250"/>
      <w:r>
        <w:rPr>
          <w:rFonts w:hint="default" w:ascii="Arial" w:hAnsi="Arial" w:cs="Arial"/>
          <w:sz w:val="24"/>
          <w:szCs w:val="24"/>
          <w:lang w:val="en-US" w:eastAsia="zh-CN"/>
        </w:rPr>
        <w:t>Emphasizing Cultural Diversity in the Globalization of Games</w:t>
      </w:r>
      <w:bookmarkEnd w:id="65"/>
    </w:p>
    <w:p w14:paraId="0873A03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As Genshin Impact continues to expand its global footprint, one of the critical aspects that the developers need to focus on is cultural diversity.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success in various regions around the world underscores the importance of recognizing and integrating a wide range of cultural elements. However, with global expansion comes the challenge of addressing racial double standards, ensuring racial diversity, and appropriately representing different racial cultures.</w:t>
      </w:r>
      <w:r>
        <w:rPr>
          <w:rFonts w:hint="default" w:ascii="Arial" w:hAnsi="Arial" w:eastAsia="宋体" w:cs="Arial"/>
          <w:kern w:val="0"/>
          <w:sz w:val="24"/>
          <w:szCs w:val="24"/>
          <w:lang w:val="en-US" w:eastAsia="zh-CN" w:bidi="ar"/>
        </w:rPr>
        <w:t xml:space="preserve"> (He et al., 2024)</w:t>
      </w:r>
    </w:p>
    <w:p w14:paraId="3CEEB56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19F72E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One of the significant issues that have surfaced in the gaming industry, and in Genshin Impact in particular, is the perception of racial double standards. This refers to the unequal treatment or representation of different racial groups within the game.</w:t>
      </w:r>
      <w:r>
        <w:rPr>
          <w:rFonts w:hint="default" w:ascii="Arial" w:hAnsi="Arial" w:eastAsia="宋体" w:cs="Arial"/>
          <w:kern w:val="0"/>
          <w:sz w:val="24"/>
          <w:szCs w:val="24"/>
          <w:lang w:val="en-US" w:eastAsia="zh-CN" w:bidi="ar"/>
        </w:rPr>
        <w:t xml:space="preserve"> (Anafib, 2024)</w:t>
      </w:r>
      <w:r>
        <w:rPr>
          <w:rFonts w:hint="default" w:ascii="Arial" w:hAnsi="Arial" w:eastAsia="宋体" w:cs="Arial"/>
          <w:kern w:val="0"/>
          <w:sz w:val="24"/>
          <w:szCs w:val="24"/>
          <w:lang w:bidi="ar"/>
        </w:rPr>
        <w:t xml:space="preserve"> For instance, while the game has made strides in representing various cultures through its distinct regions, the underrepresentation of certain racial groups can lead to feelings of exclusion among players from those communities. To mitigate this, it is crucial for Genshin Impact to broaden its scope of cultural representation, ensuring that characters from diverse racial backgrounds are included and that their cultures are portrayed authentically and respectfully.</w:t>
      </w:r>
    </w:p>
    <w:p w14:paraId="7CD6D79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1480CDC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Moreover, racial diversity should not be limited to character design alone. It should extend to the narrative, lore, and world-building aspects of the game. By incorporating diverse racial and cultural elements into the storylines, Genshin Impact can offer a richer and more inclusive gaming experience. This approach not only enhances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appeal to a global audience but also promotes a sense of belonging among players from different cultural backgrounds.</w:t>
      </w:r>
      <w:r>
        <w:rPr>
          <w:rFonts w:hint="default" w:ascii="Arial" w:hAnsi="Arial" w:eastAsia="宋体" w:cs="Arial"/>
          <w:kern w:val="0"/>
          <w:sz w:val="24"/>
          <w:szCs w:val="24"/>
          <w:lang w:val="en-US" w:eastAsia="zh-CN" w:bidi="ar"/>
        </w:rPr>
        <w:t xml:space="preserve"> (Andersson, 2024)</w:t>
      </w:r>
    </w:p>
    <w:p w14:paraId="6C63AFC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AA27A35">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Additionally, addressing the issue of racial culture is essential in avoiding cultural appropriation or misrepresentation. The game developers should collaborate with cultural consultants to ensure that the portrayal of different cultures is accurate and respectful. This could involve deeper research into the cultural practices, values, and traditions of the represented groups, thus avoiding superficial or stereotypical depictions. By taking these steps, Genshin Impact can lead by example in the gaming industry, setting a standard for cultural inclusivity and sensitivity.</w:t>
      </w:r>
    </w:p>
    <w:p w14:paraId="417879D6">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6" w:name="_Toc29595"/>
      <w:r>
        <w:rPr>
          <w:rFonts w:hint="default" w:ascii="Arial" w:hAnsi="Arial" w:cs="Arial"/>
          <w:sz w:val="24"/>
          <w:szCs w:val="24"/>
          <w:lang w:val="en-US" w:eastAsia="zh-CN"/>
        </w:rPr>
        <w:t>Integrating Asian Style into Cross-Cultural Marketing Activities</w:t>
      </w:r>
      <w:bookmarkEnd w:id="66"/>
    </w:p>
    <w:p w14:paraId="7AC1804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One of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most distinctive features is its strong foundation in Asian culture, particularly evident in the design of its characters, environments, and narratives. As the game seeks to expand its reach in Western markets, it is essential to consider how Asian culture can be effectively integrated into cross-cultural marketing strategies.</w:t>
      </w:r>
    </w:p>
    <w:p w14:paraId="7B71294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F6D6F8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Currently, European countries have not fully embraced the ACG (Anime, Comic, and Games) culture to the extent seen in Asia. This presents a unique opportunity for Genshin Impact to introduce and popularize Asian cultural elements in regions where such influences are less prevalent.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unique blend of traditional Asian aesthetics with modern gameplay mechanics can serve as a bridge between these cultures, creating a new and exciting experience for Western players.</w:t>
      </w:r>
      <w:r>
        <w:rPr>
          <w:rFonts w:hint="default" w:ascii="Arial" w:hAnsi="Arial" w:eastAsia="宋体" w:cs="Arial"/>
          <w:kern w:val="0"/>
          <w:sz w:val="24"/>
          <w:szCs w:val="24"/>
          <w:lang w:val="en-US" w:eastAsia="zh-CN" w:bidi="ar"/>
        </w:rPr>
        <w:t xml:space="preserve"> (Cao, 2024)</w:t>
      </w:r>
    </w:p>
    <w:p w14:paraId="47AF239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3CCA25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 xml:space="preserve">One effective strategy could involve incorporating elements of Asian fan culture into promotional activities. Events such as character birthday parties, voice actor meet-and-greet sessions, and special themed events are common in Asian gaming culture and have been proven to foster strong community engagement. </w:t>
      </w:r>
      <w:r>
        <w:rPr>
          <w:rFonts w:hint="default" w:ascii="Arial" w:hAnsi="Arial" w:eastAsia="宋体" w:cs="Arial"/>
          <w:kern w:val="0"/>
          <w:sz w:val="24"/>
          <w:szCs w:val="24"/>
          <w:lang w:val="en-US" w:eastAsia="zh-CN" w:bidi="ar"/>
        </w:rPr>
        <w:t xml:space="preserve">(Sun, 2023) </w:t>
      </w:r>
      <w:r>
        <w:rPr>
          <w:rFonts w:hint="default" w:ascii="Arial" w:hAnsi="Arial" w:eastAsia="宋体" w:cs="Arial"/>
          <w:kern w:val="0"/>
          <w:sz w:val="24"/>
          <w:szCs w:val="24"/>
          <w:lang w:bidi="ar"/>
        </w:rPr>
        <w:t>By bringing these types of events to Western audiences, Genshin Impact can increase user engagement, build loyalty to its characters, and ultimately boost profitability.</w:t>
      </w:r>
    </w:p>
    <w:p w14:paraId="151674D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4BEACF3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For example, a character</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 xml:space="preserve">s birthday event could involve special in-game activities, limited-time rewards, and even real-world events where fans can celebrate together. These events not only generate excitement and increase player retention but also help deepen the emotional connection between players and the characters they love. </w:t>
      </w:r>
      <w:r>
        <w:rPr>
          <w:rFonts w:hint="default" w:ascii="Arial" w:hAnsi="Arial" w:eastAsia="宋体" w:cs="Arial"/>
          <w:kern w:val="0"/>
          <w:sz w:val="24"/>
          <w:szCs w:val="24"/>
          <w:lang w:val="en-US" w:eastAsia="zh-CN" w:bidi="ar"/>
        </w:rPr>
        <w:t xml:space="preserve">(Xia et al., 2024) </w:t>
      </w:r>
      <w:r>
        <w:rPr>
          <w:rFonts w:hint="default" w:ascii="Arial" w:hAnsi="Arial" w:eastAsia="宋体" w:cs="Arial"/>
          <w:kern w:val="0"/>
          <w:sz w:val="24"/>
          <w:szCs w:val="24"/>
          <w:lang w:bidi="ar"/>
        </w:rPr>
        <w:t>Moreover, these activities provide opportunities for cultural exchange, where Western players can learn more about Asian cultural practices and values through their interactions with the game.</w:t>
      </w:r>
    </w:p>
    <w:p w14:paraId="36DD0A1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737871B2">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Additionally, voice actor meet-and-greet events, which are highly popular in Asia, could be adapted for Western audiences.</w:t>
      </w:r>
      <w:r>
        <w:rPr>
          <w:rFonts w:hint="default" w:ascii="Arial" w:hAnsi="Arial" w:eastAsia="宋体" w:cs="Arial"/>
          <w:kern w:val="0"/>
          <w:sz w:val="24"/>
          <w:szCs w:val="24"/>
          <w:lang w:val="en-US" w:eastAsia="zh-CN" w:bidi="ar"/>
        </w:rPr>
        <w:t xml:space="preserve"> (Xia et al., 2024)</w:t>
      </w:r>
      <w:r>
        <w:rPr>
          <w:rFonts w:hint="default" w:ascii="Arial" w:hAnsi="Arial" w:eastAsia="宋体" w:cs="Arial"/>
          <w:kern w:val="0"/>
          <w:sz w:val="24"/>
          <w:szCs w:val="24"/>
          <w:lang w:bidi="ar"/>
        </w:rPr>
        <w:t xml:space="preserve"> These events allow players to engage with the voice actors behind their favorite characters, further humanizing the characters and creating a deeper emotional bond. By localizing these events and making them accessible to Western players, Genshin Impact can create a more inclusive and culturally rich gaming environment.</w:t>
      </w:r>
    </w:p>
    <w:p w14:paraId="6D40F2E3">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FD1BFC6">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Integrating Asian culture into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cross-cultural marketing activities not only enhances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global appeal but also helps preserve and promote Asian cultural heritage. This approach aligns with the broader trend of cultural globalization, where media and entertainment products serve as vehicles for cultural exchange and mutual understanding.</w:t>
      </w:r>
    </w:p>
    <w:p w14:paraId="01086BFE">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7" w:name="_Toc4477"/>
      <w:r>
        <w:rPr>
          <w:rFonts w:hint="default" w:ascii="Arial" w:hAnsi="Arial" w:cs="Arial"/>
          <w:sz w:val="24"/>
          <w:szCs w:val="24"/>
          <w:lang w:val="en-US" w:eastAsia="zh-CN"/>
        </w:rPr>
        <w:t>Leveraging Cultural Identity to Secure Financial Support</w:t>
      </w:r>
      <w:bookmarkEnd w:id="67"/>
    </w:p>
    <w:p w14:paraId="0E9B0E5B">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Cultural identity plays a significant role in shaping consumer behavior, particularly in the context of a globally popular game like Genshin Impact. By leveraging cultural identity in its marketing strategies, Genshin Impact can not only enhance its brand image but also secure financial support from various stakeholders, including local cultural institutions and governments.</w:t>
      </w:r>
    </w:p>
    <w:p w14:paraId="62AE7C0D">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FA69648">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One of the key strategies for achieving this is through collaboration with local cultural institutions during promotional campaigns. By partnering with museums, cultural centers, and heritage organizations, Genshin Impact can align its marketing efforts with local cultural initiatives, thereby increasing its visibility and relevance in different regions.</w:t>
      </w:r>
      <w:r>
        <w:rPr>
          <w:rFonts w:hint="default" w:ascii="Arial" w:hAnsi="Arial" w:eastAsia="宋体" w:cs="Arial"/>
          <w:kern w:val="0"/>
          <w:sz w:val="24"/>
          <w:szCs w:val="24"/>
          <w:lang w:val="en-US" w:eastAsia="zh-CN" w:bidi="ar"/>
        </w:rPr>
        <w:t xml:space="preserve"> (Yun, 2023)</w:t>
      </w:r>
      <w:r>
        <w:rPr>
          <w:rFonts w:hint="default" w:ascii="Arial" w:hAnsi="Arial" w:eastAsia="宋体" w:cs="Arial"/>
          <w:kern w:val="0"/>
          <w:sz w:val="24"/>
          <w:szCs w:val="24"/>
          <w:lang w:bidi="ar"/>
        </w:rPr>
        <w:t xml:space="preserve"> These partnerships can also provide opportunities for the game to be featured in cultural exhibitions, festivals, and other events, further enhancing its exposure and appeal.</w:t>
      </w:r>
    </w:p>
    <w:p w14:paraId="763B981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49312EC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bidi="ar"/>
        </w:rPr>
        <w:t>For instance, a promotional campaign in a particular region could involve collaborating with a local museum to host an exhibition that explores the cultural inspirations behind Genshin Impact</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characters and world. This type of event not only generates interest in the game but also highlights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commitment to cultural authenticity and appreciation. Such collaborations can also attract media attention, leading to increased coverage and public interest.</w:t>
      </w:r>
      <w:r>
        <w:rPr>
          <w:rFonts w:hint="default" w:ascii="Arial" w:hAnsi="Arial" w:eastAsia="宋体" w:cs="Arial"/>
          <w:kern w:val="0"/>
          <w:sz w:val="24"/>
          <w:szCs w:val="24"/>
          <w:lang w:val="en-US" w:eastAsia="zh-CN" w:bidi="ar"/>
        </w:rPr>
        <w:t xml:space="preserve"> (Yao, 2024)</w:t>
      </w:r>
    </w:p>
    <w:p w14:paraId="46A25B1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C02D60A">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In addition to cultural institutions, Genshin Impact can also seek financial support from local governments by positioning its promotional activities as cultural enrichment initiatives. Governments, especially those in regions with a strong focus on cultural preservation, may be willing to provide grants or sponsorships for activities that promote cultural understanding and appreciation. By framing its marketing efforts within the context of cultural diplomacy, Genshin Impact can gain access to additional funding sources that can be used to support its global expansion efforts.</w:t>
      </w:r>
    </w:p>
    <w:p w14:paraId="4300069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DD066C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Moreover, cultural identity can be leveraged in targeted marketing campaigns that resonate with specific cultural groups.</w:t>
      </w:r>
      <w:r>
        <w:rPr>
          <w:rFonts w:hint="default" w:ascii="Arial" w:hAnsi="Arial" w:eastAsia="宋体" w:cs="Arial"/>
          <w:kern w:val="0"/>
          <w:sz w:val="24"/>
          <w:szCs w:val="24"/>
          <w:lang w:val="en-US" w:eastAsia="zh-CN" w:bidi="ar"/>
        </w:rPr>
        <w:t xml:space="preserve"> (Wang, 2024)</w:t>
      </w:r>
      <w:r>
        <w:rPr>
          <w:rFonts w:hint="default" w:ascii="Arial" w:hAnsi="Arial" w:eastAsia="宋体" w:cs="Arial"/>
          <w:kern w:val="0"/>
          <w:sz w:val="24"/>
          <w:szCs w:val="24"/>
          <w:lang w:bidi="ar"/>
        </w:rPr>
        <w:t xml:space="preserve"> For example, promotional materials that highlight the game</w:t>
      </w:r>
      <w:r>
        <w:rPr>
          <w:rFonts w:hint="default" w:ascii="Arial" w:hAnsi="Arial" w:eastAsia="宋体" w:cs="Arial"/>
          <w:kern w:val="0"/>
          <w:sz w:val="24"/>
          <w:szCs w:val="24"/>
          <w:lang w:eastAsia="zh-CN" w:bidi="ar"/>
        </w:rPr>
        <w:t>`</w:t>
      </w:r>
      <w:r>
        <w:rPr>
          <w:rFonts w:hint="default" w:ascii="Arial" w:hAnsi="Arial" w:eastAsia="宋体" w:cs="Arial"/>
          <w:kern w:val="0"/>
          <w:sz w:val="24"/>
          <w:szCs w:val="24"/>
          <w:lang w:bidi="ar"/>
        </w:rPr>
        <w:t>s representation of a particular culture can be tailored to appeal to audiences who identify with that culture. This personalized approach can foster a stronger connection between the game and its players, leading to increased player loyalty and in-game spending.</w:t>
      </w:r>
    </w:p>
    <w:p w14:paraId="76E52FF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3F99503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Genshin Impact can explore opportunities for co-branding with culturally significant brands or products. For example, collaborating with a well-known brand that is closely associated with a particular cultural identity can help Genshin Impact tap into new markets and demographics. These partnerships can also create unique marketing opportunities, such as limited-edition merchandise or in-game content that reflects the cultural values of the partner brand.</w:t>
      </w:r>
    </w:p>
    <w:p w14:paraId="2D92ADEE">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CACA42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bidi="ar"/>
        </w:rPr>
        <w:t>By effectively leveraging cultural identity in its marketing strategies, Genshin Impact can not only enhance its cultural relevance and appeal but also secure the financial support needed to sustain its global growth and success.</w:t>
      </w:r>
    </w:p>
    <w:p w14:paraId="5B99C75F">
      <w:pPr>
        <w:pStyle w:val="3"/>
        <w:pageBreakBefore w:val="0"/>
        <w:numPr>
          <w:ilvl w:val="2"/>
          <w:numId w:val="1"/>
        </w:numPr>
        <w:kinsoku/>
        <w:wordWrap/>
        <w:overflowPunct/>
        <w:topLinePunct w:val="0"/>
        <w:bidi w:val="0"/>
        <w:snapToGrid/>
        <w:spacing w:line="240" w:lineRule="auto"/>
        <w:ind w:left="709" w:leftChars="0" w:hanging="709" w:firstLineChars="0"/>
        <w:rPr>
          <w:rFonts w:hint="default" w:ascii="Arial" w:hAnsi="Arial" w:cs="Arial"/>
          <w:sz w:val="24"/>
          <w:szCs w:val="24"/>
          <w:lang w:val="en-US" w:eastAsia="zh-CN"/>
        </w:rPr>
      </w:pPr>
      <w:bookmarkStart w:id="68" w:name="_Toc27210"/>
      <w:r>
        <w:rPr>
          <w:rFonts w:hint="default" w:ascii="Arial" w:hAnsi="Arial" w:cs="Arial"/>
          <w:sz w:val="24"/>
          <w:szCs w:val="24"/>
          <w:lang w:val="en-US" w:eastAsia="zh-CN"/>
        </w:rPr>
        <w:t>Cross-Cultural Marketing for Emerging Market Brands</w:t>
      </w:r>
      <w:bookmarkEnd w:id="68"/>
    </w:p>
    <w:p w14:paraId="3134CD4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Future research should focus on how Genshin Impact`s cross-cultural marketing tactics might be used to brands in emerging markets. In today`s global scene, Japanese and Korean brands are favoured by most customers and markets for multiple reasons, and there are abatement evidence showing that brands from emerging countries, especially China, are tagged with low quality, placing their products at a huge disadvantage. (Tang, 2024) Despite these hurdles, Genshin Impact has emerged as a possible game changer, which is with full respect for local cultures with high quality products, demonstrating how Chinese companies can successfully enter overseas markets by employing effective cultural marketing tactics.</w:t>
      </w:r>
    </w:p>
    <w:p w14:paraId="77E15559">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469B61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bidi="ar"/>
        </w:rPr>
      </w:pPr>
      <w:r>
        <w:rPr>
          <w:rFonts w:hint="default" w:ascii="Arial" w:hAnsi="Arial" w:eastAsia="宋体" w:cs="Arial"/>
          <w:kern w:val="0"/>
          <w:sz w:val="24"/>
          <w:szCs w:val="24"/>
          <w:lang w:val="en-US" w:eastAsia="zh-CN" w:bidi="ar"/>
        </w:rPr>
        <w:t>Research into Genshin Impact`s export paths can provide significant insights for other mature Chinese firms seeking to grow abroad. Future research can provide concrete cross-cultural marketing tips for Chinese enterprises looking to expand their business by examining how Genshin Impact used various cultural components to appeal to varied audiences. These techniques could include localising material in a way that appeals to both domestic and international players, developing globally appealing narratives while retaining cultural authenticity, and utilising collaborations with local organisations to increase product visibility. (Saparova, 2024)</w:t>
      </w:r>
    </w:p>
    <w:p w14:paraId="31D82220">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6D146D81">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Furthermore, the knowledge obtained from Genshin Impact can be applied to other growing markets facing comparable issues. Brands in Asia, Africa, and Latin America could benefit from a better grasp of how to overcome global market hurdles via cultural marketing. Future study might focus on identifying adaptive tactics that enable these businesses to highlight their distinct cultural characteristics while appealing to multinational consumers, thereby offering new potential for growth and competitiveness.</w:t>
      </w:r>
    </w:p>
    <w:p w14:paraId="2E3A914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084C5DF7">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r>
        <w:rPr>
          <w:rFonts w:hint="default" w:ascii="Arial" w:hAnsi="Arial" w:eastAsia="宋体" w:cs="Arial"/>
          <w:kern w:val="0"/>
          <w:sz w:val="24"/>
          <w:szCs w:val="24"/>
          <w:lang w:val="en-US" w:eastAsia="zh-CN" w:bidi="ar"/>
        </w:rPr>
        <w:t>Finally, studying Genshin Impact`s marketing strategy provides a model for both Chinese and emerging market brands. This study can contribute to more inclusive global marketing strategies that promote the success of culturally varied products in an increasingly linked world.</w:t>
      </w:r>
    </w:p>
    <w:p w14:paraId="366D6E0C">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59EBFC7F">
      <w:pPr>
        <w:pageBreakBefore w:val="0"/>
        <w:widowControl/>
        <w:kinsoku/>
        <w:wordWrap/>
        <w:overflowPunct/>
        <w:topLinePunct w:val="0"/>
        <w:bidi w:val="0"/>
        <w:snapToGrid/>
        <w:spacing w:line="240" w:lineRule="auto"/>
        <w:rPr>
          <w:rFonts w:hint="default" w:ascii="Arial" w:hAnsi="Arial" w:eastAsia="宋体" w:cs="Arial"/>
          <w:kern w:val="0"/>
          <w:sz w:val="24"/>
          <w:szCs w:val="24"/>
          <w:lang w:bidi="ar"/>
        </w:rPr>
      </w:pPr>
    </w:p>
    <w:p w14:paraId="235BF445">
      <w:pPr>
        <w:pageBreakBefore w:val="0"/>
        <w:kinsoku/>
        <w:wordWrap/>
        <w:overflowPunct/>
        <w:topLinePunct w:val="0"/>
        <w:bidi w:val="0"/>
        <w:snapToGrid/>
        <w:spacing w:line="240" w:lineRule="auto"/>
        <w:rPr>
          <w:rFonts w:hint="default" w:ascii="Arial" w:hAnsi="Arial" w:cs="Arial"/>
          <w:sz w:val="24"/>
          <w:szCs w:val="24"/>
          <w:lang w:val="en-US" w:eastAsia="zh-CN"/>
        </w:rPr>
      </w:pPr>
      <w:r>
        <w:rPr>
          <w:rFonts w:hint="default" w:ascii="Arial" w:hAnsi="Arial" w:cs="Arial"/>
          <w:sz w:val="24"/>
          <w:szCs w:val="24"/>
          <w:lang w:val="en-US" w:eastAsia="zh-CN"/>
        </w:rPr>
        <w:br w:type="page"/>
      </w:r>
    </w:p>
    <w:p w14:paraId="56D6186A">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69" w:name="_Toc8252"/>
      <w:r>
        <w:rPr>
          <w:rFonts w:hint="default" w:ascii="Arial" w:hAnsi="Arial" w:cs="Arial"/>
          <w:sz w:val="24"/>
          <w:szCs w:val="24"/>
          <w:lang w:val="en-US" w:eastAsia="zh-CN"/>
        </w:rPr>
        <w:t>References</w:t>
      </w:r>
      <w:bookmarkEnd w:id="69"/>
    </w:p>
    <w:p w14:paraId="45DAD01C">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Adams, M.J., 2022. Tech Otakus save the world? Gacha, Genshin Impact, and cybernesis. British Journal of Chinese Studies, 12(2), pp.188-208.</w:t>
      </w:r>
    </w:p>
    <w:p w14:paraId="264883F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Al-Nawasreh, S. and Andersson, A., 2022. When you wish upon a character banner: An exploratory discourse analysis of a genshin impact player community.</w:t>
      </w:r>
    </w:p>
    <w:p w14:paraId="44681DEC">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Altamira, M., Chinese Firms in the Global Market.</w:t>
      </w:r>
    </w:p>
    <w:p w14:paraId="337AC9D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Anafib, H.F., 2024. GENSHIN IMPACT GAMES AND ITS POSSIBILITY TO BE USED AS ONE OF TEACHING MEDIA IN TEACHING VOCABULARY. Proceedings of Fine Arts, Literature, Language, and Education, pp.205-215.</w:t>
      </w:r>
    </w:p>
    <w:p w14:paraId="363AB6B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Ananta, D.B.D.C., Rahayuni, N.K.S. and Adni, N.P., 2024. An Analysis Of Cross-Cultural Communication Through Asian Player In Genshin Impact. Fonologi: Jurnal Ilmuan Bahasa dan Sastra Inggris, 2(2), pp.172-182.</w:t>
      </w:r>
    </w:p>
    <w:p w14:paraId="5A144EB2">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Andersson, V., Björk, J. and Caspersson, A., 2024. The role of worldbuilding: How does a rich and immersive game world contribute to player engagement and storytelling?.</w:t>
      </w:r>
    </w:p>
    <w:p w14:paraId="7DD2E43E">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Arsenopoulou, N., Poupou, A. and Rizopoulos, C., 2023, July. Games as Cinematic Experiences: Discussing Filmic Modes and Ludic Elements in Video-Game Storytelling. In International Conference on Human-Computer Interaction (pp. 19-38). Cham: Springer Nature Switzerland.</w:t>
      </w:r>
    </w:p>
    <w:p w14:paraId="71F2A93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Asher, D. and Popper, M., 2019. Tacit knowledge as a multilayer phenomenon: the “onion” model. The Learning Organization, 26(3), pp.264-275.</w:t>
      </w:r>
    </w:p>
    <w:p w14:paraId="0482647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Bai, Q., Nam, B.H. and English, A.S., 2024. Acculturation and linguistic ideology in the context of global student mobility: a cross-cultural ethnography of anglophone international students in China. Educational Review, 76(6), pp.1620-1647.</w:t>
      </w:r>
    </w:p>
    <w:p w14:paraId="6CD85DB2">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Bala, M. and Verma, D., 2018. A critical review of digital marketing. M. Bala, D. Verma (2018). A Critical Review of Digital Marketing. International Journal of Management, IT &amp; Engineering, 8(10), pp.321-339.</w:t>
      </w:r>
    </w:p>
    <w:p w14:paraId="0FD363E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Bartosik-Purgat, M. and Guzek, M. eds., 2024. International business and culture: Challenges in cross-cultural marketing and management. Taylor &amp; Francis.</w:t>
      </w:r>
    </w:p>
    <w:p w14:paraId="7CA7CBA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Bhattacharya, P., Verma, A., Prasad, V.K., Tanwar, S., Bhushan, B., Florea, B.C., Taralunga, D.D., Alqahtani, F. and Tolba, A., 2023. Game-o-meta: Trusted federated learning scheme for p2p gaming metaverse beyond 5g networks. Sensors, 23(9), p.4201.</w:t>
      </w:r>
    </w:p>
    <w:p w14:paraId="357396D2">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Burton, A., Trammell, A. and Jones, K.C., Diversity, Equity, and Inclusion in Role-Playing Games. The Routledge Handbook of Role-Playing Game Studies, pp.456-469.</w:t>
      </w:r>
    </w:p>
    <w:p w14:paraId="5749D14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Cao, H. and Yang, Y., 2024. miHoYo: Sweeping the Domestic Market with Its Games. SAGE Publications: SAGE Business Cases Originals.</w:t>
      </w:r>
    </w:p>
    <w:p w14:paraId="5966D4E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Cao, J., 2024. Developing a Brain-Computer Interface to Enhance Storytelling in Games with the Identification of Cognitive States (Doctoral dissertation, WORCESTER POLYTECHNIC INSTITUTE).</w:t>
      </w:r>
    </w:p>
    <w:p w14:paraId="3A9260E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Cao, R., Zhang, W. and Sun, F., 2024. Price discrimination in mobile gacha games: A comprehensive study of the scarcity–pricing, gachaing–user profiling, and recharging–profiting models. Managerial and Decision Economics.</w:t>
      </w:r>
    </w:p>
    <w:p w14:paraId="6BB816D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Cesário, V., Ribeiro, M. and Coelho, A., 2023, July. Exploring the intersection of storytelling, localisation, and immersion in video games–a case study of the Witcher III: wild hunt. In International Conference on Human-Computer Interaction (pp. 546-552). Cham: Springer Nature Switzerland.</w:t>
      </w:r>
    </w:p>
    <w:p w14:paraId="3915F1BD">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Cheng, J., Research on the Overseas Market Development of Cultural and Creative Thermos under the Background of Cross-border E-commerce.</w:t>
      </w:r>
    </w:p>
    <w:p w14:paraId="5F58F4CC">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Clemente, C.H. and Realgo, B.R., 2024. Social Opportunities and Digitalized Communication of Genshin Impact Players. Integrated Journal for Research in Arts and Humanities, 4(2), pp.49-51.</w:t>
      </w:r>
    </w:p>
    <w:p w14:paraId="5C2B24B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Damberg, S., Liu, Y. and Ringle, C.M., 2024. Does culture matter? Corporate reputation and sustainable satisfaction in the Chinese and German banking sector. Journal of marketing analytics, 12(1), pp.6-24.</w:t>
      </w:r>
    </w:p>
    <w:p w14:paraId="49B00C32">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Danesi, M., 2024. AI and Gaming Culture. In AI-Generated Popular Culture: A Semiotic Perspective (pp. 143-158). Cham: Springer Nature Switzerland.</w:t>
      </w:r>
    </w:p>
    <w:p w14:paraId="4FA44CB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Dewi, S.S., Asfar, A.M.I.T., Asfar, A.M.I.A. and Nurannisa, A., 2024, April. Traditional game strategy bugis Ma’benteng integrated 4C skills in improving analytical thinking ability. In AIP Conference Proceedings (Vol. 2987, No. 1). AIP Publishing.</w:t>
      </w:r>
    </w:p>
    <w:p w14:paraId="07B00C4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Dunhaj, L., 2024. Cross-cultural barriers to international marketing for Chinese companies.</w:t>
      </w:r>
    </w:p>
    <w:p w14:paraId="6777B66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Escandon-Barbosa, D., Ramirez, A. and Salas-Paramo, J., 2022. The effect of cultural orientations on country innovation performance: Hofstede cultural dimensions revisited?. Sustainability, 14(10), p.5851.</w:t>
      </w:r>
    </w:p>
    <w:p w14:paraId="0FFA99D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Gillespie, K. and Swan, K.S., 2021. Global marketing. Routledge.</w:t>
      </w:r>
    </w:p>
    <w:p w14:paraId="6470819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Goh, E., Al-Tabbaa, O. and Khan, Z., 2023. Unravelling the complexity of the Video Game Industry: An integrative framework and future research directions. Telematics and Informatics Reports, p.100100.</w:t>
      </w:r>
    </w:p>
    <w:p w14:paraId="110CD17E">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Greting, M., Mao, X. and Eladhari, M.P., 2022, December. What inspires retellings-A study of the game Genshin impact. In International Conference on Interactive Digital Storytelling (pp. 249-269). Cham: Springer International Publishing.</w:t>
      </w:r>
    </w:p>
    <w:p w14:paraId="5FB536AA">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Gupta, R.K., Harrison, E.M., Ho, A., Docherty, A.B., Knight, S.R., van Smeden, M., Abubakar, I., Lipman, M., Quartagno, M., Pius, R. and Buchan, I., 2021. Development and validation of the ISARIC 4C Deterioration model for adults hospitalised with COVID-19: a prospective cohort study. The Lancet Respiratory Medicine, 9(4), pp.349-359.</w:t>
      </w:r>
    </w:p>
    <w:p w14:paraId="532663D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Ha, S. and Kim, S., 2024. Barriers to playing digital games: Why do some people choose not to play digital games?. Telematics and Informatics, 93, p.102161.</w:t>
      </w:r>
    </w:p>
    <w:p w14:paraId="1FA9C22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Hafizov, A.A., 2023. Linguocultural features of marketing discourse. Oriental Renaissance: Innovative, educational, natural and social sciences, 3(6), pp.732-736.</w:t>
      </w:r>
    </w:p>
    <w:p w14:paraId="1CD298BE">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Hashem, T., Alotoum, F.J., Allan, M. and Ali, N., 2023. Employing metaverse marketing through gaming and its impact on customer experience: evidence from multiple online gaming platforms. Calitatea, 24(196), pp.193-206.</w:t>
      </w:r>
    </w:p>
    <w:p w14:paraId="5F3ECA17">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He, Q., Li, X. and Liu, X., 2024. Nation and World: The Marketing Model of Internationalization of Local Brands–A case study of Genshin Impact. In SHS Web of Conferences (Vol. 185, p. 03006). EDP Sciences.</w:t>
      </w:r>
    </w:p>
    <w:p w14:paraId="32300986">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HOFFMAN, D.S., Hoja, T., Lau, Y. and Lee, L.M.C., 2024. Truth and reality with Chinese characteristics.</w:t>
      </w:r>
    </w:p>
    <w:p w14:paraId="3DF780D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Hong, J.H., 2021. A global strategy of a company that uses culture content as its core business. The Journal of Industrial Distribution &amp; Business, 12(6), pp.37-46.</w:t>
      </w:r>
    </w:p>
    <w:p w14:paraId="32C08FFE">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Jin’e, L., Harun, A. and Nasir, M.N.F., 2024. Exploring the Elements of Chinese Animation Appeal to Chinese Teenagers. International Journal of Academic Research in Business and Social Sciences, 14(1), pp.801-810.</w:t>
      </w:r>
    </w:p>
    <w:p w14:paraId="774F650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Jingda, Y., 2024. A STUDY OF THE IMPACT OF GAME COMPANY CULTURAL INNOVATION MODEL ON PLAYERS’PURCHASE INTENTION-THE CASE STUDY OF MIHOYO COMPANY. The EUrASEANs: journal on global socio-economic dynamics, (3 (46)), pp.388-401.</w:t>
      </w:r>
    </w:p>
    <w:p w14:paraId="2161524C">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Joos, K., 2024. A game of plots: storytelling, narrative competition, and stakeholder characterization in public affairs. In Research Handbook on Public Affairs (pp. 269-281). Edward Elgar Publishing.</w:t>
      </w:r>
    </w:p>
    <w:p w14:paraId="21EEC464">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Keni, K. and Tjengharwidjaja, A., 2024. THE INFLUENCE OF ENJOYMENT, SOCIAL VALUE, AND CONTINUED USE INTENTION TOWARDS BATTLE PASS PURCHASE INTENTION IN GENSHIN IMPACT. International Journal of Application on Economics and Business, 2(2), pp.3610-3619.</w:t>
      </w:r>
    </w:p>
    <w:p w14:paraId="43E0082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Khairunnisa, A. and Evanita, S., 2024. The influence of Limited-time Scarcity, Advertising, and E-wom on E-Impulse Buying towards virtual items in Genshin Impact. Jurnal Ilmiah Ekonomi Dan Manajemen, 2(2), pp.773-784.</w:t>
      </w:r>
    </w:p>
    <w:p w14:paraId="5BC56EC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Kong, D., 2024. Internationalization and Post-Orientalism: The Evolution of the Guochao of Contemporary Chinese Video Games. In The Chinese Video Game Industry (pp. 61-74). Cham: Springer International Publishing.</w:t>
      </w:r>
    </w:p>
    <w:p w14:paraId="0D451DE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Kotler, P., &amp; Armstrong, G. (2020). Principles of Marketing (18th ed.). Pearson.</w:t>
      </w:r>
    </w:p>
    <w:p w14:paraId="3769532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Kotler, P., Kartajaya, H., &amp; Setiawan, I. (2017). *Marketing 4.0: Moving from Traditional to Digital*. Wiley.</w:t>
      </w:r>
    </w:p>
    <w:p w14:paraId="63429152">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Kovalenko, D. and van Tilborg, G., 2024. Crossing Paths and Impactful Bonds: Exploring Player-Character Relationships in Animal Crossing and Genshin Impact.</w:t>
      </w:r>
    </w:p>
    <w:p w14:paraId="76A85D9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Li, J., 2024. The Operation Logic of Constructing China's National Original IP to Empower the Peripheral Design of Game Brands: Based on the Case Investigation of Mihoyo. Highlights in Business, Economics and Management, 27, pp.179-188.</w:t>
      </w:r>
    </w:p>
    <w:p w14:paraId="630BC61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Li, X. and Wu, J., 2024. Study of Cross-Cultural Translation in Genshin Impact under the Strategy of Domestication and Foreignization. International Journal of Education and Humanities, 12(2), pp.178-182.</w:t>
      </w:r>
    </w:p>
    <w:p w14:paraId="6003FEBD">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Liu, T. and Pertierra, A.C., 2024. Understanding “smaller-scale” platforms: An ethnographic case study of Chinese-owned multinational infotech enterprises. Global Media and China, p.20594364241263664.</w:t>
      </w:r>
    </w:p>
    <w:p w14:paraId="2FCE41FD">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Luo, Y., Liu, W., Li, H., Lu, Y. and Lu, B.L., 2024. A cross-scenario and cross-subject domain adaptation method for driving fatigue detection. Journal of Neural Engineering.</w:t>
      </w:r>
    </w:p>
    <w:p w14:paraId="2ED70A4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Martijn, L. and Khalid, A., 2023. What aspect of Genshin Impact makes players spend money?.</w:t>
      </w:r>
    </w:p>
    <w:p w14:paraId="572F3B8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Martinez, L.Y.L., 2024. MEDIA DIMENSIONS: COMPARING STORYTELLING ACROSS LITERATURE, CINEMA AND VIDEOGAME. European Journal of Literature, Language and Linguistics Studies, 8(1).</w:t>
      </w:r>
    </w:p>
    <w:p w14:paraId="58C60ED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Masuda, T., Ito, K., Lee, J., Suzuki, S., Yasuda, Y. and Akutsu, S., 2020. Culture and business: how can cultural psychologists contribute to research on behaviors in the marketplace and workplace?. Frontiers in Psychology, 11, p.509596.</w:t>
      </w:r>
    </w:p>
    <w:p w14:paraId="16DFE58E">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Melnikovas, A., 2018. Towards an Explicit Research Methodology: Adapting Research Onion Model for Futures Studies. Journal of futures Studies, 23(2).</w:t>
      </w:r>
    </w:p>
    <w:p w14:paraId="451A335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Molnar, A., Garcia, J. and Kostkova, P., 2024. Learning Analytics for Assessment and Gamification in Digital Storytelling. In Assessment Analytics in Education: Designs, Methods and Solutions (pp. 313-326). Cham: Springer International Publishing.</w:t>
      </w:r>
    </w:p>
    <w:p w14:paraId="7AD4A08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Murtadhoh, N.L. and Arini, W., The Existence of Chinese Language in The Globalization Era. Journal of Maobi, 1(1), pp.7-13.</w:t>
      </w:r>
    </w:p>
    <w:p w14:paraId="2C72987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Ni, S. and Ueichi, H., 2024. Factors influencing behavioral intentions in livestream shopping: A cross-cultural study. Journal of Retailing and Consumer Services, 76, p.103596.</w:t>
      </w:r>
    </w:p>
    <w:p w14:paraId="160DCA0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Pan, S., Xu, G.J., Guo, K., Park, S.H. and Ding, H., 2024. Cultural insights in souls-like games: analyzing player behaviors, perspectives, and emotions across a multicultural context. IEEE Transactions on Games.</w:t>
      </w:r>
    </w:p>
    <w:p w14:paraId="6E7C5BE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Papagiannakis, G., Geronikolakis, E., Pateraki, M., López-Menchero, V.M., Tsioumas, M., Sylaiou, S., Liarokapis, F., Grammatikopoulou, A., Dimitropoulos, K., Grammalidis, N. and Partarakis, N., 2024. Mixed reality, gamified presence, and storytelling for virtual museums. In Encyclopedia of computer graphics and games (pp. 1150-1162). Cham: Springer International Publishing.</w:t>
      </w:r>
    </w:p>
    <w:p w14:paraId="2C246DE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Perwira, P.A. and Widiastuti, N.I., 2024. Imbalance Dataset in Aspect-Based Sentiment Analysis on Game Genshin Impact Review. JURNAL INFOTEL, 16(1), pp.71-81.</w:t>
      </w:r>
    </w:p>
    <w:p w14:paraId="406A6369">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p>
    <w:p w14:paraId="2DB0EEA3">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Rajagopal, N.K., Qureshi, N.I., Durga, S., Ramirez Asis, E.H., Huerta Soto, R.M., Gupta, S.K. and Deepak, S., 2022. Future of Business Culture: An Artificial Intelligence‐Driven Digital Framework for Organization Decision‐Making Process. Complexity, 2022(1), p.7796507.</w:t>
      </w:r>
    </w:p>
    <w:p w14:paraId="4AB18BFA">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Reimaa, L., 2024. How female fantasy design can be made more inclusive?.</w:t>
      </w:r>
    </w:p>
    <w:p w14:paraId="552AE60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Sambada, F.P. and Ariatmi, S.Z., 2024. An Analysis Of Impoliteness Strategies Of Genshin Impact Player In 1st Anniversary Posted On Twitter. Jurnal Onoma: Pendidikan, Bahasa, dan Sastra, 10(1), pp.322-332.</w:t>
      </w:r>
    </w:p>
    <w:p w14:paraId="62FB5B75">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Saparova, M.S., 2024. THE CHINESE GAMING INDUSTRY AS A FACTOR IN THE DEVELOPMENT OF FOREIGN TRADE: A CASE STUDY OF HOYOVERSE COMPANY. Вестник науки, 1(6 (75)), pp.51-62.</w:t>
      </w:r>
    </w:p>
    <w:p w14:paraId="555CA76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Sato, Y., 2024. Cross-cultural game studies. In Encyclopedia of Computer Graphics and Games (pp. 485-490). Cham: Springer International Publishing.</w:t>
      </w:r>
    </w:p>
    <w:p w14:paraId="4C1EB23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Shi, H., Li, Y., Kong, Y., Ji, Y., Liu, Q., Huang, H. and Zhao, M., Cities in electronic games: How they present and impact real urban areas?.</w:t>
      </w:r>
    </w:p>
    <w:p w14:paraId="3AC2348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Sudirjo, F., 2023. Marketing Strategy in Improving Product Competitiveness in the Global Market. Journal of Contemporary Administration and Management (ADMAN), 1(2), pp.63-69.</w:t>
      </w:r>
    </w:p>
    <w:p w14:paraId="06B629A9">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Sun, Y., Li, Z., Fang, K., Lee, C.H. and Asadipour, A., 2023, October. Language as reality: a co-creative storytelling game experience in 1001 nights using generative AI. In Proceedings of the AAAI Conference on Artificial Intelligence and Interactive Digital Entertainment (Vol. 19, No. 1, pp. 425-434).</w:t>
      </w:r>
    </w:p>
    <w:p w14:paraId="76BD4FB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Tang, J., 2024. Research Into New Media Marketing Strategy in Advertising. Journal of Education, Humanities and Social Sciences, 28, pp.709-714.</w:t>
      </w:r>
    </w:p>
    <w:p w14:paraId="27750617">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Trebicka, B., Cross-Cultural Marketing Strategies: Bridging the Gap in International Management. In The Membership of Bulgaria in the European Union: Sixteen Years Later: Papers Presented in English Language (pp. 443-455). Университет за национално и световно стопанство (УНСС).</w:t>
      </w:r>
    </w:p>
    <w:p w14:paraId="2CEF62AA">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Trebicka, B., Cross-Cultural Marketing Strategies: Bridging the Gap in International Management. In The Membership of Bulgaria in the European Union: Sixteen Years Later: Papers Presented in English Language (pp. 443-455). Университет за национално и световно стопанство (УНСС).</w:t>
      </w:r>
    </w:p>
    <w:p w14:paraId="03CE0874">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Tseng, C.I. and Thiele, L., 2024. Actions and digital empathy in the interactive storytelling of serious games: a multimodal discourse approach. Social Semiotics, 34(3), pp.412-429.</w:t>
      </w:r>
    </w:p>
    <w:p w14:paraId="3B424138">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Vahlo, J. and Koponen, A., 2024. Player personas and game choice. In Encyclopedia of Computer Graphics and Games (pp. 1409-1414). Cham: Springer International Publishing.</w:t>
      </w:r>
    </w:p>
    <w:p w14:paraId="20252A2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Van Esch, P. and Stewart Black, J., 2021. Artificial intelligence (AI): revolutionizing digital marketing. Australasian Marketing Journal, 29(3), pp.199-203.</w:t>
      </w:r>
    </w:p>
    <w:p w14:paraId="5522E8E6">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Venaik, S., Brewer, P. and Midgley, D., 2023. Management Research, International Business, and National Culture: Evaluating Hofstede and GLOBE. Routledge.</w:t>
      </w:r>
    </w:p>
    <w:p w14:paraId="63AF95E4">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Viejobueno, C., 2024. Adapting video games for TV: A nexus of interactive and linear storytelling.</w:t>
      </w:r>
    </w:p>
    <w:p w14:paraId="1453F5E0">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Vindigni, G., 2023. Decoding Cultural Affinity in Video Games: An examination of narrative expression, visual aesthetics, and interactive design in the digital era. Advances in Social Sciences Research Journal, 10(6), pp.290-305.</w:t>
      </w:r>
    </w:p>
    <w:p w14:paraId="4BEAD74A">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Wang, Y., 2024. The Globalization of Chinese Games from Perspective of Cross-Cultural Communication: Taking Genshin as an Example. Transactions on Social Science, Education and Humanities Research, 5, pp.84-87.</w:t>
      </w:r>
    </w:p>
    <w:p w14:paraId="586D75D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Woods, O., 2024. The affective embeddings of gacha games: Aesthetic assemblages and the mediated expression of the self. New Media &amp; Society, 26(2), pp.823-838.</w:t>
      </w:r>
    </w:p>
    <w:p w14:paraId="4E1B231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Xia, L., Li, K., Zhao, N., Fu, H. and Liu, B., 2024. Strategic promotion decisions of competing mobile application suppliers in Stackelberg game context. Expert Systems with Applications, 244, p.123037.</w:t>
      </w:r>
    </w:p>
    <w:p w14:paraId="09715031">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Xia, Y., Shin, S.Y. and Kim, J.C., 2024. Cross-cultural intelligent language learning system (cils): Leveraging ai to facilitate language learning strategies in cross-cultural communication. Applied Sciences, 14(13), p.5651.</w:t>
      </w:r>
    </w:p>
    <w:p w14:paraId="120F6579">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Yao, K., 2024, February. Unlocking miHoYo’s Triumph: Game Crafting and Marketing Mastery. In 2023 5th International Conference on Economic Management and Cultural Industry (ICEMCI 2023) (pp. 630-639). Atlantis Press.</w:t>
      </w:r>
    </w:p>
    <w:p w14:paraId="5FE57824">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Yao, K., 2024, February. Unlocking miHoYo’s Triumph: Game Crafting and Marketing Mastery. In 2023 5th International Conference on Economic Management and Cultural Industry (ICEMCI 2023) (pp. 630-639). Atlantis Press.</w:t>
      </w:r>
    </w:p>
    <w:p w14:paraId="3A96D0F7">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Yun, H., 2023. Combining Cultural Heritage and Gaming Experiences: Enhancing Location-Based Games for Generation Z. Sustainability, 15(18), p.13777.</w:t>
      </w:r>
    </w:p>
    <w:p w14:paraId="730C8109">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Zhang, J., 2024. Implicit Context in Cross-Cultural Communication of Chinese Brands. Cross-Cultural Communication of Chinese Brands, pp.55-82.</w:t>
      </w:r>
    </w:p>
    <w:p w14:paraId="592D3827">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Zhao, Y., Cheng, Y., Ding, S., Fang, Y., Cao, W., Liu, K. and Cao, J., 2024, June. Magic Camera: An AI Drawing Game Supporting Instantaneous Story Creation for Children. In Proceedings of the 23rd Annual ACM Interaction Design and Children Conference (pp. 738-743).</w:t>
      </w:r>
    </w:p>
    <w:p w14:paraId="1D3CED1F">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Zhao, Y.C., Wu, D., Song, S. and Yao, X., 2024. Exploring players’ in-game purchase intention in freemium open-world games: The role of cognitive absorption and motivational affordances. International Journal of Human–Computer Interaction, 40(3), pp.744-760.</w:t>
      </w:r>
    </w:p>
    <w:p w14:paraId="1239548B">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Zhou, H., 2024. China's High-Quality Game Market Development and Competition. Highlights in Business, Economics and Management, 24, pp.653-657.</w:t>
      </w:r>
    </w:p>
    <w:p w14:paraId="2A1955E9">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Zhou, Y., 2024. The Integration of Two-dimensional Culture and Local Culture: A Case Study of the Global Sensation “Genshin Impact”. Transactions on Social Science, Education and Humanities Research, 5, pp.204-211.</w:t>
      </w:r>
    </w:p>
    <w:p w14:paraId="1491B397">
      <w:pPr>
        <w:pStyle w:val="28"/>
        <w:pageBreakBefore w:val="0"/>
        <w:widowControl/>
        <w:kinsoku/>
        <w:wordWrap/>
        <w:overflowPunct/>
        <w:topLinePunct w:val="0"/>
        <w:bidi w:val="0"/>
        <w:snapToGrid/>
        <w:spacing w:line="240" w:lineRule="auto"/>
        <w:ind w:left="720" w:hanging="720"/>
        <w:jc w:val="both"/>
        <w:rPr>
          <w:rFonts w:hint="default" w:ascii="Arial" w:hAnsi="Arial" w:cs="Arial" w:eastAsiaTheme="minorHAnsi"/>
          <w:kern w:val="0"/>
          <w:sz w:val="24"/>
          <w:szCs w:val="24"/>
          <w:lang w:val="en-US" w:eastAsia="zh-CN"/>
        </w:rPr>
      </w:pPr>
      <w:r>
        <w:rPr>
          <w:rFonts w:hint="default" w:ascii="Arial" w:hAnsi="Arial" w:cs="Arial" w:eastAsiaTheme="minorHAnsi"/>
          <w:kern w:val="0"/>
          <w:sz w:val="24"/>
          <w:szCs w:val="24"/>
          <w:lang w:val="en-US" w:eastAsia="zh-CN"/>
        </w:rPr>
        <w:t>Zou, C., 2024. Stylized Scenarios and Game Mode Development Essentials for Multiplayer Online Tactical Competition Games (Master's thesis, New York University Tandon School of Engineering).</w:t>
      </w:r>
    </w:p>
    <w:p w14:paraId="70F41B2A">
      <w:pPr>
        <w:pageBreakBefore w:val="0"/>
        <w:kinsoku/>
        <w:wordWrap/>
        <w:overflowPunct/>
        <w:topLinePunct w:val="0"/>
        <w:bidi w:val="0"/>
        <w:snapToGrid/>
        <w:spacing w:line="240" w:lineRule="auto"/>
        <w:jc w:val="both"/>
        <w:rPr>
          <w:rFonts w:hint="default" w:ascii="Arial" w:hAnsi="Arial" w:cs="Arial"/>
          <w:sz w:val="24"/>
          <w:szCs w:val="24"/>
          <w:lang w:val="en-US" w:eastAsia="zh-CN"/>
        </w:rPr>
      </w:pPr>
      <w:r>
        <w:rPr>
          <w:rFonts w:hint="default" w:ascii="Arial" w:hAnsi="Arial" w:cs="Arial"/>
          <w:sz w:val="24"/>
          <w:szCs w:val="24"/>
          <w:lang w:val="en-US" w:eastAsia="zh-CN"/>
        </w:rPr>
        <w:br w:type="page"/>
      </w:r>
    </w:p>
    <w:p w14:paraId="1A5BA226">
      <w:pPr>
        <w:pStyle w:val="3"/>
        <w:pageBreakBefore w:val="0"/>
        <w:numPr>
          <w:ilvl w:val="0"/>
          <w:numId w:val="1"/>
        </w:numPr>
        <w:kinsoku/>
        <w:wordWrap/>
        <w:overflowPunct/>
        <w:topLinePunct w:val="0"/>
        <w:bidi w:val="0"/>
        <w:snapToGrid/>
        <w:spacing w:line="240" w:lineRule="auto"/>
        <w:ind w:left="425" w:leftChars="0" w:hanging="425" w:firstLineChars="0"/>
        <w:outlineLvl w:val="0"/>
        <w:rPr>
          <w:rFonts w:hint="default" w:ascii="Arial" w:hAnsi="Arial" w:cs="Arial"/>
          <w:sz w:val="24"/>
          <w:szCs w:val="24"/>
          <w:lang w:val="en-US" w:eastAsia="zh-CN"/>
        </w:rPr>
      </w:pPr>
      <w:bookmarkStart w:id="70" w:name="_Toc30280"/>
      <w:r>
        <w:rPr>
          <w:rFonts w:hint="default" w:ascii="Arial" w:hAnsi="Arial" w:cs="Arial"/>
          <w:sz w:val="24"/>
          <w:szCs w:val="24"/>
          <w:lang w:val="en-US" w:eastAsia="zh-CN"/>
        </w:rPr>
        <w:t>Appendices</w:t>
      </w:r>
      <w:bookmarkEnd w:id="70"/>
    </w:p>
    <w:p w14:paraId="3DA263BE">
      <w:pPr>
        <w:pStyle w:val="3"/>
        <w:pageBreakBefore w:val="0"/>
        <w:kinsoku/>
        <w:wordWrap/>
        <w:overflowPunct/>
        <w:topLinePunct w:val="0"/>
        <w:bidi w:val="0"/>
        <w:snapToGrid/>
        <w:spacing w:line="240" w:lineRule="auto"/>
        <w:rPr>
          <w:rFonts w:hint="default" w:ascii="Arial" w:hAnsi="Arial" w:cs="Arial"/>
          <w:color w:val="auto"/>
          <w:sz w:val="24"/>
          <w:szCs w:val="24"/>
          <w:u w:val="single"/>
        </w:rPr>
      </w:pPr>
      <w:bookmarkStart w:id="71" w:name="_Toc8619"/>
      <w:bookmarkStart w:id="72" w:name="_Toc481690840"/>
      <w:r>
        <w:rPr>
          <w:rFonts w:hint="default" w:ascii="Arial" w:hAnsi="Arial" w:cs="Arial"/>
          <w:color w:val="auto"/>
          <w:sz w:val="24"/>
          <w:szCs w:val="24"/>
          <w:u w:val="single"/>
        </w:rPr>
        <w:t xml:space="preserve">Appendix </w:t>
      </w:r>
      <w:r>
        <w:rPr>
          <w:rFonts w:hint="default" w:ascii="Arial" w:hAnsi="Arial" w:cs="Arial"/>
          <w:color w:val="auto"/>
          <w:sz w:val="24"/>
          <w:szCs w:val="24"/>
          <w:u w:val="single"/>
          <w:lang w:val="en-US" w:eastAsia="zh-CN"/>
        </w:rPr>
        <w:t>1</w:t>
      </w:r>
      <w:r>
        <w:rPr>
          <w:rFonts w:hint="default" w:ascii="Arial" w:hAnsi="Arial" w:cs="Arial"/>
          <w:color w:val="auto"/>
          <w:sz w:val="24"/>
          <w:szCs w:val="24"/>
          <w:u w:val="single"/>
        </w:rPr>
        <w:t>-Original online survey template</w:t>
      </w:r>
      <w:bookmarkEnd w:id="71"/>
      <w:bookmarkEnd w:id="72"/>
      <w:r>
        <w:rPr>
          <w:rFonts w:hint="default" w:ascii="Arial" w:hAnsi="Arial" w:cs="Arial"/>
          <w:color w:val="auto"/>
          <w:sz w:val="24"/>
          <w:szCs w:val="24"/>
          <w:u w:val="single"/>
        </w:rPr>
        <w:t xml:space="preserve"> </w:t>
      </w:r>
    </w:p>
    <w:p w14:paraId="03E8D85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1. Age: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4ABFF28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FD02AF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○- 18-24</w:t>
            </w:r>
          </w:p>
        </w:tc>
      </w:tr>
      <w:tr w14:paraId="62A2C89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32068E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○- 25-34</w:t>
            </w:r>
          </w:p>
        </w:tc>
      </w:tr>
      <w:tr w14:paraId="022DAECF">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485B80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○- 35-44</w:t>
            </w:r>
          </w:p>
        </w:tc>
      </w:tr>
      <w:tr w14:paraId="5CEDDAA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B3D8A6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○- 45-54</w:t>
            </w:r>
          </w:p>
        </w:tc>
      </w:tr>
      <w:tr w14:paraId="33147E8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0BC537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○- 55 and above</w:t>
            </w:r>
          </w:p>
        </w:tc>
      </w:tr>
    </w:tbl>
    <w:p w14:paraId="638C4CA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2. Gender: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460336D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F8DD0B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Male</w:t>
            </w:r>
          </w:p>
        </w:tc>
      </w:tr>
      <w:tr w14:paraId="6C301848">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399E1B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Female</w:t>
            </w:r>
          </w:p>
        </w:tc>
      </w:tr>
      <w:tr w14:paraId="54D74EF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B90A0F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Non-binary</w:t>
            </w:r>
          </w:p>
        </w:tc>
      </w:tr>
      <w:tr w14:paraId="1B929AF8">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FEC207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Prefer not to say</w:t>
            </w:r>
          </w:p>
        </w:tc>
      </w:tr>
    </w:tbl>
    <w:p w14:paraId="5CFC631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3. Country/Region: </w:t>
      </w:r>
    </w:p>
    <w:p w14:paraId="7797DB8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_________________________________</w:t>
      </w:r>
    </w:p>
    <w:p w14:paraId="0DFB5C7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4. How long have you been playing Genshin Impact?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31F9C5F6">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6702F7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Less than 1 month</w:t>
            </w:r>
          </w:p>
        </w:tc>
      </w:tr>
      <w:tr w14:paraId="670A9366">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AA8ECA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○- 1-3 months</w:t>
            </w:r>
          </w:p>
        </w:tc>
      </w:tr>
      <w:tr w14:paraId="57E298A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1C7E18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○- 4-6 months</w:t>
            </w:r>
          </w:p>
        </w:tc>
      </w:tr>
      <w:tr w14:paraId="09B85A6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2721C3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○- 7-12 months</w:t>
            </w:r>
          </w:p>
        </w:tc>
      </w:tr>
      <w:tr w14:paraId="48BE54A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8EB109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More than 1 year</w:t>
            </w:r>
          </w:p>
        </w:tc>
      </w:tr>
    </w:tbl>
    <w:p w14:paraId="5483776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5. How often do you play Genshin Impact?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18F07E64">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89C048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Daily</w:t>
            </w:r>
          </w:p>
        </w:tc>
      </w:tr>
      <w:tr w14:paraId="730178F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C89CB6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○- 3-5 times a week</w:t>
            </w:r>
          </w:p>
        </w:tc>
      </w:tr>
      <w:tr w14:paraId="72C8E22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CE4A69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○- 1-2 times a week</w:t>
            </w:r>
          </w:p>
        </w:tc>
      </w:tr>
      <w:tr w14:paraId="082262CC">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8F27DE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Less than once a week</w:t>
            </w:r>
          </w:p>
        </w:tc>
      </w:tr>
    </w:tbl>
    <w:p w14:paraId="46DC895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6. How familiar are you with the different cultural themes presented in Genshin Impact (e.g., Liyue representing Chinese culture, Inazuma representing Japanese culture)?</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45B3FF6E">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3C1CE9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familiar</w:t>
            </w:r>
          </w:p>
        </w:tc>
      </w:tr>
      <w:tr w14:paraId="4FAD05B8">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3C4CC6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Somewhat familiar</w:t>
            </w:r>
          </w:p>
        </w:tc>
      </w:tr>
      <w:tr w14:paraId="3355B606">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0212E7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12CCE55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C947A9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Somewhat unfamiliar</w:t>
            </w:r>
          </w:p>
        </w:tc>
      </w:tr>
      <w:tr w14:paraId="6A6F39C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575AEF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Not familiar at all</w:t>
            </w:r>
          </w:p>
        </w:tc>
      </w:tr>
    </w:tbl>
    <w:p w14:paraId="138C961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7. To what extent do you agree that Genshin Impact accurately represents various cultures?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1819D84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457293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Strongly agree</w:t>
            </w:r>
          </w:p>
        </w:tc>
      </w:tr>
      <w:tr w14:paraId="7E87423E">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41147C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Agree</w:t>
            </w:r>
          </w:p>
        </w:tc>
      </w:tr>
      <w:tr w14:paraId="6E6FE75F">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7B40D6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76939AA7">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34336B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Disagree</w:t>
            </w:r>
          </w:p>
        </w:tc>
      </w:tr>
      <w:tr w14:paraId="7D3E89E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0E7945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Strongly disagree</w:t>
            </w:r>
          </w:p>
        </w:tc>
      </w:tr>
    </w:tbl>
    <w:p w14:paraId="7390E0E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8. How important are cultural elements in your enjoyment of Genshin Impact?</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6708F3D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B75931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important</w:t>
            </w:r>
          </w:p>
        </w:tc>
      </w:tr>
      <w:tr w14:paraId="6904DE3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2ECEB6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Important</w:t>
            </w:r>
          </w:p>
        </w:tc>
      </w:tr>
      <w:tr w14:paraId="1B45F59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1739E0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77A8BCC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938DCD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Unimportant</w:t>
            </w:r>
          </w:p>
        </w:tc>
      </w:tr>
      <w:tr w14:paraId="497C35CD">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56996C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unimportant</w:t>
            </w:r>
          </w:p>
        </w:tc>
      </w:tr>
    </w:tbl>
    <w:p w14:paraId="4C9A6EA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9. How often do you engage with Genshin Impact’s promotional content (e.g., trailers, advertisements, social media posts)?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4F928127">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041551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Always</w:t>
            </w:r>
          </w:p>
        </w:tc>
      </w:tr>
      <w:tr w14:paraId="6E65D7A7">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12B425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Often</w:t>
            </w:r>
          </w:p>
        </w:tc>
      </w:tr>
      <w:tr w14:paraId="46750C14">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4757BCA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Sometimes</w:t>
            </w:r>
          </w:p>
        </w:tc>
      </w:tr>
      <w:tr w14:paraId="480F56B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9ED04B3">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Rarely</w:t>
            </w:r>
          </w:p>
        </w:tc>
      </w:tr>
      <w:tr w14:paraId="54AC8E44">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BBCA98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Never</w:t>
            </w:r>
          </w:p>
        </w:tc>
      </w:tr>
    </w:tbl>
    <w:p w14:paraId="7AF2BE8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10. To what extent do you think Genshin Impact’s marketing content highlights its cultural themes?</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37720D0C">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E7F75C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much</w:t>
            </w:r>
          </w:p>
        </w:tc>
      </w:tr>
      <w:tr w14:paraId="31BE690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C2BB64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Quite a bit</w:t>
            </w:r>
          </w:p>
        </w:tc>
      </w:tr>
      <w:tr w14:paraId="75F3561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92899A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6ACD71BD">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B828C7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Not much</w:t>
            </w:r>
          </w:p>
        </w:tc>
      </w:tr>
      <w:tr w14:paraId="0557B0B8">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9C94FA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Not at all</w:t>
            </w:r>
          </w:p>
        </w:tc>
      </w:tr>
    </w:tbl>
    <w:p w14:paraId="4FA009E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11. How appealing do you find Genshin Impact’s marketing content that focuses on cultural themes?</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4981D636">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E67CC5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appealing</w:t>
            </w:r>
          </w:p>
        </w:tc>
      </w:tr>
      <w:tr w14:paraId="6713CCCE">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1BEEAC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Appealing</w:t>
            </w:r>
          </w:p>
        </w:tc>
      </w:tr>
      <w:tr w14:paraId="4CAECF5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C6CFBE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6EBD37C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20CD78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Unappealing</w:t>
            </w:r>
          </w:p>
        </w:tc>
      </w:tr>
      <w:tr w14:paraId="7CB5449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64F60E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unappealing</w:t>
            </w:r>
          </w:p>
        </w:tc>
      </w:tr>
    </w:tbl>
    <w:p w14:paraId="241C656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12. Have cultural elements in Genshin Impact influenced your decision to play the game?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287D6A6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67058A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Yes, very much</w:t>
            </w:r>
          </w:p>
        </w:tc>
      </w:tr>
      <w:tr w14:paraId="300A2252">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2BD9FC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Yes, somewhat</w:t>
            </w:r>
          </w:p>
        </w:tc>
      </w:tr>
      <w:tr w14:paraId="3E6CDC67">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69FB5D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2130128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FA90FF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 not really</w:t>
            </w:r>
          </w:p>
        </w:tc>
      </w:tr>
      <w:tr w14:paraId="5618A538">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F5CC6F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 not at all</w:t>
            </w:r>
          </w:p>
        </w:tc>
      </w:tr>
    </w:tbl>
    <w:p w14:paraId="075E326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13. Have cultural elements in Genshin Impact influenced your decision to make in-game purchases?</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21010A6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7B00E2A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Yes, very much</w:t>
            </w:r>
          </w:p>
        </w:tc>
      </w:tr>
      <w:tr w14:paraId="6D693CF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EF2E82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Yes, somewhat</w:t>
            </w:r>
          </w:p>
        </w:tc>
      </w:tr>
      <w:tr w14:paraId="6BFEE43F">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0B80A1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672AA1F3">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1A65346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 not really</w:t>
            </w:r>
          </w:p>
        </w:tc>
      </w:tr>
      <w:tr w14:paraId="7223C445">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3F9782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 not at all</w:t>
            </w:r>
          </w:p>
        </w:tc>
      </w:tr>
    </w:tbl>
    <w:p w14:paraId="79853E0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14. Overall, how satisfied are you with the way Genshin Impact incorporates cultural elements into the game?</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5E9D798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PrEx>
        <w:trPr>
          <w:trHeight w:val="500" w:hRule="atLeast"/>
        </w:trPr>
        <w:tc>
          <w:tcPr>
            <w:tcW w:w="7400" w:type="dxa"/>
            <w:shd w:val="clear" w:color="auto" w:fill="FFFFFF"/>
            <w:vAlign w:val="center"/>
          </w:tcPr>
          <w:p w14:paraId="1D144FA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satisfied</w:t>
            </w:r>
          </w:p>
        </w:tc>
      </w:tr>
      <w:tr w14:paraId="29A1295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6E4FD7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Satisfied</w:t>
            </w:r>
          </w:p>
        </w:tc>
      </w:tr>
      <w:tr w14:paraId="1038BF6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38AECDC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Neutral</w:t>
            </w:r>
          </w:p>
        </w:tc>
      </w:tr>
      <w:tr w14:paraId="72A6BE39">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F05071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Dissatisfied</w:t>
            </w:r>
          </w:p>
        </w:tc>
      </w:tr>
      <w:tr w14:paraId="5F1FE031">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52D80D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Very dissatisfied</w:t>
            </w:r>
          </w:p>
        </w:tc>
      </w:tr>
    </w:tbl>
    <w:p w14:paraId="60E158D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15. Would you recommend Genshin Impact to others because of its cultural elements?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7B605C0C">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2C2CAF2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Definitely</w:t>
            </w:r>
          </w:p>
        </w:tc>
      </w:tr>
      <w:tr w14:paraId="0660D24A">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1E8DF8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Probably</w:t>
            </w:r>
          </w:p>
        </w:tc>
      </w:tr>
      <w:tr w14:paraId="664424C6">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618244E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Not sure</w:t>
            </w:r>
          </w:p>
        </w:tc>
      </w:tr>
      <w:tr w14:paraId="33D32B53">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54F8459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Probably not</w:t>
            </w:r>
          </w:p>
        </w:tc>
      </w:tr>
      <w:tr w14:paraId="72CF79F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7400" w:type="dxa"/>
            <w:shd w:val="clear" w:color="auto" w:fill="FFFFFF"/>
            <w:vAlign w:val="center"/>
          </w:tcPr>
          <w:p w14:paraId="071A63A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Definitely not</w:t>
            </w:r>
          </w:p>
        </w:tc>
      </w:tr>
    </w:tbl>
    <w:p w14:paraId="4213665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16.Do you think that the game reflects cultural identities present in the country you are playing in? </w:t>
      </w:r>
    </w:p>
    <w:tbl>
      <w:tblPr>
        <w:tblStyle w:val="13"/>
        <w:tblW w:w="5000" w:type="pct"/>
        <w:tblInd w:w="0" w:type="dxa"/>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Layout w:type="fixed"/>
        <w:tblCellMar>
          <w:top w:w="0" w:type="dxa"/>
          <w:left w:w="108" w:type="dxa"/>
          <w:bottom w:w="0" w:type="dxa"/>
          <w:right w:w="108" w:type="dxa"/>
        </w:tblCellMar>
      </w:tblPr>
      <w:tblGrid>
        <w:gridCol w:w="8522"/>
      </w:tblGrid>
      <w:tr w14:paraId="73A7F07C">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8522" w:type="dxa"/>
            <w:shd w:val="clear" w:color="auto" w:fill="FFFFFF"/>
            <w:vAlign w:val="center"/>
          </w:tcPr>
          <w:p w14:paraId="3591F36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Definitely</w:t>
            </w:r>
          </w:p>
        </w:tc>
      </w:tr>
      <w:tr w14:paraId="2716190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8522" w:type="dxa"/>
            <w:shd w:val="clear" w:color="auto" w:fill="FFFFFF"/>
            <w:vAlign w:val="center"/>
          </w:tcPr>
          <w:p w14:paraId="42E4773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Probably</w:t>
            </w:r>
          </w:p>
        </w:tc>
      </w:tr>
      <w:tr w14:paraId="1712879B">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8522" w:type="dxa"/>
            <w:shd w:val="clear" w:color="auto" w:fill="FFFFFF"/>
            <w:vAlign w:val="center"/>
          </w:tcPr>
          <w:p w14:paraId="7DF0421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Not sure</w:t>
            </w:r>
          </w:p>
        </w:tc>
      </w:tr>
      <w:tr w14:paraId="4290155D">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8522" w:type="dxa"/>
            <w:shd w:val="clear" w:color="auto" w:fill="FFFFFF"/>
            <w:vAlign w:val="center"/>
          </w:tcPr>
          <w:p w14:paraId="5DF33E5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Probably not</w:t>
            </w:r>
          </w:p>
        </w:tc>
      </w:tr>
      <w:tr w14:paraId="0838A4ED">
        <w:tblPrEx>
          <w:tblBorders>
            <w:top w:val="single" w:color="FFFFFF" w:sz="0" w:space="0"/>
            <w:left w:val="single" w:color="FFFFFF" w:sz="0" w:space="0"/>
            <w:bottom w:val="single" w:color="FFFFFF" w:sz="0" w:space="0"/>
            <w:right w:val="single" w:color="FFFFFF" w:sz="0" w:space="0"/>
            <w:insideH w:val="single" w:color="FFFFFF" w:sz="0" w:space="0"/>
            <w:insideV w:val="single" w:color="FFFFFF" w:sz="0" w:space="0"/>
          </w:tblBorders>
          <w:tblCellMar>
            <w:top w:w="0" w:type="dxa"/>
            <w:left w:w="108" w:type="dxa"/>
            <w:bottom w:w="0" w:type="dxa"/>
            <w:right w:w="108" w:type="dxa"/>
          </w:tblCellMar>
        </w:tblPrEx>
        <w:trPr>
          <w:trHeight w:val="500" w:hRule="atLeast"/>
        </w:trPr>
        <w:tc>
          <w:tcPr>
            <w:tcW w:w="8522" w:type="dxa"/>
            <w:shd w:val="clear" w:color="auto" w:fill="FFFFFF"/>
            <w:vAlign w:val="center"/>
          </w:tcPr>
          <w:p w14:paraId="1F157C83">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Definitely not</w:t>
            </w:r>
          </w:p>
          <w:p w14:paraId="541C1D9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bookmarkStart w:id="73" w:name="_Toc481690841"/>
          </w:p>
          <w:p w14:paraId="0673992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F1C036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A85A17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D7167F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4C05BA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65D69E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C48547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846205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417AA99">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CF5B07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EB8473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AE5755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4BA0BC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F2BD15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0542818">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EA45EB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DA5937F">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550D637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43B2D62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CFDA99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4C48E1A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F2BCBD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333CFE4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28DCAF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04FEABC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6EC4E6EA">
            <w:pPr>
              <w:pStyle w:val="3"/>
              <w:pageBreakBefore w:val="0"/>
              <w:kinsoku/>
              <w:wordWrap/>
              <w:overflowPunct/>
              <w:topLinePunct w:val="0"/>
              <w:bidi w:val="0"/>
              <w:snapToGrid/>
              <w:spacing w:line="240" w:lineRule="auto"/>
              <w:rPr>
                <w:rFonts w:hint="default" w:ascii="Arial" w:hAnsi="Arial" w:cs="Arial"/>
                <w:color w:val="auto"/>
                <w:sz w:val="24"/>
                <w:szCs w:val="24"/>
                <w:u w:val="single"/>
                <w:lang w:val="en-US" w:eastAsia="zh-CN"/>
              </w:rPr>
            </w:pPr>
            <w:bookmarkStart w:id="74" w:name="_Toc5986"/>
            <w:r>
              <w:rPr>
                <w:rFonts w:hint="default" w:ascii="Arial" w:hAnsi="Arial" w:cs="Arial"/>
                <w:color w:val="auto"/>
                <w:sz w:val="24"/>
                <w:szCs w:val="24"/>
                <w:u w:val="single"/>
                <w:lang w:val="en-US" w:eastAsia="zh-CN"/>
              </w:rPr>
              <w:t>Appendix 2- Original Interview Question Script</w:t>
            </w:r>
            <w:bookmarkEnd w:id="73"/>
            <w:bookmarkEnd w:id="74"/>
          </w:p>
          <w:p w14:paraId="4C9B783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 Could you share a bit about yourself, including your age group, gender, and the country or region you are from?</w:t>
            </w:r>
          </w:p>
          <w:p w14:paraId="248722B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2. How did you first hear about Genshin Impact, and what drew you to start playing the game?</w:t>
            </w:r>
          </w:p>
          <w:p w14:paraId="15F316D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3. How has your engagement with Genshin Impact evolved over time? </w:t>
            </w:r>
          </w:p>
          <w:p w14:paraId="151AC3F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4. Can you describe any particular moments or elements in Genshin Impact that made you aware?</w:t>
            </w:r>
          </w:p>
          <w:p w14:paraId="4A57D740">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5. What do you think about the way Genshin Impact blends its fantasy world with real-world?</w:t>
            </w:r>
          </w:p>
          <w:p w14:paraId="308C2F3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6. How do these cultural elements affect your immersion and experience in the game?</w:t>
            </w:r>
          </w:p>
          <w:p w14:paraId="45F8887E">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7. What are your thoughts on the promotional content (like trailers, social media posts, advertisements) released by Genshin Impact? Are there any that you found particularly memorable?</w:t>
            </w:r>
          </w:p>
          <w:p w14:paraId="2917783B">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8. Can you recall any promotional events or campaigns that effectively highlighted the cultural aspects of the game? What made them stand out to you?</w:t>
            </w:r>
          </w:p>
          <w:p w14:paraId="6035ACCD">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9. To what extent have the cultural themes in Genshin Impact influenced your interest in the game and your decisions related to gameplay?</w:t>
            </w:r>
          </w:p>
          <w:p w14:paraId="55862BF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10. Have you ever made in-game purchases based on cultural themes or events? Could you describe a specific instance?</w:t>
            </w:r>
          </w:p>
          <w:p w14:paraId="2E0DC791">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11. Are you familiar with the concept of cultural marketing? If so, how would you define it in your own words?</w:t>
            </w:r>
          </w:p>
          <w:p w14:paraId="7EFABA0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12. How do you think cultural marketing is reflected in Genshin Impact’s promotional strategies and in-game content?</w:t>
            </w:r>
          </w:p>
          <w:p w14:paraId="439CBAC4">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13. How satisfied are you with Genshin Impact’s representation of various cultures? Are there specific aspects you think they have done well or areas that need improvement?</w:t>
            </w:r>
          </w:p>
          <w:p w14:paraId="77C494C3">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14. If you were to recommend Genshin Impact to a friend, how would you describe the cultural elements of the game? </w:t>
            </w:r>
          </w:p>
          <w:p w14:paraId="305A20EA">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15. How do you feel about Genshin Impact's approach to integrating cultural elements into its characters and storylines?</w:t>
            </w:r>
          </w:p>
          <w:p w14:paraId="2A1C5D05">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16. Do you have any suggestions or ideas on how Genshin Impact could enhance its cultural marketing strategy?</w:t>
            </w:r>
          </w:p>
          <w:p w14:paraId="08743AA2">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17. Do you think that the game reflects cultural identities present in the country you are playing in?</w:t>
            </w:r>
          </w:p>
          <w:p w14:paraId="57E10343">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29091A37">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4DEE7416">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p w14:paraId="102915FC">
            <w:pPr>
              <w:pageBreakBefore w:val="0"/>
              <w:widowControl/>
              <w:kinsoku/>
              <w:wordWrap/>
              <w:overflowPunct/>
              <w:topLinePunct w:val="0"/>
              <w:bidi w:val="0"/>
              <w:snapToGrid/>
              <w:spacing w:line="240" w:lineRule="auto"/>
              <w:rPr>
                <w:rFonts w:hint="default" w:ascii="Arial" w:hAnsi="Arial" w:eastAsia="宋体" w:cs="Arial"/>
                <w:kern w:val="0"/>
                <w:sz w:val="24"/>
                <w:szCs w:val="24"/>
                <w:lang w:val="en-US" w:eastAsia="zh-CN" w:bidi="ar"/>
              </w:rPr>
            </w:pPr>
          </w:p>
        </w:tc>
      </w:tr>
    </w:tbl>
    <w:p w14:paraId="7FB0BDC6">
      <w:pPr>
        <w:pageBreakBefore w:val="0"/>
        <w:widowControl/>
        <w:kinsoku/>
        <w:wordWrap/>
        <w:overflowPunct/>
        <w:topLinePunct w:val="0"/>
        <w:bidi w:val="0"/>
        <w:snapToGrid/>
        <w:spacing w:line="240" w:lineRule="auto"/>
        <w:rPr>
          <w:rFonts w:hint="default" w:ascii="Arial" w:hAnsi="Arial" w:eastAsia="宋体" w:cs="Arial"/>
          <w:kern w:val="0"/>
          <w:sz w:val="24"/>
          <w:lang w:val="en-US" w:eastAsia="zh-CN" w:bidi="ar"/>
        </w:rPr>
      </w:pPr>
    </w:p>
    <w:p w14:paraId="0A9F6E24">
      <w:pPr>
        <w:pageBreakBefore w:val="0"/>
        <w:widowControl/>
        <w:kinsoku/>
        <w:wordWrap/>
        <w:overflowPunct/>
        <w:topLinePunct w:val="0"/>
        <w:bidi w:val="0"/>
        <w:snapToGrid/>
        <w:spacing w:line="240" w:lineRule="auto"/>
        <w:rPr>
          <w:rFonts w:hint="default" w:ascii="Arial" w:hAnsi="Arial" w:eastAsia="宋体" w:cs="Arial"/>
          <w:kern w:val="0"/>
          <w:sz w:val="24"/>
          <w:lang w:val="en-US" w:eastAsia="zh-CN" w:bidi="ar"/>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Brush Script MT">
    <w:panose1 w:val="03060802040406070304"/>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8238540">
    <w:pPr>
      <w:pStyle w:val="7"/>
      <w:ind w:firstLine="180" w:firstLineChars="100"/>
      <w:jc w:val="right"/>
      <w:rPr>
        <w:rFonts w:hint="default"/>
        <w:lang w:val="en-US"/>
      </w:rPr>
    </w:pPr>
    <w:r>
      <w:rPr>
        <w:color w:val="000000" w:themeColor="text1"/>
        <w:sz w:val="18"/>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margin">
                <wp:posOffset>4902200</wp:posOffset>
              </wp:positionH>
              <wp:positionV relativeFrom="paragraph">
                <wp:posOffset>0</wp:posOffset>
              </wp:positionV>
              <wp:extent cx="76200" cy="1828800"/>
              <wp:effectExtent l="0" t="0" r="0" b="0"/>
              <wp:wrapNone/>
              <wp:docPr id="4" name="文本框 4"/>
              <wp:cNvGraphicFramePr/>
              <a:graphic xmlns:a="http://schemas.openxmlformats.org/drawingml/2006/main">
                <a:graphicData uri="http://schemas.microsoft.com/office/word/2010/wordprocessingShape">
                  <wps:wsp>
                    <wps:cNvSpPr txBox="1"/>
                    <wps:spPr>
                      <a:xfrm flipH="1">
                        <a:off x="0" y="0"/>
                        <a:ext cx="762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EB237A7">
                          <w:pPr>
                            <w:pStyle w:val="7"/>
                            <w:rPr>
                              <w:color w:val="000000" w:themeColor="text1"/>
                              <w14:textFill>
                                <w14:solidFill>
                                  <w14:schemeClr w14:val="tx1"/>
                                </w14:solidFill>
                              </w14:textFill>
                            </w:rP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squar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flip:x;margin-left:386pt;margin-top:0pt;height:144pt;width:6pt;mso-position-horizontal-relative:margin;z-index:251659264;mso-width-relative:page;mso-height-relative:page;" filled="f" stroked="f" coordsize="21600,21600" o:gfxdata="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CAw7zt1wAAAAgBAAAPAAAAAAAAAAEAIAAAACIAAABkcnMv&#10;ZG93bnJldi54bWxQSwECFAAUAAAACACHTuJAVABfsz0CAABrBAAADgAAAAAAAAABACAAAAAmAQAA&#10;ZHJzL2Uyb0RvYy54bWxQSwUGAAAAAAYABgBZAQAA1QUAAAAA&#10;">
              <v:fill on="f" focussize="0,0"/>
              <v:stroke on="f" weight="0.5pt"/>
              <v:imagedata o:title=""/>
              <o:lock v:ext="edit" aspectratio="f"/>
              <v:textbox inset="0mm,0mm,0mm,0mm" style="mso-fit-shape-to-text:t;">
                <w:txbxContent>
                  <w:p w14:paraId="1EB237A7">
                    <w:pPr>
                      <w:pStyle w:val="7"/>
                      <w:rPr>
                        <w:color w:val="000000" w:themeColor="text1"/>
                        <w14:textFill>
                          <w14:solidFill>
                            <w14:schemeClr w14:val="tx1"/>
                          </w14:solidFill>
                        </w14:textFill>
                      </w:rPr>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color w:val="000000" w:themeColor="text1"/>
        <w:lang w:val="en-US" w:eastAsia="zh-CN"/>
        <w14:textFill>
          <w14:solidFill>
            <w14:schemeClr w14:val="tx1"/>
          </w14:solidFill>
        </w14:textFill>
      </w:rPr>
      <w:t>|</w:t>
    </w:r>
    <w:r>
      <w:rPr>
        <w:rFonts w:hint="eastAsia"/>
        <w:lang w:val="en-US" w:eastAsia="zh-CN"/>
      </w:rPr>
      <w:t xml:space="preserve"> </w:t>
    </w:r>
    <w:r>
      <w:rPr>
        <w:rFonts w:hint="eastAsia"/>
        <w:color w:val="808080" w:themeColor="background1" w:themeShade="80"/>
        <w:lang w:val="en-US" w:eastAsia="zh-CN"/>
      </w:rPr>
      <w:t>Page</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F237D1">
    <w:pPr>
      <w:pStyle w:val="7"/>
      <w:ind w:firstLine="180" w:firstLineChars="100"/>
      <w:jc w:val="right"/>
      <w:rPr>
        <w:rFonts w:hint="default"/>
        <w:lang w:val="en-US"/>
      </w:rPr>
    </w:pPr>
    <w:r>
      <w:rPr>
        <w:color w:val="000000" w:themeColor="text1"/>
        <w:sz w:val="18"/>
        <w14:textFill>
          <w14:solidFill>
            <w14:schemeClr w14:val="tx1"/>
          </w14:solidFill>
        </w14:textFill>
      </w:rPr>
      <mc:AlternateContent>
        <mc:Choice Requires="wps">
          <w:drawing>
            <wp:anchor distT="0" distB="0" distL="114300" distR="114300" simplePos="0" relativeHeight="251660288" behindDoc="0" locked="0" layoutInCell="1" allowOverlap="1">
              <wp:simplePos x="0" y="0"/>
              <wp:positionH relativeFrom="margin">
                <wp:posOffset>4837430</wp:posOffset>
              </wp:positionH>
              <wp:positionV relativeFrom="paragraph">
                <wp:posOffset>0</wp:posOffset>
              </wp:positionV>
              <wp:extent cx="140970" cy="1828800"/>
              <wp:effectExtent l="0" t="0" r="0" b="0"/>
              <wp:wrapNone/>
              <wp:docPr id="5" name="文本框 5"/>
              <wp:cNvGraphicFramePr/>
              <a:graphic xmlns:a="http://schemas.openxmlformats.org/drawingml/2006/main">
                <a:graphicData uri="http://schemas.microsoft.com/office/word/2010/wordprocessingShape">
                  <wps:wsp>
                    <wps:cNvSpPr txBox="1"/>
                    <wps:spPr>
                      <a:xfrm flipH="1">
                        <a:off x="0" y="0"/>
                        <a:ext cx="14097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6EF98E6">
                          <w:pPr>
                            <w:pStyle w:val="7"/>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squar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flip:x;margin-left:380.9pt;margin-top:0pt;height:144pt;width:11.1pt;mso-position-horizontal-relative:margin;z-index:251660288;mso-width-relative:page;mso-height-relative:page;" filled="f" stroked="f" coordsize="21600,21600" o:gfxdata="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&#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cR5eZdYAAAAIAQAADwAAAAAAAAABACAAAAAiAAAAZHJz&#10;L2Rvd25yZXYueG1sUEsBAhQAFAAAAAgAh07iQFWxGMc/AgAAbAQAAA4AAAAAAAAAAQAgAAAAJQEA&#10;AGRycy9lMm9Eb2MueG1sUEsFBgAAAAAGAAYAWQEAANYFAAAAAA==&#10;">
              <v:fill on="f" focussize="0,0"/>
              <v:stroke on="f" weight="0.5pt"/>
              <v:imagedata o:title=""/>
              <o:lock v:ext="edit" aspectratio="f"/>
              <v:textbox inset="0mm,0mm,0mm,0mm" style="mso-fit-shape-to-text:t;">
                <w:txbxContent>
                  <w:p w14:paraId="56EF98E6">
                    <w:pPr>
                      <w:pStyle w:val="7"/>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r>
      <w:rPr>
        <w:rFonts w:hint="eastAsia"/>
        <w:color w:val="000000" w:themeColor="text1"/>
        <w:lang w:val="en-US" w:eastAsia="zh-CN"/>
        <w14:textFill>
          <w14:solidFill>
            <w14:schemeClr w14:val="tx1"/>
          </w14:solidFill>
        </w14:textFill>
      </w:rPr>
      <w:t>|</w:t>
    </w:r>
    <w:r>
      <w:rPr>
        <w:rFonts w:hint="eastAsia"/>
        <w:lang w:val="en-US" w:eastAsia="zh-CN"/>
      </w:rPr>
      <w:t xml:space="preserve"> </w:t>
    </w:r>
    <w:r>
      <w:rPr>
        <w:rFonts w:hint="eastAsia"/>
        <w:color w:val="808080" w:themeColor="background1" w:themeShade="80"/>
        <w:lang w:val="en-US" w:eastAsia="zh-CN"/>
      </w:rPr>
      <w:t>Page</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6EF72C"/>
    <w:multiLevelType w:val="singleLevel"/>
    <w:tmpl w:val="906EF72C"/>
    <w:lvl w:ilvl="0" w:tentative="0">
      <w:start w:val="1"/>
      <w:numFmt w:val="decimalEnclosedCircleChinese"/>
      <w:suff w:val="nothing"/>
      <w:lvlText w:val="%1　"/>
      <w:lvlJc w:val="left"/>
      <w:pPr>
        <w:ind w:left="0" w:firstLine="400"/>
      </w:pPr>
      <w:rPr>
        <w:rFonts w:hint="eastAsia"/>
      </w:rPr>
    </w:lvl>
  </w:abstractNum>
  <w:abstractNum w:abstractNumId="1">
    <w:nsid w:val="A7349E22"/>
    <w:multiLevelType w:val="singleLevel"/>
    <w:tmpl w:val="A7349E22"/>
    <w:lvl w:ilvl="0" w:tentative="0">
      <w:start w:val="1"/>
      <w:numFmt w:val="decimalEnclosedCircleChinese"/>
      <w:suff w:val="nothing"/>
      <w:lvlText w:val="%1　"/>
      <w:lvlJc w:val="left"/>
      <w:pPr>
        <w:ind w:left="0" w:firstLine="400"/>
      </w:pPr>
      <w:rPr>
        <w:rFonts w:hint="eastAsia"/>
      </w:rPr>
    </w:lvl>
  </w:abstractNum>
  <w:abstractNum w:abstractNumId="2">
    <w:nsid w:val="B1F06CE0"/>
    <w:multiLevelType w:val="singleLevel"/>
    <w:tmpl w:val="B1F06CE0"/>
    <w:lvl w:ilvl="0" w:tentative="0">
      <w:start w:val="1"/>
      <w:numFmt w:val="decimalEnclosedCircleChinese"/>
      <w:suff w:val="nothing"/>
      <w:lvlText w:val="%1　"/>
      <w:lvlJc w:val="left"/>
      <w:pPr>
        <w:ind w:left="0" w:firstLine="400"/>
      </w:pPr>
      <w:rPr>
        <w:rFonts w:hint="eastAsia"/>
      </w:rPr>
    </w:lvl>
  </w:abstractNum>
  <w:abstractNum w:abstractNumId="3">
    <w:nsid w:val="D0C5A25B"/>
    <w:multiLevelType w:val="multilevel"/>
    <w:tmpl w:val="D0C5A25B"/>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4">
    <w:nsid w:val="E8F28AB7"/>
    <w:multiLevelType w:val="singleLevel"/>
    <w:tmpl w:val="E8F28AB7"/>
    <w:lvl w:ilvl="0" w:tentative="0">
      <w:start w:val="1"/>
      <w:numFmt w:val="decimalEnclosedCircleChinese"/>
      <w:suff w:val="nothing"/>
      <w:lvlText w:val="%1　"/>
      <w:lvlJc w:val="left"/>
      <w:pPr>
        <w:ind w:left="0" w:firstLine="400"/>
      </w:pPr>
      <w:rPr>
        <w:rFonts w:hint="eastAsia"/>
      </w:rPr>
    </w:lvl>
  </w:abstractNum>
  <w:abstractNum w:abstractNumId="5">
    <w:nsid w:val="F8ADFC00"/>
    <w:multiLevelType w:val="singleLevel"/>
    <w:tmpl w:val="F8ADFC00"/>
    <w:lvl w:ilvl="0" w:tentative="0">
      <w:start w:val="1"/>
      <w:numFmt w:val="bullet"/>
      <w:lvlText w:val=""/>
      <w:lvlJc w:val="left"/>
      <w:pPr>
        <w:ind w:left="420" w:hanging="420"/>
      </w:pPr>
      <w:rPr>
        <w:rFonts w:hint="default" w:ascii="Wingdings" w:hAnsi="Wingdings"/>
      </w:rPr>
    </w:lvl>
  </w:abstractNum>
  <w:abstractNum w:abstractNumId="6">
    <w:nsid w:val="09D62B95"/>
    <w:multiLevelType w:val="singleLevel"/>
    <w:tmpl w:val="09D62B95"/>
    <w:lvl w:ilvl="0" w:tentative="0">
      <w:start w:val="1"/>
      <w:numFmt w:val="decimalEnclosedCircleChinese"/>
      <w:suff w:val="nothing"/>
      <w:lvlText w:val="%1　"/>
      <w:lvlJc w:val="left"/>
      <w:pPr>
        <w:ind w:left="0" w:firstLine="400"/>
      </w:pPr>
      <w:rPr>
        <w:rFonts w:hint="eastAsia"/>
      </w:rPr>
    </w:lvl>
  </w:abstractNum>
  <w:num w:numId="1">
    <w:abstractNumId w:val="3"/>
  </w:num>
  <w:num w:numId="2">
    <w:abstractNumId w:val="2"/>
  </w:num>
  <w:num w:numId="3">
    <w:abstractNumId w:val="4"/>
  </w:num>
  <w:num w:numId="4">
    <w:abstractNumId w:val="0"/>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009D345A"/>
    <w:rsid w:val="002E7CB9"/>
    <w:rsid w:val="004561D9"/>
    <w:rsid w:val="007942F3"/>
    <w:rsid w:val="008A7A85"/>
    <w:rsid w:val="009D345A"/>
    <w:rsid w:val="00D1607C"/>
    <w:rsid w:val="01024DD0"/>
    <w:rsid w:val="032F5508"/>
    <w:rsid w:val="03E64FA8"/>
    <w:rsid w:val="046B34B0"/>
    <w:rsid w:val="05432350"/>
    <w:rsid w:val="057D5680"/>
    <w:rsid w:val="06F74246"/>
    <w:rsid w:val="07AC0BBC"/>
    <w:rsid w:val="07C96837"/>
    <w:rsid w:val="07EB26D0"/>
    <w:rsid w:val="07FE5D95"/>
    <w:rsid w:val="0B4E747A"/>
    <w:rsid w:val="0BFE1848"/>
    <w:rsid w:val="0D693D60"/>
    <w:rsid w:val="0D6B17B4"/>
    <w:rsid w:val="0E6B38A8"/>
    <w:rsid w:val="0E8214DF"/>
    <w:rsid w:val="10044B41"/>
    <w:rsid w:val="10AD7059"/>
    <w:rsid w:val="122D5A36"/>
    <w:rsid w:val="13702ED3"/>
    <w:rsid w:val="1521791B"/>
    <w:rsid w:val="152813F8"/>
    <w:rsid w:val="153972F2"/>
    <w:rsid w:val="18886866"/>
    <w:rsid w:val="18BC5F12"/>
    <w:rsid w:val="1C15223F"/>
    <w:rsid w:val="1D1D57FA"/>
    <w:rsid w:val="1DF83B44"/>
    <w:rsid w:val="1E977D07"/>
    <w:rsid w:val="235C6C70"/>
    <w:rsid w:val="23CC6498"/>
    <w:rsid w:val="24D526A3"/>
    <w:rsid w:val="27C73639"/>
    <w:rsid w:val="28716D31"/>
    <w:rsid w:val="28E21568"/>
    <w:rsid w:val="299659C7"/>
    <w:rsid w:val="2B81789F"/>
    <w:rsid w:val="2CD8061C"/>
    <w:rsid w:val="2D555FA8"/>
    <w:rsid w:val="332751CD"/>
    <w:rsid w:val="34C45DF5"/>
    <w:rsid w:val="3B6130C1"/>
    <w:rsid w:val="40EF6593"/>
    <w:rsid w:val="418E03B1"/>
    <w:rsid w:val="420E6F2F"/>
    <w:rsid w:val="424511E4"/>
    <w:rsid w:val="42D33B3A"/>
    <w:rsid w:val="4412641C"/>
    <w:rsid w:val="443A40FB"/>
    <w:rsid w:val="46005C26"/>
    <w:rsid w:val="464E0242"/>
    <w:rsid w:val="47B20ED6"/>
    <w:rsid w:val="47CE2746"/>
    <w:rsid w:val="48560C56"/>
    <w:rsid w:val="48CB4B88"/>
    <w:rsid w:val="4B3519D1"/>
    <w:rsid w:val="4E7641FC"/>
    <w:rsid w:val="4F530EC0"/>
    <w:rsid w:val="51E97CBD"/>
    <w:rsid w:val="54AB78E1"/>
    <w:rsid w:val="55756E8A"/>
    <w:rsid w:val="55C67B9F"/>
    <w:rsid w:val="576B26E6"/>
    <w:rsid w:val="585D74D3"/>
    <w:rsid w:val="58F43FF0"/>
    <w:rsid w:val="5A075DBE"/>
    <w:rsid w:val="5A12348F"/>
    <w:rsid w:val="5D3F77FD"/>
    <w:rsid w:val="5DEF1044"/>
    <w:rsid w:val="5F2770A9"/>
    <w:rsid w:val="6161109E"/>
    <w:rsid w:val="62E93375"/>
    <w:rsid w:val="64830F6B"/>
    <w:rsid w:val="67A91325"/>
    <w:rsid w:val="68733803"/>
    <w:rsid w:val="68E22933"/>
    <w:rsid w:val="69010878"/>
    <w:rsid w:val="69CF39D8"/>
    <w:rsid w:val="6A116D0D"/>
    <w:rsid w:val="6A371C6A"/>
    <w:rsid w:val="6B625B47"/>
    <w:rsid w:val="6C4B3C50"/>
    <w:rsid w:val="748E5B49"/>
    <w:rsid w:val="74F33160"/>
    <w:rsid w:val="75632A0F"/>
    <w:rsid w:val="75A96DE4"/>
    <w:rsid w:val="773770A8"/>
    <w:rsid w:val="77424307"/>
    <w:rsid w:val="79316264"/>
    <w:rsid w:val="7A8B7124"/>
    <w:rsid w:val="7AB405A9"/>
    <w:rsid w:val="7B9E14FD"/>
    <w:rsid w:val="7C5537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semiHidden/>
    <w:unhideWhenUsed/>
    <w:qFormat/>
    <w:uiPriority w:val="0"/>
    <w:pPr>
      <w:spacing w:beforeAutospacing="1" w:afterAutospacing="1"/>
      <w:jc w:val="left"/>
      <w:outlineLvl w:val="2"/>
    </w:pPr>
    <w:rPr>
      <w:rFonts w:hint="eastAsia" w:ascii="宋体" w:hAnsi="宋体" w:eastAsia="宋体" w:cs="Times New Roman"/>
      <w:b/>
      <w:bCs/>
      <w:kern w:val="0"/>
      <w:sz w:val="27"/>
      <w:szCs w:val="27"/>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annotation text"/>
    <w:basedOn w:val="1"/>
    <w:link w:val="24"/>
    <w:qFormat/>
    <w:uiPriority w:val="0"/>
    <w:rPr>
      <w:sz w:val="20"/>
      <w:szCs w:val="20"/>
    </w:r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Normal (Web)"/>
    <w:basedOn w:val="1"/>
    <w:qFormat/>
    <w:uiPriority w:val="0"/>
    <w:pPr>
      <w:spacing w:beforeAutospacing="1" w:afterAutospacing="1"/>
      <w:jc w:val="left"/>
    </w:pPr>
    <w:rPr>
      <w:rFonts w:cs="Times New Roman"/>
      <w:kern w:val="0"/>
      <w:sz w:val="24"/>
    </w:rPr>
  </w:style>
  <w:style w:type="paragraph" w:styleId="12">
    <w:name w:val="annotation subject"/>
    <w:basedOn w:val="6"/>
    <w:next w:val="6"/>
    <w:link w:val="25"/>
    <w:qFormat/>
    <w:uiPriority w:val="0"/>
    <w:rPr>
      <w:b/>
      <w:bCs/>
    </w:rPr>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0"/>
    <w:rPr>
      <w:b/>
    </w:rPr>
  </w:style>
  <w:style w:type="character" w:styleId="17">
    <w:name w:val="Emphasis"/>
    <w:basedOn w:val="15"/>
    <w:qFormat/>
    <w:uiPriority w:val="0"/>
    <w:rPr>
      <w:i/>
    </w:rPr>
  </w:style>
  <w:style w:type="character" w:styleId="18">
    <w:name w:val="Hyperlink"/>
    <w:basedOn w:val="15"/>
    <w:qFormat/>
    <w:uiPriority w:val="0"/>
    <w:rPr>
      <w:color w:val="0000FF"/>
      <w:u w:val="single"/>
    </w:rPr>
  </w:style>
  <w:style w:type="character" w:styleId="19">
    <w:name w:val="annotation reference"/>
    <w:basedOn w:val="15"/>
    <w:qFormat/>
    <w:uiPriority w:val="0"/>
    <w:rPr>
      <w:sz w:val="16"/>
      <w:szCs w:val="16"/>
    </w:rPr>
  </w:style>
  <w:style w:type="character" w:customStyle="1" w:styleId="20">
    <w:name w:val="font11"/>
    <w:basedOn w:val="15"/>
    <w:qFormat/>
    <w:uiPriority w:val="0"/>
    <w:rPr>
      <w:rFonts w:hint="default" w:ascii="Times New Roman" w:hAnsi="Times New Roman" w:cs="Times New Roman"/>
      <w:b/>
      <w:bCs/>
      <w:color w:val="000000"/>
      <w:sz w:val="32"/>
      <w:szCs w:val="32"/>
      <w:u w:val="none"/>
    </w:rPr>
  </w:style>
  <w:style w:type="character" w:customStyle="1" w:styleId="21">
    <w:name w:val="font31"/>
    <w:basedOn w:val="15"/>
    <w:qFormat/>
    <w:uiPriority w:val="0"/>
    <w:rPr>
      <w:rFonts w:hint="eastAsia" w:ascii="宋体" w:hAnsi="宋体" w:eastAsia="宋体" w:cs="宋体"/>
      <w:b/>
      <w:bCs/>
      <w:color w:val="000000"/>
      <w:sz w:val="32"/>
      <w:szCs w:val="32"/>
      <w:u w:val="none"/>
    </w:rPr>
  </w:style>
  <w:style w:type="character" w:customStyle="1" w:styleId="22">
    <w:name w:val="font21"/>
    <w:basedOn w:val="15"/>
    <w:qFormat/>
    <w:uiPriority w:val="0"/>
    <w:rPr>
      <w:rFonts w:hint="default" w:ascii="Times New Roman" w:hAnsi="Times New Roman" w:cs="Times New Roman"/>
      <w:color w:val="000000"/>
      <w:sz w:val="32"/>
      <w:szCs w:val="32"/>
      <w:u w:val="none"/>
    </w:rPr>
  </w:style>
  <w:style w:type="paragraph" w:customStyle="1" w:styleId="23">
    <w:name w:val="Revision"/>
    <w:hidden/>
    <w:unhideWhenUsed/>
    <w:qFormat/>
    <w:uiPriority w:val="99"/>
    <w:rPr>
      <w:rFonts w:asciiTheme="minorHAnsi" w:hAnsiTheme="minorHAnsi" w:eastAsiaTheme="minorEastAsia" w:cstheme="minorBidi"/>
      <w:kern w:val="2"/>
      <w:sz w:val="21"/>
      <w:szCs w:val="24"/>
      <w:lang w:val="en-US" w:eastAsia="zh-CN" w:bidi="ar-SA"/>
    </w:rPr>
  </w:style>
  <w:style w:type="character" w:customStyle="1" w:styleId="24">
    <w:name w:val="Comment Text Char"/>
    <w:basedOn w:val="15"/>
    <w:link w:val="6"/>
    <w:qFormat/>
    <w:uiPriority w:val="0"/>
    <w:rPr>
      <w:rFonts w:asciiTheme="minorHAnsi" w:hAnsiTheme="minorHAnsi" w:eastAsiaTheme="minorEastAsia" w:cstheme="minorBidi"/>
      <w:kern w:val="2"/>
      <w:lang w:val="en-US" w:eastAsia="zh-CN"/>
    </w:rPr>
  </w:style>
  <w:style w:type="character" w:customStyle="1" w:styleId="25">
    <w:name w:val="Comment Subject Char"/>
    <w:basedOn w:val="24"/>
    <w:link w:val="12"/>
    <w:qFormat/>
    <w:uiPriority w:val="0"/>
    <w:rPr>
      <w:rFonts w:asciiTheme="minorHAnsi" w:hAnsiTheme="minorHAnsi" w:eastAsiaTheme="minorEastAsia" w:cstheme="minorBidi"/>
      <w:b/>
      <w:bCs/>
      <w:kern w:val="2"/>
      <w:lang w:val="en-US" w:eastAsia="zh-CN"/>
    </w:rPr>
  </w:style>
  <w:style w:type="paragraph" w:customStyle="1" w:styleId="26">
    <w:name w:val="WPSOffice手动目录 1"/>
    <w:qFormat/>
    <w:uiPriority w:val="0"/>
    <w:pPr>
      <w:ind w:leftChars="0"/>
    </w:pPr>
    <w:rPr>
      <w:rFonts w:ascii="Times New Roman" w:hAnsi="Times New Roman" w:eastAsia="宋体" w:cs="Times New Roman"/>
      <w:sz w:val="20"/>
      <w:szCs w:val="20"/>
    </w:rPr>
  </w:style>
  <w:style w:type="paragraph" w:customStyle="1" w:styleId="27">
    <w:name w:val="WPSOffice手动目录 2"/>
    <w:qFormat/>
    <w:uiPriority w:val="0"/>
    <w:pPr>
      <w:ind w:leftChars="200"/>
    </w:pPr>
    <w:rPr>
      <w:rFonts w:ascii="Times New Roman" w:hAnsi="Times New Roman" w:eastAsia="宋体" w:cs="Times New Roman"/>
      <w:sz w:val="20"/>
      <w:szCs w:val="20"/>
    </w:rPr>
  </w:style>
  <w:style w:type="paragraph" w:customStyle="1" w:styleId="28">
    <w:name w:val="Bibliography"/>
    <w:basedOn w:val="1"/>
    <w:next w:val="1"/>
    <w:unhideWhenUsed/>
    <w:qFormat/>
    <w:uiPriority w:val="37"/>
    <w:pPr>
      <w:spacing w:after="200" w:line="276" w:lineRule="auto"/>
    </w:p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microsoft.com/office/2007/relationships/hdphoto" Target="media/image3.wdp"/><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kehec\Desktop\11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tx>
            <c:strRef>
              <c:f>[111.xlsx]Sheet2!$B$1</c:f>
              <c:strCache>
                <c:ptCount val="1"/>
                <c:pt idx="0">
                  <c:v>Asia</c:v>
                </c:pt>
              </c:strCache>
            </c:strRef>
          </c:tx>
          <c:spPr>
            <a:ln w="28575" cap="rnd">
              <a:gradFill>
                <a:gsLst>
                  <a:gs pos="0">
                    <a:schemeClr val="accent1">
                      <a:hueOff val="-1670000"/>
                    </a:schemeClr>
                  </a:gs>
                  <a:gs pos="100000">
                    <a:schemeClr val="accent1"/>
                  </a:gs>
                </a:gsLst>
                <a:lin ang="5160000" scaled="1"/>
              </a:gradFill>
              <a:round/>
            </a:ln>
            <a:effectLst/>
          </c:spPr>
          <c:marker>
            <c:symbol val="none"/>
          </c:marker>
          <c:dLbls>
            <c:dLbl>
              <c:idx val="0"/>
              <c:layout>
                <c:manualLayout>
                  <c:x val="-0.00237749306564522"/>
                  <c:y val="0.044200187090739"/>
                </c:manualLayout>
              </c:layout>
              <c:showLegendKey val="0"/>
              <c:showVal val="1"/>
              <c:showCatName val="0"/>
              <c:showSerName val="0"/>
              <c:showPercent val="0"/>
              <c:showBubbleSize val="0"/>
              <c:extLst>
                <c:ext xmlns:c15="http://schemas.microsoft.com/office/drawing/2012/chart" uri="{CE6537A1-D6FC-4f65-9D91-7224C49458BB}">
                  <c15:layout/>
                </c:ext>
              </c:extLst>
            </c:dLbl>
            <c:dLbl>
              <c:idx val="1"/>
              <c:layout>
                <c:manualLayout>
                  <c:x val="-0.0394788139940494"/>
                  <c:y val="0.0656607033261767"/>
                </c:manualLayout>
              </c:layout>
              <c:showLegendKey val="0"/>
              <c:showVal val="1"/>
              <c:showCatName val="0"/>
              <c:showSerName val="0"/>
              <c:showPercent val="0"/>
              <c:showBubbleSize val="0"/>
              <c:extLst>
                <c:ext xmlns:c15="http://schemas.microsoft.com/office/drawing/2012/chart" uri="{CE6537A1-D6FC-4f65-9D91-7224C49458BB}">
                  <c15:layout/>
                </c:ext>
              </c:extLst>
            </c:dLbl>
            <c:dLbl>
              <c:idx val="2"/>
              <c:layout>
                <c:manualLayout>
                  <c:x val="-0.0106344076565683"/>
                  <c:y val="-0.0848227487861825"/>
                </c:manualLayout>
              </c:layout>
              <c:showLegendKey val="0"/>
              <c:showVal val="1"/>
              <c:showCatName val="0"/>
              <c:showSerName val="0"/>
              <c:showPercent val="0"/>
              <c:showBubbleSize val="0"/>
              <c:extLst>
                <c:ext xmlns:c15="http://schemas.microsoft.com/office/drawing/2012/chart" uri="{CE6537A1-D6FC-4f65-9D91-7224C49458BB}">
                  <c15:layout/>
                </c:ext>
              </c:extLst>
            </c:dLbl>
            <c:dLbl>
              <c:idx val="3"/>
              <c:layout>
                <c:manualLayout>
                  <c:x val="-0.00648148148148148"/>
                  <c:y val="-0.0492990654205607"/>
                </c:manualLayout>
              </c:layout>
              <c:showLegendKey val="0"/>
              <c:showVal val="1"/>
              <c:showCatName val="0"/>
              <c:showSerName val="0"/>
              <c:showPercent val="0"/>
              <c:showBubbleSize val="0"/>
              <c:extLst>
                <c:ext xmlns:c15="http://schemas.microsoft.com/office/drawing/2012/chart" uri="{CE6537A1-D6FC-4f65-9D91-7224C49458BB}">
                  <c15:layout/>
                </c:ext>
              </c:extLst>
            </c:dLbl>
            <c:dLbl>
              <c:idx val="4"/>
              <c:layout>
                <c:manualLayout>
                  <c:x val="0.0201058201058201"/>
                  <c:y val="-0.0296728971962617"/>
                </c:manualLayout>
              </c:layout>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txPr>
              <a:bodyPr rot="0" spcFirstLastPara="0" vertOverflow="ellipsis" vert="horz" wrap="square" lIns="215900" tIns="19050" rIns="38100" bIns="19050" anchor="ctr" anchorCtr="1"/>
              <a:lstStyle/>
              <a:p>
                <a:pPr>
                  <a:defRPr lang="zh-CN" sz="1000" b="0" i="0" u="none" strike="noStrike" kern="1200" baseline="0">
                    <a:solidFill>
                      <a:schemeClr val="tx1">
                        <a:lumMod val="75000"/>
                        <a:lumOff val="25000"/>
                      </a:schemeClr>
                    </a:solidFill>
                    <a:latin typeface="+mn-lt"/>
                    <a:ea typeface="+mn-ea"/>
                    <a:cs typeface="+mn-cs"/>
                  </a:defRPr>
                </a:pPr>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[111.xlsx]Sheet2!$A$2:$A$6</c:f>
              <c:strCache>
                <c:ptCount val="5"/>
                <c:pt idx="0">
                  <c:v>Satisfaction with Cultural Representation </c:v>
                </c:pt>
                <c:pt idx="1">
                  <c:v>Perceived Authenticity of Cultural Elements</c:v>
                </c:pt>
                <c:pt idx="2">
                  <c:v>Interest in Culturally-Themed Events</c:v>
                </c:pt>
                <c:pt idx="3">
                  <c:v>Influence of Character Backstories on Engagement</c:v>
                </c:pt>
                <c:pt idx="4">
                  <c:v>Perception of Game’s Contribution to Cultural Appreciation</c:v>
                </c:pt>
              </c:strCache>
            </c:strRef>
          </c:cat>
          <c:val>
            <c:numRef>
              <c:f>[111.xlsx]Sheet2!$B$2:$B$6</c:f>
              <c:numCache>
                <c:formatCode>General</c:formatCode>
                <c:ptCount val="5"/>
                <c:pt idx="0">
                  <c:v>4</c:v>
                </c:pt>
                <c:pt idx="1">
                  <c:v>4.3</c:v>
                </c:pt>
                <c:pt idx="2">
                  <c:v>4.8</c:v>
                </c:pt>
                <c:pt idx="3">
                  <c:v>4.6</c:v>
                </c:pt>
                <c:pt idx="4">
                  <c:v>4.5</c:v>
                </c:pt>
              </c:numCache>
            </c:numRef>
          </c:val>
        </c:ser>
        <c:ser>
          <c:idx val="1"/>
          <c:order val="1"/>
          <c:tx>
            <c:strRef>
              <c:f>[111.xlsx]Sheet2!$C$1</c:f>
              <c:strCache>
                <c:ptCount val="1"/>
                <c:pt idx="0">
                  <c:v>West</c:v>
                </c:pt>
              </c:strCache>
            </c:strRef>
          </c:tx>
          <c:spPr>
            <a:ln w="28575" cap="rnd">
              <a:gradFill>
                <a:gsLst>
                  <a:gs pos="0">
                    <a:schemeClr val="accent2">
                      <a:hueOff val="-1670000"/>
                    </a:schemeClr>
                  </a:gs>
                  <a:gs pos="100000">
                    <a:schemeClr val="accent2"/>
                  </a:gs>
                </a:gsLst>
                <a:lin ang="5160000" scaled="1"/>
              </a:gradFill>
              <a:round/>
            </a:ln>
            <a:effectLst/>
          </c:spPr>
          <c:marker>
            <c:symbol val="none"/>
          </c:marker>
          <c:dLbls>
            <c:dLbl>
              <c:idx val="0"/>
              <c:layout>
                <c:manualLayout>
                  <c:x val="-0.0179395858066218"/>
                  <c:y val="0.0430007010983875"/>
                </c:manualLayout>
              </c:layout>
              <c:numFmt formatCode="General" sourceLinked="1"/>
              <c:spPr>
                <a:noFill/>
                <a:ln>
                  <a:noFill/>
                </a:ln>
                <a:effectLst/>
              </c:spPr>
              <c:txPr>
                <a:bodyPr rot="0" spcFirstLastPara="0" vertOverflow="ellipsis" vert="horz" wrap="square" lIns="467995" tIns="899795" rIns="288290" bIns="396240" anchor="ctr" anchorCtr="1"/>
                <a:lstStyle/>
                <a:p>
                  <a:pPr>
                    <a:defRPr lang="zh-CN" sz="1000" b="0" i="0" u="none" strike="noStrike" kern="1200" baseline="0">
                      <a:solidFill>
                        <a:schemeClr val="tx1">
                          <a:lumMod val="75000"/>
                          <a:lumOff val="25000"/>
                        </a:schemeClr>
                      </a:solidFill>
                      <a:latin typeface="+mn-lt"/>
                      <a:ea typeface="+mn-ea"/>
                      <a:cs typeface="+mn-cs"/>
                    </a:defRPr>
                  </a:pPr>
                </a:p>
              </c:txPr>
              <c:showLegendKey val="0"/>
              <c:showVal val="1"/>
              <c:showCatName val="0"/>
              <c:showSerName val="0"/>
              <c:showPercent val="0"/>
              <c:showBubbleSize val="0"/>
              <c:extLst>
                <c:ext xmlns:c15="http://schemas.microsoft.com/office/drawing/2012/chart" uri="{CE6537A1-D6FC-4f65-9D91-7224C49458BB}">
                  <c15:layout>
                    <c:manualLayout>
                      <c:w val="0.170387003037908"/>
                      <c:h val="0.21000935453695"/>
                    </c:manualLayout>
                  </c15:layout>
                </c:ext>
              </c:extLst>
            </c:dLbl>
            <c:dLbl>
              <c:idx val="1"/>
              <c:layout>
                <c:manualLayout>
                  <c:x val="-0.114760585674713"/>
                  <c:y val="0.0287450338864221"/>
                </c:manualLayout>
              </c:layout>
              <c:showLegendKey val="0"/>
              <c:showVal val="1"/>
              <c:showCatName val="0"/>
              <c:showSerName val="0"/>
              <c:showPercent val="0"/>
              <c:showBubbleSize val="0"/>
              <c:extLst>
                <c:ext xmlns:c15="http://schemas.microsoft.com/office/drawing/2012/chart" uri="{CE6537A1-D6FC-4f65-9D91-7224C49458BB}">
                  <c15:layout>
                    <c:manualLayout>
                      <c:w val="0.20920722859781"/>
                      <c:h val="0.452442159383033"/>
                    </c:manualLayout>
                  </c15:layout>
                </c:ext>
              </c:extLst>
            </c:dLbl>
            <c:dLbl>
              <c:idx val="2"/>
              <c:layout>
                <c:manualLayout>
                  <c:x val="-0.0638438200765071"/>
                  <c:y val="-0.00420659032484225"/>
                </c:manualLayout>
              </c:layout>
              <c:showLegendKey val="0"/>
              <c:showVal val="1"/>
              <c:showCatName val="0"/>
              <c:showSerName val="0"/>
              <c:showPercent val="0"/>
              <c:showBubbleSize val="0"/>
              <c:extLst>
                <c:ext xmlns:c15="http://schemas.microsoft.com/office/drawing/2012/chart" uri="{CE6537A1-D6FC-4f65-9D91-7224C49458BB}">
                  <c15:layout/>
                </c:ext>
              </c:extLst>
            </c:dLbl>
            <c:dLbl>
              <c:idx val="3"/>
              <c:layout>
                <c:manualLayout>
                  <c:x val="0.0323121399991206"/>
                  <c:y val="-0.0656551338530052"/>
                </c:manualLayout>
              </c:layout>
              <c:showLegendKey val="0"/>
              <c:showVal val="1"/>
              <c:showCatName val="0"/>
              <c:showSerName val="0"/>
              <c:showPercent val="0"/>
              <c:showBubbleSize val="0"/>
              <c:extLst>
                <c:ext xmlns:c15="http://schemas.microsoft.com/office/drawing/2012/chart" uri="{CE6537A1-D6FC-4f65-9D91-7224C49458BB}">
                  <c15:layout>
                    <c:manualLayout>
                      <c:w val="0.192592592592593"/>
                      <c:h val="0.348130841121495"/>
                    </c:manualLayout>
                  </c15:layout>
                </c:ext>
              </c:extLst>
            </c:dLbl>
            <c:dLbl>
              <c:idx val="4"/>
              <c:layout>
                <c:manualLayout>
                  <c:x val="0.074000791452315"/>
                  <c:y val="0.0165926618368778"/>
                </c:manualLayout>
              </c:layout>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txPr>
              <a:bodyPr rot="0" spcFirstLastPara="0" vertOverflow="ellipsis" vert="horz" wrap="square" lIns="467995" tIns="720090" rIns="288290" bIns="575945" anchor="ctr" anchorCtr="1"/>
              <a:lstStyle/>
              <a:p>
                <a:pPr>
                  <a:defRPr lang="zh-CN" sz="1000" b="0" i="0" u="none" strike="noStrike" kern="1200" baseline="0">
                    <a:solidFill>
                      <a:schemeClr val="tx1">
                        <a:lumMod val="75000"/>
                        <a:lumOff val="25000"/>
                      </a:schemeClr>
                    </a:solidFill>
                    <a:latin typeface="+mn-lt"/>
                    <a:ea typeface="+mn-ea"/>
                    <a:cs typeface="+mn-cs"/>
                  </a:defRPr>
                </a:pPr>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[111.xlsx]Sheet2!$A$2:$A$6</c:f>
              <c:strCache>
                <c:ptCount val="5"/>
                <c:pt idx="0">
                  <c:v>Satisfaction with Cultural Representation </c:v>
                </c:pt>
                <c:pt idx="1">
                  <c:v>Perceived Authenticity of Cultural Elements</c:v>
                </c:pt>
                <c:pt idx="2">
                  <c:v>Interest in Culturally-Themed Events</c:v>
                </c:pt>
                <c:pt idx="3">
                  <c:v>Influence of Character Backstories on Engagement</c:v>
                </c:pt>
                <c:pt idx="4">
                  <c:v>Perception of Game’s Contribution to Cultural Appreciation</c:v>
                </c:pt>
              </c:strCache>
            </c:strRef>
          </c:cat>
          <c:val>
            <c:numRef>
              <c:f>[111.xlsx]Sheet2!$C$2:$C$6</c:f>
              <c:numCache>
                <c:formatCode>General</c:formatCode>
                <c:ptCount val="5"/>
                <c:pt idx="0">
                  <c:v>3</c:v>
                </c:pt>
                <c:pt idx="1">
                  <c:v>3.9</c:v>
                </c:pt>
                <c:pt idx="2">
                  <c:v>3.7</c:v>
                </c:pt>
                <c:pt idx="3">
                  <c:v>4.1</c:v>
                </c:pt>
                <c:pt idx="4">
                  <c:v>3.8</c:v>
                </c:pt>
              </c:numCache>
            </c:numRef>
          </c:val>
        </c:ser>
        <c:dLbls>
          <c:showLegendKey val="0"/>
          <c:showVal val="1"/>
          <c:showCatName val="0"/>
          <c:showSerName val="0"/>
          <c:showPercent val="0"/>
          <c:showBubbleSize val="0"/>
        </c:dLbls>
        <c:axId val="337593116"/>
        <c:axId val="501316839"/>
      </c:radarChart>
      <c:catAx>
        <c:axId val="337593116"/>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1316839"/>
        <c:crosses val="autoZero"/>
        <c:auto val="1"/>
        <c:lblAlgn val="ctr"/>
        <c:lblOffset val="100"/>
        <c:noMultiLvlLbl val="0"/>
      </c:catAx>
      <c:valAx>
        <c:axId val="501316839"/>
        <c:scaling>
          <c:orientation val="minMax"/>
        </c:scaling>
        <c:delete val="0"/>
        <c:axPos val="l"/>
        <c:majorGridlines>
          <c:spPr>
            <a:ln w="9525" cap="flat" cmpd="sng" algn="ctr">
              <a:solidFill>
                <a:schemeClr val="lt1">
                  <a:lumMod val="90200"/>
                </a:schemeClr>
              </a:solidFill>
              <a:round/>
            </a:ln>
            <a:effectLst/>
          </c:spPr>
        </c:majorGridlines>
        <c:title>
          <c:layout/>
          <c:overlay val="0"/>
          <c:spPr>
            <a:noFill/>
            <a:ln>
              <a:noFill/>
            </a:ln>
            <a:effectLst/>
          </c:spPr>
          <c:txPr>
            <a:bodyPr rot="-5400000" spcFirstLastPara="0" vertOverflow="ellipsis" vert="horz" wrap="square" anchor="ctr" anchorCtr="1"/>
            <a:lstStyle/>
            <a:p>
              <a:pPr>
                <a:defRPr lang="zh-CN" sz="1000" b="0" i="0" u="none" strike="noStrike" kern="1200" baseline="0">
                  <a:solidFill>
                    <a:schemeClr val="tx1">
                      <a:lumMod val="65000"/>
                      <a:lumOff val="35000"/>
                    </a:schemeClr>
                  </a:solidFill>
                  <a:latin typeface="+mn-lt"/>
                  <a:ea typeface="+mn-ea"/>
                  <a:cs typeface="+mn-cs"/>
                </a:defRPr>
              </a:pPr>
            </a:p>
          </c:txPr>
        </c:title>
        <c:numFmt formatCode="General" sourceLinked="1"/>
        <c:majorTickMark val="out"/>
        <c:minorTickMark val="none"/>
        <c:tickLblPos val="nextTo"/>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337593116"/>
        <c:crosses val="autoZero"/>
        <c:crossBetween val="between"/>
      </c:valAx>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274">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fontRef idx="minor">
      <a:schemeClr val="dk1"/>
    </cs:fontRef>
    <cs:spPr>
      <a:ln w="28575" cap="rnd">
        <a:gradFill>
          <a:gsLst>
            <a:gs pos="0">
              <a:schemeClr val="phClr">
                <a:hueOff val="-1670000"/>
              </a:schemeClr>
            </a:gs>
            <a:gs pos="100000">
              <a:schemeClr val="phClr"/>
            </a:gs>
          </a:gsLst>
          <a:lin ang="5160000" scaled="1"/>
        </a:gradFill>
        <a:round/>
      </a:ln>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66</Pages>
  <Words>20118</Words>
  <Characters>121602</Characters>
  <Lines>366</Lines>
  <Paragraphs>103</Paragraphs>
  <TotalTime>7</TotalTime>
  <ScaleCrop>false</ScaleCrop>
  <LinksUpToDate>false</LinksUpToDate>
  <CharactersWithSpaces>141089</CharactersWithSpaces>
  <Application>WPS Office_12.1.0.18276_F1E327BC-269C-435d-A152-05C5408002CA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2024-06-04T12:58:00Z</dcterms:created>
  <dc:creator>kehec</dc:creator>
  <cp:lastModifiedBy>仙女兽</cp:lastModifiedBy>
  <dcterms:modified xsi:type="dcterms:W3CDTF">2024-09-23T02:42:24Z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2052-12.1.0.18276</vt:lpwstr>
  </property>
  <property fmtid="{D5CDD505-2E9C-101B-9397-08002B2CF9AE}" pid="3" name="ICV">
    <vt:lpwstr>0629A26D726C405197D4718E95735ECB_12</vt:lpwstr>
  </property>
</Properties>
</file>