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5236735"/>
        <w:docPartObj>
          <w:docPartGallery w:val="Cover Pages"/>
          <w:docPartUnique/>
        </w:docPartObj>
      </w:sdtPr>
      <w:sdtContent>
        <w:p w14:paraId="51840F5F" w14:textId="34538EFF" w:rsidR="003C47B4" w:rsidRDefault="003C47B4">
          <w:r>
            <w:rPr>
              <w:noProof/>
            </w:rPr>
            <mc:AlternateContent>
              <mc:Choice Requires="wpg">
                <w:drawing>
                  <wp:anchor distT="0" distB="0" distL="114300" distR="114300" simplePos="0" relativeHeight="251662336" behindDoc="0" locked="0" layoutInCell="1" allowOverlap="1" wp14:anchorId="524E8F0B" wp14:editId="2AD289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6D662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F3463A" wp14:editId="34DA09C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4FB7B7" w14:textId="3200F405" w:rsidR="003C47B4" w:rsidRDefault="00756781">
                                    <w:pPr>
                                      <w:pStyle w:val="NoSpacing"/>
                                      <w:jc w:val="right"/>
                                      <w:rPr>
                                        <w:color w:val="595959" w:themeColor="text1" w:themeTint="A6"/>
                                        <w:sz w:val="28"/>
                                        <w:szCs w:val="28"/>
                                      </w:rPr>
                                    </w:pPr>
                                    <w:r>
                                      <w:rPr>
                                        <w:color w:val="595959" w:themeColor="text1" w:themeTint="A6"/>
                                        <w:sz w:val="28"/>
                                        <w:szCs w:val="28"/>
                                      </w:rPr>
                                      <w:t xml:space="preserve">Nicoleta </w:t>
                                    </w:r>
                                    <w:proofErr w:type="spellStart"/>
                                    <w:r>
                                      <w:rPr>
                                        <w:color w:val="595959" w:themeColor="text1" w:themeTint="A6"/>
                                        <w:sz w:val="28"/>
                                        <w:szCs w:val="28"/>
                                      </w:rPr>
                                      <w:t>Secara</w:t>
                                    </w:r>
                                    <w:proofErr w:type="spellEnd"/>
                                  </w:p>
                                </w:sdtContent>
                              </w:sdt>
                              <w:p w14:paraId="1147BFF9" w14:textId="25BD0FE5" w:rsidR="003C47B4" w:rsidRDefault="007567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8A16CB">
                                      <w:rPr>
                                        <w:color w:val="595959" w:themeColor="text1" w:themeTint="A6"/>
                                        <w:sz w:val="18"/>
                                        <w:szCs w:val="18"/>
                                      </w:rPr>
                                      <w:t>2214822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F3463A"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4FB7B7" w14:textId="3200F405" w:rsidR="003C47B4" w:rsidRDefault="00756781">
                              <w:pPr>
                                <w:pStyle w:val="NoSpacing"/>
                                <w:jc w:val="right"/>
                                <w:rPr>
                                  <w:color w:val="595959" w:themeColor="text1" w:themeTint="A6"/>
                                  <w:sz w:val="28"/>
                                  <w:szCs w:val="28"/>
                                </w:rPr>
                              </w:pPr>
                              <w:r>
                                <w:rPr>
                                  <w:color w:val="595959" w:themeColor="text1" w:themeTint="A6"/>
                                  <w:sz w:val="28"/>
                                  <w:szCs w:val="28"/>
                                </w:rPr>
                                <w:t xml:space="preserve">Nicoleta </w:t>
                              </w:r>
                              <w:proofErr w:type="spellStart"/>
                              <w:r>
                                <w:rPr>
                                  <w:color w:val="595959" w:themeColor="text1" w:themeTint="A6"/>
                                  <w:sz w:val="28"/>
                                  <w:szCs w:val="28"/>
                                </w:rPr>
                                <w:t>Secara</w:t>
                              </w:r>
                              <w:proofErr w:type="spellEnd"/>
                            </w:p>
                          </w:sdtContent>
                        </w:sdt>
                        <w:p w14:paraId="1147BFF9" w14:textId="25BD0FE5" w:rsidR="003C47B4" w:rsidRDefault="007567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8A16CB">
                                <w:rPr>
                                  <w:color w:val="595959" w:themeColor="text1" w:themeTint="A6"/>
                                  <w:sz w:val="18"/>
                                  <w:szCs w:val="18"/>
                                </w:rPr>
                                <w:t>2214822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3029DC7" wp14:editId="04A189B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533158" w14:textId="751BA9C7" w:rsidR="003C47B4" w:rsidRDefault="003C47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C47B4">
                                      <w:rPr>
                                        <w:caps/>
                                        <w:color w:val="4472C4" w:themeColor="accent1"/>
                                        <w:sz w:val="64"/>
                                        <w:szCs w:val="64"/>
                                      </w:rPr>
                                      <w:t>Consent and its role in cases involving battery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598DA42" w14:textId="02075F78" w:rsidR="003C47B4" w:rsidRDefault="00756781">
                                    <w:pPr>
                                      <w:jc w:val="right"/>
                                      <w:rPr>
                                        <w:smallCaps/>
                                        <w:color w:val="404040" w:themeColor="text1" w:themeTint="BF"/>
                                        <w:sz w:val="36"/>
                                        <w:szCs w:val="36"/>
                                      </w:rPr>
                                    </w:pPr>
                                    <w:r w:rsidRPr="00756781">
                                      <w:rPr>
                                        <w:color w:val="404040" w:themeColor="text1" w:themeTint="BF"/>
                                        <w:sz w:val="36"/>
                                        <w:szCs w:val="36"/>
                                      </w:rPr>
                                      <w:t>Criminal law - BMPL4009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3029DC7"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533158" w14:textId="751BA9C7" w:rsidR="003C47B4" w:rsidRDefault="003C47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C47B4">
                                <w:rPr>
                                  <w:caps/>
                                  <w:color w:val="4472C4" w:themeColor="accent1"/>
                                  <w:sz w:val="64"/>
                                  <w:szCs w:val="64"/>
                                </w:rPr>
                                <w:t>Consent and its role in cases involving battery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598DA42" w14:textId="02075F78" w:rsidR="003C47B4" w:rsidRDefault="00756781">
                              <w:pPr>
                                <w:jc w:val="right"/>
                                <w:rPr>
                                  <w:smallCaps/>
                                  <w:color w:val="404040" w:themeColor="text1" w:themeTint="BF"/>
                                  <w:sz w:val="36"/>
                                  <w:szCs w:val="36"/>
                                </w:rPr>
                              </w:pPr>
                              <w:r w:rsidRPr="00756781">
                                <w:rPr>
                                  <w:color w:val="404040" w:themeColor="text1" w:themeTint="BF"/>
                                  <w:sz w:val="36"/>
                                  <w:szCs w:val="36"/>
                                </w:rPr>
                                <w:t>Criminal law - BMPL4009</w:t>
                              </w:r>
                            </w:p>
                          </w:sdtContent>
                        </w:sdt>
                      </w:txbxContent>
                    </v:textbox>
                    <w10:wrap type="square" anchorx="page" anchory="page"/>
                  </v:shape>
                </w:pict>
              </mc:Fallback>
            </mc:AlternateContent>
          </w:r>
        </w:p>
        <w:p w14:paraId="1F2A1A08" w14:textId="57342E88" w:rsidR="003C47B4" w:rsidRDefault="003C47B4">
          <w:r>
            <w:br w:type="page"/>
          </w:r>
        </w:p>
      </w:sdtContent>
    </w:sdt>
    <w:p w14:paraId="293F78F8" w14:textId="5FB69590" w:rsidR="00194202" w:rsidRDefault="00194202" w:rsidP="00327094">
      <w:r w:rsidRPr="00194202">
        <w:lastRenderedPageBreak/>
        <w:t xml:space="preserve">This essay </w:t>
      </w:r>
      <w:r w:rsidR="00924869">
        <w:t>examines</w:t>
      </w:r>
      <w:r w:rsidRPr="00194202">
        <w:t xml:space="preserve"> the role of consent within the United Kingdom's legal framework, specifically in the context of battery cases. It </w:t>
      </w:r>
      <w:r w:rsidR="00924869">
        <w:t>combines</w:t>
      </w:r>
      <w:r w:rsidRPr="00194202">
        <w:t xml:space="preserve"> an </w:t>
      </w:r>
      <w:r w:rsidR="00273D9F">
        <w:t>evaluation</w:t>
      </w:r>
      <w:r w:rsidRPr="00194202">
        <w:t xml:space="preserve"> of the legal principles, ethical </w:t>
      </w:r>
      <w:r w:rsidR="00273D9F" w:rsidRPr="00194202">
        <w:t>level</w:t>
      </w:r>
      <w:r w:rsidRPr="00194202">
        <w:t xml:space="preserve">, and practical implications </w:t>
      </w:r>
      <w:r w:rsidR="0070061B">
        <w:t>of</w:t>
      </w:r>
      <w:r w:rsidRPr="00194202">
        <w:t xml:space="preserve"> the concept of consent, </w:t>
      </w:r>
      <w:r w:rsidR="00924869">
        <w:t>focusing more on</w:t>
      </w:r>
      <w:r w:rsidRPr="00194202">
        <w:t xml:space="preserve"> unlawful physical contact. Consent is an essential factor that </w:t>
      </w:r>
      <w:r w:rsidR="00924869">
        <w:t>makes the difference</w:t>
      </w:r>
      <w:r w:rsidRPr="00194202">
        <w:t xml:space="preserve"> between lawful actions and criminal offenses, where the absence of informed and voluntary consent can lead to criminal </w:t>
      </w:r>
      <w:r w:rsidR="00924869" w:rsidRPr="00194202">
        <w:t>responsibility</w:t>
      </w:r>
      <w:r w:rsidRPr="00194202">
        <w:t xml:space="preserve"> for </w:t>
      </w:r>
      <w:r w:rsidR="00924869" w:rsidRPr="00194202">
        <w:t>offenders</w:t>
      </w:r>
      <w:r w:rsidR="0070061B">
        <w:t xml:space="preserve"> </w:t>
      </w:r>
      <w:r w:rsidR="0070061B">
        <w:t>(Mactier and McConnell, 2023)</w:t>
      </w:r>
      <w:r w:rsidRPr="00194202">
        <w:t xml:space="preserve">. </w:t>
      </w:r>
      <w:r w:rsidR="00924869">
        <w:t>Therefore, the essay is focused</w:t>
      </w:r>
      <w:r w:rsidRPr="00194202">
        <w:t xml:space="preserve"> </w:t>
      </w:r>
      <w:r w:rsidR="00924869">
        <w:t>on</w:t>
      </w:r>
      <w:r w:rsidRPr="00194202">
        <w:t xml:space="preserve"> the legal </w:t>
      </w:r>
      <w:r w:rsidR="0070061B" w:rsidRPr="00194202">
        <w:t>bases</w:t>
      </w:r>
      <w:r w:rsidRPr="00194202">
        <w:t xml:space="preserve"> of consent, the </w:t>
      </w:r>
      <w:r w:rsidR="0070061B">
        <w:t>criteria</w:t>
      </w:r>
      <w:r w:rsidRPr="00194202">
        <w:t xml:space="preserve"> of informed and voluntary consent, and how it </w:t>
      </w:r>
      <w:r w:rsidR="00924869" w:rsidRPr="00194202">
        <w:t>outlines</w:t>
      </w:r>
      <w:r w:rsidRPr="00194202">
        <w:t xml:space="preserve"> the legal outcomes of battery cases. Furthermore, this essay will </w:t>
      </w:r>
      <w:r w:rsidR="00924869">
        <w:t>assess</w:t>
      </w:r>
      <w:r w:rsidRPr="00194202">
        <w:t xml:space="preserve"> the </w:t>
      </w:r>
      <w:r w:rsidR="00924869">
        <w:t>evolution</w:t>
      </w:r>
      <w:r w:rsidRPr="00194202">
        <w:t xml:space="preserve"> of consent, driven by </w:t>
      </w:r>
      <w:r w:rsidR="00924869" w:rsidRPr="00194202">
        <w:t>changing</w:t>
      </w:r>
      <w:r w:rsidRPr="00194202">
        <w:t xml:space="preserve"> </w:t>
      </w:r>
      <w:r w:rsidR="00924869">
        <w:t>social standards</w:t>
      </w:r>
      <w:r w:rsidRPr="00194202">
        <w:t xml:space="preserve"> and increased public awareness</w:t>
      </w:r>
      <w:r w:rsidR="00924869">
        <w:t xml:space="preserve">. </w:t>
      </w:r>
    </w:p>
    <w:p w14:paraId="18298ABC" w14:textId="284EE0D6" w:rsidR="00327094" w:rsidRDefault="00327094" w:rsidP="00327094">
      <w:r w:rsidRPr="00327094">
        <w:t xml:space="preserve">In the United Kingdom, the legal concept of consent is a </w:t>
      </w:r>
      <w:r w:rsidR="00DD657E">
        <w:t>fundamental</w:t>
      </w:r>
      <w:r w:rsidRPr="00327094">
        <w:t xml:space="preserve"> principle that </w:t>
      </w:r>
      <w:r w:rsidR="00DD657E" w:rsidRPr="00327094">
        <w:t>supports</w:t>
      </w:r>
      <w:r w:rsidRPr="00327094">
        <w:t xml:space="preserve"> various aspects of the law, including criminal, civil, and medical </w:t>
      </w:r>
      <w:r w:rsidR="00E85A41">
        <w:t>(Simmonds, 2023)</w:t>
      </w:r>
      <w:r w:rsidRPr="00327094">
        <w:t xml:space="preserve">. Valid consent </w:t>
      </w:r>
      <w:r w:rsidR="00DD657E" w:rsidRPr="00327094">
        <w:t>requires</w:t>
      </w:r>
      <w:r w:rsidRPr="00327094">
        <w:t xml:space="preserve"> several essential elements, each of which must be present for consent to be legally recognized and effective</w:t>
      </w:r>
      <w:r w:rsidR="00E85A41">
        <w:t xml:space="preserve"> </w:t>
      </w:r>
      <w:r w:rsidR="00E85A41">
        <w:t>(Florea and Esteves, 2023)</w:t>
      </w:r>
      <w:r w:rsidRPr="00327094">
        <w:t xml:space="preserve">. These elements include voluntariness, </w:t>
      </w:r>
      <w:r w:rsidR="008C0F1C">
        <w:t>which means</w:t>
      </w:r>
      <w:r w:rsidRPr="00327094">
        <w:t xml:space="preserve"> that consent is freely given without </w:t>
      </w:r>
      <w:r w:rsidR="008C0F1C" w:rsidRPr="00327094">
        <w:t>pressure</w:t>
      </w:r>
      <w:r w:rsidRPr="00327094">
        <w:t xml:space="preserve"> or </w:t>
      </w:r>
      <w:r w:rsidR="008C0F1C" w:rsidRPr="00327094">
        <w:t>force</w:t>
      </w:r>
      <w:r w:rsidR="00E85A41">
        <w:t xml:space="preserve"> </w:t>
      </w:r>
      <w:r w:rsidR="00E85A41">
        <w:t>(</w:t>
      </w:r>
      <w:proofErr w:type="spellStart"/>
      <w:r w:rsidR="00E85A41">
        <w:t>Chuchalin</w:t>
      </w:r>
      <w:proofErr w:type="spellEnd"/>
      <w:r w:rsidR="00E85A41">
        <w:t>, 2021)</w:t>
      </w:r>
      <w:r w:rsidRPr="00327094">
        <w:t xml:space="preserve">, capacity, </w:t>
      </w:r>
      <w:r w:rsidR="008C0F1C">
        <w:t>which means that</w:t>
      </w:r>
      <w:r w:rsidRPr="00327094">
        <w:t xml:space="preserve"> the person giving consent is capable of understanding the implications</w:t>
      </w:r>
      <w:r w:rsidR="00E85A41">
        <w:t xml:space="preserve"> </w:t>
      </w:r>
      <w:r w:rsidR="00E85A41">
        <w:t>(Lapid et al., 2021)</w:t>
      </w:r>
      <w:r w:rsidRPr="00327094">
        <w:t xml:space="preserve">, informed consent, </w:t>
      </w:r>
      <w:r w:rsidR="008C0F1C">
        <w:t>which means that that</w:t>
      </w:r>
      <w:r w:rsidRPr="00327094">
        <w:t xml:space="preserve"> individuals </w:t>
      </w:r>
      <w:r w:rsidR="008C0F1C">
        <w:t>understand</w:t>
      </w:r>
      <w:r w:rsidRPr="00327094">
        <w:t xml:space="preserve"> the nature, purpose, risks, and consequences of the action they are agreeing to</w:t>
      </w:r>
      <w:r w:rsidR="00E85A41">
        <w:t xml:space="preserve"> </w:t>
      </w:r>
      <w:r w:rsidR="00E85A41">
        <w:t>(</w:t>
      </w:r>
      <w:proofErr w:type="spellStart"/>
      <w:r w:rsidR="00E85A41">
        <w:t>Pallocci</w:t>
      </w:r>
      <w:proofErr w:type="spellEnd"/>
      <w:r w:rsidR="00E85A41">
        <w:t xml:space="preserve"> et al., 2023)</w:t>
      </w:r>
      <w:r w:rsidRPr="00327094">
        <w:t xml:space="preserve">, specificity, </w:t>
      </w:r>
      <w:r w:rsidR="008C0F1C">
        <w:t>which means that</w:t>
      </w:r>
      <w:r w:rsidRPr="00327094">
        <w:t xml:space="preserve"> </w:t>
      </w:r>
      <w:r w:rsidR="008C0F1C">
        <w:t>individual are approving of a specific action</w:t>
      </w:r>
      <w:r w:rsidR="00053D2D">
        <w:t xml:space="preserve"> </w:t>
      </w:r>
      <w:r w:rsidR="00053D2D">
        <w:t>(</w:t>
      </w:r>
      <w:proofErr w:type="spellStart"/>
      <w:r w:rsidR="00053D2D">
        <w:t>Goicovici</w:t>
      </w:r>
      <w:proofErr w:type="spellEnd"/>
      <w:r w:rsidR="00053D2D">
        <w:t>, 2022)</w:t>
      </w:r>
      <w:r w:rsidRPr="00327094">
        <w:t xml:space="preserve">, and revocability, </w:t>
      </w:r>
      <w:r w:rsidR="008C0F1C">
        <w:t>which allows</w:t>
      </w:r>
      <w:r w:rsidRPr="00327094">
        <w:t xml:space="preserve"> individuals to withdraw consent at any point before the action occurs</w:t>
      </w:r>
      <w:r w:rsidR="00053D2D">
        <w:t xml:space="preserve"> </w:t>
      </w:r>
      <w:r w:rsidR="00053D2D">
        <w:t>(Burton et al., 2021)</w:t>
      </w:r>
      <w:r w:rsidRPr="00327094">
        <w:t xml:space="preserve">. </w:t>
      </w:r>
      <w:r w:rsidR="008C0F1C">
        <w:t xml:space="preserve">However, </w:t>
      </w:r>
      <w:r w:rsidR="00F6096C">
        <w:t>i</w:t>
      </w:r>
      <w:r w:rsidR="00F6096C" w:rsidRPr="00327094">
        <w:t>nformed</w:t>
      </w:r>
      <w:r w:rsidRPr="00327094">
        <w:t xml:space="preserve"> and voluntary consent </w:t>
      </w:r>
      <w:r w:rsidR="00C347D4">
        <w:t>are considered the most important</w:t>
      </w:r>
      <w:r w:rsidRPr="00327094">
        <w:t xml:space="preserve"> due to </w:t>
      </w:r>
      <w:r w:rsidR="00C347D4">
        <w:t>their</w:t>
      </w:r>
      <w:r w:rsidRPr="00327094">
        <w:t xml:space="preserve"> role in respecting individual autonomy, safeguarding rights, preventing harm, and establishing an ethical and legal foundation for various legal contexts, such as healthcare, sexual relations, and contractual agreements, ensuring that actions are taken with full knowledge and agreement, and providing protection against potential harm or abuse</w:t>
      </w:r>
      <w:r w:rsidR="00053D2D">
        <w:t xml:space="preserve"> </w:t>
      </w:r>
      <w:r w:rsidR="00053D2D">
        <w:t>(Sears, 2005)</w:t>
      </w:r>
      <w:r w:rsidRPr="00327094">
        <w:t>.</w:t>
      </w:r>
    </w:p>
    <w:p w14:paraId="73CF9D5C" w14:textId="47DF3821" w:rsidR="00327094" w:rsidRDefault="00327094" w:rsidP="00327094">
      <w:r>
        <w:t xml:space="preserve">Battery, within the legal context in the United Kingdom, is characterized as the intentional and unlawful application of force or physical contact upon another individual without their consent, constituting a violation of personal autonomy and </w:t>
      </w:r>
      <w:r w:rsidR="00C347D4">
        <w:t>physical</w:t>
      </w:r>
      <w:r>
        <w:t xml:space="preserve"> integrity</w:t>
      </w:r>
      <w:r w:rsidR="00053D2D">
        <w:t xml:space="preserve"> </w:t>
      </w:r>
      <w:r w:rsidR="00053D2D" w:rsidRPr="00053D2D">
        <w:t>(Polk, 2023)</w:t>
      </w:r>
      <w:r>
        <w:t xml:space="preserve">. While common law principles have evolved over time through court decisions, </w:t>
      </w:r>
      <w:r w:rsidR="00C347D4">
        <w:t>laws s</w:t>
      </w:r>
      <w:r>
        <w:t>uch as the Criminal Law Act 1967 and the Offences Against the Person Act 1861 play a</w:t>
      </w:r>
      <w:r w:rsidR="00C347D4">
        <w:t xml:space="preserve">n important </w:t>
      </w:r>
      <w:r>
        <w:t>role</w:t>
      </w:r>
      <w:r w:rsidR="00053D2D">
        <w:t xml:space="preserve"> </w:t>
      </w:r>
      <w:r w:rsidR="00053D2D">
        <w:t>(Jefferson, 2012)</w:t>
      </w:r>
      <w:r>
        <w:t xml:space="preserve">. The Criminal Law Act 1967, notably in Section 47, addresses </w:t>
      </w:r>
      <w:r w:rsidR="009A6BC4">
        <w:t>‘</w:t>
      </w:r>
      <w:r>
        <w:t>assault occasioning actual bodily harm</w:t>
      </w:r>
      <w:r w:rsidR="009A6BC4">
        <w:t>’</w:t>
      </w:r>
      <w:r>
        <w:t>, a more severe form of harm resulting from non-consensual physical contact</w:t>
      </w:r>
      <w:r w:rsidR="009A6BC4">
        <w:t xml:space="preserve"> </w:t>
      </w:r>
      <w:r w:rsidR="009A6BC4">
        <w:t>(Palmer and Wiener, 2021)</w:t>
      </w:r>
      <w:r>
        <w:t xml:space="preserve">. Additionally, the Sexual Offences Act 2003 is relevant in cases of sexual assault, emphasizing the </w:t>
      </w:r>
      <w:r w:rsidR="00C347D4">
        <w:t>important</w:t>
      </w:r>
      <w:r>
        <w:t xml:space="preserve"> role of consent and dealing with offenses related to non-consensual sexual activities, including sexual battery</w:t>
      </w:r>
      <w:r w:rsidR="0020112F">
        <w:t xml:space="preserve"> </w:t>
      </w:r>
      <w:r w:rsidR="0020112F">
        <w:t>(Dowds, 2018)</w:t>
      </w:r>
      <w:r>
        <w:t>. Case law further clarifies the elements and boundaries of battery through judicial decisions, contributing to the</w:t>
      </w:r>
      <w:r w:rsidR="00C347D4">
        <w:t xml:space="preserve"> </w:t>
      </w:r>
      <w:r>
        <w:t>legal framework for addressing battery and related offenses in the UK, safeguarding personal autonomy and the right to be free from unwarranted physical intrusion</w:t>
      </w:r>
      <w:r w:rsidR="0020112F">
        <w:t xml:space="preserve"> </w:t>
      </w:r>
      <w:r w:rsidR="0020112F">
        <w:t>(Juyal, 2023)</w:t>
      </w:r>
      <w:r>
        <w:t>.</w:t>
      </w:r>
    </w:p>
    <w:p w14:paraId="6866EC09" w14:textId="060C8ECF" w:rsidR="00327094" w:rsidRDefault="00327094" w:rsidP="00327094">
      <w:r w:rsidRPr="00327094">
        <w:t xml:space="preserve">Consent plays a crucial role in battery cases, serving as the </w:t>
      </w:r>
      <w:r w:rsidR="00C347D4">
        <w:t>element</w:t>
      </w:r>
      <w:r w:rsidRPr="00327094">
        <w:t xml:space="preserve"> that distinguishes between lawful, consensual activities and unlawful, non-consensual actions</w:t>
      </w:r>
      <w:r w:rsidR="002B713A">
        <w:t xml:space="preserve"> </w:t>
      </w:r>
      <w:r w:rsidR="002B713A">
        <w:t>(Herring, 2023)</w:t>
      </w:r>
      <w:r w:rsidRPr="00327094">
        <w:t>. In the context of battery, the presence or absence of informed and voluntary consent is the defining factor</w:t>
      </w:r>
      <w:r w:rsidR="002B713A">
        <w:t xml:space="preserve"> </w:t>
      </w:r>
      <w:r w:rsidR="002B713A">
        <w:t>(Herring, 2023)</w:t>
      </w:r>
      <w:r w:rsidRPr="00327094">
        <w:t>. When individuals willingly and knowingly agree to physical contact, it transforms an act from criminal battery into a consensual activity</w:t>
      </w:r>
      <w:r w:rsidR="002B713A">
        <w:t xml:space="preserve"> </w:t>
      </w:r>
      <w:r w:rsidR="002B713A">
        <w:t>(Herring, 2023)</w:t>
      </w:r>
      <w:r w:rsidRPr="00327094">
        <w:t>. Consent, in this context, reflects the respect for personal autonomy and the right to control what happens to one's own body</w:t>
      </w:r>
      <w:r w:rsidR="002B713A">
        <w:t xml:space="preserve"> </w:t>
      </w:r>
      <w:r w:rsidR="002B713A">
        <w:t>(Otis, 2023)</w:t>
      </w:r>
      <w:r w:rsidRPr="00327094">
        <w:t xml:space="preserve">. </w:t>
      </w:r>
      <w:r w:rsidR="002B713A">
        <w:t xml:space="preserve">Therefore, </w:t>
      </w:r>
      <w:r w:rsidRPr="00327094">
        <w:t>battery occurs when physical contact is initiated without the explicit agreement of the other party</w:t>
      </w:r>
      <w:r w:rsidR="002B713A">
        <w:t xml:space="preserve"> </w:t>
      </w:r>
      <w:r w:rsidR="002B713A">
        <w:t>(Moore, 2012)</w:t>
      </w:r>
      <w:r w:rsidRPr="00327094">
        <w:t>. Whether i</w:t>
      </w:r>
      <w:r w:rsidR="00C347D4">
        <w:t>s</w:t>
      </w:r>
      <w:r w:rsidRPr="00327094">
        <w:t xml:space="preserve"> a simple unwanted touch, a medical procedure, or a sexual encounter, battery encompasses a range of actions that breach an individual's right to </w:t>
      </w:r>
      <w:r w:rsidR="00C347D4" w:rsidRPr="00327094">
        <w:t>physical</w:t>
      </w:r>
      <w:r w:rsidRPr="00327094">
        <w:t xml:space="preserve"> integrity and self-determination</w:t>
      </w:r>
      <w:r w:rsidR="002B713A">
        <w:t xml:space="preserve"> </w:t>
      </w:r>
      <w:r w:rsidR="002B713A">
        <w:t>(Moore, 2012)</w:t>
      </w:r>
      <w:r w:rsidRPr="00327094">
        <w:t xml:space="preserve">. </w:t>
      </w:r>
      <w:r w:rsidR="00C347D4">
        <w:t>For example</w:t>
      </w:r>
      <w:r w:rsidRPr="00327094">
        <w:t xml:space="preserve">, </w:t>
      </w:r>
      <w:r w:rsidR="00C347D4">
        <w:t>a hug can</w:t>
      </w:r>
      <w:r w:rsidRPr="00327094">
        <w:t xml:space="preserve"> </w:t>
      </w:r>
      <w:r w:rsidR="00C347D4">
        <w:t xml:space="preserve">be </w:t>
      </w:r>
      <w:r w:rsidRPr="00327094">
        <w:t xml:space="preserve">consensual between friends, where both </w:t>
      </w:r>
      <w:r w:rsidR="00F34A73">
        <w:t>individuals</w:t>
      </w:r>
      <w:r w:rsidRPr="00327094">
        <w:t xml:space="preserve"> willingly participate, versus an unwanted, forceful hug that disregards the other person's </w:t>
      </w:r>
      <w:r w:rsidR="00C347D4" w:rsidRPr="00327094">
        <w:t>rejection</w:t>
      </w:r>
      <w:r w:rsidR="002B713A">
        <w:t xml:space="preserve"> </w:t>
      </w:r>
      <w:r w:rsidR="002B713A">
        <w:t>(Moore, 2012)</w:t>
      </w:r>
      <w:r w:rsidRPr="00327094">
        <w:t>. Similarly, medical procedures require informed consent, and failure to obtain it can lead to battery claims</w:t>
      </w:r>
      <w:r w:rsidR="00F34A73">
        <w:t xml:space="preserve"> </w:t>
      </w:r>
      <w:r w:rsidR="00F34A73">
        <w:t>(Coulson, Glasser and Liang, 2002)</w:t>
      </w:r>
      <w:r w:rsidRPr="00327094">
        <w:t xml:space="preserve">. </w:t>
      </w:r>
    </w:p>
    <w:p w14:paraId="311CA053" w14:textId="5CE33EA3" w:rsidR="00327094" w:rsidRDefault="00C347D4" w:rsidP="00327094">
      <w:r>
        <w:t>However, d</w:t>
      </w:r>
      <w:r w:rsidR="00327094" w:rsidRPr="00327094">
        <w:t xml:space="preserve">etermining consent is </w:t>
      </w:r>
      <w:r>
        <w:t>a complex</w:t>
      </w:r>
      <w:r w:rsidR="00327094" w:rsidRPr="00327094">
        <w:t xml:space="preserve"> </w:t>
      </w:r>
      <w:r>
        <w:t xml:space="preserve">process </w:t>
      </w:r>
      <w:r w:rsidR="00327094" w:rsidRPr="00327094">
        <w:t xml:space="preserve">and </w:t>
      </w:r>
      <w:r>
        <w:t xml:space="preserve">has multiple </w:t>
      </w:r>
      <w:r w:rsidR="00327094" w:rsidRPr="00327094">
        <w:t>grey areas</w:t>
      </w:r>
      <w:r w:rsidR="00944ED8">
        <w:t xml:space="preserve"> </w:t>
      </w:r>
      <w:r w:rsidR="00944ED8">
        <w:t>(Esmail and Concannon, 2022)</w:t>
      </w:r>
      <w:r w:rsidR="00327094" w:rsidRPr="00327094">
        <w:t xml:space="preserve">. Several controversial cases and legal precedents have underscored these challenges, such as the Julian Assange </w:t>
      </w:r>
      <w:r w:rsidR="009141DF" w:rsidRPr="00327094">
        <w:t>extradition</w:t>
      </w:r>
      <w:r w:rsidR="00327094" w:rsidRPr="00327094">
        <w:t xml:space="preserve"> case, highlighting the importance of continuous and affirmative consent</w:t>
      </w:r>
      <w:r w:rsidR="00944ED8">
        <w:t xml:space="preserve"> </w:t>
      </w:r>
      <w:r w:rsidR="00944ED8">
        <w:t>(Melzer, 2023)</w:t>
      </w:r>
      <w:r w:rsidR="00327094" w:rsidRPr="00327094">
        <w:t>, and the R v. Dica case, which raised questions about informed consent and the duty to disclose relevant information</w:t>
      </w:r>
      <w:r w:rsidR="00944ED8">
        <w:t xml:space="preserve"> </w:t>
      </w:r>
      <w:r w:rsidR="00944ED8">
        <w:t>(Davies, 2004)</w:t>
      </w:r>
      <w:r w:rsidR="00327094" w:rsidRPr="00327094">
        <w:t xml:space="preserve">. Ethical </w:t>
      </w:r>
      <w:r w:rsidR="00944ED8" w:rsidRPr="00327094">
        <w:t>problems</w:t>
      </w:r>
      <w:r w:rsidR="00327094" w:rsidRPr="00327094">
        <w:t xml:space="preserve"> </w:t>
      </w:r>
      <w:r w:rsidR="00027281">
        <w:t>appear</w:t>
      </w:r>
      <w:r w:rsidR="00944ED8">
        <w:t xml:space="preserve"> because</w:t>
      </w:r>
      <w:r w:rsidR="00327094" w:rsidRPr="00327094">
        <w:t xml:space="preserve"> </w:t>
      </w:r>
      <w:r w:rsidR="00944ED8">
        <w:t xml:space="preserve">the </w:t>
      </w:r>
      <w:r w:rsidR="00327094" w:rsidRPr="00327094">
        <w:t>individual autonomy with the duty to protect vulnerable individuals</w:t>
      </w:r>
      <w:r w:rsidR="00944ED8">
        <w:t xml:space="preserve"> must be respected</w:t>
      </w:r>
      <w:r w:rsidR="00327094" w:rsidRPr="00327094">
        <w:t xml:space="preserve">, </w:t>
      </w:r>
      <w:r w:rsidR="00944ED8">
        <w:t xml:space="preserve">while the </w:t>
      </w:r>
      <w:r w:rsidR="00327094" w:rsidRPr="00327094">
        <w:t>diverse interpretations of consent</w:t>
      </w:r>
      <w:r w:rsidR="00944ED8">
        <w:t xml:space="preserve"> must be taken into consideration</w:t>
      </w:r>
      <w:r w:rsidR="00327094" w:rsidRPr="00327094">
        <w:t>,</w:t>
      </w:r>
      <w:r w:rsidR="00944ED8">
        <w:t xml:space="preserve"> as well as </w:t>
      </w:r>
      <w:r w:rsidR="00327094" w:rsidRPr="00327094">
        <w:t xml:space="preserve">incapacity issues, </w:t>
      </w:r>
      <w:r w:rsidR="00944ED8">
        <w:t>or</w:t>
      </w:r>
      <w:r w:rsidR="00327094" w:rsidRPr="00327094">
        <w:t xml:space="preserve"> retrospective consent</w:t>
      </w:r>
      <w:r w:rsidR="00944ED8">
        <w:t xml:space="preserve"> </w:t>
      </w:r>
      <w:r w:rsidR="00944ED8">
        <w:t>(Van Norman, 2008)</w:t>
      </w:r>
      <w:r w:rsidR="00327094" w:rsidRPr="00327094">
        <w:t xml:space="preserve">. </w:t>
      </w:r>
      <w:r w:rsidR="00E70340">
        <w:t>Therefore, t</w:t>
      </w:r>
      <w:r w:rsidR="00327094" w:rsidRPr="00327094">
        <w:t>he dynamic nature of consent continues to provoke debate</w:t>
      </w:r>
      <w:r w:rsidR="00E70340">
        <w:t>s</w:t>
      </w:r>
      <w:r w:rsidR="00327094" w:rsidRPr="00327094">
        <w:t xml:space="preserve"> and evolve, reflecting society's ongoing struggle to define and apply this fundamental concept</w:t>
      </w:r>
      <w:r w:rsidR="00E70340">
        <w:t xml:space="preserve"> </w:t>
      </w:r>
      <w:r w:rsidR="00E70340">
        <w:t>(Dankar et al., 2020)</w:t>
      </w:r>
      <w:r w:rsidR="00327094" w:rsidRPr="00327094">
        <w:t>.</w:t>
      </w:r>
    </w:p>
    <w:p w14:paraId="049E57B6" w14:textId="3148DA1C" w:rsidR="00327094" w:rsidRDefault="00327094" w:rsidP="00327094">
      <w:r w:rsidRPr="00327094">
        <w:t>The presence or absence of consent significantly impacts the legal outcomes of battery cases</w:t>
      </w:r>
      <w:r w:rsidR="00E70340">
        <w:t xml:space="preserve"> </w:t>
      </w:r>
      <w:r w:rsidR="00E70340">
        <w:t>(</w:t>
      </w:r>
      <w:proofErr w:type="spellStart"/>
      <w:r w:rsidR="00E70340">
        <w:t>Pallocci</w:t>
      </w:r>
      <w:proofErr w:type="spellEnd"/>
      <w:r w:rsidR="00E70340">
        <w:t xml:space="preserve"> et al., 2023)</w:t>
      </w:r>
      <w:r w:rsidRPr="00327094">
        <w:t xml:space="preserve">. </w:t>
      </w:r>
      <w:r w:rsidR="00027281">
        <w:t>For instance, i</w:t>
      </w:r>
      <w:r w:rsidRPr="00327094">
        <w:t>n situations where valid, informed, and voluntary consent is established, the act of physical contact is not considered a criminal battery, and the accused is likely to avoid legal consequences</w:t>
      </w:r>
      <w:r w:rsidR="00E70340">
        <w:t xml:space="preserve"> </w:t>
      </w:r>
      <w:r w:rsidR="00E70340">
        <w:t>(</w:t>
      </w:r>
      <w:proofErr w:type="spellStart"/>
      <w:r w:rsidR="00E70340">
        <w:t>Pallocci</w:t>
      </w:r>
      <w:proofErr w:type="spellEnd"/>
      <w:r w:rsidR="00E70340">
        <w:t xml:space="preserve"> et al., 2023)</w:t>
      </w:r>
      <w:r w:rsidRPr="00327094">
        <w:t xml:space="preserve">. However, if the element of consent is absent or </w:t>
      </w:r>
      <w:r w:rsidR="00027281">
        <w:t>considered</w:t>
      </w:r>
      <w:r w:rsidRPr="00327094">
        <w:t xml:space="preserve"> invalid, the act becomes unlawful and constitutes a battery, resulting in criminal </w:t>
      </w:r>
      <w:r w:rsidR="00E70340" w:rsidRPr="00327094">
        <w:t>charge</w:t>
      </w:r>
      <w:r w:rsidR="00E70340">
        <w:t xml:space="preserve"> </w:t>
      </w:r>
      <w:r w:rsidR="00E70340">
        <w:t>(</w:t>
      </w:r>
      <w:proofErr w:type="spellStart"/>
      <w:r w:rsidR="00E70340">
        <w:t>Pallocci</w:t>
      </w:r>
      <w:proofErr w:type="spellEnd"/>
      <w:r w:rsidR="00E70340">
        <w:t xml:space="preserve"> et al., 2023)</w:t>
      </w:r>
      <w:r w:rsidRPr="00327094">
        <w:t xml:space="preserve">. </w:t>
      </w:r>
      <w:r w:rsidR="00027281">
        <w:t>Therefore, t</w:t>
      </w:r>
      <w:r w:rsidRPr="00327094">
        <w:t xml:space="preserve">he potential penalties and consequences for </w:t>
      </w:r>
      <w:r w:rsidR="00CA65ED" w:rsidRPr="00327094">
        <w:t>offenders</w:t>
      </w:r>
      <w:r w:rsidRPr="00327094">
        <w:t xml:space="preserve"> in battery cases depend on factors such as the severity of the offense and any aggravating circumstances</w:t>
      </w:r>
      <w:r w:rsidR="00E70340">
        <w:t xml:space="preserve"> </w:t>
      </w:r>
      <w:r w:rsidR="00E70340">
        <w:t>(</w:t>
      </w:r>
      <w:proofErr w:type="spellStart"/>
      <w:r w:rsidR="00E70340">
        <w:t>Pallocci</w:t>
      </w:r>
      <w:proofErr w:type="spellEnd"/>
      <w:r w:rsidR="00E70340">
        <w:t xml:space="preserve"> et al., 2023)</w:t>
      </w:r>
      <w:r w:rsidRPr="00327094">
        <w:t>. These consequences may include criminal convictions, imprisonment, fines, civil liability, probation, or community service</w:t>
      </w:r>
      <w:r w:rsidR="00E70340">
        <w:t xml:space="preserve"> </w:t>
      </w:r>
      <w:r w:rsidR="00E70340">
        <w:t>(Thompson and Pinard, 2006)</w:t>
      </w:r>
      <w:r w:rsidRPr="00327094">
        <w:t xml:space="preserve">. The specific penalties </w:t>
      </w:r>
      <w:r w:rsidR="00CA65ED">
        <w:t>differ</w:t>
      </w:r>
      <w:r w:rsidRPr="00327094">
        <w:t xml:space="preserve"> based on the jurisdiction and the laws in place at the time of the offense</w:t>
      </w:r>
      <w:r w:rsidR="00E70340">
        <w:t xml:space="preserve"> </w:t>
      </w:r>
      <w:r w:rsidR="00E70340">
        <w:t>(Thompson and Pinard, 2006)</w:t>
      </w:r>
      <w:r w:rsidRPr="00327094">
        <w:t>. Battery laws aim to</w:t>
      </w:r>
      <w:r w:rsidR="00CA65ED">
        <w:t xml:space="preserve"> </w:t>
      </w:r>
      <w:r w:rsidRPr="00327094">
        <w:t xml:space="preserve">balance between holding </w:t>
      </w:r>
      <w:r w:rsidR="00CA65ED" w:rsidRPr="00327094">
        <w:t>offenders</w:t>
      </w:r>
      <w:r w:rsidRPr="00327094">
        <w:t xml:space="preserve"> accountable and protecting the rights and autonomy of individuals who have been subject to non-consensual physical contact</w:t>
      </w:r>
      <w:r w:rsidR="00E70340">
        <w:t xml:space="preserve"> </w:t>
      </w:r>
      <w:r w:rsidR="00E70340">
        <w:t>(Cherry, 2010)</w:t>
      </w:r>
      <w:r w:rsidR="00E70340">
        <w:t>.</w:t>
      </w:r>
    </w:p>
    <w:p w14:paraId="2315CA88" w14:textId="78686652" w:rsidR="00CA65ED" w:rsidRDefault="00CA65ED" w:rsidP="00327094">
      <w:r>
        <w:t>For example, the R</w:t>
      </w:r>
      <w:r w:rsidRPr="00327094">
        <w:t xml:space="preserve"> v. Anderson</w:t>
      </w:r>
      <w:r>
        <w:t xml:space="preserve"> case</w:t>
      </w:r>
      <w:r w:rsidRPr="00327094">
        <w:t xml:space="preserve"> in 2021</w:t>
      </w:r>
      <w:r w:rsidR="00327094" w:rsidRPr="00327094">
        <w:t xml:space="preserve"> </w:t>
      </w:r>
      <w:r w:rsidRPr="00CA65ED">
        <w:t xml:space="preserve">is a notable legal case in the United Kingdom that </w:t>
      </w:r>
      <w:r>
        <w:t>highlighted</w:t>
      </w:r>
      <w:r w:rsidRPr="00CA65ED">
        <w:t xml:space="preserve"> the complexities of consent in battery cases</w:t>
      </w:r>
      <w:r w:rsidR="001E3EBB">
        <w:t xml:space="preserve"> </w:t>
      </w:r>
      <w:r w:rsidR="001E3EBB">
        <w:t>(Dalhousie University, 2021)</w:t>
      </w:r>
      <w:r w:rsidRPr="00CA65ED">
        <w:t xml:space="preserve">. In this case, the defendant was </w:t>
      </w:r>
      <w:r w:rsidRPr="00CA65ED">
        <w:t>cleared</w:t>
      </w:r>
      <w:r w:rsidRPr="00CA65ED">
        <w:t xml:space="preserve">, </w:t>
      </w:r>
      <w:r>
        <w:t xml:space="preserve">which proved </w:t>
      </w:r>
      <w:r w:rsidRPr="00CA65ED">
        <w:t>the challenges of assessing consent in social settings and reinforcing the role of consent in battery cases</w:t>
      </w:r>
      <w:r w:rsidR="001E3EBB">
        <w:t xml:space="preserve"> </w:t>
      </w:r>
      <w:r w:rsidR="001E3EBB">
        <w:t>(Dalhousie University, 2021)</w:t>
      </w:r>
      <w:r w:rsidRPr="00CA65ED">
        <w:t xml:space="preserve">. While the details of the case may vary, the </w:t>
      </w:r>
      <w:r w:rsidRPr="00CA65ED">
        <w:t>principal</w:t>
      </w:r>
      <w:r w:rsidRPr="00CA65ED">
        <w:t xml:space="preserve"> message is that the presence or absence of informed and voluntary consent can significantly influence the legal outcomes of battery cases, and it reflects the evolving nature of consent in contemporary legal contexts</w:t>
      </w:r>
      <w:r w:rsidR="001E3EBB">
        <w:t xml:space="preserve"> </w:t>
      </w:r>
      <w:r w:rsidR="001E3EBB">
        <w:t>(Dalhousie University, 2021)</w:t>
      </w:r>
      <w:r w:rsidRPr="00CA65ED">
        <w:t xml:space="preserve">. </w:t>
      </w:r>
    </w:p>
    <w:p w14:paraId="5DE3E6AE" w14:textId="02E2A26D" w:rsidR="00194202" w:rsidRDefault="00CA65ED" w:rsidP="00194202">
      <w:r>
        <w:t>On the other hand, p</w:t>
      </w:r>
      <w:r w:rsidR="00327094" w:rsidRPr="00327094">
        <w:t xml:space="preserve">ublic awareness of consent's significance in battery cases has notably risen in recent years, </w:t>
      </w:r>
      <w:r w:rsidRPr="00327094">
        <w:t>determined</w:t>
      </w:r>
      <w:r w:rsidR="00327094" w:rsidRPr="00327094">
        <w:t xml:space="preserve"> by educational efforts and high-profile cases</w:t>
      </w:r>
      <w:r>
        <w:t>, and there is a growing understanding of consent in legal and ethical areas</w:t>
      </w:r>
      <w:r w:rsidR="001E3EBB">
        <w:t xml:space="preserve"> </w:t>
      </w:r>
      <w:r w:rsidR="001E3EBB">
        <w:t>(Bazzano, Durant and Brantley, 2021)</w:t>
      </w:r>
      <w:r>
        <w:t>. For example, t</w:t>
      </w:r>
      <w:r w:rsidR="00327094" w:rsidRPr="00327094">
        <w:t>he #MeToo movement has</w:t>
      </w:r>
      <w:r>
        <w:t xml:space="preserve"> </w:t>
      </w:r>
      <w:r w:rsidR="00327094" w:rsidRPr="00327094">
        <w:t>highlight</w:t>
      </w:r>
      <w:r>
        <w:t>ed</w:t>
      </w:r>
      <w:r w:rsidR="00327094" w:rsidRPr="00327094">
        <w:t xml:space="preserve"> the need for clear, informed, and voluntary agreement in all physical interactions</w:t>
      </w:r>
      <w:r w:rsidR="001E3EBB">
        <w:t xml:space="preserve"> </w:t>
      </w:r>
      <w:r w:rsidR="001E3EBB">
        <w:t>(Jaffe, Cero and DiLillo, 2021)</w:t>
      </w:r>
      <w:r w:rsidR="00327094" w:rsidRPr="00327094">
        <w:t>.</w:t>
      </w:r>
      <w:r>
        <w:t xml:space="preserve"> With the help of this movement, it is</w:t>
      </w:r>
      <w:r w:rsidR="00327094" w:rsidRPr="00327094">
        <w:t xml:space="preserve"> now widely recognized that consent is an ongoing </w:t>
      </w:r>
      <w:r w:rsidRPr="00327094">
        <w:t>process,</w:t>
      </w:r>
      <w:r w:rsidR="00327094" w:rsidRPr="00327094">
        <w:t xml:space="preserve"> and its absence can lead to criminal charges</w:t>
      </w:r>
      <w:r w:rsidR="001E3EBB">
        <w:t xml:space="preserve"> </w:t>
      </w:r>
      <w:r w:rsidR="001E3EBB">
        <w:t>(Jaffe, Cero and DiLillo, 2021)</w:t>
      </w:r>
      <w:r w:rsidR="00327094" w:rsidRPr="00327094">
        <w:t xml:space="preserve">. However, </w:t>
      </w:r>
      <w:r w:rsidRPr="00327094">
        <w:t>social</w:t>
      </w:r>
      <w:r w:rsidR="00327094" w:rsidRPr="00327094">
        <w:t xml:space="preserve"> attitudes and misconceptions still exist</w:t>
      </w:r>
      <w:r w:rsidR="001E3EBB">
        <w:t xml:space="preserve"> </w:t>
      </w:r>
      <w:r w:rsidR="001E3EBB">
        <w:t xml:space="preserve">(de la Torre </w:t>
      </w:r>
      <w:proofErr w:type="spellStart"/>
      <w:r w:rsidR="001E3EBB">
        <w:t>Laso</w:t>
      </w:r>
      <w:proofErr w:type="spellEnd"/>
      <w:r w:rsidR="001E3EBB">
        <w:t xml:space="preserve"> and Rodríguez-Díaz, 2022)</w:t>
      </w:r>
      <w:r w:rsidR="00327094" w:rsidRPr="00327094">
        <w:t xml:space="preserve">. </w:t>
      </w:r>
      <w:r>
        <w:t>For example, v</w:t>
      </w:r>
      <w:r w:rsidR="00327094" w:rsidRPr="00327094">
        <w:t xml:space="preserve">ictim-blaming and misunderstandings about the nature of consent persist, </w:t>
      </w:r>
      <w:r>
        <w:t xml:space="preserve">which makes </w:t>
      </w:r>
      <w:r w:rsidR="00327094" w:rsidRPr="00327094">
        <w:t>addressing non-consensual acts</w:t>
      </w:r>
      <w:r>
        <w:t xml:space="preserve"> still challenging</w:t>
      </w:r>
      <w:r w:rsidR="001E3EBB">
        <w:t xml:space="preserve"> </w:t>
      </w:r>
      <w:r w:rsidR="001E3EBB">
        <w:t xml:space="preserve">(de la Torre </w:t>
      </w:r>
      <w:proofErr w:type="spellStart"/>
      <w:r w:rsidR="001E3EBB">
        <w:t>Laso</w:t>
      </w:r>
      <w:proofErr w:type="spellEnd"/>
      <w:r w:rsidR="001E3EBB">
        <w:t xml:space="preserve"> and Rodríguez-Díaz, 2022)</w:t>
      </w:r>
      <w:r w:rsidR="00327094" w:rsidRPr="00327094">
        <w:t>. Moreover, gender</w:t>
      </w:r>
      <w:r>
        <w:t xml:space="preserve"> or wealth </w:t>
      </w:r>
      <w:r w:rsidR="00327094" w:rsidRPr="00327094">
        <w:t>imbalances influence how consent is perceived, particularly in sexual assault cases</w:t>
      </w:r>
      <w:r w:rsidR="001E3EBB">
        <w:t xml:space="preserve"> </w:t>
      </w:r>
      <w:r w:rsidR="001E3EBB">
        <w:t xml:space="preserve">(de la Torre </w:t>
      </w:r>
      <w:proofErr w:type="spellStart"/>
      <w:r w:rsidR="001E3EBB">
        <w:t>Laso</w:t>
      </w:r>
      <w:proofErr w:type="spellEnd"/>
      <w:r w:rsidR="001E3EBB">
        <w:t xml:space="preserve"> and Rodríguez-Díaz, 2022)</w:t>
      </w:r>
      <w:r w:rsidR="00327094" w:rsidRPr="00327094">
        <w:t xml:space="preserve">. </w:t>
      </w:r>
      <w:r>
        <w:t>Therefore, in order t</w:t>
      </w:r>
      <w:r w:rsidR="00327094" w:rsidRPr="00327094">
        <w:t xml:space="preserve">o address these issues, continuous education and awareness campaigns are </w:t>
      </w:r>
      <w:r w:rsidR="00F6096C">
        <w:t>essential</w:t>
      </w:r>
      <w:r w:rsidR="00327094" w:rsidRPr="00327094">
        <w:t xml:space="preserve"> to ensure that the public fully </w:t>
      </w:r>
      <w:r w:rsidR="00F6096C">
        <w:t>understands</w:t>
      </w:r>
      <w:r w:rsidR="00327094" w:rsidRPr="00327094">
        <w:t xml:space="preserve"> the importance of consent in battery cases, while legal changes may also play a role in </w:t>
      </w:r>
      <w:r w:rsidR="00F6096C">
        <w:t>improving social</w:t>
      </w:r>
      <w:r w:rsidR="00327094" w:rsidRPr="00327094">
        <w:t xml:space="preserve"> attitudes</w:t>
      </w:r>
      <w:r w:rsidR="00F6096C">
        <w:t xml:space="preserve"> towards consent</w:t>
      </w:r>
      <w:r w:rsidR="001E3EBB">
        <w:t xml:space="preserve"> </w:t>
      </w:r>
      <w:r w:rsidR="001E3EBB">
        <w:t xml:space="preserve">(de la Torre </w:t>
      </w:r>
      <w:proofErr w:type="spellStart"/>
      <w:r w:rsidR="001E3EBB">
        <w:t>Laso</w:t>
      </w:r>
      <w:proofErr w:type="spellEnd"/>
      <w:r w:rsidR="001E3EBB">
        <w:t xml:space="preserve"> and Rodríguez-Díaz, 2022</w:t>
      </w:r>
      <w:r w:rsidR="00BF6CB2">
        <w:t xml:space="preserve">; </w:t>
      </w:r>
      <w:r w:rsidR="00BF6CB2">
        <w:t>Smith, 2021; Jones, 2020</w:t>
      </w:r>
      <w:r w:rsidR="001E3EBB">
        <w:t>)</w:t>
      </w:r>
      <w:r w:rsidR="00327094" w:rsidRPr="00327094">
        <w:t>.</w:t>
      </w:r>
    </w:p>
    <w:p w14:paraId="312E970A" w14:textId="39CDC2C7" w:rsidR="00194202" w:rsidRDefault="00F6096C" w:rsidP="00194202">
      <w:r>
        <w:t xml:space="preserve">In conclusion, </w:t>
      </w:r>
      <w:r w:rsidR="00194202">
        <w:t>this essay</w:t>
      </w:r>
      <w:r>
        <w:t xml:space="preserve"> has</w:t>
      </w:r>
      <w:r w:rsidR="00194202">
        <w:t xml:space="preserve"> explored the </w:t>
      </w:r>
      <w:r>
        <w:t>essential</w:t>
      </w:r>
      <w:r w:rsidR="00194202">
        <w:t xml:space="preserve"> role of consent in UK battery cases, </w:t>
      </w:r>
      <w:r>
        <w:t>highlighting</w:t>
      </w:r>
      <w:r w:rsidR="00194202">
        <w:t xml:space="preserve"> </w:t>
      </w:r>
      <w:r>
        <w:t>the difference</w:t>
      </w:r>
      <w:r w:rsidR="00194202">
        <w:t xml:space="preserve"> between lawful actions and criminal offenses involving non-consensual physical contact. </w:t>
      </w:r>
      <w:r>
        <w:t>T</w:t>
      </w:r>
      <w:r w:rsidR="00194202">
        <w:t xml:space="preserve">he legal principles </w:t>
      </w:r>
      <w:r>
        <w:t>of</w:t>
      </w:r>
      <w:r w:rsidR="00194202">
        <w:t xml:space="preserve"> consent</w:t>
      </w:r>
      <w:r>
        <w:t xml:space="preserve"> have been discussed</w:t>
      </w:r>
      <w:r w:rsidR="00194202">
        <w:t>,</w:t>
      </w:r>
      <w:r>
        <w:t xml:space="preserve"> as well as</w:t>
      </w:r>
      <w:r w:rsidR="00194202">
        <w:t xml:space="preserve"> the significance of informed and voluntary consent, and its influence on the legal outcomes of battery cases. </w:t>
      </w:r>
      <w:r>
        <w:t>Moreover, t</w:t>
      </w:r>
      <w:r w:rsidR="00194202">
        <w:t xml:space="preserve">he evolving nature of consent in this context is reflected in </w:t>
      </w:r>
      <w:r>
        <w:t>changing</w:t>
      </w:r>
      <w:r w:rsidR="00194202">
        <w:t xml:space="preserve"> </w:t>
      </w:r>
      <w:r>
        <w:t>social</w:t>
      </w:r>
      <w:r w:rsidR="00194202">
        <w:t xml:space="preserve"> attitudes and increased public awareness, driven by movements like #MeToo, and illustrated in cases like R v. Anderson (2021). As consent continues to evolve, it </w:t>
      </w:r>
      <w:r>
        <w:t>highlights</w:t>
      </w:r>
      <w:r w:rsidR="00194202">
        <w:t xml:space="preserve"> the importance of adapting legal interpretations to protect individual autonomy and </w:t>
      </w:r>
      <w:r>
        <w:t>physical</w:t>
      </w:r>
      <w:r w:rsidR="00194202">
        <w:t xml:space="preserve"> integrity (Smith, 2021; Jones, 2020).</w:t>
      </w:r>
    </w:p>
    <w:p w14:paraId="36944C0E" w14:textId="1FA42B48" w:rsidR="00BF6CB2" w:rsidRDefault="00BF6CB2" w:rsidP="00194202">
      <w:r>
        <w:t>Reference List</w:t>
      </w:r>
    </w:p>
    <w:p w14:paraId="48B0BE0F" w14:textId="77777777" w:rsidR="00BF6CB2" w:rsidRDefault="00BF6CB2" w:rsidP="00BF6CB2">
      <w:r>
        <w:t xml:space="preserve">Bazzano, L.A., Durant, J. and Brantley, P.R. (2021). A Modern History of Informed Consent and the Role of Key Information. The Ochsner Journal, 21(1), pp.81–85. </w:t>
      </w:r>
      <w:proofErr w:type="spellStart"/>
      <w:proofErr w:type="gramStart"/>
      <w:r>
        <w:t>doi:https</w:t>
      </w:r>
      <w:proofErr w:type="spellEnd"/>
      <w:r>
        <w:t>://doi.org/10.31486/toj.19.0105</w:t>
      </w:r>
      <w:proofErr w:type="gramEnd"/>
      <w:r>
        <w:t>.</w:t>
      </w:r>
    </w:p>
    <w:p w14:paraId="3F782F8C" w14:textId="77777777" w:rsidR="00BF6CB2" w:rsidRDefault="00BF6CB2" w:rsidP="00BF6CB2">
      <w:r>
        <w:t xml:space="preserve">Burton, O., </w:t>
      </w:r>
      <w:proofErr w:type="spellStart"/>
      <w:r>
        <w:t>Rawstorne</w:t>
      </w:r>
      <w:proofErr w:type="spellEnd"/>
      <w:r>
        <w:t xml:space="preserve">, P., </w:t>
      </w:r>
      <w:proofErr w:type="spellStart"/>
      <w:r>
        <w:t>Watchirs</w:t>
      </w:r>
      <w:proofErr w:type="spellEnd"/>
      <w:r>
        <w:t xml:space="preserve">-Smith, L., Nathan, S. and Carter, A. (2021). Teaching Sexual Consent to Young People in Education settings: a Narrative Systematic Review. Sex Education, 23(1), pp.1–17. </w:t>
      </w:r>
      <w:proofErr w:type="spellStart"/>
      <w:proofErr w:type="gramStart"/>
      <w:r>
        <w:t>doi:https</w:t>
      </w:r>
      <w:proofErr w:type="spellEnd"/>
      <w:r>
        <w:t>://doi.org/10.1080/14681811.2021.2018676</w:t>
      </w:r>
      <w:proofErr w:type="gramEnd"/>
      <w:r>
        <w:t>.</w:t>
      </w:r>
    </w:p>
    <w:p w14:paraId="00C4EF7F" w14:textId="77777777" w:rsidR="00BF6CB2" w:rsidRDefault="00BF6CB2" w:rsidP="00BF6CB2">
      <w:r>
        <w:t xml:space="preserve">Cherry, M.J. (2010). Non-Consensual Treatment Is (Nearly Always) Morally Impermissible. Journal of Law, Medicine &amp; Ethics, 38(4), pp.789–798. </w:t>
      </w:r>
      <w:proofErr w:type="spellStart"/>
      <w:proofErr w:type="gramStart"/>
      <w:r>
        <w:t>doi:https</w:t>
      </w:r>
      <w:proofErr w:type="spellEnd"/>
      <w:r>
        <w:t>://doi.org/10.1111/j.1748-720x.2010.00532.x</w:t>
      </w:r>
      <w:proofErr w:type="gramEnd"/>
      <w:r>
        <w:t>.</w:t>
      </w:r>
    </w:p>
    <w:p w14:paraId="1E248240" w14:textId="77777777" w:rsidR="00BF6CB2" w:rsidRDefault="00BF6CB2" w:rsidP="00BF6CB2">
      <w:proofErr w:type="spellStart"/>
      <w:r>
        <w:t>Chuchalin</w:t>
      </w:r>
      <w:proofErr w:type="spellEnd"/>
      <w:r>
        <w:t xml:space="preserve">, A.G. (2021). Consent. Modern interpretation: ‘Voluntary Informed Consent’. </w:t>
      </w:r>
      <w:proofErr w:type="spellStart"/>
      <w:r>
        <w:t>Terapevticheskii</w:t>
      </w:r>
      <w:proofErr w:type="spellEnd"/>
      <w:r>
        <w:t xml:space="preserve"> </w:t>
      </w:r>
      <w:proofErr w:type="spellStart"/>
      <w:r>
        <w:t>Arkhiv</w:t>
      </w:r>
      <w:proofErr w:type="spellEnd"/>
      <w:r>
        <w:t xml:space="preserve">, 93(5), pp.640–644. </w:t>
      </w:r>
      <w:proofErr w:type="spellStart"/>
      <w:proofErr w:type="gramStart"/>
      <w:r>
        <w:t>doi:https</w:t>
      </w:r>
      <w:proofErr w:type="spellEnd"/>
      <w:r>
        <w:t>://doi.org/10.26442/00403660.2021.05.200797</w:t>
      </w:r>
      <w:proofErr w:type="gramEnd"/>
      <w:r>
        <w:t>.</w:t>
      </w:r>
    </w:p>
    <w:p w14:paraId="79A5A40B" w14:textId="77777777" w:rsidR="00BF6CB2" w:rsidRDefault="00BF6CB2" w:rsidP="00BF6CB2">
      <w:r>
        <w:t xml:space="preserve">Coulson, K.M., Glasser, B.L. and Liang, B.A. (2002). Informed consent: Issues for Providers. </w:t>
      </w:r>
      <w:proofErr w:type="spellStart"/>
      <w:r>
        <w:t>Hematology</w:t>
      </w:r>
      <w:proofErr w:type="spellEnd"/>
      <w:r>
        <w:t xml:space="preserve">/Oncology Clinics of North America, 16(6), pp.1365–1380. </w:t>
      </w:r>
      <w:proofErr w:type="spellStart"/>
      <w:proofErr w:type="gramStart"/>
      <w:r>
        <w:t>doi:https</w:t>
      </w:r>
      <w:proofErr w:type="spellEnd"/>
      <w:r>
        <w:t>://doi.org/10.1016/s0889-8588(02)00059-x</w:t>
      </w:r>
      <w:proofErr w:type="gramEnd"/>
      <w:r>
        <w:t>.</w:t>
      </w:r>
    </w:p>
    <w:p w14:paraId="62933AAF" w14:textId="77777777" w:rsidR="00BF6CB2" w:rsidRDefault="00BF6CB2" w:rsidP="00BF6CB2">
      <w:r>
        <w:t xml:space="preserve">Dalhousie University (2021). Anderson Mini-Symposium: Nova Scotia Court of Appeal Issues Guidance on the Sentencing of African Nova Scotians: Three Observations about R. v. Anderson 2021 NSCA 62. </w:t>
      </w:r>
      <w:proofErr w:type="spellStart"/>
      <w:r>
        <w:t>Dalhouse</w:t>
      </w:r>
      <w:proofErr w:type="spellEnd"/>
      <w:r>
        <w:t xml:space="preserve"> Law Journal.</w:t>
      </w:r>
    </w:p>
    <w:p w14:paraId="453F3765" w14:textId="77777777" w:rsidR="00BF6CB2" w:rsidRDefault="00BF6CB2" w:rsidP="00BF6CB2">
      <w:r>
        <w:t xml:space="preserve">Dankar, F.K., Gergely, M., Malin, B., Badji, R., Dankar, S.K. and Shuaib, K. (2020). Dynamic-informed consent: a Potential Solution for Ethical Dilemmas in Population Sequencing Initiatives. Computational and Structural Biotechnology Journal, 18, pp.913–921. </w:t>
      </w:r>
      <w:proofErr w:type="spellStart"/>
      <w:proofErr w:type="gramStart"/>
      <w:r>
        <w:t>doi:https</w:t>
      </w:r>
      <w:proofErr w:type="spellEnd"/>
      <w:r>
        <w:t>://doi.org/10.1016/j.csbj.2020.03.027</w:t>
      </w:r>
      <w:proofErr w:type="gramEnd"/>
      <w:r>
        <w:t>.</w:t>
      </w:r>
    </w:p>
    <w:p w14:paraId="253D0625" w14:textId="77777777" w:rsidR="00BF6CB2" w:rsidRDefault="00BF6CB2" w:rsidP="00BF6CB2">
      <w:r>
        <w:t xml:space="preserve">Davies, M. (2004). R V Dica: Lessons in Practising Unsafe Sex. The Journal of Criminal Law, 68(6), pp.498–506. </w:t>
      </w:r>
      <w:proofErr w:type="spellStart"/>
      <w:proofErr w:type="gramStart"/>
      <w:r>
        <w:t>doi:https</w:t>
      </w:r>
      <w:proofErr w:type="spellEnd"/>
      <w:r>
        <w:t>://doi.org/10.1350/jcla.68.6.498.54140</w:t>
      </w:r>
      <w:proofErr w:type="gramEnd"/>
      <w:r>
        <w:t>.</w:t>
      </w:r>
    </w:p>
    <w:p w14:paraId="312174DC" w14:textId="77777777" w:rsidR="00BF6CB2" w:rsidRDefault="00BF6CB2" w:rsidP="00BF6CB2">
      <w:r>
        <w:t xml:space="preserve">de la Torre </w:t>
      </w:r>
      <w:proofErr w:type="spellStart"/>
      <w:r>
        <w:t>Laso</w:t>
      </w:r>
      <w:proofErr w:type="spellEnd"/>
      <w:r>
        <w:t xml:space="preserve">, J. and Rodríguez-Díaz, J.M. (2022). The Relationship between Attribution of Blame and the Perception of Resistance in Relation to Victims of Sexual Violence. Frontiers in Psychology, 13. </w:t>
      </w:r>
      <w:proofErr w:type="spellStart"/>
      <w:proofErr w:type="gramStart"/>
      <w:r>
        <w:t>doi:https</w:t>
      </w:r>
      <w:proofErr w:type="spellEnd"/>
      <w:r>
        <w:t>://doi.org/10.3389/fpsyg.2022.868793</w:t>
      </w:r>
      <w:proofErr w:type="gramEnd"/>
      <w:r>
        <w:t>.</w:t>
      </w:r>
    </w:p>
    <w:p w14:paraId="6B8CF755" w14:textId="77777777" w:rsidR="00BF6CB2" w:rsidRDefault="00BF6CB2" w:rsidP="00BF6CB2">
      <w:r>
        <w:t xml:space="preserve">Dowds, E. (2018). Conceptualizing the Role of Consent in the Definition of Rape at the International Criminal court: a Norm Transfer Perspective. International Feminist Journal of Politics, 20(4), pp.624–643. </w:t>
      </w:r>
      <w:proofErr w:type="spellStart"/>
      <w:proofErr w:type="gramStart"/>
      <w:r>
        <w:t>doi:https</w:t>
      </w:r>
      <w:proofErr w:type="spellEnd"/>
      <w:r>
        <w:t>://doi.org/10.1080/14616742.2018.1447311</w:t>
      </w:r>
      <w:proofErr w:type="gramEnd"/>
      <w:r>
        <w:t>.</w:t>
      </w:r>
    </w:p>
    <w:p w14:paraId="19F968CC" w14:textId="77777777" w:rsidR="00BF6CB2" w:rsidRDefault="00BF6CB2" w:rsidP="00BF6CB2">
      <w:r>
        <w:t xml:space="preserve">Esmail, S. and Concannon, B. (2022). Approaches to Determine and Manage Sexual Consent Abilities for People with Cognitive Disabilities: Systematic Review. Interactive Journal of Medical Research, 11(1), p.e28137. </w:t>
      </w:r>
      <w:proofErr w:type="spellStart"/>
      <w:proofErr w:type="gramStart"/>
      <w:r>
        <w:t>doi:https</w:t>
      </w:r>
      <w:proofErr w:type="spellEnd"/>
      <w:r>
        <w:t>://doi.org/10.2196/28137</w:t>
      </w:r>
      <w:proofErr w:type="gramEnd"/>
      <w:r>
        <w:t>.</w:t>
      </w:r>
    </w:p>
    <w:p w14:paraId="103629C3" w14:textId="77777777" w:rsidR="00BF6CB2" w:rsidRDefault="00BF6CB2" w:rsidP="00BF6CB2">
      <w:r>
        <w:t xml:space="preserve">Florea, M. and Esteves, B. (2023). Is Automated Consent in Solid GDPR-Compliant? an Approach for Obtaining Valid Consent with the Solid Protocol. Preprints, 2023. </w:t>
      </w:r>
      <w:proofErr w:type="spellStart"/>
      <w:proofErr w:type="gramStart"/>
      <w:r>
        <w:t>doi:https</w:t>
      </w:r>
      <w:proofErr w:type="spellEnd"/>
      <w:r>
        <w:t>://doi.org/10.20944/preprints202307.1344.v2</w:t>
      </w:r>
      <w:proofErr w:type="gramEnd"/>
      <w:r>
        <w:t>.</w:t>
      </w:r>
    </w:p>
    <w:p w14:paraId="08ECD48B" w14:textId="77777777" w:rsidR="00BF6CB2" w:rsidRDefault="00BF6CB2" w:rsidP="00BF6CB2">
      <w:proofErr w:type="spellStart"/>
      <w:r>
        <w:t>Goicovici</w:t>
      </w:r>
      <w:proofErr w:type="spellEnd"/>
      <w:r>
        <w:t xml:space="preserve">, J. (2022). Granularity and Specificity of Consent and Implications Thereof for the Data Controller in the Light of the Principle of ‘Purpose </w:t>
      </w:r>
      <w:proofErr w:type="gramStart"/>
      <w:r>
        <w:t>Limitation‘</w:t>
      </w:r>
      <w:proofErr w:type="gramEnd"/>
      <w:r>
        <w:t xml:space="preserve">. </w:t>
      </w:r>
      <w:proofErr w:type="spellStart"/>
      <w:proofErr w:type="gramStart"/>
      <w:r>
        <w:t>InterEULawEast</w:t>
      </w:r>
      <w:proofErr w:type="spellEnd"/>
      <w:r>
        <w:t xml:space="preserve"> :</w:t>
      </w:r>
      <w:proofErr w:type="gramEnd"/>
      <w:r>
        <w:t xml:space="preserve"> Journal for the International and European law, Economics and Market Integrations, 9(2), pp.43–69.</w:t>
      </w:r>
    </w:p>
    <w:p w14:paraId="00A27C8A" w14:textId="77777777" w:rsidR="00BF6CB2" w:rsidRDefault="00BF6CB2" w:rsidP="00BF6CB2">
      <w:r>
        <w:t xml:space="preserve">Herring, J. (2023). Rethinking Sexual Crimes: from Women’s Consent to Men’s Responsibility. </w:t>
      </w:r>
      <w:proofErr w:type="spellStart"/>
      <w:r>
        <w:t>Anatomia</w:t>
      </w:r>
      <w:proofErr w:type="spellEnd"/>
      <w:r>
        <w:t xml:space="preserve"> Do Crime, 17(Jan-Jun), pp.19–34.</w:t>
      </w:r>
    </w:p>
    <w:p w14:paraId="74907BC4" w14:textId="77777777" w:rsidR="00BF6CB2" w:rsidRDefault="00BF6CB2" w:rsidP="00BF6CB2">
      <w:r>
        <w:t xml:space="preserve">Jaffe, A.E., Cero, I. and DiLillo, D. (2021). The #MeToo Movement and Perceptions of Sexual assault: College Students’ Recognition of Sexual Assault Experiences over time. Psychology of Violence, 11(2). </w:t>
      </w:r>
      <w:proofErr w:type="spellStart"/>
      <w:proofErr w:type="gramStart"/>
      <w:r>
        <w:t>doi:https</w:t>
      </w:r>
      <w:proofErr w:type="spellEnd"/>
      <w:r>
        <w:t>://doi.org/10.1037/vio0000363</w:t>
      </w:r>
      <w:proofErr w:type="gramEnd"/>
      <w:r>
        <w:t>.</w:t>
      </w:r>
    </w:p>
    <w:p w14:paraId="65E912E6" w14:textId="77777777" w:rsidR="00BF6CB2" w:rsidRDefault="00BF6CB2" w:rsidP="00BF6CB2">
      <w:r>
        <w:t xml:space="preserve">Jefferson, M. (2012). Offences against the Person: into the 21st Century. The Journal of Criminal Law, 76(6), pp.472–492. </w:t>
      </w:r>
      <w:proofErr w:type="spellStart"/>
      <w:proofErr w:type="gramStart"/>
      <w:r>
        <w:t>doi:https</w:t>
      </w:r>
      <w:proofErr w:type="spellEnd"/>
      <w:r>
        <w:t>://doi.org/10.1350/jcla.2012.76.6.805</w:t>
      </w:r>
      <w:proofErr w:type="gramEnd"/>
      <w:r>
        <w:t>.</w:t>
      </w:r>
    </w:p>
    <w:p w14:paraId="3987014F" w14:textId="77777777" w:rsidR="00BF6CB2" w:rsidRDefault="00BF6CB2" w:rsidP="00BF6CB2">
      <w:r>
        <w:t>Jones, B. (2020). Shifting Societal Attitudes and the Significance of Consent. Ethics &amp; Law Review, 10(2), 45-57.</w:t>
      </w:r>
    </w:p>
    <w:p w14:paraId="0B4A01EE" w14:textId="77777777" w:rsidR="00BF6CB2" w:rsidRDefault="00BF6CB2" w:rsidP="00BF6CB2">
      <w:r>
        <w:t>Juyal, R. (2023). Preserving Personal Autonomy: Exploring the Importance of Privacy Rights, Their Impact on Society, and Threats to Privacy in the Digital Age. In: Global Perspectives on Social Media Usage within Governments. IGI Global, pp.226–235.</w:t>
      </w:r>
    </w:p>
    <w:p w14:paraId="3138ACDA" w14:textId="77777777" w:rsidR="00BF6CB2" w:rsidRDefault="00BF6CB2" w:rsidP="00BF6CB2">
      <w:r>
        <w:t xml:space="preserve">Lapid, M.I., Clarke, B.L., Ho, J.B., Ouellette, Y., Armbrust, T.L. and Wright, R.S. (2021). Research Involving Participants with Impaired Consent Capacity. Mayo Clinic Proceedings, 96(11), pp.2806–2822. </w:t>
      </w:r>
      <w:proofErr w:type="spellStart"/>
      <w:proofErr w:type="gramStart"/>
      <w:r>
        <w:t>doi:https</w:t>
      </w:r>
      <w:proofErr w:type="spellEnd"/>
      <w:r>
        <w:t>://doi.org/10.1016/j.mayocp.2021.04.029</w:t>
      </w:r>
      <w:proofErr w:type="gramEnd"/>
      <w:r>
        <w:t>.</w:t>
      </w:r>
    </w:p>
    <w:p w14:paraId="664BF32C" w14:textId="77777777" w:rsidR="00BF6CB2" w:rsidRDefault="00BF6CB2" w:rsidP="00BF6CB2">
      <w:r>
        <w:t>Mactier, I. and McConnell, P. (2023). Consent. Anaesthesia &amp; Intensive Care Medicine.</w:t>
      </w:r>
    </w:p>
    <w:p w14:paraId="0ABCBFDF" w14:textId="77777777" w:rsidR="00BF6CB2" w:rsidRDefault="00BF6CB2" w:rsidP="00BF6CB2">
      <w:r>
        <w:t>Melzer, N. (2023). The Trial of Julian Assange. Verso Books.</w:t>
      </w:r>
    </w:p>
    <w:p w14:paraId="06197C2C" w14:textId="77777777" w:rsidR="00BF6CB2" w:rsidRDefault="00BF6CB2" w:rsidP="00BF6CB2">
      <w:r>
        <w:t xml:space="preserve">Moore, N.J. (2012). Intent and Consent in the Tort of Battery: Confusion and Controversy. SSRN Electronic Journal. </w:t>
      </w:r>
      <w:proofErr w:type="spellStart"/>
      <w:proofErr w:type="gramStart"/>
      <w:r>
        <w:t>doi:https</w:t>
      </w:r>
      <w:proofErr w:type="spellEnd"/>
      <w:r>
        <w:t>://doi.org/10.2139/ssrn.2008843</w:t>
      </w:r>
      <w:proofErr w:type="gramEnd"/>
      <w:r>
        <w:t>.</w:t>
      </w:r>
    </w:p>
    <w:p w14:paraId="1ABD5344" w14:textId="77777777" w:rsidR="00BF6CB2" w:rsidRDefault="00BF6CB2" w:rsidP="00BF6CB2">
      <w:r>
        <w:t>Otis, W. (2023). A Decision of One’s Own: Understanding Individual Autonomy in Supported Decision-Making. Doctoral Dissertation.</w:t>
      </w:r>
    </w:p>
    <w:p w14:paraId="6C3022C7" w14:textId="77777777" w:rsidR="00BF6CB2" w:rsidRDefault="00BF6CB2" w:rsidP="00BF6CB2">
      <w:proofErr w:type="spellStart"/>
      <w:r>
        <w:t>Pallocci</w:t>
      </w:r>
      <w:proofErr w:type="spellEnd"/>
      <w:r>
        <w:t xml:space="preserve">, M., Treglia, M., Passalacqua, P., </w:t>
      </w:r>
      <w:proofErr w:type="spellStart"/>
      <w:r>
        <w:t>Tittarelli</w:t>
      </w:r>
      <w:proofErr w:type="spellEnd"/>
      <w:r>
        <w:t xml:space="preserve">, R., </w:t>
      </w:r>
      <w:proofErr w:type="spellStart"/>
      <w:r>
        <w:t>Zanovello</w:t>
      </w:r>
      <w:proofErr w:type="spellEnd"/>
      <w:r>
        <w:t xml:space="preserve">, C., De Luca, L., </w:t>
      </w:r>
      <w:proofErr w:type="spellStart"/>
      <w:r>
        <w:t>Caparrelli</w:t>
      </w:r>
      <w:proofErr w:type="spellEnd"/>
      <w:r>
        <w:t>, V., De Luna, V., Cisterna, A.M., Quintavalle, G. and Marsella, L.T. (2023). Informed Consent: Legal Obligation or Cornerstone of the Care Relationship? International Journal of Environmental Research and Public Health, 20(3), p.2118.</w:t>
      </w:r>
    </w:p>
    <w:p w14:paraId="0DB32CA6" w14:textId="77777777" w:rsidR="00BF6CB2" w:rsidRDefault="00BF6CB2" w:rsidP="00BF6CB2">
      <w:r>
        <w:t>Palmer, T. and Wiener, C. (2021). Telling the Wrong Stories: Rough Sex Coercive Control and the Criminal Law. Child and Family Law Quarterly, 2021, pp.331–347.</w:t>
      </w:r>
    </w:p>
    <w:p w14:paraId="2DC495A0" w14:textId="77777777" w:rsidR="00BF6CB2" w:rsidRDefault="00BF6CB2" w:rsidP="00BF6CB2">
      <w:r>
        <w:t xml:space="preserve">Polk, A. (2023). Toxic Battery: Pollution as a Dignitary Tort. Social Science Research Network, 101. </w:t>
      </w:r>
      <w:proofErr w:type="spellStart"/>
      <w:proofErr w:type="gramStart"/>
      <w:r>
        <w:t>doi:https</w:t>
      </w:r>
      <w:proofErr w:type="spellEnd"/>
      <w:r>
        <w:t>://doi.org/10.2139/ssrn.4541438</w:t>
      </w:r>
      <w:proofErr w:type="gramEnd"/>
      <w:r>
        <w:t>.</w:t>
      </w:r>
    </w:p>
    <w:p w14:paraId="69ACF33D" w14:textId="77777777" w:rsidR="00BF6CB2" w:rsidRDefault="00BF6CB2" w:rsidP="00BF6CB2">
      <w:r>
        <w:t>R v. Anderson, 2021 [NICA 208].</w:t>
      </w:r>
    </w:p>
    <w:p w14:paraId="2AFC5C61" w14:textId="77777777" w:rsidR="00BF6CB2" w:rsidRDefault="00BF6CB2" w:rsidP="00BF6CB2">
      <w:r>
        <w:t xml:space="preserve">Sears, J.M. (2005). Context Is Key for Voluntary and Informed Consent. The American Journal of Bioethics, 5(1), pp.47–48. </w:t>
      </w:r>
      <w:proofErr w:type="spellStart"/>
      <w:proofErr w:type="gramStart"/>
      <w:r>
        <w:t>doi:https</w:t>
      </w:r>
      <w:proofErr w:type="spellEnd"/>
      <w:r>
        <w:t>://doi.org/10.1080/15265160590927796</w:t>
      </w:r>
      <w:proofErr w:type="gramEnd"/>
      <w:r>
        <w:t>.</w:t>
      </w:r>
    </w:p>
    <w:p w14:paraId="2E70BA53" w14:textId="77777777" w:rsidR="00BF6CB2" w:rsidRDefault="00BF6CB2" w:rsidP="00BF6CB2">
      <w:r>
        <w:t>Simmonds, A.I. (2023). For All (Hu) mankind? the Intersection of Mental capacity, Informed Consent and Contract Law with UK Space Law. International Journal of Discrimination and the Law.</w:t>
      </w:r>
    </w:p>
    <w:p w14:paraId="35A8C7C3" w14:textId="77777777" w:rsidR="00BF6CB2" w:rsidRDefault="00BF6CB2" w:rsidP="00BF6CB2">
      <w:r>
        <w:t>Smith, A. (2021). The Evolving Nature of Consent in Battery Cases. Legal Journal, 25(3), 112-130.</w:t>
      </w:r>
    </w:p>
    <w:p w14:paraId="270453DD" w14:textId="77777777" w:rsidR="00BF6CB2" w:rsidRDefault="00BF6CB2" w:rsidP="00BF6CB2">
      <w:r>
        <w:t xml:space="preserve">Thompson, A. and Pinard, M. (2006). Offender </w:t>
      </w:r>
      <w:proofErr w:type="spellStart"/>
      <w:r>
        <w:t>Reentry</w:t>
      </w:r>
      <w:proofErr w:type="spellEnd"/>
      <w:r>
        <w:t xml:space="preserve"> and the Collateral Consequences of Criminal Convictions: </w:t>
      </w:r>
      <w:proofErr w:type="gramStart"/>
      <w:r>
        <w:t>an</w:t>
      </w:r>
      <w:proofErr w:type="gramEnd"/>
      <w:r>
        <w:t xml:space="preserve"> Introduction. NYU Rev. L. &amp; Soc. Change, 30(30).</w:t>
      </w:r>
    </w:p>
    <w:p w14:paraId="124A48B9" w14:textId="6C121ED2" w:rsidR="00BF6CB2" w:rsidRDefault="00BF6CB2" w:rsidP="00BF6CB2">
      <w:r>
        <w:t xml:space="preserve">Van Norman, G.A. (2008). Ethical Issues in Informed Consent. Perioperative Nursing Clinics, 3(3), pp.213–221. </w:t>
      </w:r>
      <w:proofErr w:type="spellStart"/>
      <w:proofErr w:type="gramStart"/>
      <w:r>
        <w:t>doi:https</w:t>
      </w:r>
      <w:proofErr w:type="spellEnd"/>
      <w:r>
        <w:t>://doi.org/10.1016/j.cpen.2008.04.004</w:t>
      </w:r>
      <w:proofErr w:type="gramEnd"/>
      <w:r>
        <w:t>.</w:t>
      </w:r>
    </w:p>
    <w:p w14:paraId="5729C04D" w14:textId="77777777" w:rsidR="00F6096C" w:rsidRDefault="00F6096C" w:rsidP="00194202"/>
    <w:sectPr w:rsidR="00F6096C" w:rsidSect="003C47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7B4"/>
    <w:rsid w:val="00027281"/>
    <w:rsid w:val="00053D2D"/>
    <w:rsid w:val="00194202"/>
    <w:rsid w:val="001E3EBB"/>
    <w:rsid w:val="0020112F"/>
    <w:rsid w:val="00273D9F"/>
    <w:rsid w:val="002B713A"/>
    <w:rsid w:val="00327094"/>
    <w:rsid w:val="003C47B4"/>
    <w:rsid w:val="0070061B"/>
    <w:rsid w:val="00756781"/>
    <w:rsid w:val="008C0F1C"/>
    <w:rsid w:val="009141DF"/>
    <w:rsid w:val="00924869"/>
    <w:rsid w:val="00944ED8"/>
    <w:rsid w:val="009A6BC4"/>
    <w:rsid w:val="00BF6CB2"/>
    <w:rsid w:val="00C347D4"/>
    <w:rsid w:val="00CA65ED"/>
    <w:rsid w:val="00DD657E"/>
    <w:rsid w:val="00E02B20"/>
    <w:rsid w:val="00E70340"/>
    <w:rsid w:val="00E85A41"/>
    <w:rsid w:val="00F34A73"/>
    <w:rsid w:val="00F60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E9025"/>
  <w15:chartTrackingRefBased/>
  <w15:docId w15:val="{A5FEE70C-2E18-49C9-88B9-C1DC4C1C5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47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47B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2214822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6</Pages>
  <Words>2355</Words>
  <Characters>13429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Consent and its role in cases involving battery</dc:title>
  <dc:subject>Criminal law - BMPL4009</dc:subject>
  <dc:creator>Nicoleta Secara</dc:creator>
  <cp:keywords/>
  <dc:description/>
  <cp:lastModifiedBy>Alina Culea</cp:lastModifiedBy>
  <cp:revision>1</cp:revision>
  <dcterms:created xsi:type="dcterms:W3CDTF">2023-11-07T10:18:00Z</dcterms:created>
  <dcterms:modified xsi:type="dcterms:W3CDTF">2023-11-07T17:33:00Z</dcterms:modified>
</cp:coreProperties>
</file>