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5AAAC" w14:textId="77777777" w:rsidR="00894DB9" w:rsidRDefault="00894DB9">
      <w:r>
        <w:t>Document Analysis – Ireland’s Recruiting</w:t>
      </w:r>
    </w:p>
    <w:p w14:paraId="22F835C8" w14:textId="6E29CDE4" w:rsidR="00894DB9" w:rsidRDefault="00894DB9">
      <w:bookmarkStart w:id="0" w:name="_Hlk93920419"/>
      <w:r w:rsidRPr="00894DB9">
        <w:t>N. Marlowe</w:t>
      </w:r>
      <w:r>
        <w:t>,</w:t>
      </w:r>
      <w:r w:rsidRPr="00894DB9">
        <w:t xml:space="preserve"> “Ireland’s Recruiting.” </w:t>
      </w:r>
      <w:r w:rsidRPr="00894DB9">
        <w:rPr>
          <w:i/>
          <w:iCs/>
        </w:rPr>
        <w:t>The New York Times Current History of the European War</w:t>
      </w:r>
      <w:r w:rsidRPr="00894DB9">
        <w:t xml:space="preserve">, vol. 3, no. 1, </w:t>
      </w:r>
      <w:r>
        <w:t xml:space="preserve">(California: </w:t>
      </w:r>
      <w:r w:rsidRPr="00894DB9">
        <w:t>University of California Press, 1915</w:t>
      </w:r>
      <w:r>
        <w:t>)</w:t>
      </w:r>
      <w:r w:rsidRPr="00894DB9">
        <w:t xml:space="preserve"> pp. 112–13, </w:t>
      </w:r>
      <w:r>
        <w:t>&lt;</w:t>
      </w:r>
      <w:r w:rsidRPr="00894DB9">
        <w:t>http://www.jstor.org/stable/45322651.</w:t>
      </w:r>
      <w:r>
        <w:t xml:space="preserve">&gt; </w:t>
      </w:r>
      <w:bookmarkEnd w:id="0"/>
    </w:p>
    <w:p w14:paraId="754BD01D" w14:textId="2236EB15" w:rsidR="00A92C99" w:rsidRDefault="00A92C99">
      <w:r>
        <w:rPr>
          <w:i/>
          <w:iCs/>
        </w:rPr>
        <w:t xml:space="preserve">Ireland’s Recruiting </w:t>
      </w:r>
      <w:r>
        <w:t xml:space="preserve">by N. Marlowe is a journalistic entry written in 1915 and was submitted to a contemporary Current History collection, </w:t>
      </w:r>
      <w:r w:rsidR="00A76B8E">
        <w:t>its</w:t>
      </w:r>
      <w:r>
        <w:t xml:space="preserve"> subject matter is as titled – it focusses on the reasons for and against Irishmen joining the war effort and discusses the socio-economic, </w:t>
      </w:r>
      <w:r w:rsidR="00A76B8E">
        <w:t>political,</w:t>
      </w:r>
      <w:r>
        <w:t xml:space="preserve"> and geographic factors that attributed to the recruitment process. </w:t>
      </w:r>
      <w:r w:rsidR="00A76B8E">
        <w:t xml:space="preserve">Marlowe discusses the nationalistic pride of the Ulsterman and the resentment of the average Irishmen and the dire circumstances in Europe that persuaded the Irish to join their enemies to fight a common evil. </w:t>
      </w:r>
    </w:p>
    <w:p w14:paraId="2FE54BE3" w14:textId="50690C3D" w:rsidR="00A76B8E" w:rsidRDefault="006F62C7">
      <w:r>
        <w:t xml:space="preserve">The article was written in the early stages of the war; support for the war was still high and the illusion that the war was going to over soon was still very much believed by many. N. Marlowe was an Irish writer and historian of Irish culture, he collaborated with other Irish contemporaries to write many a history of Ireland – specifically the history of Irish rebels. However, Nathaniel Marlowe was a </w:t>
      </w:r>
      <w:r w:rsidR="00386E30">
        <w:t>pseudonym for Joseph Hone, Irish biographer, and journalist – it is clear to see that Marlowe has clear nationalistic routes and is writing from a pro-Irish background that seeps into his writing. Marlowe is sympathetic to the Irish plight and writes emotively to discuss the topic of Irish involvement in the war</w:t>
      </w:r>
      <w:r w:rsidR="00A928CC">
        <w:t xml:space="preserve">, defending their resentment to join the war - using quotes from Irish nationalist troops to provoke an emotive response from the reader that depicts Irishmen as heroes. </w:t>
      </w:r>
    </w:p>
    <w:p w14:paraId="027FE32B" w14:textId="5ABE8EFC" w:rsidR="002B000B" w:rsidRDefault="00A928CC">
      <w:r>
        <w:t xml:space="preserve">Despite his obvious allegiances to the rebel cause and </w:t>
      </w:r>
      <w:r w:rsidR="00602945">
        <w:t xml:space="preserve">pre-determined biases, Marlowe does his best to give a well-rounded account that includes viewpoints from Ulster Unionists independently from Southern Republicans to show their contrasting viewpoints. </w:t>
      </w:r>
      <w:r w:rsidR="002B000B">
        <w:t>In the article, the Ulster Unionists are depicted to have signed up in droves as a “practical demonstration of their loyalty to the Empire”</w:t>
      </w:r>
      <w:r w:rsidR="002B000B">
        <w:rPr>
          <w:rStyle w:val="FootnoteReference"/>
        </w:rPr>
        <w:footnoteReference w:id="1"/>
      </w:r>
      <w:r w:rsidR="002B000B">
        <w:t xml:space="preserve"> while the Southern Irish are depicted as having a more contrasting array of reasons for and against signing up to the war. Marlowe does however comment on the geographic influence of recruitment, noting that “it is always easier to find soldiers in the towns than in the countryside”</w:t>
      </w:r>
      <w:r w:rsidR="00D604CD">
        <w:t xml:space="preserve"> and thus partially disregarding any political or religious motives involved</w:t>
      </w:r>
      <w:r w:rsidR="002B000B">
        <w:t>.</w:t>
      </w:r>
      <w:r w:rsidR="002B000B">
        <w:rPr>
          <w:rStyle w:val="FootnoteReference"/>
        </w:rPr>
        <w:footnoteReference w:id="2"/>
      </w:r>
      <w:r w:rsidR="00D604CD">
        <w:t xml:space="preserve"> Marlowe follows up with the point that agricultural labour was desperately needed in the rural parts of Ireland</w:t>
      </w:r>
      <w:r w:rsidR="009A274F">
        <w:t xml:space="preserve">, noting that it was hard enough to find work after the Potato Famine destroyed much farmland and saw a great reduction of able bodied working men </w:t>
      </w:r>
      <w:r w:rsidR="00D604CD">
        <w:t xml:space="preserve">and as such, recruitment levels in these areas dropped compared to urban areas in Ulster. As mentioned, geographic factors did attribute to the change in recruitment levels but were not the sole consideration in determining Irish recruitment levels: many Irish, especially those in support of Home Rule, resented the British and were campaigning for the withdrawal of British influence in Ireland and thus resented even further the idea of fighting for the British army against her enemies. Marlowe </w:t>
      </w:r>
      <w:r w:rsidR="00B9577D">
        <w:t>uses a quote from Arthur Griffith, founder of the Sinn Fein political party to describe the sentiment that many Irishmen were feeling in 1915: “England, having destroyed our Constitution, suppressed our Parliament, loaded her debt onto our should</w:t>
      </w:r>
      <w:r w:rsidR="00495EA7">
        <w:t>e</w:t>
      </w:r>
      <w:r w:rsidR="00B9577D">
        <w:t>rs, turned our tillage fields into cattle ranches, trebled our taxation, and halved our population – all within a century – wants what is left of us to fight for her supremacy over the world”.</w:t>
      </w:r>
      <w:r w:rsidR="00B9577D">
        <w:rPr>
          <w:rStyle w:val="FootnoteReference"/>
        </w:rPr>
        <w:footnoteReference w:id="3"/>
      </w:r>
      <w:r w:rsidR="00B9577D">
        <w:t xml:space="preserve"> </w:t>
      </w:r>
      <w:r w:rsidR="00495EA7">
        <w:t xml:space="preserve">Ireland had suffered at the hands of the British for hundreds of years before this article was released, after ruling with an </w:t>
      </w:r>
      <w:r w:rsidR="00495EA7">
        <w:lastRenderedPageBreak/>
        <w:t xml:space="preserve">iron fist for centuries the Brits incurred </w:t>
      </w:r>
      <w:r w:rsidR="00B969E9">
        <w:t xml:space="preserve">one of </w:t>
      </w:r>
      <w:r w:rsidR="00495EA7">
        <w:t>the single largest mass exodus of a people ever known after the events of the Potato Famine in the 19</w:t>
      </w:r>
      <w:r w:rsidR="00495EA7" w:rsidRPr="00495EA7">
        <w:rPr>
          <w:vertAlign w:val="superscript"/>
        </w:rPr>
        <w:t>th</w:t>
      </w:r>
      <w:r w:rsidR="00495EA7">
        <w:t xml:space="preserve"> century.</w:t>
      </w:r>
      <w:r w:rsidR="00B969E9">
        <w:rPr>
          <w:rStyle w:val="FootnoteReference"/>
        </w:rPr>
        <w:footnoteReference w:id="4"/>
      </w:r>
      <w:r w:rsidR="001A62DD">
        <w:t xml:space="preserve"> Ireland wanted nothing to do with Britain yet, still 200,000 Irish men fought for the British Army in World War One, Marlowe details the different factors that attributed to this recruitment in the following paragraphs. </w:t>
      </w:r>
    </w:p>
    <w:p w14:paraId="7A4640C0" w14:textId="7CFE1A1C" w:rsidR="001A62DD" w:rsidRDefault="001A62DD">
      <w:r>
        <w:t xml:space="preserve">Nationalists like John Dillon, leader of the Irish Parliamentary Party after John Redmond, viewed the war as a way to get into the good books of Britain and is </w:t>
      </w:r>
      <w:r w:rsidR="00FD290E">
        <w:t>quoted by Marlowe in the extract as saying “the more we help the better terms we shall receive when the time comes to reconsider the Irish Settlement.”.</w:t>
      </w:r>
      <w:r w:rsidR="00FD290E">
        <w:rPr>
          <w:rStyle w:val="FootnoteReference"/>
        </w:rPr>
        <w:footnoteReference w:id="5"/>
      </w:r>
      <w:r w:rsidR="00FD290E">
        <w:t xml:space="preserve"> Dillon believed that if Ireland could prove her worth to the British then when the war was over then they would receive more lenient conditions than if they’d refused to help, especially as the Unionists were sending their full support it would </w:t>
      </w:r>
      <w:r w:rsidR="009F1DF0">
        <w:t xml:space="preserve">hinder their independence campaign post-war if they did not also support the British. However, this was not Dillons only motives, he believed that if the “warlike” Irish could be trained and given experience in the new age of combat then after the war they would be a stronger nation that would have better chances at defending themselves. Dillon believed that a war-trained Ireland would be able to better stand up to oppression from the British after the war if their pleas were further ignored: Home Rule had been postponed until after the war and </w:t>
      </w:r>
      <w:r w:rsidR="0005320C">
        <w:t xml:space="preserve">may Irish wanted the ability to seize it with force if need be. </w:t>
      </w:r>
      <w:r w:rsidR="001571DD">
        <w:t>However, not everyone shared the sentiment that opposing the British in any such way would be beneficial for Ireland</w:t>
      </w:r>
      <w:r w:rsidR="00F50F73">
        <w:t>, as is seen in this periodical journal published only weeks before the Easter Rising events of 1916: “Anything provocative or misrepresentative would only do more harm than good”.</w:t>
      </w:r>
      <w:r w:rsidR="00F50F73">
        <w:rPr>
          <w:rStyle w:val="FootnoteReference"/>
        </w:rPr>
        <w:footnoteReference w:id="6"/>
      </w:r>
      <w:r w:rsidR="00F50F73">
        <w:t xml:space="preserve"> </w:t>
      </w:r>
    </w:p>
    <w:p w14:paraId="3B3C9683" w14:textId="65C44E95" w:rsidR="00E4720A" w:rsidRDefault="00E4720A">
      <w:r>
        <w:t xml:space="preserve">Ireland’s response to war can largely be attributed to the common enemy they shared with the British and not the blind allegiances that made up many of the other countries involvement in the First World War. When the German’s broke their oath and marched through neutral Belgium, it struck a chord with many Irish – Marlowe describes the influence as “the wrongs of Belgium, horror of Germany, and the cry of small nationalities”. </w:t>
      </w:r>
      <w:r>
        <w:rPr>
          <w:rStyle w:val="FootnoteReference"/>
        </w:rPr>
        <w:footnoteReference w:id="7"/>
      </w:r>
      <w:r>
        <w:t xml:space="preserve"> German expansion in Europe especially into a small country like Belgium struck too close to home for many Irish, the German Empire whose familial ties are even shared with the British reminded the Irish all too much of British imperialism and it spurred them on to go to war and do something about it.</w:t>
      </w:r>
      <w:r w:rsidR="0035422B">
        <w:t xml:space="preserve"> A particular instance that triggered Irish reaction to the Germans in Belgium was the sacking of Leuven, a city in Belgium once populated heavily by Irish missionaries and rife with Irish culture</w:t>
      </w:r>
      <w:r w:rsidR="00556025">
        <w:t xml:space="preserve"> – including the Roman Catholic Religion that was brought back to mainland Europe after the collapse of the Roman Empire by said Irish missionaries</w:t>
      </w:r>
      <w:r w:rsidR="0035422B">
        <w:t>.</w:t>
      </w:r>
      <w:r w:rsidR="00556025">
        <w:rPr>
          <w:rStyle w:val="FootnoteReference"/>
        </w:rPr>
        <w:footnoteReference w:id="8"/>
      </w:r>
      <w:r w:rsidR="0035422B">
        <w:t xml:space="preserve"> The city was burned to the ground and in amidst the wreckage included the Cathedral, university building and city library, along with the execution of 5-6,000 Belgian civilians. Ireland sympathised with Belgium as it too had felt oppression at the hands of a much larger neighbouring country obsessed with Imperialistic growth. There is a sense of lesser evils within the Irish sentiment towards the British, they were not allies but the saying goes that the enemy of my enemy is my friend and the Irish knew that the only way they could effectively take up arms against the tyranny of the Germans would be by enlisting as British soldiers: “Ireland can only effectively count in the settlement by </w:t>
      </w:r>
      <w:r w:rsidR="0035422B">
        <w:lastRenderedPageBreak/>
        <w:t>sending her sons into the British Army”.</w:t>
      </w:r>
      <w:r w:rsidR="0035422B">
        <w:rPr>
          <w:rStyle w:val="FootnoteReference"/>
        </w:rPr>
        <w:footnoteReference w:id="9"/>
      </w:r>
      <w:r w:rsidR="0094309A">
        <w:t xml:space="preserve"> Marlowe uses quotes from Professor Lieutenant Kettle to emulate the feeling that the War was bigger than Ireland: “The controversy has reached a higher plane”.</w:t>
      </w:r>
      <w:r w:rsidR="0094309A">
        <w:rPr>
          <w:rStyle w:val="FootnoteReference"/>
        </w:rPr>
        <w:footnoteReference w:id="10"/>
      </w:r>
      <w:r w:rsidR="0094309A">
        <w:t xml:space="preserve"> The Irish knew that the problems they were suffering under the British were secondary in the grand scheme of things because they knew if Germany were to succeed in “establish[</w:t>
      </w:r>
      <w:proofErr w:type="spellStart"/>
      <w:r w:rsidR="0094309A">
        <w:t>ing</w:t>
      </w:r>
      <w:proofErr w:type="spellEnd"/>
      <w:r w:rsidR="0094309A">
        <w:t>] her hegemony over the world” then all they had fought against the British would be in vain as it would just be their German cousins that replaced them as the oppressors and if Ireland wanted to make a change not just in Ireland but on a global scale then going to war with the British in Europe was the way to go about it.</w:t>
      </w:r>
    </w:p>
    <w:p w14:paraId="78AB014D" w14:textId="27BAC06F" w:rsidR="0094309A" w:rsidRDefault="0094309A" w:rsidP="0094309A">
      <w:pPr>
        <w:tabs>
          <w:tab w:val="left" w:pos="7020"/>
        </w:tabs>
      </w:pPr>
      <w:r>
        <w:t>Ireland’s involvement in the First World War can attributed to many different factors, varying from geographical to economic to political, each one a delicate subject and overall</w:t>
      </w:r>
      <w:r w:rsidR="00556025">
        <w:t>,</w:t>
      </w:r>
      <w:r>
        <w:t xml:space="preserve"> the situation was </w:t>
      </w:r>
      <w:r w:rsidR="00556025">
        <w:t>difficult no matter which stance you held. The Irish did not want to fight and die for the nation that had for so long butchered and oppressed their own, but on the other hand they needed to gain leverage with the British if they were to continue peaceful negotiations after the war had ended. Not only this but they felt a</w:t>
      </w:r>
      <w:r w:rsidR="00F46467">
        <w:t xml:space="preserve"> religious duty to defend their Catholic kinsmen in mainland Europe from the oppression of Imperialism that smaller nations experience only too often. This source is able to provide a well-rounded account on the topic of Irish Recruitment for the First World War as it shows the sides of many different people, </w:t>
      </w:r>
      <w:r w:rsidR="009A274F">
        <w:t>considering</w:t>
      </w:r>
      <w:r w:rsidR="00F46467">
        <w:t xml:space="preserve"> their location, </w:t>
      </w:r>
      <w:r w:rsidR="009A274F">
        <w:t>occupation,</w:t>
      </w:r>
      <w:r w:rsidR="00F46467">
        <w:t xml:space="preserve"> and ideologies, however, as it was written in 1915 it can only give us limited use as it does not comment on </w:t>
      </w:r>
      <w:r w:rsidR="009A274F">
        <w:t xml:space="preserve">recruitment for the War on a larger timeline, the war still having three years left to fight. </w:t>
      </w:r>
    </w:p>
    <w:p w14:paraId="427518F2" w14:textId="214AE5B7" w:rsidR="00715843" w:rsidRDefault="00715843">
      <w:r>
        <w:br w:type="page"/>
      </w:r>
    </w:p>
    <w:p w14:paraId="515B633D" w14:textId="684CE22A" w:rsidR="00715843" w:rsidRDefault="00715843" w:rsidP="0094309A">
      <w:pPr>
        <w:tabs>
          <w:tab w:val="left" w:pos="7020"/>
        </w:tabs>
        <w:rPr>
          <w:u w:val="single"/>
        </w:rPr>
      </w:pPr>
      <w:r w:rsidRPr="00715843">
        <w:rPr>
          <w:u w:val="single"/>
        </w:rPr>
        <w:lastRenderedPageBreak/>
        <w:t>Bibliography</w:t>
      </w:r>
    </w:p>
    <w:p w14:paraId="688D6575" w14:textId="1AAAEEA3" w:rsidR="00715843" w:rsidRDefault="00715843" w:rsidP="0094309A">
      <w:pPr>
        <w:tabs>
          <w:tab w:val="left" w:pos="7020"/>
        </w:tabs>
        <w:rPr>
          <w:u w:val="single"/>
        </w:rPr>
      </w:pPr>
      <w:r>
        <w:rPr>
          <w:u w:val="single"/>
        </w:rPr>
        <w:t>Primary Sources</w:t>
      </w:r>
    </w:p>
    <w:p w14:paraId="2A919724" w14:textId="6B291E28" w:rsidR="00715843" w:rsidRDefault="00715843" w:rsidP="0094309A">
      <w:pPr>
        <w:tabs>
          <w:tab w:val="left" w:pos="7020"/>
        </w:tabs>
        <w:rPr>
          <w:u w:val="single"/>
        </w:rPr>
      </w:pPr>
      <w:r>
        <w:rPr>
          <w:u w:val="single"/>
        </w:rPr>
        <w:t>Journal Articles</w:t>
      </w:r>
    </w:p>
    <w:p w14:paraId="7A9A821D" w14:textId="6195084B" w:rsidR="00715843" w:rsidRDefault="00715843" w:rsidP="0094309A">
      <w:pPr>
        <w:tabs>
          <w:tab w:val="left" w:pos="7020"/>
        </w:tabs>
      </w:pPr>
      <w:r w:rsidRPr="00715843">
        <w:t xml:space="preserve">Kerr, W. S. </w:t>
      </w:r>
      <w:r>
        <w:t>“</w:t>
      </w:r>
      <w:r w:rsidRPr="00715843">
        <w:t xml:space="preserve">Ireland and the War.” </w:t>
      </w:r>
      <w:r w:rsidRPr="00715843">
        <w:rPr>
          <w:i/>
          <w:iCs/>
        </w:rPr>
        <w:t>The Irish Church Quarterly</w:t>
      </w:r>
      <w:r w:rsidRPr="00715843">
        <w:t>, vol. 9, no. 34, (1916) p. 112, &lt;https://doi.org/10.2307/30026442.&gt;</w:t>
      </w:r>
    </w:p>
    <w:p w14:paraId="2376D72C" w14:textId="2D6C19E9" w:rsidR="00715843" w:rsidRDefault="00715843" w:rsidP="0094309A">
      <w:pPr>
        <w:tabs>
          <w:tab w:val="left" w:pos="7020"/>
        </w:tabs>
      </w:pPr>
      <w:r w:rsidRPr="002B000B">
        <w:t xml:space="preserve">Marlowe, </w:t>
      </w:r>
      <w:r>
        <w:t xml:space="preserve">N. </w:t>
      </w:r>
      <w:r w:rsidRPr="002B000B">
        <w:t xml:space="preserve">“Ireland’s Recruiting.” </w:t>
      </w:r>
      <w:r w:rsidRPr="002B000B">
        <w:rPr>
          <w:i/>
          <w:iCs/>
        </w:rPr>
        <w:t>The New York Times Current History of the European War</w:t>
      </w:r>
      <w:r w:rsidRPr="002B000B">
        <w:t>, vol. 3, no. 1, (California: University of California Press, 1915) &lt;http://www.jstor.org/stable/45322651.&gt;</w:t>
      </w:r>
    </w:p>
    <w:p w14:paraId="272AD25E" w14:textId="1728A1F8" w:rsidR="00715843" w:rsidRDefault="00715843" w:rsidP="0094309A">
      <w:pPr>
        <w:tabs>
          <w:tab w:val="left" w:pos="7020"/>
        </w:tabs>
        <w:rPr>
          <w:u w:val="single"/>
        </w:rPr>
      </w:pPr>
      <w:r>
        <w:rPr>
          <w:u w:val="single"/>
        </w:rPr>
        <w:t>Secondary Sources</w:t>
      </w:r>
    </w:p>
    <w:p w14:paraId="0CDA770C" w14:textId="77A956E2" w:rsidR="00715843" w:rsidRDefault="00715843" w:rsidP="0094309A">
      <w:pPr>
        <w:tabs>
          <w:tab w:val="left" w:pos="7020"/>
        </w:tabs>
        <w:rPr>
          <w:u w:val="single"/>
        </w:rPr>
      </w:pPr>
      <w:r w:rsidRPr="00715843">
        <w:rPr>
          <w:u w:val="single"/>
        </w:rPr>
        <w:t>Online Article</w:t>
      </w:r>
    </w:p>
    <w:p w14:paraId="36771077" w14:textId="1558E10F" w:rsidR="00715843" w:rsidRDefault="00715843" w:rsidP="0094309A">
      <w:pPr>
        <w:tabs>
          <w:tab w:val="left" w:pos="7020"/>
        </w:tabs>
      </w:pPr>
      <w:r w:rsidRPr="00715843">
        <w:t xml:space="preserve">History.com Editors, </w:t>
      </w:r>
      <w:r w:rsidRPr="00715843">
        <w:rPr>
          <w:i/>
          <w:iCs/>
        </w:rPr>
        <w:t xml:space="preserve">Irish Potato Famine, </w:t>
      </w:r>
      <w:r w:rsidRPr="00715843">
        <w:t>“History” (A&amp;E Television Networks, October 17, 2017) &lt;</w:t>
      </w:r>
      <w:hyperlink r:id="rId7" w:history="1">
        <w:r w:rsidRPr="00715843">
          <w:rPr>
            <w:rStyle w:val="Hyperlink"/>
          </w:rPr>
          <w:t>https://www.history.com/topics/immigration/irish-potato-famine</w:t>
        </w:r>
      </w:hyperlink>
      <w:r w:rsidRPr="00715843">
        <w:t>&gt;</w:t>
      </w:r>
    </w:p>
    <w:p w14:paraId="0DBEB0D4" w14:textId="2C10661D" w:rsidR="00BE157F" w:rsidRDefault="00715843" w:rsidP="0094309A">
      <w:pPr>
        <w:tabs>
          <w:tab w:val="left" w:pos="7020"/>
        </w:tabs>
      </w:pPr>
      <w:r w:rsidRPr="00715843">
        <w:t xml:space="preserve">Publisher, “The Sack of Leuven and Irish participation in World War One.” </w:t>
      </w:r>
      <w:r w:rsidRPr="00715843">
        <w:rPr>
          <w:i/>
          <w:iCs/>
        </w:rPr>
        <w:t xml:space="preserve">Irish History World War One Focus, </w:t>
      </w:r>
      <w:r w:rsidRPr="00715843">
        <w:t xml:space="preserve">The Irish Story (29/08/14) </w:t>
      </w:r>
      <w:hyperlink r:id="rId8" w:history="1">
        <w:r w:rsidR="00BE157F" w:rsidRPr="00D037F9">
          <w:rPr>
            <w:rStyle w:val="Hyperlink"/>
          </w:rPr>
          <w:t>https://www.theirishstory.com/2014/08/29/the-sack-of-leuven-and-irish-participation-in-world-war-one/#.Ye7JyerP2Um</w:t>
        </w:r>
      </w:hyperlink>
    </w:p>
    <w:p w14:paraId="34617CE9" w14:textId="77777777" w:rsidR="00BE157F" w:rsidRDefault="00BE157F">
      <w:r>
        <w:br w:type="page"/>
      </w:r>
    </w:p>
    <w:p w14:paraId="07827D42" w14:textId="77777777" w:rsidR="00BE157F" w:rsidRPr="00BB35CA" w:rsidRDefault="00BE157F" w:rsidP="00BE157F">
      <w:pPr>
        <w:rPr>
          <w:u w:val="single"/>
        </w:rPr>
      </w:pPr>
      <w:r w:rsidRPr="00BB35CA">
        <w:rPr>
          <w:u w:val="single"/>
        </w:rPr>
        <w:lastRenderedPageBreak/>
        <w:t>Secondary Source</w:t>
      </w:r>
    </w:p>
    <w:p w14:paraId="340BF956" w14:textId="77777777" w:rsidR="00BE157F" w:rsidRPr="004B6C93" w:rsidRDefault="00BE157F" w:rsidP="00BE157F">
      <w:proofErr w:type="spellStart"/>
      <w:r w:rsidRPr="004B6C93">
        <w:t>Pyecroft</w:t>
      </w:r>
      <w:proofErr w:type="spellEnd"/>
      <w:r w:rsidRPr="004B6C93">
        <w:t xml:space="preserve">, Susan. “British Working Women and the First World War.” </w:t>
      </w:r>
      <w:r w:rsidRPr="004B6C93">
        <w:rPr>
          <w:i/>
          <w:iCs/>
        </w:rPr>
        <w:t>The Historian</w:t>
      </w:r>
      <w:r w:rsidRPr="004B6C93">
        <w:t>, vol. 56, no. 4, Wiley, 1994, pp. 699–710, http://www.jstor.org/stable/24449074.</w:t>
      </w:r>
    </w:p>
    <w:p w14:paraId="4A692019" w14:textId="77777777" w:rsidR="00BE157F" w:rsidRDefault="00BE157F" w:rsidP="00BE157F">
      <w:r>
        <w:t xml:space="preserve">The generalised view is that when war broke out in 1914, women, filled with patriotism jumped into the empty working roles left by men gone to fight and as a result were rewarded after the war with the right to vote and improved social standings. However, as this academic journal analyses, this was not truly the case and in fact quite the contrary to the actual events of the war: many women were already at work before 1914 and while there was a great sense of patriotic pride during the war, they were not given due reward as they expected when it ended. </w:t>
      </w:r>
    </w:p>
    <w:p w14:paraId="3E014057" w14:textId="77777777" w:rsidR="00BE157F" w:rsidRDefault="00BE157F" w:rsidP="00BE157F">
      <w:r>
        <w:t xml:space="preserve">Susan </w:t>
      </w:r>
      <w:proofErr w:type="spellStart"/>
      <w:r>
        <w:t>Pyecroft</w:t>
      </w:r>
      <w:proofErr w:type="spellEnd"/>
      <w:r>
        <w:t xml:space="preserve"> is a Historian that wrote in the early 1990’s chiefly about the rights of women as a revisionist who challenged pre-determined ideas about women and their involvement in the war: “This view obscures the true effects of the war on women”.</w:t>
      </w:r>
      <w:r>
        <w:rPr>
          <w:rStyle w:val="FootnoteReference"/>
        </w:rPr>
        <w:footnoteReference w:id="11"/>
      </w:r>
      <w:r>
        <w:t xml:space="preserve"> Historians tend to embellish events like these to make out that Britain has always been morally right and ignore the truth of the matter that women didn’t get equal voting rights until 1928 and equal pay until much later. As a woman and a historian of women’s history, </w:t>
      </w:r>
      <w:proofErr w:type="spellStart"/>
      <w:r>
        <w:t>Pyecroft’s</w:t>
      </w:r>
      <w:proofErr w:type="spellEnd"/>
      <w:r>
        <w:t xml:space="preserve"> approach to this topic differs greatly and she spares no expense at giving the topic the attention it deserves, exhibiting a wide range of knowledge that does not omit views that would serve to argue against the point she is making in the wider article, such as: that many women did in fact feel great patriotism when signing up for munitions work.</w:t>
      </w:r>
      <w:r>
        <w:rPr>
          <w:rStyle w:val="FootnoteReference"/>
        </w:rPr>
        <w:footnoteReference w:id="12"/>
      </w:r>
      <w:r>
        <w:t xml:space="preserve"> The purpose of this article is to redefine how women are represented in the First World War, chiefly that they were already at work when the war started and that they have been under-rewarded after it finished. The Britannica Encyclopaedia embodies the view that </w:t>
      </w:r>
      <w:proofErr w:type="spellStart"/>
      <w:r>
        <w:t>Pyecroft</w:t>
      </w:r>
      <w:proofErr w:type="spellEnd"/>
      <w:r>
        <w:t xml:space="preserve"> is trying to disprove, in the section on Women’s Suffrage: the post-war vote given to women was rewarding and the female suffrage cause was supported whole-heartedly by the public.</w:t>
      </w:r>
      <w:r>
        <w:rPr>
          <w:rStyle w:val="FootnoteReference"/>
        </w:rPr>
        <w:footnoteReference w:id="13"/>
      </w:r>
      <w:r>
        <w:t xml:space="preserve"> </w:t>
      </w:r>
      <w:proofErr w:type="spellStart"/>
      <w:r>
        <w:t>Pyecroft</w:t>
      </w:r>
      <w:proofErr w:type="spellEnd"/>
      <w:r>
        <w:t xml:space="preserve"> disproves this theory in her article by stating that when the war ended in 1918 the soldiers returning to their taken jobs they sent the message “Women Must Go” and as a result the following year saw 750,000 women lose their jobs. </w:t>
      </w:r>
      <w:proofErr w:type="spellStart"/>
      <w:r>
        <w:t>Pyecroft</w:t>
      </w:r>
      <w:proofErr w:type="spellEnd"/>
      <w:r>
        <w:t xml:space="preserve"> goes on to further criticise the government’s lack of support for the “100,000 </w:t>
      </w:r>
      <w:proofErr w:type="spellStart"/>
      <w:r>
        <w:t>Joans</w:t>
      </w:r>
      <w:proofErr w:type="spellEnd"/>
      <w:r>
        <w:t xml:space="preserve"> of Arc” that helped win the war, noting that despite making up 75% of all receivers of unemployment benefit, no women were allowed on the Committee for Out of Work Donation.</w:t>
      </w:r>
      <w:r>
        <w:rPr>
          <w:rStyle w:val="FootnoteReference"/>
        </w:rPr>
        <w:footnoteReference w:id="14"/>
      </w:r>
      <w:r>
        <w:rPr>
          <w:rStyle w:val="FootnoteReference"/>
        </w:rPr>
        <w:footnoteReference w:id="15"/>
      </w:r>
    </w:p>
    <w:p w14:paraId="510E1A9A" w14:textId="77777777" w:rsidR="00BE157F" w:rsidRDefault="00BE157F" w:rsidP="00BE157F">
      <w:proofErr w:type="spellStart"/>
      <w:r>
        <w:t>Pyecroft</w:t>
      </w:r>
      <w:proofErr w:type="spellEnd"/>
      <w:r>
        <w:t xml:space="preserve"> recounts that many women were as the government said, patriotic for their cause and very willing to fill the boots left by the men in munitions factories and clerical jobs that before the war would never have been able to obtain. She writes of middle- and upper-class women taking jobs to support the war effort despite not needing jobs to survive like most of the women working at the time and of a munition’s worker being given a soldier’s burial after dying on the job. These anecdotes support the standardised view that women got jobs out of love for their country, but what </w:t>
      </w:r>
      <w:proofErr w:type="spellStart"/>
      <w:r>
        <w:t>Pyecroft</w:t>
      </w:r>
      <w:proofErr w:type="spellEnd"/>
      <w:r>
        <w:t xml:space="preserve"> does not forget to mention like as is often done when retelling the narrative is that many of these women already had jobs before the war and a big incentive to support the war effort </w:t>
      </w:r>
      <w:r>
        <w:lastRenderedPageBreak/>
        <w:t xml:space="preserve">was the idea of reward after the war was over. </w:t>
      </w:r>
      <w:proofErr w:type="spellStart"/>
      <w:r>
        <w:t>Pyecroft</w:t>
      </w:r>
      <w:proofErr w:type="spellEnd"/>
      <w:r>
        <w:t xml:space="preserve"> uses contemporary sources to support this notion: “They have done their service without counting the </w:t>
      </w:r>
      <w:proofErr w:type="gramStart"/>
      <w:r>
        <w:t>cost, and</w:t>
      </w:r>
      <w:proofErr w:type="gramEnd"/>
      <w:r>
        <w:t xml:space="preserve"> will earn their reward”.</w:t>
      </w:r>
      <w:r>
        <w:rPr>
          <w:rStyle w:val="FootnoteReference"/>
        </w:rPr>
        <w:footnoteReference w:id="16"/>
      </w:r>
      <w:r>
        <w:t xml:space="preserve"> </w:t>
      </w:r>
    </w:p>
    <w:p w14:paraId="251F6D59" w14:textId="77777777" w:rsidR="00BE157F" w:rsidRDefault="00BE157F" w:rsidP="00BE157F">
      <w:proofErr w:type="spellStart"/>
      <w:r>
        <w:t>Pyecroft</w:t>
      </w:r>
      <w:proofErr w:type="spellEnd"/>
      <w:r>
        <w:t xml:space="preserve"> goes on to write about the lack of reward given by the British Government after the war ended, though women over the age of the 30 were enfranchised as long as they met certain property requirements, which many women did not. It was only really the upper-classes that benefited from the enfranchisement as the working class women who served in the factories throughout the war were either not old or wealthy enough to gain the vote, and thus the 1918 Representation of the Peoples act was a hollow gesture that did little to represent the people that helped win the country the war: “the majority of women war workers were under the age of thirty”</w:t>
      </w:r>
      <w:r>
        <w:rPr>
          <w:rStyle w:val="FootnoteReference"/>
        </w:rPr>
        <w:footnoteReference w:id="17"/>
      </w:r>
      <w:r>
        <w:t xml:space="preserve">. </w:t>
      </w:r>
      <w:proofErr w:type="spellStart"/>
      <w:r>
        <w:t>Pyecroft</w:t>
      </w:r>
      <w:proofErr w:type="spellEnd"/>
      <w:r>
        <w:t xml:space="preserve"> goes on to discuss institutionalised sexism that prevented women from prospering in a post-war age: “Charing Cross Hospital, despite a shortage of doctors, for a time refused admission to female medical students”.</w:t>
      </w:r>
      <w:r>
        <w:rPr>
          <w:rStyle w:val="FootnoteReference"/>
        </w:rPr>
        <w:footnoteReference w:id="18"/>
      </w:r>
      <w:r>
        <w:t xml:space="preserve"> So despite being the driving force behind the domestic war effort, women were still not allowed the same opportunities as men after the war and were even discriminated against purely because of their gender. Post-war Britain was not a prosperous time for British women and </w:t>
      </w:r>
      <w:proofErr w:type="spellStart"/>
      <w:r>
        <w:t>Pyecroft</w:t>
      </w:r>
      <w:proofErr w:type="spellEnd"/>
      <w:r>
        <w:t xml:space="preserve"> challenges the view that women were given opportunities to work as a result of the war, claiming that women had only three options after the war: “returning to their homes, working in someone else’s, or falling back on “women’s” work.”</w:t>
      </w:r>
      <w:r>
        <w:rPr>
          <w:rStyle w:val="FootnoteReference"/>
        </w:rPr>
        <w:footnoteReference w:id="19"/>
      </w:r>
      <w:r>
        <w:t xml:space="preserve"> </w:t>
      </w:r>
    </w:p>
    <w:p w14:paraId="41B2BC49" w14:textId="77777777" w:rsidR="00BE157F" w:rsidRDefault="00BE157F" w:rsidP="00BE157F">
      <w:r>
        <w:t xml:space="preserve">Susan </w:t>
      </w:r>
      <w:proofErr w:type="spellStart"/>
      <w:r>
        <w:t>Pyecroft</w:t>
      </w:r>
      <w:proofErr w:type="spellEnd"/>
      <w:r>
        <w:t xml:space="preserve"> challenges the stereotypical view that undermines and underappreciates the role of women in the First World War: the view that women only got jobs because of the war and after the war were rewarded for their war efforts. Throughout the article, </w:t>
      </w:r>
      <w:proofErr w:type="spellStart"/>
      <w:r>
        <w:t>Pyecroft</w:t>
      </w:r>
      <w:proofErr w:type="spellEnd"/>
      <w:r>
        <w:t xml:space="preserve"> criticises this view, using evidence to support her claims that women were in fact largely in work before the war due to financial needs and while they did feel great patriotism there were ulterior motives of equality that drove many women. She goes on to discuss how after the war, women were discarded “to be thrown on the industrial scrapheap” after being utilised for their cheap labour they were no longer necessary to the British Government and were treated as second-rate citizens for years to come.</w:t>
      </w:r>
      <w:r>
        <w:rPr>
          <w:rStyle w:val="FootnoteReference"/>
        </w:rPr>
        <w:footnoteReference w:id="20"/>
      </w:r>
    </w:p>
    <w:p w14:paraId="00EE04E8" w14:textId="77777777" w:rsidR="00BE157F" w:rsidRDefault="00BE157F" w:rsidP="00BE157F">
      <w:r>
        <w:br w:type="page"/>
      </w:r>
    </w:p>
    <w:p w14:paraId="463ED73A" w14:textId="77777777" w:rsidR="00BE157F" w:rsidRPr="00456E10" w:rsidRDefault="00BE157F" w:rsidP="00BE157F">
      <w:pPr>
        <w:rPr>
          <w:u w:val="single"/>
        </w:rPr>
      </w:pPr>
      <w:r w:rsidRPr="00456E10">
        <w:rPr>
          <w:u w:val="single"/>
        </w:rPr>
        <w:lastRenderedPageBreak/>
        <w:t>Bibliography</w:t>
      </w:r>
    </w:p>
    <w:p w14:paraId="73D3A695" w14:textId="77777777" w:rsidR="00BE157F" w:rsidRDefault="00BE157F" w:rsidP="00BE157F">
      <w:pPr>
        <w:rPr>
          <w:u w:val="single"/>
        </w:rPr>
      </w:pPr>
      <w:r w:rsidRPr="00456E10">
        <w:rPr>
          <w:u w:val="single"/>
        </w:rPr>
        <w:t>Journal Articles</w:t>
      </w:r>
    </w:p>
    <w:p w14:paraId="19AA979E" w14:textId="77777777" w:rsidR="00BE157F" w:rsidRDefault="00BE157F" w:rsidP="00BE157F">
      <w:r w:rsidRPr="00456E10">
        <w:t xml:space="preserve">Boston, </w:t>
      </w:r>
      <w:r w:rsidRPr="00456E10">
        <w:rPr>
          <w:i/>
          <w:iCs/>
        </w:rPr>
        <w:t xml:space="preserve">Women </w:t>
      </w:r>
      <w:proofErr w:type="gramStart"/>
      <w:r w:rsidRPr="00456E10">
        <w:rPr>
          <w:i/>
          <w:iCs/>
        </w:rPr>
        <w:t>Workers</w:t>
      </w:r>
      <w:proofErr w:type="gramEnd"/>
      <w:r w:rsidRPr="00456E10">
        <w:rPr>
          <w:i/>
          <w:iCs/>
        </w:rPr>
        <w:t xml:space="preserve"> and the Trade Unions¸</w:t>
      </w:r>
      <w:r w:rsidRPr="00456E10">
        <w:t xml:space="preserve"> 183; Drake, </w:t>
      </w:r>
      <w:r w:rsidRPr="00456E10">
        <w:rPr>
          <w:i/>
          <w:iCs/>
        </w:rPr>
        <w:t>Women in Trade Unions, 107; Woman Worker</w:t>
      </w:r>
      <w:r w:rsidRPr="00456E10">
        <w:t xml:space="preserve"> (November 1918) found in S. </w:t>
      </w:r>
      <w:proofErr w:type="spellStart"/>
      <w:r w:rsidRPr="00456E10">
        <w:t>Pyecroft</w:t>
      </w:r>
      <w:proofErr w:type="spellEnd"/>
      <w:r w:rsidRPr="00456E10">
        <w:t xml:space="preserve"> “British Working Women and the First World War.” The Historian, vol. 56, no. 4, Wiley, 1994, &lt;http://www.jstor.org/stable/24449074&gt;</w:t>
      </w:r>
    </w:p>
    <w:p w14:paraId="40875B0B" w14:textId="77777777" w:rsidR="00BE157F" w:rsidRDefault="00BE157F" w:rsidP="00BE157F">
      <w:proofErr w:type="spellStart"/>
      <w:r w:rsidRPr="00456E10">
        <w:t>Pyecroft</w:t>
      </w:r>
      <w:proofErr w:type="spellEnd"/>
      <w:r>
        <w:t>,</w:t>
      </w:r>
      <w:r w:rsidRPr="00456E10">
        <w:t xml:space="preserve"> </w:t>
      </w:r>
      <w:r>
        <w:t xml:space="preserve">S. </w:t>
      </w:r>
      <w:r w:rsidRPr="00456E10">
        <w:t xml:space="preserve">“British Working Women and the First World War.” The Historian, vol. 56, no. 4, Wiley, 1994, </w:t>
      </w:r>
      <w:hyperlink r:id="rId9" w:history="1">
        <w:r w:rsidRPr="00995864">
          <w:rPr>
            <w:rStyle w:val="Hyperlink"/>
          </w:rPr>
          <w:t>http://www.jstor.org/stable/24449074</w:t>
        </w:r>
      </w:hyperlink>
    </w:p>
    <w:p w14:paraId="23BC9C40" w14:textId="77777777" w:rsidR="00BE157F" w:rsidRDefault="00BE157F" w:rsidP="00BE157F">
      <w:pPr>
        <w:rPr>
          <w:u w:val="single"/>
        </w:rPr>
      </w:pPr>
      <w:r w:rsidRPr="00456E10">
        <w:rPr>
          <w:u w:val="single"/>
        </w:rPr>
        <w:t>Online Database</w:t>
      </w:r>
    </w:p>
    <w:p w14:paraId="15C30245" w14:textId="77777777" w:rsidR="00BE157F" w:rsidRDefault="00BE157F" w:rsidP="00BE157F">
      <w:r w:rsidRPr="00456E10">
        <w:t>Britannica, The Editors of Encyclopaedia. "women's suffrage". </w:t>
      </w:r>
      <w:proofErr w:type="spellStart"/>
      <w:r w:rsidRPr="00456E10">
        <w:rPr>
          <w:i/>
          <w:iCs/>
        </w:rPr>
        <w:t>Encyclopedia</w:t>
      </w:r>
      <w:proofErr w:type="spellEnd"/>
      <w:r w:rsidRPr="00456E10">
        <w:rPr>
          <w:i/>
          <w:iCs/>
        </w:rPr>
        <w:t xml:space="preserve"> Britannica</w:t>
      </w:r>
      <w:r w:rsidRPr="00456E10">
        <w:t xml:space="preserve">, 10 Sep. 2020, </w:t>
      </w:r>
      <w:hyperlink r:id="rId10" w:history="1">
        <w:r w:rsidRPr="00D037F9">
          <w:rPr>
            <w:rStyle w:val="Hyperlink"/>
          </w:rPr>
          <w:t>https://www.britannica.com/topic/woman-suffrage</w:t>
        </w:r>
      </w:hyperlink>
    </w:p>
    <w:p w14:paraId="753ABB53" w14:textId="77777777" w:rsidR="00BE157F" w:rsidRPr="00456E10" w:rsidRDefault="00BE157F" w:rsidP="00BE157F"/>
    <w:p w14:paraId="4B5E9A57" w14:textId="77777777" w:rsidR="00715843" w:rsidRDefault="00715843" w:rsidP="0094309A">
      <w:pPr>
        <w:tabs>
          <w:tab w:val="left" w:pos="7020"/>
        </w:tabs>
      </w:pPr>
    </w:p>
    <w:p w14:paraId="019E731B" w14:textId="77777777" w:rsidR="00715843" w:rsidRPr="00715843" w:rsidRDefault="00715843" w:rsidP="0094309A">
      <w:pPr>
        <w:tabs>
          <w:tab w:val="left" w:pos="7020"/>
        </w:tabs>
      </w:pPr>
    </w:p>
    <w:sectPr w:rsidR="00715843" w:rsidRPr="0071584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C8902" w14:textId="77777777" w:rsidR="007F0E81" w:rsidRDefault="007F0E81" w:rsidP="002B000B">
      <w:pPr>
        <w:spacing w:after="0" w:line="240" w:lineRule="auto"/>
      </w:pPr>
      <w:r>
        <w:separator/>
      </w:r>
    </w:p>
  </w:endnote>
  <w:endnote w:type="continuationSeparator" w:id="0">
    <w:p w14:paraId="1CA24AA6" w14:textId="77777777" w:rsidR="007F0E81" w:rsidRDefault="007F0E81" w:rsidP="002B0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64995" w14:textId="77777777" w:rsidR="007F0E81" w:rsidRDefault="007F0E81" w:rsidP="002B000B">
      <w:pPr>
        <w:spacing w:after="0" w:line="240" w:lineRule="auto"/>
      </w:pPr>
      <w:r>
        <w:separator/>
      </w:r>
    </w:p>
  </w:footnote>
  <w:footnote w:type="continuationSeparator" w:id="0">
    <w:p w14:paraId="625470E3" w14:textId="77777777" w:rsidR="007F0E81" w:rsidRDefault="007F0E81" w:rsidP="002B000B">
      <w:pPr>
        <w:spacing w:after="0" w:line="240" w:lineRule="auto"/>
      </w:pPr>
      <w:r>
        <w:continuationSeparator/>
      </w:r>
    </w:p>
  </w:footnote>
  <w:footnote w:id="1">
    <w:p w14:paraId="1E29BE18" w14:textId="7DC11576" w:rsidR="002B000B" w:rsidRDefault="002B000B">
      <w:pPr>
        <w:pStyle w:val="FootnoteText"/>
      </w:pPr>
      <w:r>
        <w:rPr>
          <w:rStyle w:val="FootnoteReference"/>
        </w:rPr>
        <w:footnoteRef/>
      </w:r>
      <w:r>
        <w:t xml:space="preserve"> </w:t>
      </w:r>
      <w:r w:rsidRPr="002B000B">
        <w:t xml:space="preserve">N. </w:t>
      </w:r>
      <w:bookmarkStart w:id="1" w:name="_Hlk95069606"/>
      <w:r w:rsidRPr="002B000B">
        <w:t xml:space="preserve">Marlowe, “Ireland’s Recruiting.” </w:t>
      </w:r>
      <w:r w:rsidRPr="002B000B">
        <w:rPr>
          <w:i/>
          <w:iCs/>
        </w:rPr>
        <w:t>The New York Times Current History of the European War</w:t>
      </w:r>
      <w:r w:rsidRPr="002B000B">
        <w:t xml:space="preserve">, vol. 3, no. 1, (California: University of California Press, 1915) p. 112, &lt;http://www.jstor.org/stable/45322651.&gt; </w:t>
      </w:r>
      <w:bookmarkEnd w:id="1"/>
      <w:r w:rsidR="00715843">
        <w:t>[Accessed 24/01/22]</w:t>
      </w:r>
    </w:p>
  </w:footnote>
  <w:footnote w:id="2">
    <w:p w14:paraId="5171EB16" w14:textId="0369D77F" w:rsidR="002B000B" w:rsidRPr="002B000B" w:rsidRDefault="002B000B">
      <w:pPr>
        <w:pStyle w:val="FootnoteText"/>
      </w:pPr>
      <w:r>
        <w:rPr>
          <w:rStyle w:val="FootnoteReference"/>
        </w:rPr>
        <w:footnoteRef/>
      </w:r>
      <w:r>
        <w:t xml:space="preserve"> </w:t>
      </w:r>
      <w:r>
        <w:rPr>
          <w:i/>
          <w:iCs/>
        </w:rPr>
        <w:t>Ibid</w:t>
      </w:r>
      <w:r>
        <w:t>, p.12</w:t>
      </w:r>
    </w:p>
  </w:footnote>
  <w:footnote w:id="3">
    <w:p w14:paraId="1059B70D" w14:textId="797AD8FC" w:rsidR="00B9577D" w:rsidRDefault="00B9577D">
      <w:pPr>
        <w:pStyle w:val="FootnoteText"/>
      </w:pPr>
      <w:r>
        <w:rPr>
          <w:rStyle w:val="FootnoteReference"/>
        </w:rPr>
        <w:footnoteRef/>
      </w:r>
      <w:r>
        <w:t xml:space="preserve"> </w:t>
      </w:r>
      <w:r w:rsidRPr="00B9577D">
        <w:rPr>
          <w:i/>
          <w:iCs/>
        </w:rPr>
        <w:t>Ibid</w:t>
      </w:r>
      <w:r w:rsidRPr="00B9577D">
        <w:t>, p.12</w:t>
      </w:r>
    </w:p>
  </w:footnote>
  <w:footnote w:id="4">
    <w:p w14:paraId="58A5CE79" w14:textId="3670E46B" w:rsidR="00B969E9" w:rsidRPr="00B969E9" w:rsidRDefault="00B969E9">
      <w:pPr>
        <w:pStyle w:val="FootnoteText"/>
      </w:pPr>
      <w:r>
        <w:rPr>
          <w:rStyle w:val="FootnoteReference"/>
        </w:rPr>
        <w:footnoteRef/>
      </w:r>
      <w:r>
        <w:t xml:space="preserve"> History.com Editors, </w:t>
      </w:r>
      <w:r>
        <w:rPr>
          <w:i/>
          <w:iCs/>
        </w:rPr>
        <w:t xml:space="preserve">Irish Potato Famine, </w:t>
      </w:r>
      <w:r>
        <w:t>“History” (A&amp;E Television Networks, October 17, 2017) &lt;</w:t>
      </w:r>
      <w:hyperlink r:id="rId1" w:history="1">
        <w:r w:rsidRPr="0001542C">
          <w:rPr>
            <w:rStyle w:val="Hyperlink"/>
          </w:rPr>
          <w:t>https://www.history.com/topics/immigration/irish-potato-famine</w:t>
        </w:r>
      </w:hyperlink>
      <w:r>
        <w:t>&gt; [Accessed 24/01/22]</w:t>
      </w:r>
    </w:p>
  </w:footnote>
  <w:footnote w:id="5">
    <w:p w14:paraId="2B7DFF53" w14:textId="1228EC6C" w:rsidR="00FD290E" w:rsidRDefault="00FD290E">
      <w:pPr>
        <w:pStyle w:val="FootnoteText"/>
      </w:pPr>
      <w:r>
        <w:rPr>
          <w:rStyle w:val="FootnoteReference"/>
        </w:rPr>
        <w:footnoteRef/>
      </w:r>
      <w:r>
        <w:t xml:space="preserve"> Marlowe, “Ireland’s Recruiting” p.12</w:t>
      </w:r>
    </w:p>
  </w:footnote>
  <w:footnote w:id="6">
    <w:p w14:paraId="7DDE6158" w14:textId="03DC9BB3" w:rsidR="00F50F73" w:rsidRDefault="00F50F73">
      <w:pPr>
        <w:pStyle w:val="FootnoteText"/>
      </w:pPr>
      <w:r>
        <w:rPr>
          <w:rStyle w:val="FootnoteReference"/>
        </w:rPr>
        <w:footnoteRef/>
      </w:r>
      <w:r>
        <w:t xml:space="preserve"> </w:t>
      </w:r>
      <w:r w:rsidRPr="00F50F73">
        <w:t xml:space="preserve">W. S. Kerr, “Ireland and the War.” </w:t>
      </w:r>
      <w:r w:rsidRPr="00F50F73">
        <w:rPr>
          <w:i/>
          <w:iCs/>
        </w:rPr>
        <w:t>The Irish Church Quarterly</w:t>
      </w:r>
      <w:r w:rsidRPr="00F50F73">
        <w:t xml:space="preserve">, vol. 9, no. 34, </w:t>
      </w:r>
      <w:r>
        <w:t>(</w:t>
      </w:r>
      <w:r w:rsidRPr="00F50F73">
        <w:t>1916</w:t>
      </w:r>
      <w:r>
        <w:t>)</w:t>
      </w:r>
      <w:r w:rsidRPr="00F50F73">
        <w:t xml:space="preserve"> p. 1</w:t>
      </w:r>
      <w:r>
        <w:t>12</w:t>
      </w:r>
      <w:r w:rsidRPr="00F50F73">
        <w:t xml:space="preserve">, </w:t>
      </w:r>
      <w:r>
        <w:t>&lt;</w:t>
      </w:r>
      <w:r w:rsidRPr="00F50F73">
        <w:t>https://doi.org/10.2307/30026442.</w:t>
      </w:r>
      <w:r>
        <w:t xml:space="preserve">&gt; </w:t>
      </w:r>
      <w:r w:rsidR="00715843" w:rsidRPr="00715843">
        <w:t>[Accessed 24/01/22]</w:t>
      </w:r>
    </w:p>
  </w:footnote>
  <w:footnote w:id="7">
    <w:p w14:paraId="365A7A4F" w14:textId="16BA6FF6" w:rsidR="00E4720A" w:rsidRDefault="00E4720A">
      <w:pPr>
        <w:pStyle w:val="FootnoteText"/>
      </w:pPr>
      <w:r>
        <w:rPr>
          <w:rStyle w:val="FootnoteReference"/>
        </w:rPr>
        <w:footnoteRef/>
      </w:r>
      <w:r>
        <w:t xml:space="preserve"> </w:t>
      </w:r>
      <w:r w:rsidRPr="00E4720A">
        <w:t>Marlowe, “Ireland’s Recruiting” p.12</w:t>
      </w:r>
    </w:p>
  </w:footnote>
  <w:footnote w:id="8">
    <w:p w14:paraId="37079B0C" w14:textId="06E9A243" w:rsidR="00556025" w:rsidRPr="00F46467" w:rsidRDefault="00556025">
      <w:pPr>
        <w:pStyle w:val="FootnoteText"/>
      </w:pPr>
      <w:r>
        <w:rPr>
          <w:rStyle w:val="FootnoteReference"/>
        </w:rPr>
        <w:footnoteRef/>
      </w:r>
      <w:r>
        <w:t xml:space="preserve"> Publisher, “</w:t>
      </w:r>
      <w:r w:rsidRPr="00556025">
        <w:t>The Sack of Leuven and Irish participation in World War One.</w:t>
      </w:r>
      <w:r>
        <w:t xml:space="preserve">” </w:t>
      </w:r>
      <w:r>
        <w:rPr>
          <w:i/>
          <w:iCs/>
        </w:rPr>
        <w:t>Irish History World War One</w:t>
      </w:r>
      <w:r w:rsidR="00F46467">
        <w:rPr>
          <w:i/>
          <w:iCs/>
        </w:rPr>
        <w:t xml:space="preserve"> Focus, </w:t>
      </w:r>
      <w:r w:rsidR="00F46467">
        <w:t>The Irish Story (29/08/14) &lt;</w:t>
      </w:r>
      <w:r w:rsidR="00F46467" w:rsidRPr="00F46467">
        <w:t>https://www.theirishstory.com/2014/08/29/the-sack-of-leuven-and-irish-participation-in-world-war-one/#.Ye7JyerP2Um</w:t>
      </w:r>
      <w:r w:rsidR="00F46467">
        <w:t xml:space="preserve">&gt; </w:t>
      </w:r>
      <w:bookmarkStart w:id="2" w:name="_Hlk95069521"/>
      <w:r w:rsidR="00715843">
        <w:t>[Accessed 24/01/22]</w:t>
      </w:r>
      <w:bookmarkEnd w:id="2"/>
    </w:p>
  </w:footnote>
  <w:footnote w:id="9">
    <w:p w14:paraId="0169BEA9" w14:textId="3C60881D" w:rsidR="0035422B" w:rsidRPr="0035422B" w:rsidRDefault="0035422B">
      <w:pPr>
        <w:pStyle w:val="FootnoteText"/>
      </w:pPr>
      <w:r>
        <w:rPr>
          <w:rStyle w:val="FootnoteReference"/>
        </w:rPr>
        <w:footnoteRef/>
      </w:r>
      <w:r>
        <w:t xml:space="preserve"> </w:t>
      </w:r>
      <w:r>
        <w:rPr>
          <w:i/>
          <w:iCs/>
        </w:rPr>
        <w:t>Ibid,</w:t>
      </w:r>
      <w:r>
        <w:t xml:space="preserve"> p.11</w:t>
      </w:r>
      <w:r w:rsidR="0094309A">
        <w:t>3</w:t>
      </w:r>
    </w:p>
  </w:footnote>
  <w:footnote w:id="10">
    <w:p w14:paraId="6A0FB8E9" w14:textId="5F6B8F2D" w:rsidR="0094309A" w:rsidRPr="0094309A" w:rsidRDefault="0094309A">
      <w:pPr>
        <w:pStyle w:val="FootnoteText"/>
        <w:rPr>
          <w:i/>
          <w:iCs/>
        </w:rPr>
      </w:pPr>
      <w:r w:rsidRPr="0094309A">
        <w:rPr>
          <w:rStyle w:val="FootnoteReference"/>
          <w:i/>
          <w:iCs/>
        </w:rPr>
        <w:footnoteRef/>
      </w:r>
      <w:r w:rsidRPr="0094309A">
        <w:rPr>
          <w:i/>
          <w:iCs/>
        </w:rPr>
        <w:t xml:space="preserve"> Ibid, p.113</w:t>
      </w:r>
    </w:p>
  </w:footnote>
  <w:footnote w:id="11">
    <w:p w14:paraId="69314A13" w14:textId="77777777" w:rsidR="00BE157F" w:rsidRDefault="00BE157F" w:rsidP="00BE157F">
      <w:pPr>
        <w:pStyle w:val="FootnoteText"/>
      </w:pPr>
      <w:r>
        <w:rPr>
          <w:rStyle w:val="FootnoteReference"/>
        </w:rPr>
        <w:footnoteRef/>
      </w:r>
      <w:r>
        <w:t xml:space="preserve"> </w:t>
      </w:r>
      <w:r w:rsidRPr="00AC1404">
        <w:t>Susan</w:t>
      </w:r>
      <w:r>
        <w:t>,</w:t>
      </w:r>
      <w:r w:rsidRPr="00AC1404">
        <w:t xml:space="preserve"> </w:t>
      </w:r>
      <w:proofErr w:type="spellStart"/>
      <w:r w:rsidRPr="00AC1404">
        <w:t>Pyecroft</w:t>
      </w:r>
      <w:proofErr w:type="spellEnd"/>
      <w:r w:rsidRPr="00AC1404">
        <w:t xml:space="preserve">. “British Working Women and the First World War.” The Historian, vol. 56, no. 4, Wiley, 1994, </w:t>
      </w:r>
      <w:r>
        <w:t>&lt;</w:t>
      </w:r>
      <w:r w:rsidRPr="00AC1404">
        <w:t>http://www.jstor.org/stable/24449074</w:t>
      </w:r>
      <w:r>
        <w:t>&gt; p.699 [Accessed 31/01/2022]</w:t>
      </w:r>
    </w:p>
  </w:footnote>
  <w:footnote w:id="12">
    <w:p w14:paraId="22F39C89" w14:textId="77777777" w:rsidR="00BE157F" w:rsidRPr="001C3896" w:rsidRDefault="00BE157F" w:rsidP="00BE157F">
      <w:pPr>
        <w:pStyle w:val="FootnoteText"/>
      </w:pPr>
      <w:r>
        <w:rPr>
          <w:rStyle w:val="FootnoteReference"/>
        </w:rPr>
        <w:footnoteRef/>
      </w:r>
      <w:r>
        <w:t xml:space="preserve"> </w:t>
      </w:r>
      <w:r>
        <w:rPr>
          <w:i/>
          <w:iCs/>
        </w:rPr>
        <w:t>Ibid</w:t>
      </w:r>
      <w:r>
        <w:t>¸ p. 706 “Mothers Who Make Munitions”</w:t>
      </w:r>
    </w:p>
  </w:footnote>
  <w:footnote w:id="13">
    <w:p w14:paraId="76C9013E" w14:textId="77777777" w:rsidR="00BE157F" w:rsidRDefault="00BE157F" w:rsidP="00BE157F">
      <w:pPr>
        <w:pStyle w:val="FootnoteText"/>
      </w:pPr>
      <w:r>
        <w:rPr>
          <w:rStyle w:val="FootnoteReference"/>
        </w:rPr>
        <w:footnoteRef/>
      </w:r>
      <w:r>
        <w:t xml:space="preserve"> </w:t>
      </w:r>
      <w:bookmarkStart w:id="3" w:name="_Hlk95069325"/>
      <w:r w:rsidRPr="00ED37A3">
        <w:t>Britannica, The Editors of Encyclopaedia. "women's suffrage". </w:t>
      </w:r>
      <w:proofErr w:type="spellStart"/>
      <w:r w:rsidRPr="00ED37A3">
        <w:rPr>
          <w:i/>
          <w:iCs/>
        </w:rPr>
        <w:t>Encyclopedia</w:t>
      </w:r>
      <w:proofErr w:type="spellEnd"/>
      <w:r w:rsidRPr="00ED37A3">
        <w:rPr>
          <w:i/>
          <w:iCs/>
        </w:rPr>
        <w:t xml:space="preserve"> Britannica</w:t>
      </w:r>
      <w:r w:rsidRPr="00ED37A3">
        <w:t xml:space="preserve">, 10 Sep. 2020, </w:t>
      </w:r>
      <w:r>
        <w:t>&lt;</w:t>
      </w:r>
      <w:r w:rsidRPr="00ED37A3">
        <w:t>https://www.britannica.com/topic/woman-suffrage</w:t>
      </w:r>
      <w:r>
        <w:t>&gt;</w:t>
      </w:r>
      <w:r w:rsidRPr="00ED37A3">
        <w:t xml:space="preserve"> </w:t>
      </w:r>
      <w:bookmarkEnd w:id="3"/>
      <w:r>
        <w:t>[</w:t>
      </w:r>
      <w:r w:rsidRPr="00ED37A3">
        <w:t>Accessed 31</w:t>
      </w:r>
      <w:r>
        <w:t>/</w:t>
      </w:r>
      <w:r w:rsidRPr="00ED37A3">
        <w:t>0</w:t>
      </w:r>
      <w:r>
        <w:t>1/</w:t>
      </w:r>
      <w:r w:rsidRPr="00ED37A3">
        <w:t>22</w:t>
      </w:r>
      <w:r>
        <w:t>]</w:t>
      </w:r>
    </w:p>
  </w:footnote>
  <w:footnote w:id="14">
    <w:p w14:paraId="1841A0AF" w14:textId="77777777" w:rsidR="00BE157F" w:rsidRDefault="00BE157F" w:rsidP="00BE157F">
      <w:pPr>
        <w:pStyle w:val="FootnoteText"/>
      </w:pPr>
      <w:r>
        <w:rPr>
          <w:rStyle w:val="FootnoteReference"/>
        </w:rPr>
        <w:footnoteRef/>
      </w:r>
      <w:r>
        <w:t xml:space="preserve"> </w:t>
      </w:r>
      <w:proofErr w:type="spellStart"/>
      <w:r w:rsidRPr="0017676A">
        <w:t>Pyecroft</w:t>
      </w:r>
      <w:proofErr w:type="spellEnd"/>
      <w:r w:rsidRPr="0017676A">
        <w:t>. “British Working Women and the First World War.”</w:t>
      </w:r>
      <w:r>
        <w:t xml:space="preserve"> P. 705 Government propaganda referred to the working women of Britain as </w:t>
      </w:r>
      <w:proofErr w:type="spellStart"/>
      <w:r>
        <w:t>Joans</w:t>
      </w:r>
      <w:proofErr w:type="spellEnd"/>
      <w:r>
        <w:t xml:space="preserve"> of Arc protecting the realm</w:t>
      </w:r>
    </w:p>
  </w:footnote>
  <w:footnote w:id="15">
    <w:p w14:paraId="28BE287A" w14:textId="77777777" w:rsidR="00BE157F" w:rsidRPr="0017676A" w:rsidRDefault="00BE157F" w:rsidP="00BE157F">
      <w:pPr>
        <w:pStyle w:val="FootnoteText"/>
      </w:pPr>
      <w:r>
        <w:rPr>
          <w:rStyle w:val="FootnoteReference"/>
        </w:rPr>
        <w:footnoteRef/>
      </w:r>
      <w:r>
        <w:t xml:space="preserve"> </w:t>
      </w:r>
      <w:r>
        <w:rPr>
          <w:i/>
          <w:iCs/>
        </w:rPr>
        <w:t>Ibid</w:t>
      </w:r>
      <w:r>
        <w:t>, p. 708</w:t>
      </w:r>
    </w:p>
  </w:footnote>
  <w:footnote w:id="16">
    <w:p w14:paraId="22238E10" w14:textId="77777777" w:rsidR="00BE157F" w:rsidRPr="0017676A" w:rsidRDefault="00BE157F" w:rsidP="00BE157F">
      <w:pPr>
        <w:pStyle w:val="FootnoteText"/>
      </w:pPr>
      <w:r>
        <w:rPr>
          <w:rStyle w:val="FootnoteReference"/>
        </w:rPr>
        <w:footnoteRef/>
      </w:r>
      <w:r>
        <w:t xml:space="preserve"> </w:t>
      </w:r>
      <w:r>
        <w:rPr>
          <w:i/>
          <w:iCs/>
        </w:rPr>
        <w:t xml:space="preserve">Women’s Industrial News 73 </w:t>
      </w:r>
      <w:r>
        <w:t xml:space="preserve">(April 1916) 20, found in S. </w:t>
      </w:r>
      <w:proofErr w:type="spellStart"/>
      <w:r>
        <w:t>Pyecroft</w:t>
      </w:r>
      <w:proofErr w:type="spellEnd"/>
      <w:r>
        <w:t xml:space="preserve"> </w:t>
      </w:r>
      <w:r w:rsidRPr="0017676A">
        <w:t>“British Working Women and the First World War.” The Historian, vol. 56, no. 4, Wiley, 1994, &lt;http://www.jstor.org/stable/24449074&gt; p.</w:t>
      </w:r>
      <w:r>
        <w:t xml:space="preserve"> 705</w:t>
      </w:r>
    </w:p>
  </w:footnote>
  <w:footnote w:id="17">
    <w:p w14:paraId="490DC910" w14:textId="77777777" w:rsidR="00BE157F" w:rsidRDefault="00BE157F" w:rsidP="00BE157F">
      <w:pPr>
        <w:pStyle w:val="FootnoteText"/>
      </w:pPr>
      <w:r>
        <w:rPr>
          <w:rStyle w:val="FootnoteReference"/>
        </w:rPr>
        <w:footnoteRef/>
      </w:r>
      <w:r>
        <w:t xml:space="preserve"> </w:t>
      </w:r>
      <w:proofErr w:type="spellStart"/>
      <w:r>
        <w:t>Pyecroft</w:t>
      </w:r>
      <w:proofErr w:type="spellEnd"/>
      <w:r>
        <w:t xml:space="preserve">, </w:t>
      </w:r>
      <w:r w:rsidRPr="003F1F89">
        <w:t>“British Working Women and the First World War.”</w:t>
      </w:r>
      <w:r>
        <w:t xml:space="preserve"> P.709</w:t>
      </w:r>
    </w:p>
  </w:footnote>
  <w:footnote w:id="18">
    <w:p w14:paraId="30E74F11" w14:textId="77777777" w:rsidR="00BE157F" w:rsidRPr="003F1F89" w:rsidRDefault="00BE157F" w:rsidP="00BE157F">
      <w:pPr>
        <w:pStyle w:val="FootnoteText"/>
      </w:pPr>
      <w:r>
        <w:rPr>
          <w:rStyle w:val="FootnoteReference"/>
        </w:rPr>
        <w:footnoteRef/>
      </w:r>
      <w:r>
        <w:t xml:space="preserve"> </w:t>
      </w:r>
      <w:r>
        <w:rPr>
          <w:i/>
          <w:iCs/>
        </w:rPr>
        <w:t>Ibid</w:t>
      </w:r>
      <w:r>
        <w:t>, p. 709</w:t>
      </w:r>
    </w:p>
  </w:footnote>
  <w:footnote w:id="19">
    <w:p w14:paraId="34D11A5D" w14:textId="77777777" w:rsidR="00BE157F" w:rsidRPr="003F1F89" w:rsidRDefault="00BE157F" w:rsidP="00BE157F">
      <w:pPr>
        <w:pStyle w:val="FootnoteText"/>
        <w:rPr>
          <w:i/>
          <w:iCs/>
        </w:rPr>
      </w:pPr>
      <w:r>
        <w:rPr>
          <w:rStyle w:val="FootnoteReference"/>
        </w:rPr>
        <w:footnoteRef/>
      </w:r>
      <w:r>
        <w:t xml:space="preserve"> </w:t>
      </w:r>
      <w:r>
        <w:rPr>
          <w:i/>
          <w:iCs/>
        </w:rPr>
        <w:t xml:space="preserve">Ibid, </w:t>
      </w:r>
      <w:r w:rsidRPr="003F1F89">
        <w:t>p 709</w:t>
      </w:r>
    </w:p>
  </w:footnote>
  <w:footnote w:id="20">
    <w:p w14:paraId="54ED3DCC" w14:textId="77777777" w:rsidR="00BE157F" w:rsidRPr="003F1F89" w:rsidRDefault="00BE157F" w:rsidP="00BE157F">
      <w:pPr>
        <w:pStyle w:val="FootnoteText"/>
      </w:pPr>
      <w:r>
        <w:rPr>
          <w:rStyle w:val="FootnoteReference"/>
        </w:rPr>
        <w:footnoteRef/>
      </w:r>
      <w:r>
        <w:t xml:space="preserve"> Boston, </w:t>
      </w:r>
      <w:r>
        <w:rPr>
          <w:i/>
          <w:iCs/>
        </w:rPr>
        <w:t xml:space="preserve">Women </w:t>
      </w:r>
      <w:proofErr w:type="gramStart"/>
      <w:r>
        <w:rPr>
          <w:i/>
          <w:iCs/>
        </w:rPr>
        <w:t>Workers</w:t>
      </w:r>
      <w:proofErr w:type="gramEnd"/>
      <w:r>
        <w:rPr>
          <w:i/>
          <w:iCs/>
        </w:rPr>
        <w:t xml:space="preserve"> and the Trade Unions¸</w:t>
      </w:r>
      <w:r>
        <w:t xml:space="preserve"> 183; Drake, </w:t>
      </w:r>
      <w:r>
        <w:rPr>
          <w:i/>
          <w:iCs/>
        </w:rPr>
        <w:t>Women in Trade Unions, 107; Woman Worker</w:t>
      </w:r>
      <w:r>
        <w:t xml:space="preserve"> (November 1918) found in </w:t>
      </w:r>
      <w:r w:rsidRPr="003F1F89">
        <w:t xml:space="preserve">S. </w:t>
      </w:r>
      <w:proofErr w:type="spellStart"/>
      <w:r w:rsidRPr="003F1F89">
        <w:t>Pyecroft</w:t>
      </w:r>
      <w:proofErr w:type="spellEnd"/>
      <w:r w:rsidRPr="003F1F89">
        <w:t xml:space="preserve"> “British Working Women and the First World War.” The Historian, vol. 56, no. 4, Wiley, 1994, &lt;http://www.jstor.org/stable/24449074&gt; p.</w:t>
      </w:r>
      <w:r>
        <w:t xml:space="preserve"> 708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99F6D" w14:textId="4C8837EC" w:rsidR="00BE157F" w:rsidRDefault="00BE157F">
    <w:pPr>
      <w:pStyle w:val="Header"/>
    </w:pPr>
    <w:r>
      <w:t>Matthew Jordan 1900962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DB9"/>
    <w:rsid w:val="00005F24"/>
    <w:rsid w:val="0005320C"/>
    <w:rsid w:val="001571DD"/>
    <w:rsid w:val="001A62DD"/>
    <w:rsid w:val="002A0377"/>
    <w:rsid w:val="002B000B"/>
    <w:rsid w:val="003016A7"/>
    <w:rsid w:val="0035422B"/>
    <w:rsid w:val="00386E30"/>
    <w:rsid w:val="004416BB"/>
    <w:rsid w:val="00495EA7"/>
    <w:rsid w:val="00556025"/>
    <w:rsid w:val="00602945"/>
    <w:rsid w:val="006F62C7"/>
    <w:rsid w:val="00715843"/>
    <w:rsid w:val="007F0E81"/>
    <w:rsid w:val="0081417F"/>
    <w:rsid w:val="00850577"/>
    <w:rsid w:val="00894DB9"/>
    <w:rsid w:val="0094309A"/>
    <w:rsid w:val="009A274F"/>
    <w:rsid w:val="009F1DF0"/>
    <w:rsid w:val="00A76B8E"/>
    <w:rsid w:val="00A928CC"/>
    <w:rsid w:val="00A92C99"/>
    <w:rsid w:val="00AD60C0"/>
    <w:rsid w:val="00B9577D"/>
    <w:rsid w:val="00B969E9"/>
    <w:rsid w:val="00BE157F"/>
    <w:rsid w:val="00CD6C68"/>
    <w:rsid w:val="00D16A4B"/>
    <w:rsid w:val="00D604CD"/>
    <w:rsid w:val="00E4720A"/>
    <w:rsid w:val="00E90DEA"/>
    <w:rsid w:val="00EC0AF1"/>
    <w:rsid w:val="00F46467"/>
    <w:rsid w:val="00F50F73"/>
    <w:rsid w:val="00FA4DEC"/>
    <w:rsid w:val="00FD2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2042D"/>
  <w15:chartTrackingRefBased/>
  <w15:docId w15:val="{79633507-5F19-4409-BA23-77B28A264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4DB9"/>
    <w:rPr>
      <w:color w:val="0563C1" w:themeColor="hyperlink"/>
      <w:u w:val="single"/>
    </w:rPr>
  </w:style>
  <w:style w:type="character" w:styleId="UnresolvedMention">
    <w:name w:val="Unresolved Mention"/>
    <w:basedOn w:val="DefaultParagraphFont"/>
    <w:uiPriority w:val="99"/>
    <w:semiHidden/>
    <w:unhideWhenUsed/>
    <w:rsid w:val="00894DB9"/>
    <w:rPr>
      <w:color w:val="605E5C"/>
      <w:shd w:val="clear" w:color="auto" w:fill="E1DFDD"/>
    </w:rPr>
  </w:style>
  <w:style w:type="paragraph" w:styleId="FootnoteText">
    <w:name w:val="footnote text"/>
    <w:basedOn w:val="Normal"/>
    <w:link w:val="FootnoteTextChar"/>
    <w:uiPriority w:val="99"/>
    <w:semiHidden/>
    <w:unhideWhenUsed/>
    <w:rsid w:val="002B00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000B"/>
    <w:rPr>
      <w:sz w:val="20"/>
      <w:szCs w:val="20"/>
    </w:rPr>
  </w:style>
  <w:style w:type="character" w:styleId="FootnoteReference">
    <w:name w:val="footnote reference"/>
    <w:basedOn w:val="DefaultParagraphFont"/>
    <w:uiPriority w:val="99"/>
    <w:semiHidden/>
    <w:unhideWhenUsed/>
    <w:rsid w:val="002B000B"/>
    <w:rPr>
      <w:vertAlign w:val="superscript"/>
    </w:rPr>
  </w:style>
  <w:style w:type="paragraph" w:styleId="Header">
    <w:name w:val="header"/>
    <w:basedOn w:val="Normal"/>
    <w:link w:val="HeaderChar"/>
    <w:uiPriority w:val="99"/>
    <w:unhideWhenUsed/>
    <w:rsid w:val="00BE15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57F"/>
  </w:style>
  <w:style w:type="paragraph" w:styleId="Footer">
    <w:name w:val="footer"/>
    <w:basedOn w:val="Normal"/>
    <w:link w:val="FooterChar"/>
    <w:uiPriority w:val="99"/>
    <w:unhideWhenUsed/>
    <w:rsid w:val="00BE15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827797">
      <w:bodyDiv w:val="1"/>
      <w:marLeft w:val="0"/>
      <w:marRight w:val="0"/>
      <w:marTop w:val="0"/>
      <w:marBottom w:val="0"/>
      <w:divBdr>
        <w:top w:val="none" w:sz="0" w:space="0" w:color="auto"/>
        <w:left w:val="none" w:sz="0" w:space="0" w:color="auto"/>
        <w:bottom w:val="none" w:sz="0" w:space="0" w:color="auto"/>
        <w:right w:val="none" w:sz="0" w:space="0" w:color="auto"/>
      </w:divBdr>
      <w:divsChild>
        <w:div w:id="747192826">
          <w:marLeft w:val="0"/>
          <w:marRight w:val="0"/>
          <w:marTop w:val="0"/>
          <w:marBottom w:val="0"/>
          <w:divBdr>
            <w:top w:val="none" w:sz="0" w:space="0" w:color="auto"/>
            <w:left w:val="none" w:sz="0" w:space="0" w:color="auto"/>
            <w:bottom w:val="none" w:sz="0" w:space="0" w:color="auto"/>
            <w:right w:val="none" w:sz="0" w:space="0" w:color="auto"/>
          </w:divBdr>
          <w:divsChild>
            <w:div w:id="33188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875043">
      <w:bodyDiv w:val="1"/>
      <w:marLeft w:val="0"/>
      <w:marRight w:val="0"/>
      <w:marTop w:val="0"/>
      <w:marBottom w:val="0"/>
      <w:divBdr>
        <w:top w:val="none" w:sz="0" w:space="0" w:color="auto"/>
        <w:left w:val="none" w:sz="0" w:space="0" w:color="auto"/>
        <w:bottom w:val="none" w:sz="0" w:space="0" w:color="auto"/>
        <w:right w:val="none" w:sz="0" w:space="0" w:color="auto"/>
      </w:divBdr>
    </w:div>
    <w:div w:id="1689329430">
      <w:bodyDiv w:val="1"/>
      <w:marLeft w:val="0"/>
      <w:marRight w:val="0"/>
      <w:marTop w:val="0"/>
      <w:marBottom w:val="0"/>
      <w:divBdr>
        <w:top w:val="none" w:sz="0" w:space="0" w:color="auto"/>
        <w:left w:val="none" w:sz="0" w:space="0" w:color="auto"/>
        <w:bottom w:val="none" w:sz="0" w:space="0" w:color="auto"/>
        <w:right w:val="none" w:sz="0" w:space="0" w:color="auto"/>
      </w:divBdr>
      <w:divsChild>
        <w:div w:id="1170176762">
          <w:marLeft w:val="0"/>
          <w:marRight w:val="0"/>
          <w:marTop w:val="0"/>
          <w:marBottom w:val="0"/>
          <w:divBdr>
            <w:top w:val="none" w:sz="0" w:space="0" w:color="auto"/>
            <w:left w:val="none" w:sz="0" w:space="0" w:color="auto"/>
            <w:bottom w:val="none" w:sz="0" w:space="0" w:color="auto"/>
            <w:right w:val="none" w:sz="0" w:space="0" w:color="auto"/>
          </w:divBdr>
          <w:divsChild>
            <w:div w:id="182381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360582">
      <w:bodyDiv w:val="1"/>
      <w:marLeft w:val="0"/>
      <w:marRight w:val="0"/>
      <w:marTop w:val="0"/>
      <w:marBottom w:val="0"/>
      <w:divBdr>
        <w:top w:val="none" w:sz="0" w:space="0" w:color="auto"/>
        <w:left w:val="none" w:sz="0" w:space="0" w:color="auto"/>
        <w:bottom w:val="none" w:sz="0" w:space="0" w:color="auto"/>
        <w:right w:val="none" w:sz="0" w:space="0" w:color="auto"/>
      </w:divBdr>
    </w:div>
    <w:div w:id="1990396965">
      <w:bodyDiv w:val="1"/>
      <w:marLeft w:val="0"/>
      <w:marRight w:val="0"/>
      <w:marTop w:val="0"/>
      <w:marBottom w:val="0"/>
      <w:divBdr>
        <w:top w:val="none" w:sz="0" w:space="0" w:color="auto"/>
        <w:left w:val="none" w:sz="0" w:space="0" w:color="auto"/>
        <w:bottom w:val="none" w:sz="0" w:space="0" w:color="auto"/>
        <w:right w:val="none" w:sz="0" w:space="0" w:color="auto"/>
      </w:divBdr>
      <w:divsChild>
        <w:div w:id="181476123">
          <w:marLeft w:val="0"/>
          <w:marRight w:val="0"/>
          <w:marTop w:val="0"/>
          <w:marBottom w:val="0"/>
          <w:divBdr>
            <w:top w:val="none" w:sz="0" w:space="0" w:color="auto"/>
            <w:left w:val="none" w:sz="0" w:space="0" w:color="auto"/>
            <w:bottom w:val="none" w:sz="0" w:space="0" w:color="auto"/>
            <w:right w:val="none" w:sz="0" w:space="0" w:color="auto"/>
          </w:divBdr>
          <w:divsChild>
            <w:div w:id="83788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065292">
      <w:bodyDiv w:val="1"/>
      <w:marLeft w:val="0"/>
      <w:marRight w:val="0"/>
      <w:marTop w:val="0"/>
      <w:marBottom w:val="0"/>
      <w:divBdr>
        <w:top w:val="none" w:sz="0" w:space="0" w:color="auto"/>
        <w:left w:val="none" w:sz="0" w:space="0" w:color="auto"/>
        <w:bottom w:val="none" w:sz="0" w:space="0" w:color="auto"/>
        <w:right w:val="none" w:sz="0" w:space="0" w:color="auto"/>
      </w:divBdr>
      <w:divsChild>
        <w:div w:id="171265486">
          <w:marLeft w:val="0"/>
          <w:marRight w:val="0"/>
          <w:marTop w:val="0"/>
          <w:marBottom w:val="0"/>
          <w:divBdr>
            <w:top w:val="none" w:sz="0" w:space="0" w:color="auto"/>
            <w:left w:val="none" w:sz="0" w:space="0" w:color="auto"/>
            <w:bottom w:val="none" w:sz="0" w:space="0" w:color="auto"/>
            <w:right w:val="none" w:sz="0" w:space="0" w:color="auto"/>
          </w:divBdr>
          <w:divsChild>
            <w:div w:id="100501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irishstory.com/2014/08/29/the-sack-of-leuven-and-irish-participation-in-world-war-one/#.Ye7JyerP2U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istory.com/topics/immigration/irish-potato-famin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britannica.com/topic/woman-suffrage" TargetMode="External"/><Relationship Id="rId4" Type="http://schemas.openxmlformats.org/officeDocument/2006/relationships/webSettings" Target="webSettings.xml"/><Relationship Id="rId9" Type="http://schemas.openxmlformats.org/officeDocument/2006/relationships/hyperlink" Target="http://www.jstor.org/stable/2444907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history.com/topics/immigration/irish-potato-fam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C0619-B0C3-44BC-A72A-D8000801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2494</Words>
  <Characters>14219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2</cp:revision>
  <dcterms:created xsi:type="dcterms:W3CDTF">2022-02-06T19:57:00Z</dcterms:created>
  <dcterms:modified xsi:type="dcterms:W3CDTF">2022-02-06T19:57:00Z</dcterms:modified>
</cp:coreProperties>
</file>