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670E28" w14:textId="77777777" w:rsidR="006A470A" w:rsidRDefault="006A470A">
      <w:pPr>
        <w:spacing w:line="360" w:lineRule="auto"/>
        <w:jc w:val="center"/>
        <w:rPr>
          <w:sz w:val="32"/>
          <w:szCs w:val="32"/>
        </w:rPr>
      </w:pPr>
    </w:p>
    <w:p w14:paraId="309718A2" w14:textId="77777777" w:rsidR="006A470A" w:rsidRDefault="006A470A">
      <w:pPr>
        <w:spacing w:line="360" w:lineRule="auto"/>
        <w:jc w:val="center"/>
        <w:rPr>
          <w:sz w:val="32"/>
          <w:szCs w:val="32"/>
        </w:rPr>
      </w:pPr>
    </w:p>
    <w:p w14:paraId="2F98BB52" w14:textId="77777777" w:rsidR="006A470A" w:rsidRDefault="006A470A">
      <w:pPr>
        <w:spacing w:line="360" w:lineRule="auto"/>
        <w:jc w:val="center"/>
        <w:rPr>
          <w:sz w:val="32"/>
          <w:szCs w:val="32"/>
        </w:rPr>
      </w:pPr>
    </w:p>
    <w:p w14:paraId="2DD7C912" w14:textId="0BF9167E" w:rsidR="006A470A" w:rsidRDefault="006051AF" w:rsidP="006051AF">
      <w:pPr>
        <w:spacing w:line="360" w:lineRule="auto"/>
        <w:rPr>
          <w:b/>
          <w:sz w:val="32"/>
          <w:szCs w:val="32"/>
        </w:rPr>
      </w:pPr>
      <w:r>
        <w:rPr>
          <w:sz w:val="32"/>
          <w:szCs w:val="32"/>
        </w:rPr>
        <w:t xml:space="preserve">                 </w:t>
      </w:r>
      <w:r w:rsidR="00000000">
        <w:rPr>
          <w:b/>
          <w:sz w:val="32"/>
          <w:szCs w:val="32"/>
        </w:rPr>
        <w:t>Financial Management for the Hotel Industry</w:t>
      </w:r>
    </w:p>
    <w:p w14:paraId="4A4982FE" w14:textId="77777777" w:rsidR="006A470A" w:rsidRDefault="00000000">
      <w:pPr>
        <w:spacing w:line="360" w:lineRule="auto"/>
        <w:jc w:val="center"/>
        <w:rPr>
          <w:b/>
          <w:sz w:val="32"/>
          <w:szCs w:val="32"/>
        </w:rPr>
      </w:pPr>
      <w:r>
        <w:rPr>
          <w:b/>
          <w:sz w:val="32"/>
          <w:szCs w:val="32"/>
        </w:rPr>
        <w:t>BMIH5007</w:t>
      </w:r>
    </w:p>
    <w:p w14:paraId="5568784C" w14:textId="77777777" w:rsidR="00F3272F" w:rsidRDefault="00000000">
      <w:pPr>
        <w:spacing w:line="360" w:lineRule="auto"/>
        <w:jc w:val="center"/>
        <w:rPr>
          <w:b/>
          <w:sz w:val="32"/>
          <w:szCs w:val="32"/>
        </w:rPr>
      </w:pPr>
      <w:r>
        <w:rPr>
          <w:b/>
          <w:sz w:val="32"/>
          <w:szCs w:val="32"/>
        </w:rPr>
        <w:t>Assessment 2</w:t>
      </w:r>
    </w:p>
    <w:p w14:paraId="49DEA7A1" w14:textId="35AC5700" w:rsidR="00473D7B" w:rsidRDefault="00473D7B">
      <w:pPr>
        <w:rPr>
          <w:b/>
          <w:sz w:val="28"/>
          <w:szCs w:val="28"/>
        </w:rPr>
      </w:pPr>
      <w:r>
        <w:rPr>
          <w:b/>
          <w:sz w:val="28"/>
          <w:szCs w:val="28"/>
        </w:rPr>
        <w:t xml:space="preserve">                                   </w:t>
      </w:r>
      <w:r w:rsidR="006051AF">
        <w:rPr>
          <w:b/>
          <w:sz w:val="28"/>
          <w:szCs w:val="28"/>
        </w:rPr>
        <w:t>Student name: Iulia Maria Luca</w:t>
      </w:r>
      <w:r w:rsidR="006051AF">
        <w:rPr>
          <w:b/>
          <w:sz w:val="28"/>
          <w:szCs w:val="28"/>
        </w:rPr>
        <w:br/>
      </w:r>
      <w:r>
        <w:rPr>
          <w:b/>
          <w:sz w:val="28"/>
          <w:szCs w:val="28"/>
        </w:rPr>
        <w:t xml:space="preserve">                                   </w:t>
      </w:r>
      <w:r w:rsidR="006051AF">
        <w:rPr>
          <w:b/>
          <w:sz w:val="28"/>
          <w:szCs w:val="28"/>
        </w:rPr>
        <w:t xml:space="preserve">Student </w:t>
      </w:r>
      <w:r>
        <w:rPr>
          <w:b/>
          <w:sz w:val="28"/>
          <w:szCs w:val="28"/>
        </w:rPr>
        <w:t>ID</w:t>
      </w:r>
      <w:r w:rsidR="006051AF">
        <w:rPr>
          <w:b/>
          <w:sz w:val="28"/>
          <w:szCs w:val="28"/>
        </w:rPr>
        <w:t>: 2239007</w:t>
      </w:r>
      <w:r w:rsidR="006051AF">
        <w:rPr>
          <w:b/>
          <w:sz w:val="28"/>
          <w:szCs w:val="28"/>
        </w:rPr>
        <w:br/>
      </w:r>
      <w:r>
        <w:rPr>
          <w:b/>
          <w:sz w:val="28"/>
          <w:szCs w:val="28"/>
        </w:rPr>
        <w:t xml:space="preserve">                                   </w:t>
      </w:r>
      <w:r w:rsidR="006051AF">
        <w:rPr>
          <w:b/>
          <w:sz w:val="28"/>
          <w:szCs w:val="28"/>
        </w:rPr>
        <w:t>Tutor name: Tristan Hawkins</w:t>
      </w:r>
    </w:p>
    <w:p w14:paraId="6D2B0B6C" w14:textId="77777777" w:rsidR="00473D7B" w:rsidRDefault="00473D7B">
      <w:pPr>
        <w:rPr>
          <w:b/>
          <w:sz w:val="28"/>
          <w:szCs w:val="28"/>
        </w:rPr>
      </w:pPr>
    </w:p>
    <w:p w14:paraId="77A5C998" w14:textId="77777777" w:rsidR="00473D7B" w:rsidRDefault="00473D7B">
      <w:pPr>
        <w:rPr>
          <w:b/>
          <w:sz w:val="28"/>
          <w:szCs w:val="28"/>
        </w:rPr>
      </w:pPr>
    </w:p>
    <w:p w14:paraId="1233940F" w14:textId="77777777" w:rsidR="00473D7B" w:rsidRDefault="00473D7B">
      <w:pPr>
        <w:rPr>
          <w:b/>
          <w:sz w:val="28"/>
          <w:szCs w:val="28"/>
        </w:rPr>
      </w:pPr>
    </w:p>
    <w:p w14:paraId="738C8569" w14:textId="77777777" w:rsidR="00473D7B" w:rsidRDefault="00473D7B">
      <w:pPr>
        <w:rPr>
          <w:b/>
          <w:sz w:val="28"/>
          <w:szCs w:val="28"/>
        </w:rPr>
      </w:pPr>
    </w:p>
    <w:p w14:paraId="6B56BCBC" w14:textId="77777777" w:rsidR="00473D7B" w:rsidRDefault="00473D7B">
      <w:pPr>
        <w:rPr>
          <w:b/>
          <w:sz w:val="28"/>
          <w:szCs w:val="28"/>
        </w:rPr>
      </w:pPr>
    </w:p>
    <w:p w14:paraId="26523CFA" w14:textId="77777777" w:rsidR="00473D7B" w:rsidRDefault="00473D7B">
      <w:pPr>
        <w:rPr>
          <w:b/>
          <w:sz w:val="28"/>
          <w:szCs w:val="28"/>
        </w:rPr>
      </w:pPr>
    </w:p>
    <w:p w14:paraId="0352E648" w14:textId="77777777" w:rsidR="00473D7B" w:rsidRDefault="00473D7B">
      <w:pPr>
        <w:rPr>
          <w:b/>
          <w:sz w:val="28"/>
          <w:szCs w:val="28"/>
        </w:rPr>
      </w:pPr>
    </w:p>
    <w:p w14:paraId="44677C24" w14:textId="3BFA105F" w:rsidR="00F3272F" w:rsidRPr="006051AF" w:rsidRDefault="006051AF">
      <w:pPr>
        <w:rPr>
          <w:b/>
          <w:sz w:val="28"/>
          <w:szCs w:val="28"/>
        </w:rPr>
      </w:pPr>
      <w:r>
        <w:rPr>
          <w:b/>
          <w:sz w:val="28"/>
          <w:szCs w:val="28"/>
        </w:rPr>
        <w:br/>
      </w:r>
    </w:p>
    <w:p w14:paraId="3D4ABA0E" w14:textId="77777777" w:rsidR="00014601" w:rsidRDefault="00014601">
      <w:pPr>
        <w:spacing w:line="360" w:lineRule="auto"/>
        <w:jc w:val="center"/>
        <w:rPr>
          <w:b/>
          <w:bCs/>
          <w:sz w:val="32"/>
          <w:szCs w:val="32"/>
        </w:rPr>
      </w:pPr>
    </w:p>
    <w:p w14:paraId="3A65744D" w14:textId="77777777" w:rsidR="00014601" w:rsidRDefault="00014601">
      <w:pPr>
        <w:spacing w:line="360" w:lineRule="auto"/>
        <w:jc w:val="center"/>
        <w:rPr>
          <w:b/>
          <w:bCs/>
          <w:sz w:val="32"/>
          <w:szCs w:val="32"/>
        </w:rPr>
      </w:pPr>
    </w:p>
    <w:p w14:paraId="5EEBFDE3" w14:textId="77777777" w:rsidR="00014601" w:rsidRDefault="00014601">
      <w:pPr>
        <w:spacing w:line="360" w:lineRule="auto"/>
        <w:jc w:val="center"/>
        <w:rPr>
          <w:b/>
          <w:bCs/>
          <w:sz w:val="32"/>
          <w:szCs w:val="32"/>
        </w:rPr>
      </w:pPr>
    </w:p>
    <w:p w14:paraId="766A72E2" w14:textId="77777777" w:rsidR="00014601" w:rsidRDefault="00014601">
      <w:pPr>
        <w:spacing w:line="360" w:lineRule="auto"/>
        <w:jc w:val="center"/>
        <w:rPr>
          <w:b/>
          <w:bCs/>
          <w:sz w:val="32"/>
          <w:szCs w:val="32"/>
        </w:rPr>
      </w:pPr>
    </w:p>
    <w:p w14:paraId="09BA5929" w14:textId="77777777" w:rsidR="00014601" w:rsidRDefault="00014601">
      <w:pPr>
        <w:spacing w:line="360" w:lineRule="auto"/>
        <w:jc w:val="center"/>
        <w:rPr>
          <w:b/>
          <w:bCs/>
          <w:sz w:val="32"/>
          <w:szCs w:val="32"/>
        </w:rPr>
      </w:pPr>
    </w:p>
    <w:p w14:paraId="5C9AD514" w14:textId="77777777" w:rsidR="00014601" w:rsidRDefault="00014601">
      <w:pPr>
        <w:spacing w:line="360" w:lineRule="auto"/>
        <w:jc w:val="center"/>
        <w:rPr>
          <w:b/>
          <w:bCs/>
          <w:sz w:val="32"/>
          <w:szCs w:val="32"/>
        </w:rPr>
      </w:pPr>
    </w:p>
    <w:p w14:paraId="399032D8" w14:textId="77777777" w:rsidR="00014601" w:rsidRDefault="00014601">
      <w:pPr>
        <w:spacing w:line="360" w:lineRule="auto"/>
        <w:jc w:val="center"/>
        <w:rPr>
          <w:b/>
          <w:bCs/>
          <w:sz w:val="32"/>
          <w:szCs w:val="32"/>
        </w:rPr>
      </w:pPr>
    </w:p>
    <w:p w14:paraId="24B550DC" w14:textId="77777777" w:rsidR="00014601" w:rsidRDefault="00014601">
      <w:pPr>
        <w:spacing w:line="360" w:lineRule="auto"/>
        <w:jc w:val="center"/>
        <w:rPr>
          <w:b/>
          <w:bCs/>
          <w:sz w:val="32"/>
          <w:szCs w:val="32"/>
        </w:rPr>
      </w:pPr>
    </w:p>
    <w:p w14:paraId="20A3882D" w14:textId="77777777" w:rsidR="00014601" w:rsidRDefault="00014601">
      <w:pPr>
        <w:spacing w:line="360" w:lineRule="auto"/>
        <w:jc w:val="center"/>
        <w:rPr>
          <w:b/>
          <w:bCs/>
          <w:sz w:val="32"/>
          <w:szCs w:val="32"/>
        </w:rPr>
      </w:pPr>
    </w:p>
    <w:p w14:paraId="3728DFD3" w14:textId="5AEBBC4C" w:rsidR="00F3272F" w:rsidRDefault="00F3272F">
      <w:pPr>
        <w:spacing w:line="360" w:lineRule="auto"/>
        <w:jc w:val="center"/>
        <w:rPr>
          <w:b/>
          <w:bCs/>
          <w:sz w:val="32"/>
          <w:szCs w:val="32"/>
        </w:rPr>
      </w:pPr>
      <w:r>
        <w:rPr>
          <w:b/>
          <w:bCs/>
          <w:sz w:val="32"/>
          <w:szCs w:val="32"/>
        </w:rPr>
        <w:lastRenderedPageBreak/>
        <w:t>Executive Summary</w:t>
      </w:r>
    </w:p>
    <w:p w14:paraId="013320BF" w14:textId="6F88375C" w:rsidR="006A470A" w:rsidRDefault="00F3272F" w:rsidP="00F3272F">
      <w:pPr>
        <w:spacing w:line="360" w:lineRule="auto"/>
        <w:jc w:val="both"/>
        <w:rPr>
          <w:b/>
          <w:sz w:val="32"/>
          <w:szCs w:val="32"/>
        </w:rPr>
      </w:pPr>
      <w:r>
        <w:rPr>
          <w:sz w:val="24"/>
          <w:szCs w:val="24"/>
        </w:rPr>
        <w:t xml:space="preserve">A financial analysis of the statements of The City Hotel with restaurant has been performed to evaluate the trends in profitability, liquidity, solvency, and liquidity of the organisation from 2021 to 2023. Based on the assessment of the results, probable reasons such as real-world events, current state of the economy, etc. have been identified that might have affected the financial performance of the business. Also, recommendations have been provided to the company for improving the financial results.  </w:t>
      </w:r>
      <w:r>
        <w:br w:type="page"/>
      </w:r>
    </w:p>
    <w:p w14:paraId="0CB5FDBB" w14:textId="77777777" w:rsidR="001B2EB1" w:rsidRDefault="00000000">
      <w:pPr>
        <w:spacing w:line="360" w:lineRule="auto"/>
        <w:jc w:val="center"/>
        <w:rPr>
          <w:b/>
          <w:sz w:val="32"/>
          <w:szCs w:val="32"/>
        </w:rPr>
      </w:pPr>
      <w:r>
        <w:rPr>
          <w:b/>
          <w:sz w:val="32"/>
          <w:szCs w:val="32"/>
        </w:rPr>
        <w:lastRenderedPageBreak/>
        <w:t>Table of Contents</w:t>
      </w:r>
    </w:p>
    <w:sdt>
      <w:sdtPr>
        <w:rPr>
          <w:rFonts w:ascii="Arial" w:eastAsia="Arial" w:hAnsi="Arial" w:cs="Arial"/>
          <w:color w:val="auto"/>
          <w:sz w:val="22"/>
          <w:szCs w:val="22"/>
          <w:lang w:val="en"/>
        </w:rPr>
        <w:id w:val="-227990638"/>
        <w:docPartObj>
          <w:docPartGallery w:val="Table of Contents"/>
          <w:docPartUnique/>
        </w:docPartObj>
      </w:sdtPr>
      <w:sdtEndPr>
        <w:rPr>
          <w:b/>
          <w:bCs/>
        </w:rPr>
      </w:sdtEndPr>
      <w:sdtContent>
        <w:p w14:paraId="4A453E72" w14:textId="700A1C31" w:rsidR="001B2EB1" w:rsidRPr="00117E2C" w:rsidRDefault="001B2EB1" w:rsidP="00117E2C">
          <w:pPr>
            <w:pStyle w:val="TOCHeading"/>
            <w:spacing w:line="360" w:lineRule="auto"/>
            <w:jc w:val="both"/>
            <w:rPr>
              <w:sz w:val="24"/>
              <w:szCs w:val="24"/>
            </w:rPr>
          </w:pPr>
        </w:p>
        <w:p w14:paraId="4AA8AC24" w14:textId="22D12EEF" w:rsidR="00117E2C" w:rsidRPr="00117E2C" w:rsidRDefault="001B2EB1" w:rsidP="00117E2C">
          <w:pPr>
            <w:pStyle w:val="TOC1"/>
            <w:rPr>
              <w:rFonts w:asciiTheme="minorHAnsi" w:eastAsiaTheme="minorEastAsia" w:hAnsiTheme="minorHAnsi" w:cstheme="minorBidi"/>
              <w:b w:val="0"/>
              <w:bCs w:val="0"/>
              <w:kern w:val="2"/>
              <w:lang w:val="en-GB"/>
              <w14:ligatures w14:val="standardContextual"/>
            </w:rPr>
          </w:pPr>
          <w:r w:rsidRPr="00117E2C">
            <w:fldChar w:fldCharType="begin"/>
          </w:r>
          <w:r w:rsidRPr="00117E2C">
            <w:instrText xml:space="preserve"> TOC \o "1-3" \h \z \u </w:instrText>
          </w:r>
          <w:r w:rsidRPr="00117E2C">
            <w:fldChar w:fldCharType="separate"/>
          </w:r>
          <w:hyperlink w:anchor="_Toc181955502" w:history="1">
            <w:r w:rsidR="00117E2C" w:rsidRPr="00117E2C">
              <w:rPr>
                <w:rStyle w:val="Hyperlink"/>
              </w:rPr>
              <w:t>Introduction</w:t>
            </w:r>
            <w:r w:rsidR="00117E2C" w:rsidRPr="00117E2C">
              <w:rPr>
                <w:webHidden/>
              </w:rPr>
              <w:tab/>
            </w:r>
            <w:r w:rsidR="00117E2C" w:rsidRPr="00117E2C">
              <w:rPr>
                <w:webHidden/>
              </w:rPr>
              <w:fldChar w:fldCharType="begin"/>
            </w:r>
            <w:r w:rsidR="00117E2C" w:rsidRPr="00117E2C">
              <w:rPr>
                <w:webHidden/>
              </w:rPr>
              <w:instrText xml:space="preserve"> PAGEREF _Toc181955502 \h </w:instrText>
            </w:r>
            <w:r w:rsidR="00117E2C" w:rsidRPr="00117E2C">
              <w:rPr>
                <w:webHidden/>
              </w:rPr>
            </w:r>
            <w:r w:rsidR="00117E2C" w:rsidRPr="00117E2C">
              <w:rPr>
                <w:webHidden/>
              </w:rPr>
              <w:fldChar w:fldCharType="separate"/>
            </w:r>
            <w:r w:rsidR="00117E2C" w:rsidRPr="00117E2C">
              <w:rPr>
                <w:webHidden/>
              </w:rPr>
              <w:t>4</w:t>
            </w:r>
            <w:r w:rsidR="00117E2C" w:rsidRPr="00117E2C">
              <w:rPr>
                <w:webHidden/>
              </w:rPr>
              <w:fldChar w:fldCharType="end"/>
            </w:r>
          </w:hyperlink>
        </w:p>
        <w:p w14:paraId="43E0CDF3" w14:textId="3096CF28" w:rsidR="00117E2C" w:rsidRPr="00117E2C" w:rsidRDefault="00117E2C" w:rsidP="00117E2C">
          <w:pPr>
            <w:pStyle w:val="TOC1"/>
            <w:rPr>
              <w:rFonts w:asciiTheme="minorHAnsi" w:eastAsiaTheme="minorEastAsia" w:hAnsiTheme="minorHAnsi" w:cstheme="minorBidi"/>
              <w:b w:val="0"/>
              <w:bCs w:val="0"/>
              <w:kern w:val="2"/>
              <w:lang w:val="en-GB"/>
              <w14:ligatures w14:val="standardContextual"/>
            </w:rPr>
          </w:pPr>
          <w:hyperlink w:anchor="_Toc181955503" w:history="1">
            <w:r w:rsidRPr="00117E2C">
              <w:rPr>
                <w:rStyle w:val="Hyperlink"/>
              </w:rPr>
              <w:t>Evaluation of the financial performance of the City Hotel</w:t>
            </w:r>
            <w:r w:rsidRPr="00117E2C">
              <w:rPr>
                <w:webHidden/>
              </w:rPr>
              <w:tab/>
            </w:r>
            <w:r w:rsidRPr="00117E2C">
              <w:rPr>
                <w:webHidden/>
              </w:rPr>
              <w:fldChar w:fldCharType="begin"/>
            </w:r>
            <w:r w:rsidRPr="00117E2C">
              <w:rPr>
                <w:webHidden/>
              </w:rPr>
              <w:instrText xml:space="preserve"> PAGEREF _Toc181955503 \h </w:instrText>
            </w:r>
            <w:r w:rsidRPr="00117E2C">
              <w:rPr>
                <w:webHidden/>
              </w:rPr>
            </w:r>
            <w:r w:rsidRPr="00117E2C">
              <w:rPr>
                <w:webHidden/>
              </w:rPr>
              <w:fldChar w:fldCharType="separate"/>
            </w:r>
            <w:r w:rsidRPr="00117E2C">
              <w:rPr>
                <w:webHidden/>
              </w:rPr>
              <w:t>4</w:t>
            </w:r>
            <w:r w:rsidRPr="00117E2C">
              <w:rPr>
                <w:webHidden/>
              </w:rPr>
              <w:fldChar w:fldCharType="end"/>
            </w:r>
          </w:hyperlink>
        </w:p>
        <w:p w14:paraId="2249BA32" w14:textId="0D63567C" w:rsidR="00117E2C" w:rsidRPr="00117E2C" w:rsidRDefault="00117E2C" w:rsidP="00117E2C">
          <w:pPr>
            <w:pStyle w:val="TOC2"/>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181955504" w:history="1">
            <w:r w:rsidRPr="00117E2C">
              <w:rPr>
                <w:rStyle w:val="Hyperlink"/>
                <w:noProof/>
                <w:sz w:val="24"/>
                <w:szCs w:val="24"/>
              </w:rPr>
              <w:t>Profitability</w:t>
            </w:r>
            <w:r w:rsidRPr="00117E2C">
              <w:rPr>
                <w:noProof/>
                <w:webHidden/>
                <w:sz w:val="24"/>
                <w:szCs w:val="24"/>
              </w:rPr>
              <w:tab/>
            </w:r>
            <w:r w:rsidRPr="00117E2C">
              <w:rPr>
                <w:noProof/>
                <w:webHidden/>
                <w:sz w:val="24"/>
                <w:szCs w:val="24"/>
              </w:rPr>
              <w:fldChar w:fldCharType="begin"/>
            </w:r>
            <w:r w:rsidRPr="00117E2C">
              <w:rPr>
                <w:noProof/>
                <w:webHidden/>
                <w:sz w:val="24"/>
                <w:szCs w:val="24"/>
              </w:rPr>
              <w:instrText xml:space="preserve"> PAGEREF _Toc181955504 \h </w:instrText>
            </w:r>
            <w:r w:rsidRPr="00117E2C">
              <w:rPr>
                <w:noProof/>
                <w:webHidden/>
                <w:sz w:val="24"/>
                <w:szCs w:val="24"/>
              </w:rPr>
            </w:r>
            <w:r w:rsidRPr="00117E2C">
              <w:rPr>
                <w:noProof/>
                <w:webHidden/>
                <w:sz w:val="24"/>
                <w:szCs w:val="24"/>
              </w:rPr>
              <w:fldChar w:fldCharType="separate"/>
            </w:r>
            <w:r w:rsidRPr="00117E2C">
              <w:rPr>
                <w:noProof/>
                <w:webHidden/>
                <w:sz w:val="24"/>
                <w:szCs w:val="24"/>
              </w:rPr>
              <w:t>4</w:t>
            </w:r>
            <w:r w:rsidRPr="00117E2C">
              <w:rPr>
                <w:noProof/>
                <w:webHidden/>
                <w:sz w:val="24"/>
                <w:szCs w:val="24"/>
              </w:rPr>
              <w:fldChar w:fldCharType="end"/>
            </w:r>
          </w:hyperlink>
        </w:p>
        <w:p w14:paraId="0178DE9E" w14:textId="51C89A1C" w:rsidR="00117E2C" w:rsidRPr="00117E2C" w:rsidRDefault="00117E2C" w:rsidP="00117E2C">
          <w:pPr>
            <w:pStyle w:val="TOC2"/>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181955505" w:history="1">
            <w:r w:rsidRPr="00117E2C">
              <w:rPr>
                <w:rStyle w:val="Hyperlink"/>
                <w:noProof/>
                <w:sz w:val="24"/>
                <w:szCs w:val="24"/>
              </w:rPr>
              <w:t>Liquidity</w:t>
            </w:r>
            <w:r w:rsidRPr="00117E2C">
              <w:rPr>
                <w:noProof/>
                <w:webHidden/>
                <w:sz w:val="24"/>
                <w:szCs w:val="24"/>
              </w:rPr>
              <w:tab/>
            </w:r>
            <w:r w:rsidRPr="00117E2C">
              <w:rPr>
                <w:noProof/>
                <w:webHidden/>
                <w:sz w:val="24"/>
                <w:szCs w:val="24"/>
              </w:rPr>
              <w:fldChar w:fldCharType="begin"/>
            </w:r>
            <w:r w:rsidRPr="00117E2C">
              <w:rPr>
                <w:noProof/>
                <w:webHidden/>
                <w:sz w:val="24"/>
                <w:szCs w:val="24"/>
              </w:rPr>
              <w:instrText xml:space="preserve"> PAGEREF _Toc181955505 \h </w:instrText>
            </w:r>
            <w:r w:rsidRPr="00117E2C">
              <w:rPr>
                <w:noProof/>
                <w:webHidden/>
                <w:sz w:val="24"/>
                <w:szCs w:val="24"/>
              </w:rPr>
            </w:r>
            <w:r w:rsidRPr="00117E2C">
              <w:rPr>
                <w:noProof/>
                <w:webHidden/>
                <w:sz w:val="24"/>
                <w:szCs w:val="24"/>
              </w:rPr>
              <w:fldChar w:fldCharType="separate"/>
            </w:r>
            <w:r w:rsidRPr="00117E2C">
              <w:rPr>
                <w:noProof/>
                <w:webHidden/>
                <w:sz w:val="24"/>
                <w:szCs w:val="24"/>
              </w:rPr>
              <w:t>6</w:t>
            </w:r>
            <w:r w:rsidRPr="00117E2C">
              <w:rPr>
                <w:noProof/>
                <w:webHidden/>
                <w:sz w:val="24"/>
                <w:szCs w:val="24"/>
              </w:rPr>
              <w:fldChar w:fldCharType="end"/>
            </w:r>
          </w:hyperlink>
        </w:p>
        <w:p w14:paraId="15010DB2" w14:textId="5A4B2759" w:rsidR="00117E2C" w:rsidRPr="00117E2C" w:rsidRDefault="00117E2C" w:rsidP="00117E2C">
          <w:pPr>
            <w:pStyle w:val="TOC2"/>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181955506" w:history="1">
            <w:r w:rsidRPr="00117E2C">
              <w:rPr>
                <w:rStyle w:val="Hyperlink"/>
                <w:noProof/>
                <w:sz w:val="24"/>
                <w:szCs w:val="24"/>
              </w:rPr>
              <w:t>Efficiency</w:t>
            </w:r>
            <w:r w:rsidRPr="00117E2C">
              <w:rPr>
                <w:noProof/>
                <w:webHidden/>
                <w:sz w:val="24"/>
                <w:szCs w:val="24"/>
              </w:rPr>
              <w:tab/>
            </w:r>
            <w:r w:rsidRPr="00117E2C">
              <w:rPr>
                <w:noProof/>
                <w:webHidden/>
                <w:sz w:val="24"/>
                <w:szCs w:val="24"/>
              </w:rPr>
              <w:fldChar w:fldCharType="begin"/>
            </w:r>
            <w:r w:rsidRPr="00117E2C">
              <w:rPr>
                <w:noProof/>
                <w:webHidden/>
                <w:sz w:val="24"/>
                <w:szCs w:val="24"/>
              </w:rPr>
              <w:instrText xml:space="preserve"> PAGEREF _Toc181955506 \h </w:instrText>
            </w:r>
            <w:r w:rsidRPr="00117E2C">
              <w:rPr>
                <w:noProof/>
                <w:webHidden/>
                <w:sz w:val="24"/>
                <w:szCs w:val="24"/>
              </w:rPr>
            </w:r>
            <w:r w:rsidRPr="00117E2C">
              <w:rPr>
                <w:noProof/>
                <w:webHidden/>
                <w:sz w:val="24"/>
                <w:szCs w:val="24"/>
              </w:rPr>
              <w:fldChar w:fldCharType="separate"/>
            </w:r>
            <w:r w:rsidRPr="00117E2C">
              <w:rPr>
                <w:noProof/>
                <w:webHidden/>
                <w:sz w:val="24"/>
                <w:szCs w:val="24"/>
              </w:rPr>
              <w:t>7</w:t>
            </w:r>
            <w:r w:rsidRPr="00117E2C">
              <w:rPr>
                <w:noProof/>
                <w:webHidden/>
                <w:sz w:val="24"/>
                <w:szCs w:val="24"/>
              </w:rPr>
              <w:fldChar w:fldCharType="end"/>
            </w:r>
          </w:hyperlink>
        </w:p>
        <w:p w14:paraId="64772547" w14:textId="1124B0F1" w:rsidR="00117E2C" w:rsidRPr="00117E2C" w:rsidRDefault="00117E2C" w:rsidP="00117E2C">
          <w:pPr>
            <w:pStyle w:val="TOC2"/>
            <w:tabs>
              <w:tab w:val="right" w:leader="dot" w:pos="9350"/>
            </w:tabs>
            <w:spacing w:line="360" w:lineRule="auto"/>
            <w:jc w:val="both"/>
            <w:rPr>
              <w:rFonts w:asciiTheme="minorHAnsi" w:eastAsiaTheme="minorEastAsia" w:hAnsiTheme="minorHAnsi" w:cstheme="minorBidi"/>
              <w:noProof/>
              <w:kern w:val="2"/>
              <w:sz w:val="24"/>
              <w:szCs w:val="24"/>
              <w:lang w:val="en-GB"/>
              <w14:ligatures w14:val="standardContextual"/>
            </w:rPr>
          </w:pPr>
          <w:hyperlink w:anchor="_Toc181955507" w:history="1">
            <w:r w:rsidRPr="00117E2C">
              <w:rPr>
                <w:rStyle w:val="Hyperlink"/>
                <w:noProof/>
                <w:sz w:val="24"/>
                <w:szCs w:val="24"/>
              </w:rPr>
              <w:t>Solvency</w:t>
            </w:r>
            <w:r w:rsidRPr="00117E2C">
              <w:rPr>
                <w:noProof/>
                <w:webHidden/>
                <w:sz w:val="24"/>
                <w:szCs w:val="24"/>
              </w:rPr>
              <w:tab/>
            </w:r>
            <w:r w:rsidRPr="00117E2C">
              <w:rPr>
                <w:noProof/>
                <w:webHidden/>
                <w:sz w:val="24"/>
                <w:szCs w:val="24"/>
              </w:rPr>
              <w:fldChar w:fldCharType="begin"/>
            </w:r>
            <w:r w:rsidRPr="00117E2C">
              <w:rPr>
                <w:noProof/>
                <w:webHidden/>
                <w:sz w:val="24"/>
                <w:szCs w:val="24"/>
              </w:rPr>
              <w:instrText xml:space="preserve"> PAGEREF _Toc181955507 \h </w:instrText>
            </w:r>
            <w:r w:rsidRPr="00117E2C">
              <w:rPr>
                <w:noProof/>
                <w:webHidden/>
                <w:sz w:val="24"/>
                <w:szCs w:val="24"/>
              </w:rPr>
            </w:r>
            <w:r w:rsidRPr="00117E2C">
              <w:rPr>
                <w:noProof/>
                <w:webHidden/>
                <w:sz w:val="24"/>
                <w:szCs w:val="24"/>
              </w:rPr>
              <w:fldChar w:fldCharType="separate"/>
            </w:r>
            <w:r w:rsidRPr="00117E2C">
              <w:rPr>
                <w:noProof/>
                <w:webHidden/>
                <w:sz w:val="24"/>
                <w:szCs w:val="24"/>
              </w:rPr>
              <w:t>8</w:t>
            </w:r>
            <w:r w:rsidRPr="00117E2C">
              <w:rPr>
                <w:noProof/>
                <w:webHidden/>
                <w:sz w:val="24"/>
                <w:szCs w:val="24"/>
              </w:rPr>
              <w:fldChar w:fldCharType="end"/>
            </w:r>
          </w:hyperlink>
        </w:p>
        <w:p w14:paraId="49DE024D" w14:textId="641665D1" w:rsidR="00117E2C" w:rsidRPr="00117E2C" w:rsidRDefault="00117E2C" w:rsidP="00117E2C">
          <w:pPr>
            <w:pStyle w:val="TOC1"/>
            <w:rPr>
              <w:rFonts w:asciiTheme="minorHAnsi" w:eastAsiaTheme="minorEastAsia" w:hAnsiTheme="minorHAnsi" w:cstheme="minorBidi"/>
              <w:b w:val="0"/>
              <w:bCs w:val="0"/>
              <w:kern w:val="2"/>
              <w:lang w:val="en-GB"/>
              <w14:ligatures w14:val="standardContextual"/>
            </w:rPr>
          </w:pPr>
          <w:hyperlink w:anchor="_Toc181955508" w:history="1">
            <w:r w:rsidRPr="00117E2C">
              <w:rPr>
                <w:rStyle w:val="Hyperlink"/>
              </w:rPr>
              <w:t>Reasons behind the decline in profitability</w:t>
            </w:r>
            <w:r w:rsidRPr="00117E2C">
              <w:rPr>
                <w:webHidden/>
              </w:rPr>
              <w:tab/>
            </w:r>
            <w:r w:rsidRPr="00117E2C">
              <w:rPr>
                <w:webHidden/>
              </w:rPr>
              <w:fldChar w:fldCharType="begin"/>
            </w:r>
            <w:r w:rsidRPr="00117E2C">
              <w:rPr>
                <w:webHidden/>
              </w:rPr>
              <w:instrText xml:space="preserve"> PAGEREF _Toc181955508 \h </w:instrText>
            </w:r>
            <w:r w:rsidRPr="00117E2C">
              <w:rPr>
                <w:webHidden/>
              </w:rPr>
            </w:r>
            <w:r w:rsidRPr="00117E2C">
              <w:rPr>
                <w:webHidden/>
              </w:rPr>
              <w:fldChar w:fldCharType="separate"/>
            </w:r>
            <w:r w:rsidRPr="00117E2C">
              <w:rPr>
                <w:webHidden/>
              </w:rPr>
              <w:t>9</w:t>
            </w:r>
            <w:r w:rsidRPr="00117E2C">
              <w:rPr>
                <w:webHidden/>
              </w:rPr>
              <w:fldChar w:fldCharType="end"/>
            </w:r>
          </w:hyperlink>
        </w:p>
        <w:p w14:paraId="650B1C89" w14:textId="5F43A6FE" w:rsidR="00117E2C" w:rsidRPr="00117E2C" w:rsidRDefault="00117E2C" w:rsidP="00117E2C">
          <w:pPr>
            <w:pStyle w:val="TOC1"/>
            <w:rPr>
              <w:rFonts w:asciiTheme="minorHAnsi" w:eastAsiaTheme="minorEastAsia" w:hAnsiTheme="minorHAnsi" w:cstheme="minorBidi"/>
              <w:b w:val="0"/>
              <w:bCs w:val="0"/>
              <w:kern w:val="2"/>
              <w:lang w:val="en-GB"/>
              <w14:ligatures w14:val="standardContextual"/>
            </w:rPr>
          </w:pPr>
          <w:hyperlink w:anchor="_Toc181955509" w:history="1">
            <w:r w:rsidRPr="00117E2C">
              <w:rPr>
                <w:rStyle w:val="Hyperlink"/>
              </w:rPr>
              <w:t>A comprehensive turnaround strategy for the City Hotel - Recommendations</w:t>
            </w:r>
            <w:r w:rsidRPr="00117E2C">
              <w:rPr>
                <w:webHidden/>
              </w:rPr>
              <w:tab/>
            </w:r>
            <w:r w:rsidRPr="00117E2C">
              <w:rPr>
                <w:webHidden/>
              </w:rPr>
              <w:fldChar w:fldCharType="begin"/>
            </w:r>
            <w:r w:rsidRPr="00117E2C">
              <w:rPr>
                <w:webHidden/>
              </w:rPr>
              <w:instrText xml:space="preserve"> PAGEREF _Toc181955509 \h </w:instrText>
            </w:r>
            <w:r w:rsidRPr="00117E2C">
              <w:rPr>
                <w:webHidden/>
              </w:rPr>
            </w:r>
            <w:r w:rsidRPr="00117E2C">
              <w:rPr>
                <w:webHidden/>
              </w:rPr>
              <w:fldChar w:fldCharType="separate"/>
            </w:r>
            <w:r w:rsidRPr="00117E2C">
              <w:rPr>
                <w:webHidden/>
              </w:rPr>
              <w:t>10</w:t>
            </w:r>
            <w:r w:rsidRPr="00117E2C">
              <w:rPr>
                <w:webHidden/>
              </w:rPr>
              <w:fldChar w:fldCharType="end"/>
            </w:r>
          </w:hyperlink>
        </w:p>
        <w:p w14:paraId="7652A86E" w14:textId="3F52A8B2" w:rsidR="00117E2C" w:rsidRPr="00117E2C" w:rsidRDefault="00117E2C" w:rsidP="00117E2C">
          <w:pPr>
            <w:pStyle w:val="TOC1"/>
            <w:rPr>
              <w:rFonts w:asciiTheme="minorHAnsi" w:eastAsiaTheme="minorEastAsia" w:hAnsiTheme="minorHAnsi" w:cstheme="minorBidi"/>
              <w:b w:val="0"/>
              <w:bCs w:val="0"/>
              <w:kern w:val="2"/>
              <w:lang w:val="en-GB"/>
              <w14:ligatures w14:val="standardContextual"/>
            </w:rPr>
          </w:pPr>
          <w:hyperlink w:anchor="_Toc181955510" w:history="1">
            <w:r w:rsidRPr="00117E2C">
              <w:rPr>
                <w:rStyle w:val="Hyperlink"/>
              </w:rPr>
              <w:t>Conclusion</w:t>
            </w:r>
            <w:r w:rsidRPr="00117E2C">
              <w:rPr>
                <w:webHidden/>
              </w:rPr>
              <w:tab/>
            </w:r>
            <w:r w:rsidRPr="00117E2C">
              <w:rPr>
                <w:webHidden/>
              </w:rPr>
              <w:fldChar w:fldCharType="begin"/>
            </w:r>
            <w:r w:rsidRPr="00117E2C">
              <w:rPr>
                <w:webHidden/>
              </w:rPr>
              <w:instrText xml:space="preserve"> PAGEREF _Toc181955510 \h </w:instrText>
            </w:r>
            <w:r w:rsidRPr="00117E2C">
              <w:rPr>
                <w:webHidden/>
              </w:rPr>
            </w:r>
            <w:r w:rsidRPr="00117E2C">
              <w:rPr>
                <w:webHidden/>
              </w:rPr>
              <w:fldChar w:fldCharType="separate"/>
            </w:r>
            <w:r w:rsidRPr="00117E2C">
              <w:rPr>
                <w:webHidden/>
              </w:rPr>
              <w:t>11</w:t>
            </w:r>
            <w:r w:rsidRPr="00117E2C">
              <w:rPr>
                <w:webHidden/>
              </w:rPr>
              <w:fldChar w:fldCharType="end"/>
            </w:r>
          </w:hyperlink>
        </w:p>
        <w:p w14:paraId="5C147D0B" w14:textId="2AF6FC57" w:rsidR="00117E2C" w:rsidRPr="00117E2C" w:rsidRDefault="00117E2C" w:rsidP="00117E2C">
          <w:pPr>
            <w:pStyle w:val="TOC1"/>
            <w:rPr>
              <w:rFonts w:asciiTheme="minorHAnsi" w:eastAsiaTheme="minorEastAsia" w:hAnsiTheme="minorHAnsi" w:cstheme="minorBidi"/>
              <w:b w:val="0"/>
              <w:bCs w:val="0"/>
              <w:kern w:val="2"/>
              <w:lang w:val="en-GB"/>
              <w14:ligatures w14:val="standardContextual"/>
            </w:rPr>
          </w:pPr>
          <w:hyperlink w:anchor="_Toc181955511" w:history="1">
            <w:r w:rsidRPr="00117E2C">
              <w:rPr>
                <w:rStyle w:val="Hyperlink"/>
              </w:rPr>
              <w:t>References</w:t>
            </w:r>
            <w:r w:rsidRPr="00117E2C">
              <w:rPr>
                <w:webHidden/>
              </w:rPr>
              <w:tab/>
            </w:r>
            <w:r w:rsidRPr="00117E2C">
              <w:rPr>
                <w:webHidden/>
              </w:rPr>
              <w:fldChar w:fldCharType="begin"/>
            </w:r>
            <w:r w:rsidRPr="00117E2C">
              <w:rPr>
                <w:webHidden/>
              </w:rPr>
              <w:instrText xml:space="preserve"> PAGEREF _Toc181955511 \h </w:instrText>
            </w:r>
            <w:r w:rsidRPr="00117E2C">
              <w:rPr>
                <w:webHidden/>
              </w:rPr>
            </w:r>
            <w:r w:rsidRPr="00117E2C">
              <w:rPr>
                <w:webHidden/>
              </w:rPr>
              <w:fldChar w:fldCharType="separate"/>
            </w:r>
            <w:r w:rsidRPr="00117E2C">
              <w:rPr>
                <w:webHidden/>
              </w:rPr>
              <w:t>12</w:t>
            </w:r>
            <w:r w:rsidRPr="00117E2C">
              <w:rPr>
                <w:webHidden/>
              </w:rPr>
              <w:fldChar w:fldCharType="end"/>
            </w:r>
          </w:hyperlink>
        </w:p>
        <w:p w14:paraId="5D797F38" w14:textId="190DFD38" w:rsidR="001B2EB1" w:rsidRDefault="001B2EB1" w:rsidP="00117E2C">
          <w:pPr>
            <w:spacing w:line="360" w:lineRule="auto"/>
            <w:jc w:val="both"/>
          </w:pPr>
          <w:r w:rsidRPr="00117E2C">
            <w:rPr>
              <w:b/>
              <w:bCs/>
              <w:sz w:val="24"/>
              <w:szCs w:val="24"/>
            </w:rPr>
            <w:fldChar w:fldCharType="end"/>
          </w:r>
        </w:p>
      </w:sdtContent>
    </w:sdt>
    <w:p w14:paraId="217BE407" w14:textId="28096D62" w:rsidR="006A470A" w:rsidRDefault="00000000">
      <w:pPr>
        <w:spacing w:line="360" w:lineRule="auto"/>
        <w:jc w:val="center"/>
        <w:rPr>
          <w:b/>
          <w:sz w:val="32"/>
          <w:szCs w:val="32"/>
        </w:rPr>
      </w:pPr>
      <w:r>
        <w:br w:type="page"/>
      </w:r>
    </w:p>
    <w:p w14:paraId="28E7B391" w14:textId="77777777" w:rsidR="006A470A" w:rsidRDefault="00000000" w:rsidP="001B2EB1">
      <w:pPr>
        <w:pStyle w:val="Heading1"/>
      </w:pPr>
      <w:bookmarkStart w:id="0" w:name="_Toc181955502"/>
      <w:r>
        <w:lastRenderedPageBreak/>
        <w:t>Introduction</w:t>
      </w:r>
      <w:bookmarkEnd w:id="0"/>
      <w:r>
        <w:t xml:space="preserve"> </w:t>
      </w:r>
    </w:p>
    <w:p w14:paraId="5BE08A8B" w14:textId="1AA77211" w:rsidR="006A470A" w:rsidRDefault="00000000">
      <w:pPr>
        <w:spacing w:line="360" w:lineRule="auto"/>
        <w:jc w:val="both"/>
        <w:rPr>
          <w:sz w:val="24"/>
          <w:szCs w:val="24"/>
        </w:rPr>
      </w:pPr>
      <w:r>
        <w:rPr>
          <w:sz w:val="24"/>
          <w:szCs w:val="24"/>
        </w:rPr>
        <w:t xml:space="preserve">This assessment involves a discussion of the City Hotel, </w:t>
      </w:r>
      <w:r w:rsidR="00F3272F">
        <w:rPr>
          <w:sz w:val="24"/>
          <w:szCs w:val="24"/>
        </w:rPr>
        <w:t>a hotel with restaurant with bar and event facilities. The hotel is located in the urban landscape of the UK.</w:t>
      </w:r>
      <w:r>
        <w:rPr>
          <w:sz w:val="24"/>
          <w:szCs w:val="24"/>
        </w:rPr>
        <w:t xml:space="preserve"> </w:t>
      </w:r>
      <w:r w:rsidR="00F3272F">
        <w:rPr>
          <w:sz w:val="24"/>
          <w:szCs w:val="24"/>
        </w:rPr>
        <w:t xml:space="preserve">As the revenue, customer satisfaction, and the rate of occupancy of the company have fallen in the recent years, a discussion is required to evaluate the reasons behind the drop in financial outcomes of the company.  </w:t>
      </w:r>
    </w:p>
    <w:p w14:paraId="502FD5EB" w14:textId="77777777" w:rsidR="006A470A" w:rsidRDefault="00000000">
      <w:pPr>
        <w:spacing w:line="360" w:lineRule="auto"/>
        <w:jc w:val="both"/>
        <w:rPr>
          <w:sz w:val="24"/>
          <w:szCs w:val="24"/>
        </w:rPr>
      </w:pPr>
      <w:r>
        <w:rPr>
          <w:sz w:val="24"/>
          <w:szCs w:val="24"/>
        </w:rPr>
        <w:t xml:space="preserve">In this assessment, the financial statements of the City Hotel for three years 2021, 2022, and 2023 have been used to evaluate the trends in the financial performance and health of the business. Different areas such as profitability, liquidity, efficiency, and solvency of the business will be analysed. Key reasons behind the fall in profitability of the company in the recent financial year such as real-world events, current economic conditions of the country, etc. will be discussed. Based on the assessment, a turnaround strategy for the hotel is to be developed so that the financial health and reputation of the hotel can be restored.  </w:t>
      </w:r>
    </w:p>
    <w:p w14:paraId="562E6B3E" w14:textId="77777777" w:rsidR="006A470A" w:rsidRDefault="00000000" w:rsidP="001B2EB1">
      <w:pPr>
        <w:pStyle w:val="Heading1"/>
      </w:pPr>
      <w:bookmarkStart w:id="1" w:name="_Toc181955503"/>
      <w:r>
        <w:t>Evaluation of the financial performance of the City Hotel</w:t>
      </w:r>
      <w:bookmarkEnd w:id="1"/>
    </w:p>
    <w:p w14:paraId="4DD4FF51" w14:textId="77777777" w:rsidR="006A470A" w:rsidRDefault="00000000" w:rsidP="001B2EB1">
      <w:pPr>
        <w:pStyle w:val="Heading2"/>
      </w:pPr>
      <w:bookmarkStart w:id="2" w:name="_Toc181955504"/>
      <w:r>
        <w:t>Profitability</w:t>
      </w:r>
      <w:bookmarkEnd w:id="2"/>
    </w:p>
    <w:p w14:paraId="7F539F70" w14:textId="77777777" w:rsidR="006A470A" w:rsidRDefault="00000000">
      <w:pPr>
        <w:spacing w:line="360" w:lineRule="auto"/>
        <w:jc w:val="both"/>
        <w:rPr>
          <w:sz w:val="24"/>
          <w:szCs w:val="24"/>
        </w:rPr>
      </w:pPr>
      <w:r>
        <w:rPr>
          <w:b/>
          <w:i/>
          <w:sz w:val="24"/>
          <w:szCs w:val="24"/>
        </w:rPr>
        <w:t>i. Gross profit margin:</w:t>
      </w:r>
    </w:p>
    <w:tbl>
      <w:tblPr>
        <w:tblStyle w:val="a"/>
        <w:tblW w:w="9390" w:type="dxa"/>
        <w:tblBorders>
          <w:top w:val="nil"/>
          <w:left w:val="nil"/>
          <w:bottom w:val="nil"/>
          <w:right w:val="nil"/>
          <w:insideH w:val="nil"/>
          <w:insideV w:val="nil"/>
        </w:tblBorders>
        <w:tblLayout w:type="fixed"/>
        <w:tblLook w:val="0600" w:firstRow="0" w:lastRow="0" w:firstColumn="0" w:lastColumn="0" w:noHBand="1" w:noVBand="1"/>
      </w:tblPr>
      <w:tblGrid>
        <w:gridCol w:w="5430"/>
        <w:gridCol w:w="1305"/>
        <w:gridCol w:w="1320"/>
        <w:gridCol w:w="1335"/>
      </w:tblGrid>
      <w:tr w:rsidR="006A470A" w14:paraId="3585098B" w14:textId="77777777">
        <w:trPr>
          <w:trHeight w:val="345"/>
        </w:trPr>
        <w:tc>
          <w:tcPr>
            <w:tcW w:w="9390"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461883CC" w14:textId="77777777" w:rsidR="006A470A" w:rsidRDefault="00000000">
            <w:pPr>
              <w:widowControl w:val="0"/>
              <w:jc w:val="center"/>
              <w:rPr>
                <w:sz w:val="24"/>
                <w:szCs w:val="24"/>
              </w:rPr>
            </w:pPr>
            <w:r>
              <w:rPr>
                <w:b/>
                <w:sz w:val="24"/>
                <w:szCs w:val="24"/>
              </w:rPr>
              <w:t>Measurement of the Gross profit margin</w:t>
            </w:r>
          </w:p>
        </w:tc>
      </w:tr>
      <w:tr w:rsidR="006A470A" w14:paraId="2EFB23BD" w14:textId="77777777">
        <w:trPr>
          <w:trHeight w:val="345"/>
        </w:trPr>
        <w:tc>
          <w:tcPr>
            <w:tcW w:w="543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BCBEA91" w14:textId="77777777" w:rsidR="006A470A" w:rsidRDefault="00000000">
            <w:pPr>
              <w:widowControl w:val="0"/>
              <w:rPr>
                <w:sz w:val="24"/>
                <w:szCs w:val="24"/>
              </w:rPr>
            </w:pPr>
            <w:r>
              <w:rPr>
                <w:b/>
                <w:sz w:val="24"/>
                <w:szCs w:val="24"/>
              </w:rPr>
              <w:t>Particulars</w:t>
            </w:r>
          </w:p>
        </w:tc>
        <w:tc>
          <w:tcPr>
            <w:tcW w:w="130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F2AB0B" w14:textId="77777777" w:rsidR="006A470A" w:rsidRDefault="00000000">
            <w:pPr>
              <w:widowControl w:val="0"/>
              <w:jc w:val="right"/>
              <w:rPr>
                <w:sz w:val="24"/>
                <w:szCs w:val="24"/>
              </w:rPr>
            </w:pPr>
            <w:r>
              <w:rPr>
                <w:b/>
                <w:sz w:val="24"/>
                <w:szCs w:val="24"/>
              </w:rPr>
              <w:t>2021</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098B431" w14:textId="77777777" w:rsidR="006A470A" w:rsidRDefault="00000000">
            <w:pPr>
              <w:widowControl w:val="0"/>
              <w:jc w:val="right"/>
              <w:rPr>
                <w:sz w:val="24"/>
                <w:szCs w:val="24"/>
              </w:rPr>
            </w:pPr>
            <w:r>
              <w:rPr>
                <w:b/>
                <w:sz w:val="24"/>
                <w:szCs w:val="24"/>
              </w:rPr>
              <w:t>2022</w:t>
            </w:r>
          </w:p>
        </w:tc>
        <w:tc>
          <w:tcPr>
            <w:tcW w:w="133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D45848F" w14:textId="77777777" w:rsidR="006A470A" w:rsidRDefault="00000000">
            <w:pPr>
              <w:widowControl w:val="0"/>
              <w:jc w:val="right"/>
              <w:rPr>
                <w:sz w:val="24"/>
                <w:szCs w:val="24"/>
              </w:rPr>
            </w:pPr>
            <w:r>
              <w:rPr>
                <w:b/>
                <w:sz w:val="24"/>
                <w:szCs w:val="24"/>
              </w:rPr>
              <w:t>2023</w:t>
            </w:r>
          </w:p>
        </w:tc>
      </w:tr>
      <w:tr w:rsidR="006A470A" w14:paraId="00EFA1EB" w14:textId="77777777">
        <w:trPr>
          <w:trHeight w:val="510"/>
        </w:trPr>
        <w:tc>
          <w:tcPr>
            <w:tcW w:w="543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396CF91" w14:textId="77777777" w:rsidR="006A470A" w:rsidRDefault="00000000">
            <w:pPr>
              <w:widowControl w:val="0"/>
              <w:rPr>
                <w:sz w:val="24"/>
                <w:szCs w:val="24"/>
              </w:rPr>
            </w:pPr>
            <w:r>
              <w:rPr>
                <w:sz w:val="24"/>
                <w:szCs w:val="24"/>
              </w:rPr>
              <w:t>Cost of goods sold</w:t>
            </w:r>
          </w:p>
        </w:tc>
        <w:tc>
          <w:tcPr>
            <w:tcW w:w="130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BA5D992" w14:textId="77777777" w:rsidR="006A470A" w:rsidRDefault="00000000">
            <w:pPr>
              <w:widowControl w:val="0"/>
              <w:jc w:val="right"/>
              <w:rPr>
                <w:sz w:val="24"/>
                <w:szCs w:val="24"/>
              </w:rPr>
            </w:pPr>
            <w:r>
              <w:rPr>
                <w:sz w:val="24"/>
                <w:szCs w:val="24"/>
              </w:rPr>
              <w:t>£411,600</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498A576" w14:textId="77777777" w:rsidR="006A470A" w:rsidRDefault="00000000">
            <w:pPr>
              <w:widowControl w:val="0"/>
              <w:jc w:val="right"/>
              <w:rPr>
                <w:sz w:val="24"/>
                <w:szCs w:val="24"/>
              </w:rPr>
            </w:pPr>
            <w:r>
              <w:rPr>
                <w:sz w:val="24"/>
                <w:szCs w:val="24"/>
              </w:rPr>
              <w:t>£401,510</w:t>
            </w:r>
          </w:p>
        </w:tc>
        <w:tc>
          <w:tcPr>
            <w:tcW w:w="133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F10573E" w14:textId="77777777" w:rsidR="006A470A" w:rsidRDefault="00000000">
            <w:pPr>
              <w:widowControl w:val="0"/>
              <w:jc w:val="right"/>
              <w:rPr>
                <w:sz w:val="24"/>
                <w:szCs w:val="24"/>
              </w:rPr>
            </w:pPr>
            <w:r>
              <w:rPr>
                <w:sz w:val="24"/>
                <w:szCs w:val="24"/>
              </w:rPr>
              <w:t>£176,250</w:t>
            </w:r>
          </w:p>
        </w:tc>
      </w:tr>
      <w:tr w:rsidR="006A470A" w14:paraId="6D66B16D" w14:textId="77777777">
        <w:trPr>
          <w:trHeight w:val="510"/>
        </w:trPr>
        <w:tc>
          <w:tcPr>
            <w:tcW w:w="543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4237749" w14:textId="77777777" w:rsidR="006A470A" w:rsidRDefault="00000000">
            <w:pPr>
              <w:widowControl w:val="0"/>
              <w:rPr>
                <w:sz w:val="24"/>
                <w:szCs w:val="24"/>
              </w:rPr>
            </w:pPr>
            <w:r>
              <w:rPr>
                <w:sz w:val="24"/>
                <w:szCs w:val="24"/>
              </w:rPr>
              <w:t>Revenue</w:t>
            </w:r>
          </w:p>
        </w:tc>
        <w:tc>
          <w:tcPr>
            <w:tcW w:w="130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FA3E6DD" w14:textId="77777777" w:rsidR="006A470A" w:rsidRDefault="00000000">
            <w:pPr>
              <w:widowControl w:val="0"/>
              <w:jc w:val="right"/>
              <w:rPr>
                <w:sz w:val="24"/>
                <w:szCs w:val="24"/>
              </w:rPr>
            </w:pPr>
            <w:r>
              <w:rPr>
                <w:sz w:val="24"/>
                <w:szCs w:val="24"/>
              </w:rPr>
              <w:t>£5,248,290</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DC8C3A" w14:textId="77777777" w:rsidR="006A470A" w:rsidRDefault="00000000">
            <w:pPr>
              <w:widowControl w:val="0"/>
              <w:jc w:val="right"/>
              <w:rPr>
                <w:sz w:val="24"/>
                <w:szCs w:val="24"/>
              </w:rPr>
            </w:pPr>
            <w:r>
              <w:rPr>
                <w:sz w:val="24"/>
                <w:szCs w:val="24"/>
              </w:rPr>
              <w:t>£5,307,480</w:t>
            </w:r>
          </w:p>
        </w:tc>
        <w:tc>
          <w:tcPr>
            <w:tcW w:w="133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0FC62CB" w14:textId="77777777" w:rsidR="006A470A" w:rsidRDefault="00000000">
            <w:pPr>
              <w:widowControl w:val="0"/>
              <w:jc w:val="right"/>
              <w:rPr>
                <w:sz w:val="24"/>
                <w:szCs w:val="24"/>
              </w:rPr>
            </w:pPr>
            <w:r>
              <w:rPr>
                <w:sz w:val="24"/>
                <w:szCs w:val="24"/>
              </w:rPr>
              <w:t>£2,325,440</w:t>
            </w:r>
          </w:p>
        </w:tc>
      </w:tr>
      <w:tr w:rsidR="006A470A" w14:paraId="05965BBC" w14:textId="77777777">
        <w:trPr>
          <w:trHeight w:val="540"/>
        </w:trPr>
        <w:tc>
          <w:tcPr>
            <w:tcW w:w="543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7B19ED5" w14:textId="77777777" w:rsidR="006A470A" w:rsidRDefault="00000000">
            <w:pPr>
              <w:widowControl w:val="0"/>
              <w:rPr>
                <w:sz w:val="24"/>
                <w:szCs w:val="24"/>
              </w:rPr>
            </w:pPr>
            <w:r>
              <w:rPr>
                <w:sz w:val="24"/>
                <w:szCs w:val="24"/>
              </w:rPr>
              <w:t xml:space="preserve">Gross profit margin = </w:t>
            </w:r>
            <m:oMath>
              <m:f>
                <m:fPr>
                  <m:ctrlPr>
                    <w:rPr>
                      <w:rFonts w:ascii="Cambria Math" w:hAnsi="Cambria Math"/>
                      <w:sz w:val="24"/>
                      <w:szCs w:val="24"/>
                    </w:rPr>
                  </m:ctrlPr>
                </m:fPr>
                <m:num>
                  <m:r>
                    <w:rPr>
                      <w:rFonts w:ascii="Cambria Math" w:hAnsi="Cambria Math"/>
                      <w:sz w:val="24"/>
                      <w:szCs w:val="24"/>
                    </w:rPr>
                    <m:t>Revenue - Cost of goods sold</m:t>
                  </m:r>
                </m:num>
                <m:den>
                  <m:r>
                    <w:rPr>
                      <w:rFonts w:ascii="Cambria Math" w:hAnsi="Cambria Math"/>
                      <w:sz w:val="24"/>
                      <w:szCs w:val="24"/>
                    </w:rPr>
                    <m:t>Revenue</m:t>
                  </m:r>
                </m:den>
              </m:f>
            </m:oMath>
            <w:r>
              <w:rPr>
                <w:sz w:val="24"/>
                <w:szCs w:val="24"/>
              </w:rPr>
              <w:t>*100</w:t>
            </w:r>
          </w:p>
        </w:tc>
        <w:tc>
          <w:tcPr>
            <w:tcW w:w="130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427168A" w14:textId="77777777" w:rsidR="006A470A" w:rsidRDefault="00000000">
            <w:pPr>
              <w:widowControl w:val="0"/>
              <w:jc w:val="right"/>
              <w:rPr>
                <w:sz w:val="24"/>
                <w:szCs w:val="24"/>
              </w:rPr>
            </w:pPr>
            <w:r>
              <w:rPr>
                <w:sz w:val="24"/>
                <w:szCs w:val="24"/>
              </w:rPr>
              <w:t>92.16%</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A9878B6" w14:textId="77777777" w:rsidR="006A470A" w:rsidRDefault="00000000">
            <w:pPr>
              <w:widowControl w:val="0"/>
              <w:jc w:val="right"/>
              <w:rPr>
                <w:sz w:val="24"/>
                <w:szCs w:val="24"/>
              </w:rPr>
            </w:pPr>
            <w:r>
              <w:rPr>
                <w:sz w:val="24"/>
                <w:szCs w:val="24"/>
              </w:rPr>
              <w:t>92.44%</w:t>
            </w:r>
          </w:p>
        </w:tc>
        <w:tc>
          <w:tcPr>
            <w:tcW w:w="133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65BAA06" w14:textId="77777777" w:rsidR="006A470A" w:rsidRDefault="00000000">
            <w:pPr>
              <w:widowControl w:val="0"/>
              <w:jc w:val="right"/>
              <w:rPr>
                <w:sz w:val="24"/>
                <w:szCs w:val="24"/>
              </w:rPr>
            </w:pPr>
            <w:r>
              <w:rPr>
                <w:sz w:val="24"/>
                <w:szCs w:val="24"/>
              </w:rPr>
              <w:t>92.42%</w:t>
            </w:r>
          </w:p>
        </w:tc>
      </w:tr>
    </w:tbl>
    <w:p w14:paraId="7449ED92" w14:textId="77777777" w:rsidR="006A470A" w:rsidRDefault="006A470A">
      <w:pPr>
        <w:spacing w:line="360" w:lineRule="auto"/>
        <w:jc w:val="both"/>
        <w:rPr>
          <w:sz w:val="24"/>
          <w:szCs w:val="24"/>
        </w:rPr>
      </w:pPr>
    </w:p>
    <w:p w14:paraId="532BF5AB" w14:textId="77777777" w:rsidR="006A470A" w:rsidRDefault="00000000">
      <w:pPr>
        <w:spacing w:line="360" w:lineRule="auto"/>
        <w:jc w:val="both"/>
        <w:rPr>
          <w:sz w:val="24"/>
          <w:szCs w:val="24"/>
        </w:rPr>
      </w:pPr>
      <w:r>
        <w:rPr>
          <w:sz w:val="24"/>
          <w:szCs w:val="24"/>
        </w:rPr>
        <w:t>This accounting ratio is applied to interpret the profitability of a company from sales against revenue (</w:t>
      </w:r>
      <w:r>
        <w:rPr>
          <w:sz w:val="24"/>
          <w:szCs w:val="24"/>
          <w:highlight w:val="white"/>
        </w:rPr>
        <w:t>McLaney and Atrill, 2016, pp. 245)</w:t>
      </w:r>
      <w:r>
        <w:rPr>
          <w:sz w:val="24"/>
          <w:szCs w:val="24"/>
        </w:rPr>
        <w:t xml:space="preserve">. Here, the gross profit margin of the </w:t>
      </w:r>
      <w:r>
        <w:rPr>
          <w:sz w:val="24"/>
          <w:szCs w:val="24"/>
        </w:rPr>
        <w:lastRenderedPageBreak/>
        <w:t xml:space="preserve">City Hotel has been similar in all these three years. However, sales revenue and gross income both have declined significantly in 2023 as compared to 2021 and 2022. Hence, despite maintaining the profit margin, it can be claimed that the profitability of this hotel from sales has declined because of an adverse financial performance.  </w:t>
      </w:r>
    </w:p>
    <w:p w14:paraId="587C963C" w14:textId="77777777" w:rsidR="006A470A" w:rsidRDefault="00000000">
      <w:pPr>
        <w:spacing w:line="360" w:lineRule="auto"/>
        <w:jc w:val="both"/>
        <w:rPr>
          <w:sz w:val="24"/>
          <w:szCs w:val="24"/>
        </w:rPr>
      </w:pPr>
      <w:r>
        <w:rPr>
          <w:b/>
          <w:i/>
          <w:sz w:val="24"/>
          <w:szCs w:val="24"/>
        </w:rPr>
        <w:t>ii. Operating profit margin:</w:t>
      </w:r>
    </w:p>
    <w:tbl>
      <w:tblPr>
        <w:tblStyle w:val="a0"/>
        <w:tblW w:w="9405" w:type="dxa"/>
        <w:tblBorders>
          <w:top w:val="nil"/>
          <w:left w:val="nil"/>
          <w:bottom w:val="nil"/>
          <w:right w:val="nil"/>
          <w:insideH w:val="nil"/>
          <w:insideV w:val="nil"/>
        </w:tblBorders>
        <w:tblLayout w:type="fixed"/>
        <w:tblLook w:val="0600" w:firstRow="0" w:lastRow="0" w:firstColumn="0" w:lastColumn="0" w:noHBand="1" w:noVBand="1"/>
      </w:tblPr>
      <w:tblGrid>
        <w:gridCol w:w="4815"/>
        <w:gridCol w:w="1530"/>
        <w:gridCol w:w="1545"/>
        <w:gridCol w:w="1515"/>
      </w:tblGrid>
      <w:tr w:rsidR="006A470A" w14:paraId="0E01463A" w14:textId="77777777">
        <w:trPr>
          <w:trHeight w:val="345"/>
        </w:trPr>
        <w:tc>
          <w:tcPr>
            <w:tcW w:w="9405"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E9C51F7" w14:textId="77777777" w:rsidR="006A470A" w:rsidRDefault="00000000">
            <w:pPr>
              <w:widowControl w:val="0"/>
              <w:jc w:val="center"/>
              <w:rPr>
                <w:sz w:val="20"/>
                <w:szCs w:val="20"/>
              </w:rPr>
            </w:pPr>
            <w:r>
              <w:rPr>
                <w:b/>
                <w:sz w:val="24"/>
                <w:szCs w:val="24"/>
              </w:rPr>
              <w:t>Measurement of the Operating profit margin</w:t>
            </w:r>
          </w:p>
        </w:tc>
      </w:tr>
      <w:tr w:rsidR="006A470A" w14:paraId="21620D99" w14:textId="77777777">
        <w:trPr>
          <w:trHeight w:val="345"/>
        </w:trPr>
        <w:tc>
          <w:tcPr>
            <w:tcW w:w="481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61EFDC36" w14:textId="77777777" w:rsidR="006A470A" w:rsidRDefault="00000000">
            <w:pPr>
              <w:widowControl w:val="0"/>
              <w:rPr>
                <w:sz w:val="20"/>
                <w:szCs w:val="20"/>
              </w:rPr>
            </w:pPr>
            <w:r>
              <w:rPr>
                <w:b/>
                <w:sz w:val="24"/>
                <w:szCs w:val="24"/>
              </w:rPr>
              <w:t>Particulars</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9DFE5D9" w14:textId="77777777" w:rsidR="006A470A" w:rsidRDefault="00000000">
            <w:pPr>
              <w:widowControl w:val="0"/>
              <w:jc w:val="right"/>
              <w:rPr>
                <w:sz w:val="20"/>
                <w:szCs w:val="20"/>
              </w:rPr>
            </w:pPr>
            <w:r>
              <w:rPr>
                <w:b/>
                <w:sz w:val="24"/>
                <w:szCs w:val="24"/>
              </w:rPr>
              <w:t>2021</w:t>
            </w:r>
          </w:p>
        </w:tc>
        <w:tc>
          <w:tcPr>
            <w:tcW w:w="154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D8194B1" w14:textId="77777777" w:rsidR="006A470A" w:rsidRDefault="00000000">
            <w:pPr>
              <w:widowControl w:val="0"/>
              <w:jc w:val="right"/>
              <w:rPr>
                <w:sz w:val="20"/>
                <w:szCs w:val="20"/>
              </w:rPr>
            </w:pPr>
            <w:r>
              <w:rPr>
                <w:b/>
                <w:sz w:val="24"/>
                <w:szCs w:val="24"/>
              </w:rPr>
              <w:t>2022</w:t>
            </w:r>
          </w:p>
        </w:tc>
        <w:tc>
          <w:tcPr>
            <w:tcW w:w="151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F32227D" w14:textId="77777777" w:rsidR="006A470A" w:rsidRDefault="00000000">
            <w:pPr>
              <w:widowControl w:val="0"/>
              <w:jc w:val="right"/>
              <w:rPr>
                <w:sz w:val="20"/>
                <w:szCs w:val="20"/>
              </w:rPr>
            </w:pPr>
            <w:r>
              <w:rPr>
                <w:b/>
                <w:sz w:val="24"/>
                <w:szCs w:val="24"/>
              </w:rPr>
              <w:t>2023</w:t>
            </w:r>
          </w:p>
        </w:tc>
      </w:tr>
      <w:tr w:rsidR="006A470A" w14:paraId="18014C5E" w14:textId="77777777">
        <w:trPr>
          <w:trHeight w:val="525"/>
        </w:trPr>
        <w:tc>
          <w:tcPr>
            <w:tcW w:w="481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9B0678B" w14:textId="77777777" w:rsidR="006A470A" w:rsidRDefault="00000000">
            <w:pPr>
              <w:widowControl w:val="0"/>
              <w:rPr>
                <w:sz w:val="20"/>
                <w:szCs w:val="20"/>
              </w:rPr>
            </w:pPr>
            <w:r>
              <w:rPr>
                <w:sz w:val="24"/>
                <w:szCs w:val="24"/>
              </w:rPr>
              <w:t>Operating income</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F812BD8" w14:textId="77777777" w:rsidR="006A470A" w:rsidRDefault="00000000">
            <w:pPr>
              <w:widowControl w:val="0"/>
              <w:jc w:val="right"/>
              <w:rPr>
                <w:sz w:val="20"/>
                <w:szCs w:val="20"/>
              </w:rPr>
            </w:pPr>
            <w:r>
              <w:rPr>
                <w:sz w:val="24"/>
                <w:szCs w:val="24"/>
              </w:rPr>
              <w:t>£664,160</w:t>
            </w:r>
          </w:p>
        </w:tc>
        <w:tc>
          <w:tcPr>
            <w:tcW w:w="154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97BC9F8" w14:textId="77777777" w:rsidR="006A470A" w:rsidRDefault="00000000">
            <w:pPr>
              <w:widowControl w:val="0"/>
              <w:jc w:val="right"/>
              <w:rPr>
                <w:sz w:val="20"/>
                <w:szCs w:val="20"/>
              </w:rPr>
            </w:pPr>
            <w:r>
              <w:rPr>
                <w:sz w:val="24"/>
                <w:szCs w:val="24"/>
              </w:rPr>
              <w:t>£674,730</w:t>
            </w:r>
          </w:p>
        </w:tc>
        <w:tc>
          <w:tcPr>
            <w:tcW w:w="151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001A64" w14:textId="77777777" w:rsidR="006A470A" w:rsidRDefault="00000000">
            <w:pPr>
              <w:widowControl w:val="0"/>
              <w:jc w:val="right"/>
              <w:rPr>
                <w:sz w:val="20"/>
                <w:szCs w:val="20"/>
              </w:rPr>
            </w:pPr>
            <w:r>
              <w:rPr>
                <w:sz w:val="24"/>
                <w:szCs w:val="24"/>
              </w:rPr>
              <w:t>-£1,218,850</w:t>
            </w:r>
          </w:p>
        </w:tc>
      </w:tr>
      <w:tr w:rsidR="006A470A" w14:paraId="5623FB93" w14:textId="77777777">
        <w:trPr>
          <w:trHeight w:val="497"/>
        </w:trPr>
        <w:tc>
          <w:tcPr>
            <w:tcW w:w="481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4DB640E" w14:textId="77777777" w:rsidR="006A470A" w:rsidRDefault="00000000">
            <w:pPr>
              <w:widowControl w:val="0"/>
              <w:rPr>
                <w:sz w:val="20"/>
                <w:szCs w:val="20"/>
              </w:rPr>
            </w:pPr>
            <w:r>
              <w:rPr>
                <w:sz w:val="24"/>
                <w:szCs w:val="24"/>
              </w:rPr>
              <w:t>Revenue</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F9A1F83" w14:textId="77777777" w:rsidR="006A470A" w:rsidRDefault="00000000">
            <w:pPr>
              <w:widowControl w:val="0"/>
              <w:jc w:val="right"/>
              <w:rPr>
                <w:sz w:val="20"/>
                <w:szCs w:val="20"/>
              </w:rPr>
            </w:pPr>
            <w:r>
              <w:rPr>
                <w:sz w:val="24"/>
                <w:szCs w:val="24"/>
              </w:rPr>
              <w:t>£5,248,290</w:t>
            </w:r>
          </w:p>
        </w:tc>
        <w:tc>
          <w:tcPr>
            <w:tcW w:w="154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6B7C7CC" w14:textId="77777777" w:rsidR="006A470A" w:rsidRDefault="00000000">
            <w:pPr>
              <w:widowControl w:val="0"/>
              <w:jc w:val="right"/>
              <w:rPr>
                <w:sz w:val="20"/>
                <w:szCs w:val="20"/>
              </w:rPr>
            </w:pPr>
            <w:r>
              <w:rPr>
                <w:sz w:val="24"/>
                <w:szCs w:val="24"/>
              </w:rPr>
              <w:t>£5,307,480</w:t>
            </w:r>
          </w:p>
        </w:tc>
        <w:tc>
          <w:tcPr>
            <w:tcW w:w="151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378A377" w14:textId="77777777" w:rsidR="006A470A" w:rsidRDefault="00000000">
            <w:pPr>
              <w:widowControl w:val="0"/>
              <w:jc w:val="right"/>
              <w:rPr>
                <w:sz w:val="20"/>
                <w:szCs w:val="20"/>
              </w:rPr>
            </w:pPr>
            <w:r>
              <w:rPr>
                <w:sz w:val="24"/>
                <w:szCs w:val="24"/>
              </w:rPr>
              <w:t>£2,325,440</w:t>
            </w:r>
          </w:p>
        </w:tc>
      </w:tr>
      <w:tr w:rsidR="006A470A" w14:paraId="166E2DD2" w14:textId="77777777">
        <w:trPr>
          <w:trHeight w:val="630"/>
        </w:trPr>
        <w:tc>
          <w:tcPr>
            <w:tcW w:w="481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D770D18" w14:textId="77777777" w:rsidR="006A470A" w:rsidRDefault="00000000">
            <w:pPr>
              <w:widowControl w:val="0"/>
              <w:rPr>
                <w:sz w:val="20"/>
                <w:szCs w:val="20"/>
              </w:rPr>
            </w:pPr>
            <w:r>
              <w:rPr>
                <w:sz w:val="24"/>
                <w:szCs w:val="24"/>
              </w:rPr>
              <w:t xml:space="preserve">Operating profit margin = </w:t>
            </w:r>
            <m:oMath>
              <m:f>
                <m:fPr>
                  <m:ctrlPr>
                    <w:rPr>
                      <w:rFonts w:ascii="Cambria Math" w:hAnsi="Cambria Math"/>
                      <w:sz w:val="24"/>
                      <w:szCs w:val="24"/>
                    </w:rPr>
                  </m:ctrlPr>
                </m:fPr>
                <m:num>
                  <m:r>
                    <w:rPr>
                      <w:rFonts w:ascii="Cambria Math" w:hAnsi="Cambria Math"/>
                      <w:sz w:val="24"/>
                      <w:szCs w:val="24"/>
                    </w:rPr>
                    <m:t>Operating profit</m:t>
                  </m:r>
                </m:num>
                <m:den>
                  <m:r>
                    <w:rPr>
                      <w:rFonts w:ascii="Cambria Math" w:hAnsi="Cambria Math"/>
                      <w:sz w:val="24"/>
                      <w:szCs w:val="24"/>
                    </w:rPr>
                    <m:t>Revenue</m:t>
                  </m:r>
                </m:den>
              </m:f>
            </m:oMath>
            <w:r>
              <w:rPr>
                <w:sz w:val="24"/>
                <w:szCs w:val="24"/>
              </w:rPr>
              <w:t>*100</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B3E31A1" w14:textId="77777777" w:rsidR="006A470A" w:rsidRDefault="00000000">
            <w:pPr>
              <w:widowControl w:val="0"/>
              <w:jc w:val="right"/>
              <w:rPr>
                <w:sz w:val="20"/>
                <w:szCs w:val="20"/>
              </w:rPr>
            </w:pPr>
            <w:r>
              <w:rPr>
                <w:sz w:val="24"/>
                <w:szCs w:val="24"/>
              </w:rPr>
              <w:t>12.65%</w:t>
            </w:r>
          </w:p>
        </w:tc>
        <w:tc>
          <w:tcPr>
            <w:tcW w:w="154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C02B425" w14:textId="77777777" w:rsidR="006A470A" w:rsidRDefault="00000000">
            <w:pPr>
              <w:widowControl w:val="0"/>
              <w:jc w:val="right"/>
              <w:rPr>
                <w:sz w:val="20"/>
                <w:szCs w:val="20"/>
              </w:rPr>
            </w:pPr>
            <w:r>
              <w:rPr>
                <w:sz w:val="24"/>
                <w:szCs w:val="24"/>
              </w:rPr>
              <w:t>12.71%</w:t>
            </w:r>
          </w:p>
        </w:tc>
        <w:tc>
          <w:tcPr>
            <w:tcW w:w="151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EC5D44B" w14:textId="77777777" w:rsidR="006A470A" w:rsidRDefault="00000000">
            <w:pPr>
              <w:widowControl w:val="0"/>
              <w:jc w:val="right"/>
              <w:rPr>
                <w:sz w:val="20"/>
                <w:szCs w:val="20"/>
              </w:rPr>
            </w:pPr>
            <w:r>
              <w:rPr>
                <w:sz w:val="24"/>
                <w:szCs w:val="24"/>
              </w:rPr>
              <w:t>-52.41%</w:t>
            </w:r>
          </w:p>
        </w:tc>
      </w:tr>
    </w:tbl>
    <w:p w14:paraId="1BE08C56" w14:textId="77777777" w:rsidR="006A470A" w:rsidRDefault="006A470A">
      <w:pPr>
        <w:spacing w:line="360" w:lineRule="auto"/>
        <w:jc w:val="both"/>
        <w:rPr>
          <w:sz w:val="24"/>
          <w:szCs w:val="24"/>
        </w:rPr>
      </w:pPr>
    </w:p>
    <w:p w14:paraId="107477D1" w14:textId="77777777" w:rsidR="006A470A" w:rsidRDefault="00000000">
      <w:pPr>
        <w:spacing w:line="360" w:lineRule="auto"/>
        <w:jc w:val="both"/>
        <w:rPr>
          <w:sz w:val="24"/>
          <w:szCs w:val="24"/>
        </w:rPr>
      </w:pPr>
      <w:r>
        <w:rPr>
          <w:sz w:val="24"/>
          <w:szCs w:val="24"/>
        </w:rPr>
        <w:t>This ratio shows the fraction of revenue turnover as operating income for a corporate entity for the reported fiscal year (</w:t>
      </w:r>
      <w:r>
        <w:rPr>
          <w:sz w:val="24"/>
          <w:szCs w:val="24"/>
          <w:highlight w:val="white"/>
        </w:rPr>
        <w:t>McLaney and Atrill, 2016, pp. 244)</w:t>
      </w:r>
      <w:r>
        <w:rPr>
          <w:sz w:val="24"/>
          <w:szCs w:val="24"/>
        </w:rPr>
        <w:t xml:space="preserve">. Here, for the City Hotel, the operating margins in 2021 and 2022 have been very similar. However, in 2023, the operating margin went negative which is an outcome of the negative operating income. In 2023, City Hotel’s revenue dropped and operating income went negative as the operating expenses might have exceeded the hotel’s revenue. </w:t>
      </w:r>
    </w:p>
    <w:p w14:paraId="5F2545B8" w14:textId="77777777" w:rsidR="006A470A" w:rsidRDefault="00000000">
      <w:pPr>
        <w:spacing w:line="360" w:lineRule="auto"/>
        <w:jc w:val="both"/>
        <w:rPr>
          <w:sz w:val="24"/>
          <w:szCs w:val="24"/>
        </w:rPr>
      </w:pPr>
      <w:r>
        <w:rPr>
          <w:b/>
          <w:i/>
          <w:sz w:val="24"/>
          <w:szCs w:val="24"/>
        </w:rPr>
        <w:t>iii. Return on Capital Employed (ROCE):</w:t>
      </w:r>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4890"/>
        <w:gridCol w:w="1530"/>
        <w:gridCol w:w="1485"/>
        <w:gridCol w:w="1455"/>
      </w:tblGrid>
      <w:tr w:rsidR="006A470A" w14:paraId="300086FC" w14:textId="77777777">
        <w:trPr>
          <w:trHeight w:val="345"/>
        </w:trPr>
        <w:tc>
          <w:tcPr>
            <w:tcW w:w="9360"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3F097E9" w14:textId="77777777" w:rsidR="006A470A" w:rsidRDefault="00000000">
            <w:pPr>
              <w:widowControl w:val="0"/>
              <w:jc w:val="center"/>
              <w:rPr>
                <w:sz w:val="20"/>
                <w:szCs w:val="20"/>
              </w:rPr>
            </w:pPr>
            <w:r>
              <w:rPr>
                <w:b/>
                <w:sz w:val="24"/>
                <w:szCs w:val="24"/>
              </w:rPr>
              <w:t>Measurement of the Return on Capital Employed (ROCE)</w:t>
            </w:r>
          </w:p>
        </w:tc>
      </w:tr>
      <w:tr w:rsidR="006A470A" w14:paraId="2AB73466" w14:textId="77777777">
        <w:trPr>
          <w:trHeight w:val="345"/>
        </w:trPr>
        <w:tc>
          <w:tcPr>
            <w:tcW w:w="489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F473403" w14:textId="77777777" w:rsidR="006A470A" w:rsidRDefault="00000000">
            <w:pPr>
              <w:widowControl w:val="0"/>
              <w:rPr>
                <w:sz w:val="20"/>
                <w:szCs w:val="20"/>
              </w:rPr>
            </w:pPr>
            <w:r>
              <w:rPr>
                <w:b/>
                <w:sz w:val="24"/>
                <w:szCs w:val="24"/>
              </w:rPr>
              <w:t>Particulars</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9A30EFD" w14:textId="77777777" w:rsidR="006A470A" w:rsidRDefault="00000000">
            <w:pPr>
              <w:widowControl w:val="0"/>
              <w:jc w:val="right"/>
              <w:rPr>
                <w:sz w:val="20"/>
                <w:szCs w:val="20"/>
              </w:rPr>
            </w:pPr>
            <w:r>
              <w:rPr>
                <w:b/>
                <w:sz w:val="24"/>
                <w:szCs w:val="24"/>
              </w:rPr>
              <w:t>2021</w:t>
            </w:r>
          </w:p>
        </w:tc>
        <w:tc>
          <w:tcPr>
            <w:tcW w:w="14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F82C6B7" w14:textId="77777777" w:rsidR="006A470A" w:rsidRDefault="00000000">
            <w:pPr>
              <w:widowControl w:val="0"/>
              <w:jc w:val="right"/>
              <w:rPr>
                <w:sz w:val="20"/>
                <w:szCs w:val="20"/>
              </w:rPr>
            </w:pPr>
            <w:r>
              <w:rPr>
                <w:b/>
                <w:sz w:val="24"/>
                <w:szCs w:val="24"/>
              </w:rPr>
              <w:t>2022</w:t>
            </w:r>
          </w:p>
        </w:tc>
        <w:tc>
          <w:tcPr>
            <w:tcW w:w="145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70E4D45" w14:textId="77777777" w:rsidR="006A470A" w:rsidRDefault="00000000">
            <w:pPr>
              <w:widowControl w:val="0"/>
              <w:jc w:val="right"/>
              <w:rPr>
                <w:sz w:val="20"/>
                <w:szCs w:val="20"/>
              </w:rPr>
            </w:pPr>
            <w:r>
              <w:rPr>
                <w:b/>
                <w:sz w:val="24"/>
                <w:szCs w:val="24"/>
              </w:rPr>
              <w:t>2023</w:t>
            </w:r>
          </w:p>
        </w:tc>
      </w:tr>
      <w:tr w:rsidR="006A470A" w14:paraId="6750B7C3" w14:textId="77777777">
        <w:trPr>
          <w:trHeight w:val="525"/>
        </w:trPr>
        <w:tc>
          <w:tcPr>
            <w:tcW w:w="489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161E8D9" w14:textId="77777777" w:rsidR="006A470A" w:rsidRDefault="00000000">
            <w:pPr>
              <w:widowControl w:val="0"/>
              <w:rPr>
                <w:sz w:val="20"/>
                <w:szCs w:val="20"/>
              </w:rPr>
            </w:pPr>
            <w:r>
              <w:rPr>
                <w:sz w:val="24"/>
                <w:szCs w:val="24"/>
              </w:rPr>
              <w:t>Operating income</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42EA4B9" w14:textId="77777777" w:rsidR="006A470A" w:rsidRDefault="00000000">
            <w:pPr>
              <w:widowControl w:val="0"/>
              <w:jc w:val="right"/>
              <w:rPr>
                <w:sz w:val="20"/>
                <w:szCs w:val="20"/>
              </w:rPr>
            </w:pPr>
            <w:r>
              <w:rPr>
                <w:sz w:val="24"/>
                <w:szCs w:val="24"/>
              </w:rPr>
              <w:t>£664,160</w:t>
            </w:r>
          </w:p>
        </w:tc>
        <w:tc>
          <w:tcPr>
            <w:tcW w:w="14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C722984" w14:textId="77777777" w:rsidR="006A470A" w:rsidRDefault="00000000">
            <w:pPr>
              <w:widowControl w:val="0"/>
              <w:jc w:val="right"/>
              <w:rPr>
                <w:sz w:val="20"/>
                <w:szCs w:val="20"/>
              </w:rPr>
            </w:pPr>
            <w:r>
              <w:rPr>
                <w:sz w:val="24"/>
                <w:szCs w:val="24"/>
              </w:rPr>
              <w:t>£674,730</w:t>
            </w:r>
          </w:p>
        </w:tc>
        <w:tc>
          <w:tcPr>
            <w:tcW w:w="145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AFA4C3" w14:textId="77777777" w:rsidR="006A470A" w:rsidRDefault="00000000">
            <w:pPr>
              <w:widowControl w:val="0"/>
              <w:jc w:val="right"/>
              <w:rPr>
                <w:sz w:val="20"/>
                <w:szCs w:val="20"/>
              </w:rPr>
            </w:pPr>
            <w:r>
              <w:rPr>
                <w:sz w:val="24"/>
                <w:szCs w:val="24"/>
              </w:rPr>
              <w:t>-£1,218,850</w:t>
            </w:r>
          </w:p>
        </w:tc>
      </w:tr>
      <w:tr w:rsidR="006A470A" w14:paraId="30C5A2C3" w14:textId="77777777">
        <w:trPr>
          <w:trHeight w:val="345"/>
        </w:trPr>
        <w:tc>
          <w:tcPr>
            <w:tcW w:w="489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EA69566" w14:textId="77777777" w:rsidR="006A470A" w:rsidRDefault="00000000">
            <w:pPr>
              <w:widowControl w:val="0"/>
              <w:rPr>
                <w:sz w:val="20"/>
                <w:szCs w:val="20"/>
              </w:rPr>
            </w:pPr>
            <w:r>
              <w:rPr>
                <w:sz w:val="24"/>
                <w:szCs w:val="24"/>
              </w:rPr>
              <w:t>Total Assets</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7BE308F" w14:textId="77777777" w:rsidR="006A470A" w:rsidRDefault="00000000">
            <w:pPr>
              <w:widowControl w:val="0"/>
              <w:jc w:val="right"/>
              <w:rPr>
                <w:sz w:val="20"/>
                <w:szCs w:val="20"/>
              </w:rPr>
            </w:pPr>
            <w:r>
              <w:rPr>
                <w:sz w:val="24"/>
                <w:szCs w:val="24"/>
              </w:rPr>
              <w:t>£12,941,110</w:t>
            </w:r>
          </w:p>
        </w:tc>
        <w:tc>
          <w:tcPr>
            <w:tcW w:w="14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659DB3A" w14:textId="77777777" w:rsidR="006A470A" w:rsidRDefault="00000000">
            <w:pPr>
              <w:widowControl w:val="0"/>
              <w:jc w:val="right"/>
              <w:rPr>
                <w:sz w:val="20"/>
                <w:szCs w:val="20"/>
              </w:rPr>
            </w:pPr>
            <w:r>
              <w:rPr>
                <w:sz w:val="24"/>
                <w:szCs w:val="24"/>
              </w:rPr>
              <w:t>£15,921,080</w:t>
            </w:r>
          </w:p>
        </w:tc>
        <w:tc>
          <w:tcPr>
            <w:tcW w:w="145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03C34E2" w14:textId="77777777" w:rsidR="006A470A" w:rsidRDefault="00000000">
            <w:pPr>
              <w:widowControl w:val="0"/>
              <w:jc w:val="right"/>
              <w:rPr>
                <w:sz w:val="20"/>
                <w:szCs w:val="20"/>
              </w:rPr>
            </w:pPr>
            <w:r>
              <w:rPr>
                <w:sz w:val="24"/>
                <w:szCs w:val="24"/>
              </w:rPr>
              <w:t>£15,653,970</w:t>
            </w:r>
          </w:p>
        </w:tc>
      </w:tr>
      <w:tr w:rsidR="006A470A" w14:paraId="0DFA179B" w14:textId="77777777">
        <w:trPr>
          <w:trHeight w:val="525"/>
        </w:trPr>
        <w:tc>
          <w:tcPr>
            <w:tcW w:w="489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901D275" w14:textId="77777777" w:rsidR="006A470A" w:rsidRDefault="00000000">
            <w:pPr>
              <w:widowControl w:val="0"/>
              <w:rPr>
                <w:sz w:val="20"/>
                <w:szCs w:val="20"/>
              </w:rPr>
            </w:pPr>
            <w:r>
              <w:rPr>
                <w:sz w:val="24"/>
                <w:szCs w:val="24"/>
              </w:rPr>
              <w:t>Current liabilities</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5F38E26" w14:textId="77777777" w:rsidR="006A470A" w:rsidRDefault="00000000">
            <w:pPr>
              <w:widowControl w:val="0"/>
              <w:jc w:val="right"/>
              <w:rPr>
                <w:sz w:val="20"/>
                <w:szCs w:val="20"/>
              </w:rPr>
            </w:pPr>
            <w:r>
              <w:rPr>
                <w:sz w:val="24"/>
                <w:szCs w:val="24"/>
              </w:rPr>
              <w:t>£1,957,360</w:t>
            </w:r>
          </w:p>
        </w:tc>
        <w:tc>
          <w:tcPr>
            <w:tcW w:w="14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A111C3" w14:textId="77777777" w:rsidR="006A470A" w:rsidRDefault="00000000">
            <w:pPr>
              <w:widowControl w:val="0"/>
              <w:jc w:val="right"/>
              <w:rPr>
                <w:sz w:val="20"/>
                <w:szCs w:val="20"/>
              </w:rPr>
            </w:pPr>
            <w:r>
              <w:rPr>
                <w:sz w:val="24"/>
                <w:szCs w:val="24"/>
              </w:rPr>
              <w:t>£2,107,750</w:t>
            </w:r>
          </w:p>
        </w:tc>
        <w:tc>
          <w:tcPr>
            <w:tcW w:w="145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D332407" w14:textId="77777777" w:rsidR="006A470A" w:rsidRDefault="00000000">
            <w:pPr>
              <w:widowControl w:val="0"/>
              <w:jc w:val="right"/>
              <w:rPr>
                <w:sz w:val="20"/>
                <w:szCs w:val="20"/>
              </w:rPr>
            </w:pPr>
            <w:r>
              <w:rPr>
                <w:sz w:val="24"/>
                <w:szCs w:val="24"/>
              </w:rPr>
              <w:t>£2,014,600</w:t>
            </w:r>
          </w:p>
        </w:tc>
      </w:tr>
      <w:tr w:rsidR="006A470A" w14:paraId="3E0EA73E" w14:textId="77777777">
        <w:trPr>
          <w:trHeight w:val="754"/>
        </w:trPr>
        <w:tc>
          <w:tcPr>
            <w:tcW w:w="489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E6860D6" w14:textId="77777777" w:rsidR="006A470A" w:rsidRDefault="00000000">
            <w:pPr>
              <w:widowControl w:val="0"/>
              <w:rPr>
                <w:sz w:val="20"/>
                <w:szCs w:val="20"/>
              </w:rPr>
            </w:pPr>
            <w:r>
              <w:rPr>
                <w:sz w:val="24"/>
                <w:szCs w:val="24"/>
              </w:rPr>
              <w:t>Capital Employed = Total assets - current liabilities</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557CF2E" w14:textId="77777777" w:rsidR="006A470A" w:rsidRDefault="00000000">
            <w:pPr>
              <w:widowControl w:val="0"/>
              <w:jc w:val="right"/>
              <w:rPr>
                <w:sz w:val="20"/>
                <w:szCs w:val="20"/>
              </w:rPr>
            </w:pPr>
            <w:r>
              <w:rPr>
                <w:sz w:val="24"/>
                <w:szCs w:val="24"/>
              </w:rPr>
              <w:t>£10,983,750</w:t>
            </w:r>
          </w:p>
        </w:tc>
        <w:tc>
          <w:tcPr>
            <w:tcW w:w="14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4B3DE97" w14:textId="77777777" w:rsidR="006A470A" w:rsidRDefault="00000000">
            <w:pPr>
              <w:widowControl w:val="0"/>
              <w:jc w:val="right"/>
              <w:rPr>
                <w:sz w:val="20"/>
                <w:szCs w:val="20"/>
              </w:rPr>
            </w:pPr>
            <w:r>
              <w:rPr>
                <w:sz w:val="24"/>
                <w:szCs w:val="24"/>
              </w:rPr>
              <w:t>£13,813,330</w:t>
            </w:r>
          </w:p>
        </w:tc>
        <w:tc>
          <w:tcPr>
            <w:tcW w:w="145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36F409D" w14:textId="77777777" w:rsidR="006A470A" w:rsidRDefault="00000000">
            <w:pPr>
              <w:widowControl w:val="0"/>
              <w:jc w:val="right"/>
              <w:rPr>
                <w:sz w:val="20"/>
                <w:szCs w:val="20"/>
              </w:rPr>
            </w:pPr>
            <w:r>
              <w:rPr>
                <w:sz w:val="24"/>
                <w:szCs w:val="24"/>
              </w:rPr>
              <w:t>£13,639,370</w:t>
            </w:r>
          </w:p>
        </w:tc>
      </w:tr>
      <w:tr w:rsidR="006A470A" w14:paraId="513F9B6D" w14:textId="77777777">
        <w:trPr>
          <w:trHeight w:val="542"/>
        </w:trPr>
        <w:tc>
          <w:tcPr>
            <w:tcW w:w="489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332D80E" w14:textId="77777777" w:rsidR="006A470A" w:rsidRDefault="00000000">
            <w:pPr>
              <w:widowControl w:val="0"/>
              <w:rPr>
                <w:sz w:val="20"/>
                <w:szCs w:val="20"/>
              </w:rPr>
            </w:pPr>
            <w:r>
              <w:rPr>
                <w:sz w:val="24"/>
                <w:szCs w:val="24"/>
              </w:rPr>
              <w:t xml:space="preserve">ROCE = </w:t>
            </w:r>
            <m:oMath>
              <m:f>
                <m:fPr>
                  <m:ctrlPr>
                    <w:rPr>
                      <w:rFonts w:ascii="Cambria Math" w:hAnsi="Cambria Math"/>
                      <w:sz w:val="24"/>
                      <w:szCs w:val="24"/>
                    </w:rPr>
                  </m:ctrlPr>
                </m:fPr>
                <m:num>
                  <m:r>
                    <w:rPr>
                      <w:rFonts w:ascii="Cambria Math" w:hAnsi="Cambria Math"/>
                      <w:sz w:val="24"/>
                      <w:szCs w:val="24"/>
                    </w:rPr>
                    <m:t>Operating income</m:t>
                  </m:r>
                </m:num>
                <m:den>
                  <m:r>
                    <w:rPr>
                      <w:rFonts w:ascii="Cambria Math" w:hAnsi="Cambria Math"/>
                      <w:sz w:val="24"/>
                      <w:szCs w:val="24"/>
                    </w:rPr>
                    <m:t>Total assets - current liabilities</m:t>
                  </m:r>
                </m:den>
              </m:f>
            </m:oMath>
            <w:r>
              <w:rPr>
                <w:sz w:val="24"/>
                <w:szCs w:val="24"/>
              </w:rPr>
              <w:t>*100</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0976574" w14:textId="77777777" w:rsidR="006A470A" w:rsidRDefault="00000000">
            <w:pPr>
              <w:widowControl w:val="0"/>
              <w:jc w:val="right"/>
              <w:rPr>
                <w:sz w:val="20"/>
                <w:szCs w:val="20"/>
              </w:rPr>
            </w:pPr>
            <w:r>
              <w:rPr>
                <w:sz w:val="24"/>
                <w:szCs w:val="24"/>
              </w:rPr>
              <w:t>6.05%</w:t>
            </w:r>
          </w:p>
        </w:tc>
        <w:tc>
          <w:tcPr>
            <w:tcW w:w="14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1C0136" w14:textId="77777777" w:rsidR="006A470A" w:rsidRDefault="00000000">
            <w:pPr>
              <w:widowControl w:val="0"/>
              <w:jc w:val="right"/>
              <w:rPr>
                <w:sz w:val="20"/>
                <w:szCs w:val="20"/>
              </w:rPr>
            </w:pPr>
            <w:r>
              <w:rPr>
                <w:sz w:val="24"/>
                <w:szCs w:val="24"/>
              </w:rPr>
              <w:t>4.88%</w:t>
            </w:r>
          </w:p>
        </w:tc>
        <w:tc>
          <w:tcPr>
            <w:tcW w:w="145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C6747EF" w14:textId="77777777" w:rsidR="006A470A" w:rsidRDefault="00000000">
            <w:pPr>
              <w:widowControl w:val="0"/>
              <w:jc w:val="right"/>
              <w:rPr>
                <w:sz w:val="20"/>
                <w:szCs w:val="20"/>
              </w:rPr>
            </w:pPr>
            <w:r>
              <w:rPr>
                <w:sz w:val="24"/>
                <w:szCs w:val="24"/>
              </w:rPr>
              <w:t>-8.94%</w:t>
            </w:r>
          </w:p>
        </w:tc>
      </w:tr>
    </w:tbl>
    <w:p w14:paraId="103A8B54" w14:textId="77777777" w:rsidR="006A470A" w:rsidRDefault="006A470A">
      <w:pPr>
        <w:spacing w:line="360" w:lineRule="auto"/>
        <w:jc w:val="both"/>
        <w:rPr>
          <w:sz w:val="24"/>
          <w:szCs w:val="24"/>
        </w:rPr>
      </w:pPr>
    </w:p>
    <w:p w14:paraId="30FFCA1E" w14:textId="77777777" w:rsidR="006A470A" w:rsidRDefault="00000000">
      <w:pPr>
        <w:spacing w:line="360" w:lineRule="auto"/>
        <w:jc w:val="both"/>
        <w:rPr>
          <w:sz w:val="24"/>
          <w:szCs w:val="24"/>
        </w:rPr>
      </w:pPr>
      <w:r>
        <w:rPr>
          <w:sz w:val="24"/>
          <w:szCs w:val="24"/>
        </w:rPr>
        <w:lastRenderedPageBreak/>
        <w:t>A company’s ability to put to use the owners’ capital to raise adequate operating income is denoted as the ROCE ratio (</w:t>
      </w:r>
      <w:r>
        <w:rPr>
          <w:sz w:val="24"/>
          <w:szCs w:val="24"/>
          <w:highlight w:val="white"/>
        </w:rPr>
        <w:t>McLaney and Atrill, 2016, pp. 242)</w:t>
      </w:r>
      <w:r>
        <w:rPr>
          <w:sz w:val="24"/>
          <w:szCs w:val="24"/>
        </w:rPr>
        <w:t xml:space="preserve">. Here, for the City Hotel, the ROCE declined from 2021 to 2022 and in 2023 it went negative because of the operating loss suffered by the business. The capital employed was not put to use efficiently by the hotel which led to operating losses instead of making a profit. This is not desired by the owners who have invested their own money into the business and will not receive positive returns from operations.   </w:t>
      </w:r>
    </w:p>
    <w:p w14:paraId="5FF9A801" w14:textId="77777777" w:rsidR="006A470A" w:rsidRDefault="00000000" w:rsidP="001B2EB1">
      <w:pPr>
        <w:pStyle w:val="Heading2"/>
      </w:pPr>
      <w:bookmarkStart w:id="3" w:name="_Toc181955505"/>
      <w:r>
        <w:t>Liquidity</w:t>
      </w:r>
      <w:bookmarkEnd w:id="3"/>
      <w:r>
        <w:t xml:space="preserve"> </w:t>
      </w:r>
    </w:p>
    <w:p w14:paraId="07AF16AB" w14:textId="77777777" w:rsidR="006A470A" w:rsidRDefault="00000000">
      <w:pPr>
        <w:spacing w:line="360" w:lineRule="auto"/>
        <w:jc w:val="both"/>
        <w:rPr>
          <w:sz w:val="24"/>
          <w:szCs w:val="24"/>
        </w:rPr>
      </w:pPr>
      <w:r>
        <w:rPr>
          <w:b/>
          <w:i/>
          <w:sz w:val="24"/>
          <w:szCs w:val="24"/>
        </w:rPr>
        <w:t>iv. Current ratio:</w:t>
      </w:r>
    </w:p>
    <w:tbl>
      <w:tblPr>
        <w:tblStyle w:val="a2"/>
        <w:tblW w:w="9450" w:type="dxa"/>
        <w:tblBorders>
          <w:top w:val="nil"/>
          <w:left w:val="nil"/>
          <w:bottom w:val="nil"/>
          <w:right w:val="nil"/>
          <w:insideH w:val="nil"/>
          <w:insideV w:val="nil"/>
        </w:tblBorders>
        <w:tblLayout w:type="fixed"/>
        <w:tblLook w:val="0600" w:firstRow="0" w:lastRow="0" w:firstColumn="0" w:lastColumn="0" w:noHBand="1" w:noVBand="1"/>
      </w:tblPr>
      <w:tblGrid>
        <w:gridCol w:w="4770"/>
        <w:gridCol w:w="1920"/>
        <w:gridCol w:w="1440"/>
        <w:gridCol w:w="1320"/>
      </w:tblGrid>
      <w:tr w:rsidR="006A470A" w14:paraId="5D323699" w14:textId="77777777">
        <w:trPr>
          <w:trHeight w:val="345"/>
        </w:trPr>
        <w:tc>
          <w:tcPr>
            <w:tcW w:w="9450"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63054B9A" w14:textId="77777777" w:rsidR="006A470A" w:rsidRDefault="00000000">
            <w:pPr>
              <w:widowControl w:val="0"/>
              <w:jc w:val="center"/>
              <w:rPr>
                <w:sz w:val="20"/>
                <w:szCs w:val="20"/>
              </w:rPr>
            </w:pPr>
            <w:r>
              <w:rPr>
                <w:b/>
                <w:sz w:val="24"/>
                <w:szCs w:val="24"/>
              </w:rPr>
              <w:t>Measurement of the Current ratio</w:t>
            </w:r>
          </w:p>
        </w:tc>
      </w:tr>
      <w:tr w:rsidR="006A470A" w14:paraId="03A543D6" w14:textId="77777777">
        <w:trPr>
          <w:trHeight w:val="345"/>
        </w:trPr>
        <w:tc>
          <w:tcPr>
            <w:tcW w:w="477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6A657BBF" w14:textId="77777777" w:rsidR="006A470A" w:rsidRDefault="00000000">
            <w:pPr>
              <w:widowControl w:val="0"/>
              <w:rPr>
                <w:sz w:val="20"/>
                <w:szCs w:val="20"/>
              </w:rPr>
            </w:pPr>
            <w:r>
              <w:rPr>
                <w:b/>
                <w:sz w:val="24"/>
                <w:szCs w:val="24"/>
              </w:rPr>
              <w:t>Particulars</w:t>
            </w:r>
          </w:p>
        </w:tc>
        <w:tc>
          <w:tcPr>
            <w:tcW w:w="19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2494B5E" w14:textId="77777777" w:rsidR="006A470A" w:rsidRDefault="00000000">
            <w:pPr>
              <w:widowControl w:val="0"/>
              <w:jc w:val="right"/>
              <w:rPr>
                <w:sz w:val="20"/>
                <w:szCs w:val="20"/>
              </w:rPr>
            </w:pPr>
            <w:r>
              <w:rPr>
                <w:b/>
                <w:sz w:val="24"/>
                <w:szCs w:val="24"/>
              </w:rPr>
              <w:t>2021</w:t>
            </w:r>
          </w:p>
        </w:tc>
        <w:tc>
          <w:tcPr>
            <w:tcW w:w="144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0DD2E16" w14:textId="77777777" w:rsidR="006A470A" w:rsidRDefault="00000000">
            <w:pPr>
              <w:widowControl w:val="0"/>
              <w:jc w:val="right"/>
              <w:rPr>
                <w:sz w:val="20"/>
                <w:szCs w:val="20"/>
              </w:rPr>
            </w:pPr>
            <w:r>
              <w:rPr>
                <w:b/>
                <w:sz w:val="24"/>
                <w:szCs w:val="24"/>
              </w:rPr>
              <w:t>2022</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03DF323" w14:textId="77777777" w:rsidR="006A470A" w:rsidRDefault="00000000">
            <w:pPr>
              <w:widowControl w:val="0"/>
              <w:jc w:val="right"/>
              <w:rPr>
                <w:sz w:val="20"/>
                <w:szCs w:val="20"/>
              </w:rPr>
            </w:pPr>
            <w:r>
              <w:rPr>
                <w:b/>
                <w:sz w:val="24"/>
                <w:szCs w:val="24"/>
              </w:rPr>
              <w:t>2023</w:t>
            </w:r>
          </w:p>
        </w:tc>
      </w:tr>
      <w:tr w:rsidR="006A470A" w14:paraId="7AA249D7" w14:textId="77777777">
        <w:trPr>
          <w:trHeight w:val="345"/>
        </w:trPr>
        <w:tc>
          <w:tcPr>
            <w:tcW w:w="477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6280C1B" w14:textId="77777777" w:rsidR="006A470A" w:rsidRDefault="00000000">
            <w:pPr>
              <w:widowControl w:val="0"/>
              <w:rPr>
                <w:sz w:val="20"/>
                <w:szCs w:val="20"/>
              </w:rPr>
            </w:pPr>
            <w:r>
              <w:rPr>
                <w:sz w:val="24"/>
                <w:szCs w:val="24"/>
              </w:rPr>
              <w:t>Current assets</w:t>
            </w:r>
          </w:p>
        </w:tc>
        <w:tc>
          <w:tcPr>
            <w:tcW w:w="19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9655DD1" w14:textId="77777777" w:rsidR="006A470A" w:rsidRDefault="00000000">
            <w:pPr>
              <w:widowControl w:val="0"/>
              <w:jc w:val="right"/>
              <w:rPr>
                <w:sz w:val="20"/>
                <w:szCs w:val="20"/>
              </w:rPr>
            </w:pPr>
            <w:r>
              <w:rPr>
                <w:sz w:val="24"/>
                <w:szCs w:val="24"/>
              </w:rPr>
              <w:t>£1,891,970</w:t>
            </w:r>
          </w:p>
        </w:tc>
        <w:tc>
          <w:tcPr>
            <w:tcW w:w="144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0CD1E6D" w14:textId="77777777" w:rsidR="006A470A" w:rsidRDefault="00000000">
            <w:pPr>
              <w:widowControl w:val="0"/>
              <w:jc w:val="right"/>
              <w:rPr>
                <w:sz w:val="20"/>
                <w:szCs w:val="20"/>
              </w:rPr>
            </w:pPr>
            <w:r>
              <w:rPr>
                <w:sz w:val="24"/>
                <w:szCs w:val="24"/>
              </w:rPr>
              <w:t>£1,965,340</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8150D0C" w14:textId="77777777" w:rsidR="006A470A" w:rsidRDefault="00000000">
            <w:pPr>
              <w:widowControl w:val="0"/>
              <w:jc w:val="right"/>
              <w:rPr>
                <w:sz w:val="20"/>
                <w:szCs w:val="20"/>
              </w:rPr>
            </w:pPr>
            <w:r>
              <w:rPr>
                <w:sz w:val="24"/>
                <w:szCs w:val="24"/>
              </w:rPr>
              <w:t>£1,285,880</w:t>
            </w:r>
          </w:p>
        </w:tc>
      </w:tr>
      <w:tr w:rsidR="006A470A" w14:paraId="34B55F16" w14:textId="77777777">
        <w:trPr>
          <w:trHeight w:val="345"/>
        </w:trPr>
        <w:tc>
          <w:tcPr>
            <w:tcW w:w="477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EF7BE0F" w14:textId="77777777" w:rsidR="006A470A" w:rsidRDefault="00000000">
            <w:pPr>
              <w:widowControl w:val="0"/>
              <w:rPr>
                <w:sz w:val="20"/>
                <w:szCs w:val="20"/>
              </w:rPr>
            </w:pPr>
            <w:r>
              <w:rPr>
                <w:sz w:val="24"/>
                <w:szCs w:val="24"/>
              </w:rPr>
              <w:t>Current liabilities</w:t>
            </w:r>
          </w:p>
        </w:tc>
        <w:tc>
          <w:tcPr>
            <w:tcW w:w="19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1431027" w14:textId="77777777" w:rsidR="006A470A" w:rsidRDefault="00000000">
            <w:pPr>
              <w:widowControl w:val="0"/>
              <w:jc w:val="right"/>
              <w:rPr>
                <w:sz w:val="20"/>
                <w:szCs w:val="20"/>
              </w:rPr>
            </w:pPr>
            <w:r>
              <w:rPr>
                <w:sz w:val="24"/>
                <w:szCs w:val="24"/>
              </w:rPr>
              <w:t>£1,957,360</w:t>
            </w:r>
          </w:p>
        </w:tc>
        <w:tc>
          <w:tcPr>
            <w:tcW w:w="144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4CF85AE" w14:textId="77777777" w:rsidR="006A470A" w:rsidRDefault="00000000">
            <w:pPr>
              <w:widowControl w:val="0"/>
              <w:jc w:val="right"/>
              <w:rPr>
                <w:sz w:val="20"/>
                <w:szCs w:val="20"/>
              </w:rPr>
            </w:pPr>
            <w:r>
              <w:rPr>
                <w:sz w:val="24"/>
                <w:szCs w:val="24"/>
              </w:rPr>
              <w:t>£2,107,750</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848320F" w14:textId="77777777" w:rsidR="006A470A" w:rsidRDefault="00000000">
            <w:pPr>
              <w:widowControl w:val="0"/>
              <w:jc w:val="right"/>
              <w:rPr>
                <w:sz w:val="20"/>
                <w:szCs w:val="20"/>
              </w:rPr>
            </w:pPr>
            <w:r>
              <w:rPr>
                <w:sz w:val="24"/>
                <w:szCs w:val="24"/>
              </w:rPr>
              <w:t>£2,014,600</w:t>
            </w:r>
          </w:p>
        </w:tc>
      </w:tr>
      <w:tr w:rsidR="006A470A" w14:paraId="39149A4E" w14:textId="77777777">
        <w:trPr>
          <w:trHeight w:val="345"/>
        </w:trPr>
        <w:tc>
          <w:tcPr>
            <w:tcW w:w="477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D0DAF94" w14:textId="77777777" w:rsidR="006A470A" w:rsidRDefault="00000000">
            <w:pPr>
              <w:widowControl w:val="0"/>
              <w:rPr>
                <w:sz w:val="20"/>
                <w:szCs w:val="20"/>
              </w:rPr>
            </w:pPr>
            <w:r>
              <w:rPr>
                <w:sz w:val="24"/>
                <w:szCs w:val="24"/>
              </w:rPr>
              <w:t xml:space="preserve">Current ratio = </w:t>
            </w:r>
            <m:oMath>
              <m:f>
                <m:fPr>
                  <m:ctrlPr>
                    <w:rPr>
                      <w:rFonts w:ascii="Cambria Math" w:hAnsi="Cambria Math"/>
                      <w:sz w:val="24"/>
                      <w:szCs w:val="24"/>
                    </w:rPr>
                  </m:ctrlPr>
                </m:fPr>
                <m:num>
                  <m:r>
                    <w:rPr>
                      <w:rFonts w:ascii="Cambria Math" w:hAnsi="Cambria Math"/>
                      <w:sz w:val="24"/>
                      <w:szCs w:val="24"/>
                    </w:rPr>
                    <m:t>Current assets</m:t>
                  </m:r>
                </m:num>
                <m:den>
                  <m:r>
                    <w:rPr>
                      <w:rFonts w:ascii="Cambria Math" w:hAnsi="Cambria Math"/>
                      <w:sz w:val="24"/>
                      <w:szCs w:val="24"/>
                    </w:rPr>
                    <m:t>Current liabilities</m:t>
                  </m:r>
                </m:den>
              </m:f>
            </m:oMath>
          </w:p>
        </w:tc>
        <w:tc>
          <w:tcPr>
            <w:tcW w:w="19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115796A" w14:textId="77777777" w:rsidR="006A470A" w:rsidRDefault="00000000">
            <w:pPr>
              <w:widowControl w:val="0"/>
              <w:jc w:val="right"/>
              <w:rPr>
                <w:sz w:val="20"/>
                <w:szCs w:val="20"/>
              </w:rPr>
            </w:pPr>
            <w:r>
              <w:rPr>
                <w:sz w:val="24"/>
                <w:szCs w:val="24"/>
              </w:rPr>
              <w:t>0.97: 1</w:t>
            </w:r>
          </w:p>
        </w:tc>
        <w:tc>
          <w:tcPr>
            <w:tcW w:w="144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FDF9746" w14:textId="77777777" w:rsidR="006A470A" w:rsidRDefault="00000000">
            <w:pPr>
              <w:widowControl w:val="0"/>
              <w:jc w:val="right"/>
              <w:rPr>
                <w:sz w:val="20"/>
                <w:szCs w:val="20"/>
              </w:rPr>
            </w:pPr>
            <w:r>
              <w:rPr>
                <w:sz w:val="24"/>
                <w:szCs w:val="24"/>
              </w:rPr>
              <w:t>0.93: 1</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FBB2203" w14:textId="77777777" w:rsidR="006A470A" w:rsidRDefault="00000000">
            <w:pPr>
              <w:widowControl w:val="0"/>
              <w:jc w:val="right"/>
              <w:rPr>
                <w:sz w:val="20"/>
                <w:szCs w:val="20"/>
              </w:rPr>
            </w:pPr>
            <w:r>
              <w:rPr>
                <w:sz w:val="24"/>
                <w:szCs w:val="24"/>
              </w:rPr>
              <w:t>0.64: 1</w:t>
            </w:r>
          </w:p>
        </w:tc>
      </w:tr>
    </w:tbl>
    <w:p w14:paraId="66706FEC" w14:textId="77777777" w:rsidR="006A470A" w:rsidRDefault="006A470A">
      <w:pPr>
        <w:spacing w:line="360" w:lineRule="auto"/>
        <w:jc w:val="both"/>
        <w:rPr>
          <w:sz w:val="24"/>
          <w:szCs w:val="24"/>
        </w:rPr>
      </w:pPr>
    </w:p>
    <w:p w14:paraId="0282A122" w14:textId="77777777" w:rsidR="006A470A" w:rsidRDefault="00000000">
      <w:pPr>
        <w:spacing w:line="360" w:lineRule="auto"/>
        <w:jc w:val="both"/>
        <w:rPr>
          <w:sz w:val="24"/>
          <w:szCs w:val="24"/>
        </w:rPr>
      </w:pPr>
      <w:r>
        <w:rPr>
          <w:sz w:val="24"/>
          <w:szCs w:val="24"/>
        </w:rPr>
        <w:t>The current ratio talks about the availability of assets that are liquid against short-term fiscal obligations (</w:t>
      </w:r>
      <w:r>
        <w:rPr>
          <w:sz w:val="24"/>
          <w:szCs w:val="24"/>
          <w:highlight w:val="white"/>
        </w:rPr>
        <w:t>Atrill, 2009, pp. 86)</w:t>
      </w:r>
      <w:r>
        <w:rPr>
          <w:sz w:val="24"/>
          <w:szCs w:val="24"/>
        </w:rPr>
        <w:t xml:space="preserve">. The City Hotel’s financial statements present that in neither of 2021, 2022, and 2023, the current ratio is appropriate as in none of these years, the current ratio exceeds 1. In 2022, it has decreased slightly while in 2023, the current ratio has declined substantially in comparison to 2021 and 2022. This implies that the City Hotel has faced difficulties in managing its immediate obligations as adequate current resources are not present. </w:t>
      </w:r>
    </w:p>
    <w:p w14:paraId="686C3425" w14:textId="77777777" w:rsidR="006A470A" w:rsidRDefault="00000000">
      <w:pPr>
        <w:spacing w:line="360" w:lineRule="auto"/>
        <w:jc w:val="both"/>
        <w:rPr>
          <w:b/>
          <w:sz w:val="24"/>
          <w:szCs w:val="24"/>
        </w:rPr>
      </w:pPr>
      <w:r>
        <w:rPr>
          <w:b/>
          <w:i/>
          <w:sz w:val="24"/>
          <w:szCs w:val="24"/>
        </w:rPr>
        <w:t>v. Quick ratio:</w:t>
      </w:r>
    </w:p>
    <w:tbl>
      <w:tblPr>
        <w:tblStyle w:val="a3"/>
        <w:tblW w:w="9465" w:type="dxa"/>
        <w:tblBorders>
          <w:top w:val="nil"/>
          <w:left w:val="nil"/>
          <w:bottom w:val="nil"/>
          <w:right w:val="nil"/>
          <w:insideH w:val="nil"/>
          <w:insideV w:val="nil"/>
        </w:tblBorders>
        <w:tblLayout w:type="fixed"/>
        <w:tblLook w:val="0600" w:firstRow="0" w:lastRow="0" w:firstColumn="0" w:lastColumn="0" w:noHBand="1" w:noVBand="1"/>
      </w:tblPr>
      <w:tblGrid>
        <w:gridCol w:w="4770"/>
        <w:gridCol w:w="1770"/>
        <w:gridCol w:w="1395"/>
        <w:gridCol w:w="1530"/>
      </w:tblGrid>
      <w:tr w:rsidR="006A470A" w14:paraId="5AE02C81" w14:textId="77777777">
        <w:trPr>
          <w:trHeight w:val="345"/>
        </w:trPr>
        <w:tc>
          <w:tcPr>
            <w:tcW w:w="9465"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A196263" w14:textId="77777777" w:rsidR="006A470A" w:rsidRDefault="00000000">
            <w:pPr>
              <w:widowControl w:val="0"/>
              <w:jc w:val="center"/>
              <w:rPr>
                <w:sz w:val="20"/>
                <w:szCs w:val="20"/>
              </w:rPr>
            </w:pPr>
            <w:r>
              <w:rPr>
                <w:b/>
                <w:sz w:val="24"/>
                <w:szCs w:val="24"/>
              </w:rPr>
              <w:t>Measurement of the Quick ratio</w:t>
            </w:r>
          </w:p>
        </w:tc>
      </w:tr>
      <w:tr w:rsidR="006A470A" w14:paraId="190A402C" w14:textId="77777777">
        <w:trPr>
          <w:trHeight w:val="345"/>
        </w:trPr>
        <w:tc>
          <w:tcPr>
            <w:tcW w:w="477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65184812" w14:textId="77777777" w:rsidR="006A470A" w:rsidRDefault="00000000">
            <w:pPr>
              <w:widowControl w:val="0"/>
              <w:rPr>
                <w:sz w:val="20"/>
                <w:szCs w:val="20"/>
              </w:rPr>
            </w:pPr>
            <w:r>
              <w:rPr>
                <w:b/>
                <w:sz w:val="24"/>
                <w:szCs w:val="24"/>
              </w:rPr>
              <w:t>Particulars</w:t>
            </w:r>
          </w:p>
        </w:tc>
        <w:tc>
          <w:tcPr>
            <w:tcW w:w="177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F91DA5D" w14:textId="77777777" w:rsidR="006A470A" w:rsidRDefault="00000000">
            <w:pPr>
              <w:widowControl w:val="0"/>
              <w:jc w:val="right"/>
              <w:rPr>
                <w:sz w:val="20"/>
                <w:szCs w:val="20"/>
              </w:rPr>
            </w:pPr>
            <w:r>
              <w:rPr>
                <w:b/>
                <w:sz w:val="24"/>
                <w:szCs w:val="24"/>
              </w:rPr>
              <w:t>2021</w:t>
            </w:r>
          </w:p>
        </w:tc>
        <w:tc>
          <w:tcPr>
            <w:tcW w:w="139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9731D57" w14:textId="77777777" w:rsidR="006A470A" w:rsidRDefault="00000000">
            <w:pPr>
              <w:widowControl w:val="0"/>
              <w:jc w:val="right"/>
              <w:rPr>
                <w:sz w:val="20"/>
                <w:szCs w:val="20"/>
              </w:rPr>
            </w:pPr>
            <w:r>
              <w:rPr>
                <w:b/>
                <w:sz w:val="24"/>
                <w:szCs w:val="24"/>
              </w:rPr>
              <w:t>2022</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03980AC" w14:textId="77777777" w:rsidR="006A470A" w:rsidRDefault="00000000">
            <w:pPr>
              <w:widowControl w:val="0"/>
              <w:jc w:val="right"/>
              <w:rPr>
                <w:sz w:val="20"/>
                <w:szCs w:val="20"/>
              </w:rPr>
            </w:pPr>
            <w:r>
              <w:rPr>
                <w:b/>
                <w:sz w:val="24"/>
                <w:szCs w:val="24"/>
              </w:rPr>
              <w:t>2023</w:t>
            </w:r>
          </w:p>
        </w:tc>
      </w:tr>
      <w:tr w:rsidR="006A470A" w14:paraId="38A7E915" w14:textId="77777777">
        <w:trPr>
          <w:trHeight w:val="345"/>
        </w:trPr>
        <w:tc>
          <w:tcPr>
            <w:tcW w:w="477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94C8ADD" w14:textId="77777777" w:rsidR="006A470A" w:rsidRDefault="00000000">
            <w:pPr>
              <w:widowControl w:val="0"/>
              <w:rPr>
                <w:sz w:val="20"/>
                <w:szCs w:val="20"/>
              </w:rPr>
            </w:pPr>
            <w:r>
              <w:rPr>
                <w:sz w:val="24"/>
                <w:szCs w:val="24"/>
              </w:rPr>
              <w:t>Current assets</w:t>
            </w:r>
          </w:p>
        </w:tc>
        <w:tc>
          <w:tcPr>
            <w:tcW w:w="177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8780093" w14:textId="77777777" w:rsidR="006A470A" w:rsidRDefault="00000000">
            <w:pPr>
              <w:widowControl w:val="0"/>
              <w:jc w:val="right"/>
              <w:rPr>
                <w:sz w:val="20"/>
                <w:szCs w:val="20"/>
              </w:rPr>
            </w:pPr>
            <w:r>
              <w:rPr>
                <w:sz w:val="24"/>
                <w:szCs w:val="24"/>
              </w:rPr>
              <w:t>£1,891,970</w:t>
            </w:r>
          </w:p>
        </w:tc>
        <w:tc>
          <w:tcPr>
            <w:tcW w:w="139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EBADB66" w14:textId="77777777" w:rsidR="006A470A" w:rsidRDefault="00000000">
            <w:pPr>
              <w:widowControl w:val="0"/>
              <w:jc w:val="right"/>
              <w:rPr>
                <w:sz w:val="20"/>
                <w:szCs w:val="20"/>
              </w:rPr>
            </w:pPr>
            <w:r>
              <w:rPr>
                <w:sz w:val="24"/>
                <w:szCs w:val="24"/>
              </w:rPr>
              <w:t>£1,965,340</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17FA349" w14:textId="77777777" w:rsidR="006A470A" w:rsidRDefault="00000000">
            <w:pPr>
              <w:widowControl w:val="0"/>
              <w:jc w:val="right"/>
              <w:rPr>
                <w:sz w:val="20"/>
                <w:szCs w:val="20"/>
              </w:rPr>
            </w:pPr>
            <w:r>
              <w:rPr>
                <w:sz w:val="24"/>
                <w:szCs w:val="24"/>
              </w:rPr>
              <w:t>£1,285,880</w:t>
            </w:r>
          </w:p>
        </w:tc>
      </w:tr>
      <w:tr w:rsidR="006A470A" w14:paraId="59001990" w14:textId="77777777">
        <w:trPr>
          <w:trHeight w:val="345"/>
        </w:trPr>
        <w:tc>
          <w:tcPr>
            <w:tcW w:w="477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CA5A1FF" w14:textId="77777777" w:rsidR="006A470A" w:rsidRDefault="00000000">
            <w:pPr>
              <w:widowControl w:val="0"/>
              <w:rPr>
                <w:sz w:val="20"/>
                <w:szCs w:val="20"/>
              </w:rPr>
            </w:pPr>
            <w:r>
              <w:rPr>
                <w:sz w:val="24"/>
                <w:szCs w:val="24"/>
              </w:rPr>
              <w:t>Inventories</w:t>
            </w:r>
          </w:p>
        </w:tc>
        <w:tc>
          <w:tcPr>
            <w:tcW w:w="177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9448589" w14:textId="77777777" w:rsidR="006A470A" w:rsidRDefault="00000000">
            <w:pPr>
              <w:widowControl w:val="0"/>
              <w:jc w:val="right"/>
              <w:rPr>
                <w:sz w:val="20"/>
                <w:szCs w:val="20"/>
              </w:rPr>
            </w:pPr>
            <w:r>
              <w:rPr>
                <w:sz w:val="24"/>
                <w:szCs w:val="24"/>
              </w:rPr>
              <w:t>£35,230</w:t>
            </w:r>
          </w:p>
        </w:tc>
        <w:tc>
          <w:tcPr>
            <w:tcW w:w="139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4C3A0B3" w14:textId="77777777" w:rsidR="006A470A" w:rsidRDefault="00000000">
            <w:pPr>
              <w:widowControl w:val="0"/>
              <w:jc w:val="right"/>
              <w:rPr>
                <w:sz w:val="20"/>
                <w:szCs w:val="20"/>
              </w:rPr>
            </w:pPr>
            <w:r>
              <w:rPr>
                <w:sz w:val="24"/>
                <w:szCs w:val="24"/>
              </w:rPr>
              <w:t>£36,350</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FF8DB42" w14:textId="77777777" w:rsidR="006A470A" w:rsidRDefault="00000000">
            <w:pPr>
              <w:widowControl w:val="0"/>
              <w:jc w:val="right"/>
              <w:rPr>
                <w:sz w:val="20"/>
                <w:szCs w:val="20"/>
              </w:rPr>
            </w:pPr>
            <w:r>
              <w:rPr>
                <w:sz w:val="24"/>
                <w:szCs w:val="24"/>
              </w:rPr>
              <w:t>£29,470</w:t>
            </w:r>
          </w:p>
        </w:tc>
      </w:tr>
      <w:tr w:rsidR="006A470A" w14:paraId="3F263461" w14:textId="77777777">
        <w:trPr>
          <w:trHeight w:val="345"/>
        </w:trPr>
        <w:tc>
          <w:tcPr>
            <w:tcW w:w="477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3E1980E" w14:textId="77777777" w:rsidR="006A470A" w:rsidRDefault="00000000">
            <w:pPr>
              <w:widowControl w:val="0"/>
              <w:rPr>
                <w:sz w:val="20"/>
                <w:szCs w:val="20"/>
              </w:rPr>
            </w:pPr>
            <w:r>
              <w:rPr>
                <w:sz w:val="24"/>
                <w:szCs w:val="24"/>
              </w:rPr>
              <w:t>Current liabilities</w:t>
            </w:r>
          </w:p>
        </w:tc>
        <w:tc>
          <w:tcPr>
            <w:tcW w:w="177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0933CC2" w14:textId="77777777" w:rsidR="006A470A" w:rsidRDefault="00000000">
            <w:pPr>
              <w:widowControl w:val="0"/>
              <w:jc w:val="right"/>
              <w:rPr>
                <w:sz w:val="20"/>
                <w:szCs w:val="20"/>
              </w:rPr>
            </w:pPr>
            <w:r>
              <w:rPr>
                <w:sz w:val="24"/>
                <w:szCs w:val="24"/>
              </w:rPr>
              <w:t>£1,957,360</w:t>
            </w:r>
          </w:p>
        </w:tc>
        <w:tc>
          <w:tcPr>
            <w:tcW w:w="139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B8EB911" w14:textId="77777777" w:rsidR="006A470A" w:rsidRDefault="00000000">
            <w:pPr>
              <w:widowControl w:val="0"/>
              <w:jc w:val="right"/>
              <w:rPr>
                <w:sz w:val="20"/>
                <w:szCs w:val="20"/>
              </w:rPr>
            </w:pPr>
            <w:r>
              <w:rPr>
                <w:sz w:val="24"/>
                <w:szCs w:val="24"/>
              </w:rPr>
              <w:t>£2,107,750</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D5E8BCE" w14:textId="77777777" w:rsidR="006A470A" w:rsidRDefault="00000000">
            <w:pPr>
              <w:widowControl w:val="0"/>
              <w:jc w:val="right"/>
              <w:rPr>
                <w:sz w:val="20"/>
                <w:szCs w:val="20"/>
              </w:rPr>
            </w:pPr>
            <w:r>
              <w:rPr>
                <w:sz w:val="24"/>
                <w:szCs w:val="24"/>
              </w:rPr>
              <w:t>£2,014,600</w:t>
            </w:r>
          </w:p>
        </w:tc>
      </w:tr>
      <w:tr w:rsidR="006A470A" w14:paraId="37A30C48" w14:textId="77777777">
        <w:trPr>
          <w:trHeight w:val="345"/>
        </w:trPr>
        <w:tc>
          <w:tcPr>
            <w:tcW w:w="477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7B43F36" w14:textId="77777777" w:rsidR="006A470A" w:rsidRDefault="00000000">
            <w:pPr>
              <w:widowControl w:val="0"/>
              <w:rPr>
                <w:sz w:val="20"/>
                <w:szCs w:val="20"/>
              </w:rPr>
            </w:pPr>
            <w:r>
              <w:rPr>
                <w:sz w:val="24"/>
                <w:szCs w:val="24"/>
              </w:rPr>
              <w:lastRenderedPageBreak/>
              <w:t xml:space="preserve">Quick ratio = </w:t>
            </w:r>
            <m:oMath>
              <m:f>
                <m:fPr>
                  <m:ctrlPr>
                    <w:rPr>
                      <w:rFonts w:ascii="Cambria Math" w:hAnsi="Cambria Math"/>
                      <w:sz w:val="24"/>
                      <w:szCs w:val="24"/>
                    </w:rPr>
                  </m:ctrlPr>
                </m:fPr>
                <m:num>
                  <m:r>
                    <w:rPr>
                      <w:rFonts w:ascii="Cambria Math" w:hAnsi="Cambria Math"/>
                      <w:sz w:val="24"/>
                      <w:szCs w:val="24"/>
                    </w:rPr>
                    <m:t>Current assets - inventories</m:t>
                  </m:r>
                </m:num>
                <m:den>
                  <m:r>
                    <w:rPr>
                      <w:rFonts w:ascii="Cambria Math" w:hAnsi="Cambria Math"/>
                      <w:sz w:val="24"/>
                      <w:szCs w:val="24"/>
                    </w:rPr>
                    <m:t>Current liabilities</m:t>
                  </m:r>
                </m:den>
              </m:f>
            </m:oMath>
          </w:p>
        </w:tc>
        <w:tc>
          <w:tcPr>
            <w:tcW w:w="177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8E9C985" w14:textId="77777777" w:rsidR="006A470A" w:rsidRDefault="00000000">
            <w:pPr>
              <w:widowControl w:val="0"/>
              <w:jc w:val="right"/>
              <w:rPr>
                <w:sz w:val="20"/>
                <w:szCs w:val="20"/>
              </w:rPr>
            </w:pPr>
            <w:r>
              <w:rPr>
                <w:sz w:val="24"/>
                <w:szCs w:val="24"/>
              </w:rPr>
              <w:t>0.95: 1</w:t>
            </w:r>
          </w:p>
        </w:tc>
        <w:tc>
          <w:tcPr>
            <w:tcW w:w="139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BE4B10E" w14:textId="77777777" w:rsidR="006A470A" w:rsidRDefault="00000000">
            <w:pPr>
              <w:widowControl w:val="0"/>
              <w:jc w:val="right"/>
              <w:rPr>
                <w:sz w:val="20"/>
                <w:szCs w:val="20"/>
              </w:rPr>
            </w:pPr>
            <w:r>
              <w:rPr>
                <w:sz w:val="24"/>
                <w:szCs w:val="24"/>
              </w:rPr>
              <w:t>0.92: 1</w:t>
            </w:r>
          </w:p>
        </w:tc>
        <w:tc>
          <w:tcPr>
            <w:tcW w:w="153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F6959B3" w14:textId="77777777" w:rsidR="006A470A" w:rsidRDefault="00000000">
            <w:pPr>
              <w:widowControl w:val="0"/>
              <w:jc w:val="right"/>
              <w:rPr>
                <w:sz w:val="20"/>
                <w:szCs w:val="20"/>
              </w:rPr>
            </w:pPr>
            <w:r>
              <w:rPr>
                <w:sz w:val="24"/>
                <w:szCs w:val="24"/>
              </w:rPr>
              <w:t>0.62: 1</w:t>
            </w:r>
          </w:p>
        </w:tc>
      </w:tr>
    </w:tbl>
    <w:p w14:paraId="051B017F" w14:textId="77777777" w:rsidR="006A470A" w:rsidRDefault="006A470A">
      <w:pPr>
        <w:spacing w:line="360" w:lineRule="auto"/>
        <w:jc w:val="both"/>
        <w:rPr>
          <w:b/>
          <w:sz w:val="24"/>
          <w:szCs w:val="24"/>
        </w:rPr>
      </w:pPr>
    </w:p>
    <w:p w14:paraId="781528B8" w14:textId="77777777" w:rsidR="006A470A" w:rsidRDefault="00000000">
      <w:pPr>
        <w:spacing w:line="360" w:lineRule="auto"/>
        <w:jc w:val="both"/>
        <w:rPr>
          <w:sz w:val="24"/>
          <w:szCs w:val="24"/>
        </w:rPr>
      </w:pPr>
      <w:r>
        <w:rPr>
          <w:sz w:val="24"/>
          <w:szCs w:val="24"/>
        </w:rPr>
        <w:t>The Quick ratio also speaks about the position of liquidity of the City Hotel. Only the liquid assets that have immediate cash conversion ability are considered in the quick ratio (</w:t>
      </w:r>
      <w:r>
        <w:rPr>
          <w:sz w:val="24"/>
          <w:szCs w:val="24"/>
          <w:highlight w:val="white"/>
        </w:rPr>
        <w:t>Atrill, 2009, pp. 87)</w:t>
      </w:r>
      <w:r>
        <w:rPr>
          <w:sz w:val="24"/>
          <w:szCs w:val="24"/>
        </w:rPr>
        <w:t xml:space="preserve">. Here, the City Hotel’s management of working capital has worsened as the Hotel’s liquidity is under threat in 2023. The patterns in the quick ratio from 2021 to 2023 have been trending downward, indicating a fall in the liquidity position of the business entity.    </w:t>
      </w:r>
    </w:p>
    <w:p w14:paraId="5EC814E6" w14:textId="77777777" w:rsidR="006A470A" w:rsidRDefault="00000000" w:rsidP="001B2EB1">
      <w:pPr>
        <w:pStyle w:val="Heading2"/>
      </w:pPr>
      <w:bookmarkStart w:id="4" w:name="_Toc181955506"/>
      <w:r>
        <w:t>Efficiency</w:t>
      </w:r>
      <w:bookmarkEnd w:id="4"/>
      <w:r>
        <w:t xml:space="preserve"> </w:t>
      </w:r>
    </w:p>
    <w:p w14:paraId="3CD6B7B6" w14:textId="77777777" w:rsidR="006A470A" w:rsidRDefault="00000000">
      <w:pPr>
        <w:spacing w:line="360" w:lineRule="auto"/>
        <w:jc w:val="both"/>
        <w:rPr>
          <w:sz w:val="24"/>
          <w:szCs w:val="24"/>
        </w:rPr>
      </w:pPr>
      <w:r>
        <w:rPr>
          <w:b/>
          <w:i/>
          <w:sz w:val="24"/>
          <w:szCs w:val="24"/>
        </w:rPr>
        <w:t>vi. Stock Holding Days:</w:t>
      </w:r>
    </w:p>
    <w:tbl>
      <w:tblPr>
        <w:tblStyle w:val="a4"/>
        <w:tblW w:w="9420" w:type="dxa"/>
        <w:tblBorders>
          <w:top w:val="nil"/>
          <w:left w:val="nil"/>
          <w:bottom w:val="nil"/>
          <w:right w:val="nil"/>
          <w:insideH w:val="nil"/>
          <w:insideV w:val="nil"/>
        </w:tblBorders>
        <w:tblLayout w:type="fixed"/>
        <w:tblLook w:val="0600" w:firstRow="0" w:lastRow="0" w:firstColumn="0" w:lastColumn="0" w:noHBand="1" w:noVBand="1"/>
      </w:tblPr>
      <w:tblGrid>
        <w:gridCol w:w="5280"/>
        <w:gridCol w:w="1485"/>
        <w:gridCol w:w="1365"/>
        <w:gridCol w:w="1290"/>
      </w:tblGrid>
      <w:tr w:rsidR="006A470A" w14:paraId="3FEFDC19" w14:textId="77777777">
        <w:trPr>
          <w:trHeight w:val="345"/>
        </w:trPr>
        <w:tc>
          <w:tcPr>
            <w:tcW w:w="9420"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4529A23" w14:textId="77777777" w:rsidR="006A470A" w:rsidRDefault="00000000">
            <w:pPr>
              <w:widowControl w:val="0"/>
              <w:jc w:val="center"/>
              <w:rPr>
                <w:sz w:val="20"/>
                <w:szCs w:val="20"/>
              </w:rPr>
            </w:pPr>
            <w:r>
              <w:rPr>
                <w:b/>
                <w:sz w:val="24"/>
                <w:szCs w:val="24"/>
              </w:rPr>
              <w:t>Measurement of the Stock holding days</w:t>
            </w:r>
          </w:p>
        </w:tc>
      </w:tr>
      <w:tr w:rsidR="006A470A" w14:paraId="2776625D" w14:textId="77777777">
        <w:trPr>
          <w:trHeight w:val="345"/>
        </w:trPr>
        <w:tc>
          <w:tcPr>
            <w:tcW w:w="528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6FDB8B70" w14:textId="77777777" w:rsidR="006A470A" w:rsidRDefault="00000000">
            <w:pPr>
              <w:widowControl w:val="0"/>
              <w:rPr>
                <w:sz w:val="20"/>
                <w:szCs w:val="20"/>
              </w:rPr>
            </w:pPr>
            <w:r>
              <w:rPr>
                <w:b/>
                <w:sz w:val="24"/>
                <w:szCs w:val="24"/>
              </w:rPr>
              <w:t>Particulars</w:t>
            </w:r>
          </w:p>
        </w:tc>
        <w:tc>
          <w:tcPr>
            <w:tcW w:w="14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4813827" w14:textId="77777777" w:rsidR="006A470A" w:rsidRDefault="00000000">
            <w:pPr>
              <w:widowControl w:val="0"/>
              <w:jc w:val="right"/>
              <w:rPr>
                <w:sz w:val="20"/>
                <w:szCs w:val="20"/>
              </w:rPr>
            </w:pPr>
            <w:r>
              <w:rPr>
                <w:b/>
                <w:sz w:val="24"/>
                <w:szCs w:val="24"/>
              </w:rPr>
              <w:t>2021</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C5422BB" w14:textId="77777777" w:rsidR="006A470A" w:rsidRDefault="00000000">
            <w:pPr>
              <w:widowControl w:val="0"/>
              <w:jc w:val="right"/>
              <w:rPr>
                <w:sz w:val="20"/>
                <w:szCs w:val="20"/>
              </w:rPr>
            </w:pPr>
            <w:r>
              <w:rPr>
                <w:b/>
                <w:sz w:val="24"/>
                <w:szCs w:val="24"/>
              </w:rPr>
              <w:t>2022</w:t>
            </w:r>
          </w:p>
        </w:tc>
        <w:tc>
          <w:tcPr>
            <w:tcW w:w="129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2C555B9" w14:textId="77777777" w:rsidR="006A470A" w:rsidRDefault="00000000">
            <w:pPr>
              <w:widowControl w:val="0"/>
              <w:jc w:val="right"/>
              <w:rPr>
                <w:sz w:val="20"/>
                <w:szCs w:val="20"/>
              </w:rPr>
            </w:pPr>
            <w:r>
              <w:rPr>
                <w:b/>
                <w:sz w:val="24"/>
                <w:szCs w:val="24"/>
              </w:rPr>
              <w:t>2023</w:t>
            </w:r>
          </w:p>
        </w:tc>
      </w:tr>
      <w:tr w:rsidR="006A470A" w14:paraId="11208632" w14:textId="77777777">
        <w:trPr>
          <w:trHeight w:val="345"/>
        </w:trPr>
        <w:tc>
          <w:tcPr>
            <w:tcW w:w="528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03A8608E" w14:textId="77777777" w:rsidR="006A470A" w:rsidRDefault="00000000">
            <w:pPr>
              <w:widowControl w:val="0"/>
              <w:rPr>
                <w:sz w:val="20"/>
                <w:szCs w:val="20"/>
              </w:rPr>
            </w:pPr>
            <w:r>
              <w:rPr>
                <w:sz w:val="24"/>
                <w:szCs w:val="24"/>
              </w:rPr>
              <w:t>Inventories</w:t>
            </w:r>
          </w:p>
        </w:tc>
        <w:tc>
          <w:tcPr>
            <w:tcW w:w="14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D8CE819" w14:textId="77777777" w:rsidR="006A470A" w:rsidRDefault="00000000">
            <w:pPr>
              <w:widowControl w:val="0"/>
              <w:jc w:val="right"/>
              <w:rPr>
                <w:sz w:val="20"/>
                <w:szCs w:val="20"/>
              </w:rPr>
            </w:pPr>
            <w:r>
              <w:rPr>
                <w:sz w:val="24"/>
                <w:szCs w:val="24"/>
              </w:rPr>
              <w:t>£35,230</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1B0EFFB" w14:textId="77777777" w:rsidR="006A470A" w:rsidRDefault="00000000">
            <w:pPr>
              <w:widowControl w:val="0"/>
              <w:jc w:val="right"/>
              <w:rPr>
                <w:sz w:val="20"/>
                <w:szCs w:val="20"/>
              </w:rPr>
            </w:pPr>
            <w:r>
              <w:rPr>
                <w:sz w:val="24"/>
                <w:szCs w:val="24"/>
              </w:rPr>
              <w:t>£36,350</w:t>
            </w:r>
          </w:p>
        </w:tc>
        <w:tc>
          <w:tcPr>
            <w:tcW w:w="129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BF3556A" w14:textId="77777777" w:rsidR="006A470A" w:rsidRDefault="00000000">
            <w:pPr>
              <w:widowControl w:val="0"/>
              <w:jc w:val="right"/>
              <w:rPr>
                <w:sz w:val="20"/>
                <w:szCs w:val="20"/>
              </w:rPr>
            </w:pPr>
            <w:r>
              <w:rPr>
                <w:sz w:val="24"/>
                <w:szCs w:val="24"/>
              </w:rPr>
              <w:t>£29,470</w:t>
            </w:r>
          </w:p>
        </w:tc>
      </w:tr>
      <w:tr w:rsidR="006A470A" w14:paraId="542A3A4F" w14:textId="77777777">
        <w:trPr>
          <w:trHeight w:val="345"/>
        </w:trPr>
        <w:tc>
          <w:tcPr>
            <w:tcW w:w="528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7C8F8F8" w14:textId="77777777" w:rsidR="006A470A" w:rsidRDefault="00000000">
            <w:pPr>
              <w:widowControl w:val="0"/>
              <w:rPr>
                <w:sz w:val="20"/>
                <w:szCs w:val="20"/>
              </w:rPr>
            </w:pPr>
            <w:r>
              <w:rPr>
                <w:sz w:val="24"/>
                <w:szCs w:val="24"/>
              </w:rPr>
              <w:t>Cost of sales</w:t>
            </w:r>
          </w:p>
        </w:tc>
        <w:tc>
          <w:tcPr>
            <w:tcW w:w="14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403FC89" w14:textId="77777777" w:rsidR="006A470A" w:rsidRDefault="00000000">
            <w:pPr>
              <w:widowControl w:val="0"/>
              <w:jc w:val="right"/>
              <w:rPr>
                <w:sz w:val="20"/>
                <w:szCs w:val="20"/>
              </w:rPr>
            </w:pPr>
            <w:r>
              <w:rPr>
                <w:sz w:val="24"/>
                <w:szCs w:val="24"/>
              </w:rPr>
              <w:t>£411,600</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7FC07B0" w14:textId="77777777" w:rsidR="006A470A" w:rsidRDefault="00000000">
            <w:pPr>
              <w:widowControl w:val="0"/>
              <w:jc w:val="right"/>
              <w:rPr>
                <w:sz w:val="20"/>
                <w:szCs w:val="20"/>
              </w:rPr>
            </w:pPr>
            <w:r>
              <w:rPr>
                <w:sz w:val="24"/>
                <w:szCs w:val="24"/>
              </w:rPr>
              <w:t>£401,510</w:t>
            </w:r>
          </w:p>
        </w:tc>
        <w:tc>
          <w:tcPr>
            <w:tcW w:w="129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ABF9E56" w14:textId="77777777" w:rsidR="006A470A" w:rsidRDefault="00000000">
            <w:pPr>
              <w:widowControl w:val="0"/>
              <w:jc w:val="right"/>
              <w:rPr>
                <w:sz w:val="20"/>
                <w:szCs w:val="20"/>
              </w:rPr>
            </w:pPr>
            <w:r>
              <w:rPr>
                <w:sz w:val="24"/>
                <w:szCs w:val="24"/>
              </w:rPr>
              <w:t>£176,250</w:t>
            </w:r>
          </w:p>
        </w:tc>
      </w:tr>
      <w:tr w:rsidR="006A470A" w14:paraId="01834A56" w14:textId="77777777">
        <w:trPr>
          <w:trHeight w:val="345"/>
        </w:trPr>
        <w:tc>
          <w:tcPr>
            <w:tcW w:w="528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730BC635" w14:textId="77777777" w:rsidR="006A470A" w:rsidRDefault="00000000">
            <w:pPr>
              <w:widowControl w:val="0"/>
              <w:rPr>
                <w:sz w:val="20"/>
                <w:szCs w:val="20"/>
              </w:rPr>
            </w:pPr>
            <w:r>
              <w:rPr>
                <w:sz w:val="24"/>
                <w:szCs w:val="24"/>
              </w:rPr>
              <w:t xml:space="preserve">Inventory Days = </w:t>
            </w:r>
            <m:oMath>
              <m:f>
                <m:fPr>
                  <m:ctrlPr>
                    <w:rPr>
                      <w:rFonts w:ascii="Cambria Math" w:hAnsi="Cambria Math"/>
                      <w:sz w:val="24"/>
                      <w:szCs w:val="24"/>
                    </w:rPr>
                  </m:ctrlPr>
                </m:fPr>
                <m:num>
                  <m:r>
                    <w:rPr>
                      <w:rFonts w:ascii="Cambria Math" w:hAnsi="Cambria Math"/>
                      <w:sz w:val="24"/>
                      <w:szCs w:val="24"/>
                    </w:rPr>
                    <m:t>Inventories</m:t>
                  </m:r>
                </m:num>
                <m:den>
                  <m:r>
                    <w:rPr>
                      <w:rFonts w:ascii="Cambria Math" w:hAnsi="Cambria Math"/>
                      <w:sz w:val="24"/>
                      <w:szCs w:val="24"/>
                    </w:rPr>
                    <m:t>Cost of sales</m:t>
                  </m:r>
                </m:den>
              </m:f>
            </m:oMath>
            <w:r>
              <w:rPr>
                <w:sz w:val="24"/>
                <w:szCs w:val="24"/>
              </w:rPr>
              <w:t>*365</w:t>
            </w:r>
          </w:p>
        </w:tc>
        <w:tc>
          <w:tcPr>
            <w:tcW w:w="14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5BFD378" w14:textId="77777777" w:rsidR="006A470A" w:rsidRDefault="00000000">
            <w:pPr>
              <w:widowControl w:val="0"/>
              <w:jc w:val="right"/>
              <w:rPr>
                <w:sz w:val="20"/>
                <w:szCs w:val="20"/>
              </w:rPr>
            </w:pPr>
            <w:r>
              <w:rPr>
                <w:sz w:val="24"/>
                <w:szCs w:val="24"/>
              </w:rPr>
              <w:t>31 days</w:t>
            </w:r>
          </w:p>
        </w:tc>
        <w:tc>
          <w:tcPr>
            <w:tcW w:w="136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B2071F1" w14:textId="77777777" w:rsidR="006A470A" w:rsidRDefault="00000000">
            <w:pPr>
              <w:widowControl w:val="0"/>
              <w:jc w:val="right"/>
              <w:rPr>
                <w:sz w:val="20"/>
                <w:szCs w:val="20"/>
              </w:rPr>
            </w:pPr>
            <w:r>
              <w:rPr>
                <w:sz w:val="24"/>
                <w:szCs w:val="24"/>
              </w:rPr>
              <w:t>33 days</w:t>
            </w:r>
          </w:p>
        </w:tc>
        <w:tc>
          <w:tcPr>
            <w:tcW w:w="129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C0121A" w14:textId="77777777" w:rsidR="006A470A" w:rsidRDefault="00000000">
            <w:pPr>
              <w:widowControl w:val="0"/>
              <w:jc w:val="right"/>
              <w:rPr>
                <w:sz w:val="20"/>
                <w:szCs w:val="20"/>
              </w:rPr>
            </w:pPr>
            <w:r>
              <w:rPr>
                <w:sz w:val="24"/>
                <w:szCs w:val="24"/>
              </w:rPr>
              <w:t>61 days</w:t>
            </w:r>
          </w:p>
        </w:tc>
      </w:tr>
    </w:tbl>
    <w:p w14:paraId="24C78562" w14:textId="77777777" w:rsidR="006A470A" w:rsidRDefault="006A470A">
      <w:pPr>
        <w:spacing w:line="360" w:lineRule="auto"/>
        <w:jc w:val="both"/>
        <w:rPr>
          <w:sz w:val="24"/>
          <w:szCs w:val="24"/>
        </w:rPr>
      </w:pPr>
    </w:p>
    <w:p w14:paraId="1554C6AA" w14:textId="77777777" w:rsidR="006A470A" w:rsidRDefault="00000000">
      <w:pPr>
        <w:spacing w:line="360" w:lineRule="auto"/>
        <w:jc w:val="both"/>
        <w:rPr>
          <w:sz w:val="24"/>
          <w:szCs w:val="24"/>
        </w:rPr>
      </w:pPr>
      <w:r>
        <w:rPr>
          <w:sz w:val="24"/>
          <w:szCs w:val="24"/>
        </w:rPr>
        <w:t>With this ratio, stakeholders get to know about the inventory management capability of the company. The period in days required by the companies to clear the stocks is indicated to be the stock holding period ratio (</w:t>
      </w:r>
      <w:r>
        <w:rPr>
          <w:sz w:val="24"/>
          <w:szCs w:val="24"/>
          <w:highlight w:val="white"/>
        </w:rPr>
        <w:t xml:space="preserve">Carey </w:t>
      </w:r>
      <w:r>
        <w:rPr>
          <w:i/>
          <w:sz w:val="24"/>
          <w:szCs w:val="24"/>
          <w:highlight w:val="white"/>
        </w:rPr>
        <w:t>et al</w:t>
      </w:r>
      <w:r>
        <w:rPr>
          <w:sz w:val="24"/>
          <w:szCs w:val="24"/>
          <w:highlight w:val="white"/>
        </w:rPr>
        <w:t>. 2017)</w:t>
      </w:r>
      <w:r>
        <w:rPr>
          <w:sz w:val="24"/>
          <w:szCs w:val="24"/>
        </w:rPr>
        <w:t xml:space="preserve">. A company is declared more financially efficient when stocks are sold quickly. Here, the City Hotel hold onto its stocks for 31 days in 2021, 33 days in 2022, and 61 days in 2023. This reduced the inventory turnover in 2023, affecting the cash flows of the hotel in 2023. </w:t>
      </w:r>
    </w:p>
    <w:p w14:paraId="7056205D" w14:textId="77777777" w:rsidR="006A470A" w:rsidRDefault="00000000">
      <w:pPr>
        <w:spacing w:line="360" w:lineRule="auto"/>
        <w:jc w:val="both"/>
        <w:rPr>
          <w:sz w:val="24"/>
          <w:szCs w:val="24"/>
        </w:rPr>
      </w:pPr>
      <w:r>
        <w:rPr>
          <w:b/>
          <w:i/>
          <w:sz w:val="24"/>
          <w:szCs w:val="24"/>
        </w:rPr>
        <w:t>vii. Receivables collection period:</w:t>
      </w:r>
    </w:p>
    <w:tbl>
      <w:tblPr>
        <w:tblStyle w:val="a5"/>
        <w:tblW w:w="9435" w:type="dxa"/>
        <w:tblBorders>
          <w:top w:val="nil"/>
          <w:left w:val="nil"/>
          <w:bottom w:val="nil"/>
          <w:right w:val="nil"/>
          <w:insideH w:val="nil"/>
          <w:insideV w:val="nil"/>
        </w:tblBorders>
        <w:tblLayout w:type="fixed"/>
        <w:tblLook w:val="0600" w:firstRow="0" w:lastRow="0" w:firstColumn="0" w:lastColumn="0" w:noHBand="1" w:noVBand="1"/>
      </w:tblPr>
      <w:tblGrid>
        <w:gridCol w:w="5475"/>
        <w:gridCol w:w="1320"/>
        <w:gridCol w:w="1335"/>
        <w:gridCol w:w="1305"/>
      </w:tblGrid>
      <w:tr w:rsidR="006A470A" w14:paraId="1B26909C" w14:textId="77777777">
        <w:trPr>
          <w:trHeight w:val="345"/>
        </w:trPr>
        <w:tc>
          <w:tcPr>
            <w:tcW w:w="9435"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3324859C" w14:textId="77777777" w:rsidR="006A470A" w:rsidRDefault="00000000">
            <w:pPr>
              <w:widowControl w:val="0"/>
              <w:jc w:val="center"/>
              <w:rPr>
                <w:sz w:val="20"/>
                <w:szCs w:val="20"/>
              </w:rPr>
            </w:pPr>
            <w:r>
              <w:rPr>
                <w:b/>
                <w:sz w:val="24"/>
                <w:szCs w:val="24"/>
              </w:rPr>
              <w:t>Measurement of the Receivables collection period</w:t>
            </w:r>
          </w:p>
        </w:tc>
      </w:tr>
      <w:tr w:rsidR="006A470A" w14:paraId="1FB316FF" w14:textId="77777777">
        <w:trPr>
          <w:trHeight w:val="345"/>
        </w:trPr>
        <w:tc>
          <w:tcPr>
            <w:tcW w:w="547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1866978" w14:textId="77777777" w:rsidR="006A470A" w:rsidRDefault="00000000">
            <w:pPr>
              <w:widowControl w:val="0"/>
              <w:rPr>
                <w:sz w:val="20"/>
                <w:szCs w:val="20"/>
              </w:rPr>
            </w:pPr>
            <w:r>
              <w:rPr>
                <w:b/>
                <w:sz w:val="24"/>
                <w:szCs w:val="24"/>
              </w:rPr>
              <w:t>Particulars</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C88EE4C" w14:textId="77777777" w:rsidR="006A470A" w:rsidRDefault="00000000">
            <w:pPr>
              <w:widowControl w:val="0"/>
              <w:jc w:val="right"/>
              <w:rPr>
                <w:sz w:val="20"/>
                <w:szCs w:val="20"/>
              </w:rPr>
            </w:pPr>
            <w:r>
              <w:rPr>
                <w:b/>
                <w:sz w:val="24"/>
                <w:szCs w:val="24"/>
              </w:rPr>
              <w:t>2021</w:t>
            </w:r>
          </w:p>
        </w:tc>
        <w:tc>
          <w:tcPr>
            <w:tcW w:w="133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C2A9AF2" w14:textId="77777777" w:rsidR="006A470A" w:rsidRDefault="00000000">
            <w:pPr>
              <w:widowControl w:val="0"/>
              <w:jc w:val="right"/>
              <w:rPr>
                <w:sz w:val="20"/>
                <w:szCs w:val="20"/>
              </w:rPr>
            </w:pPr>
            <w:r>
              <w:rPr>
                <w:b/>
                <w:sz w:val="24"/>
                <w:szCs w:val="24"/>
              </w:rPr>
              <w:t>2022</w:t>
            </w:r>
          </w:p>
        </w:tc>
        <w:tc>
          <w:tcPr>
            <w:tcW w:w="130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9871EBE" w14:textId="77777777" w:rsidR="006A470A" w:rsidRDefault="00000000">
            <w:pPr>
              <w:widowControl w:val="0"/>
              <w:jc w:val="right"/>
              <w:rPr>
                <w:sz w:val="20"/>
                <w:szCs w:val="20"/>
              </w:rPr>
            </w:pPr>
            <w:r>
              <w:rPr>
                <w:b/>
                <w:sz w:val="24"/>
                <w:szCs w:val="24"/>
              </w:rPr>
              <w:t>2023</w:t>
            </w:r>
          </w:p>
        </w:tc>
      </w:tr>
      <w:tr w:rsidR="006A470A" w14:paraId="42B1C3E4" w14:textId="77777777">
        <w:trPr>
          <w:trHeight w:val="345"/>
        </w:trPr>
        <w:tc>
          <w:tcPr>
            <w:tcW w:w="547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486026A" w14:textId="77777777" w:rsidR="006A470A" w:rsidRDefault="00000000">
            <w:pPr>
              <w:widowControl w:val="0"/>
              <w:rPr>
                <w:sz w:val="20"/>
                <w:szCs w:val="20"/>
              </w:rPr>
            </w:pPr>
            <w:r>
              <w:rPr>
                <w:sz w:val="24"/>
                <w:szCs w:val="24"/>
              </w:rPr>
              <w:t>Trade receivables</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41764D1" w14:textId="77777777" w:rsidR="006A470A" w:rsidRDefault="00000000">
            <w:pPr>
              <w:widowControl w:val="0"/>
              <w:jc w:val="right"/>
              <w:rPr>
                <w:sz w:val="20"/>
                <w:szCs w:val="20"/>
              </w:rPr>
            </w:pPr>
            <w:r>
              <w:rPr>
                <w:sz w:val="24"/>
                <w:szCs w:val="24"/>
              </w:rPr>
              <w:t>£691,380</w:t>
            </w:r>
          </w:p>
        </w:tc>
        <w:tc>
          <w:tcPr>
            <w:tcW w:w="133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0836444" w14:textId="77777777" w:rsidR="006A470A" w:rsidRDefault="00000000">
            <w:pPr>
              <w:widowControl w:val="0"/>
              <w:jc w:val="right"/>
              <w:rPr>
                <w:sz w:val="20"/>
                <w:szCs w:val="20"/>
              </w:rPr>
            </w:pPr>
            <w:r>
              <w:rPr>
                <w:sz w:val="24"/>
                <w:szCs w:val="24"/>
              </w:rPr>
              <w:t>£792,450</w:t>
            </w:r>
          </w:p>
        </w:tc>
        <w:tc>
          <w:tcPr>
            <w:tcW w:w="130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2BAA6357" w14:textId="77777777" w:rsidR="006A470A" w:rsidRDefault="00000000">
            <w:pPr>
              <w:widowControl w:val="0"/>
              <w:jc w:val="right"/>
              <w:rPr>
                <w:sz w:val="20"/>
                <w:szCs w:val="20"/>
              </w:rPr>
            </w:pPr>
            <w:r>
              <w:rPr>
                <w:sz w:val="24"/>
                <w:szCs w:val="24"/>
              </w:rPr>
              <w:t>£479180</w:t>
            </w:r>
          </w:p>
        </w:tc>
      </w:tr>
      <w:tr w:rsidR="006A470A" w14:paraId="03AE3DB6" w14:textId="77777777">
        <w:trPr>
          <w:trHeight w:val="467"/>
        </w:trPr>
        <w:tc>
          <w:tcPr>
            <w:tcW w:w="547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38B4E004" w14:textId="77777777" w:rsidR="006A470A" w:rsidRDefault="00000000">
            <w:pPr>
              <w:widowControl w:val="0"/>
              <w:rPr>
                <w:sz w:val="20"/>
                <w:szCs w:val="20"/>
              </w:rPr>
            </w:pPr>
            <w:r>
              <w:rPr>
                <w:sz w:val="24"/>
                <w:szCs w:val="24"/>
              </w:rPr>
              <w:t>Revenue</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02B94C" w14:textId="77777777" w:rsidR="006A470A" w:rsidRDefault="00000000">
            <w:pPr>
              <w:widowControl w:val="0"/>
              <w:jc w:val="right"/>
              <w:rPr>
                <w:sz w:val="20"/>
                <w:szCs w:val="20"/>
              </w:rPr>
            </w:pPr>
            <w:r>
              <w:rPr>
                <w:sz w:val="24"/>
                <w:szCs w:val="24"/>
              </w:rPr>
              <w:t>£5,248,290</w:t>
            </w:r>
          </w:p>
        </w:tc>
        <w:tc>
          <w:tcPr>
            <w:tcW w:w="133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98B42CC" w14:textId="77777777" w:rsidR="006A470A" w:rsidRDefault="00000000">
            <w:pPr>
              <w:widowControl w:val="0"/>
              <w:jc w:val="right"/>
              <w:rPr>
                <w:sz w:val="20"/>
                <w:szCs w:val="20"/>
              </w:rPr>
            </w:pPr>
            <w:r>
              <w:rPr>
                <w:sz w:val="24"/>
                <w:szCs w:val="24"/>
              </w:rPr>
              <w:t>£5,307,480</w:t>
            </w:r>
          </w:p>
        </w:tc>
        <w:tc>
          <w:tcPr>
            <w:tcW w:w="130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E8E49B4" w14:textId="77777777" w:rsidR="006A470A" w:rsidRDefault="00000000">
            <w:pPr>
              <w:widowControl w:val="0"/>
              <w:jc w:val="right"/>
              <w:rPr>
                <w:sz w:val="20"/>
                <w:szCs w:val="20"/>
              </w:rPr>
            </w:pPr>
            <w:r>
              <w:rPr>
                <w:sz w:val="24"/>
                <w:szCs w:val="24"/>
              </w:rPr>
              <w:t>£2,325,440</w:t>
            </w:r>
          </w:p>
        </w:tc>
      </w:tr>
      <w:tr w:rsidR="006A470A" w14:paraId="2446327D" w14:textId="77777777">
        <w:trPr>
          <w:trHeight w:val="510"/>
        </w:trPr>
        <w:tc>
          <w:tcPr>
            <w:tcW w:w="547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4E820EE3" w14:textId="77777777" w:rsidR="006A470A" w:rsidRDefault="00000000">
            <w:pPr>
              <w:widowControl w:val="0"/>
              <w:rPr>
                <w:sz w:val="20"/>
                <w:szCs w:val="20"/>
              </w:rPr>
            </w:pPr>
            <w:r>
              <w:rPr>
                <w:sz w:val="24"/>
                <w:szCs w:val="24"/>
              </w:rPr>
              <w:lastRenderedPageBreak/>
              <w:t xml:space="preserve">Receivables collection period = </w:t>
            </w:r>
            <m:oMath>
              <m:f>
                <m:fPr>
                  <m:ctrlPr>
                    <w:rPr>
                      <w:rFonts w:ascii="Cambria Math" w:hAnsi="Cambria Math"/>
                      <w:sz w:val="24"/>
                      <w:szCs w:val="24"/>
                    </w:rPr>
                  </m:ctrlPr>
                </m:fPr>
                <m:num>
                  <m:r>
                    <w:rPr>
                      <w:rFonts w:ascii="Cambria Math" w:hAnsi="Cambria Math"/>
                      <w:sz w:val="24"/>
                      <w:szCs w:val="24"/>
                    </w:rPr>
                    <m:t>Trade receivables</m:t>
                  </m:r>
                </m:num>
                <m:den>
                  <m:r>
                    <w:rPr>
                      <w:rFonts w:ascii="Cambria Math" w:hAnsi="Cambria Math"/>
                      <w:sz w:val="24"/>
                      <w:szCs w:val="24"/>
                    </w:rPr>
                    <m:t>Revenue</m:t>
                  </m:r>
                </m:den>
              </m:f>
            </m:oMath>
            <w:r>
              <w:rPr>
                <w:sz w:val="24"/>
                <w:szCs w:val="24"/>
              </w:rPr>
              <w:t>*365</w:t>
            </w:r>
          </w:p>
        </w:tc>
        <w:tc>
          <w:tcPr>
            <w:tcW w:w="132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E81F4E7" w14:textId="77777777" w:rsidR="006A470A" w:rsidRDefault="00000000">
            <w:pPr>
              <w:widowControl w:val="0"/>
              <w:jc w:val="right"/>
              <w:rPr>
                <w:sz w:val="20"/>
                <w:szCs w:val="20"/>
              </w:rPr>
            </w:pPr>
            <w:r>
              <w:rPr>
                <w:sz w:val="24"/>
                <w:szCs w:val="24"/>
              </w:rPr>
              <w:t>48 days</w:t>
            </w:r>
          </w:p>
        </w:tc>
        <w:tc>
          <w:tcPr>
            <w:tcW w:w="133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0A9D24FA" w14:textId="77777777" w:rsidR="006A470A" w:rsidRDefault="00000000">
            <w:pPr>
              <w:widowControl w:val="0"/>
              <w:jc w:val="right"/>
              <w:rPr>
                <w:sz w:val="20"/>
                <w:szCs w:val="20"/>
              </w:rPr>
            </w:pPr>
            <w:r>
              <w:rPr>
                <w:sz w:val="24"/>
                <w:szCs w:val="24"/>
              </w:rPr>
              <w:t>54 days</w:t>
            </w:r>
          </w:p>
        </w:tc>
        <w:tc>
          <w:tcPr>
            <w:tcW w:w="130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9A04364" w14:textId="77777777" w:rsidR="006A470A" w:rsidRDefault="00000000">
            <w:pPr>
              <w:widowControl w:val="0"/>
              <w:jc w:val="right"/>
              <w:rPr>
                <w:sz w:val="20"/>
                <w:szCs w:val="20"/>
              </w:rPr>
            </w:pPr>
            <w:r>
              <w:rPr>
                <w:sz w:val="24"/>
                <w:szCs w:val="24"/>
              </w:rPr>
              <w:t>75 days</w:t>
            </w:r>
          </w:p>
        </w:tc>
      </w:tr>
    </w:tbl>
    <w:p w14:paraId="340BB31D" w14:textId="77777777" w:rsidR="006A470A" w:rsidRDefault="006A470A">
      <w:pPr>
        <w:spacing w:line="360" w:lineRule="auto"/>
        <w:jc w:val="both"/>
        <w:rPr>
          <w:sz w:val="24"/>
          <w:szCs w:val="24"/>
        </w:rPr>
      </w:pPr>
    </w:p>
    <w:p w14:paraId="3FE320DF" w14:textId="77777777" w:rsidR="006A470A" w:rsidRDefault="00000000">
      <w:pPr>
        <w:spacing w:line="360" w:lineRule="auto"/>
        <w:jc w:val="both"/>
        <w:rPr>
          <w:sz w:val="24"/>
          <w:szCs w:val="24"/>
        </w:rPr>
      </w:pPr>
      <w:r>
        <w:rPr>
          <w:sz w:val="24"/>
          <w:szCs w:val="24"/>
        </w:rPr>
        <w:t>The receivables collection period usually talks about the time provided by a company to its credit customers to clear the due payments. A higher receivables collection period is not a suitable indicator of the financial efficiency of the company (</w:t>
      </w:r>
      <w:r>
        <w:rPr>
          <w:sz w:val="24"/>
          <w:szCs w:val="24"/>
          <w:highlight w:val="white"/>
        </w:rPr>
        <w:t xml:space="preserve">Carey </w:t>
      </w:r>
      <w:r>
        <w:rPr>
          <w:i/>
          <w:sz w:val="24"/>
          <w:szCs w:val="24"/>
          <w:highlight w:val="white"/>
        </w:rPr>
        <w:t>et al</w:t>
      </w:r>
      <w:r>
        <w:rPr>
          <w:sz w:val="24"/>
          <w:szCs w:val="24"/>
          <w:highlight w:val="white"/>
        </w:rPr>
        <w:t>. 2017)</w:t>
      </w:r>
      <w:r>
        <w:rPr>
          <w:sz w:val="24"/>
          <w:szCs w:val="24"/>
        </w:rPr>
        <w:t xml:space="preserve">. Here, the receivables collection period for the Hotel has been rising from 2021 to 2022 and then to 2023. This implies that the company’s collection of due payments from customers has been delayed in 2023, which led to inefficient cash flows for the Hotel in 2023.   </w:t>
      </w:r>
    </w:p>
    <w:p w14:paraId="0770F3D7" w14:textId="77777777" w:rsidR="006A470A" w:rsidRDefault="00000000">
      <w:pPr>
        <w:spacing w:line="360" w:lineRule="auto"/>
        <w:jc w:val="both"/>
        <w:rPr>
          <w:b/>
          <w:sz w:val="24"/>
          <w:szCs w:val="24"/>
        </w:rPr>
      </w:pPr>
      <w:r>
        <w:rPr>
          <w:b/>
          <w:i/>
          <w:sz w:val="24"/>
          <w:szCs w:val="24"/>
        </w:rPr>
        <w:t>viii. Payables payment period:</w:t>
      </w:r>
    </w:p>
    <w:tbl>
      <w:tblPr>
        <w:tblStyle w:val="a6"/>
        <w:tblW w:w="9465" w:type="dxa"/>
        <w:tblBorders>
          <w:top w:val="nil"/>
          <w:left w:val="nil"/>
          <w:bottom w:val="nil"/>
          <w:right w:val="nil"/>
          <w:insideH w:val="nil"/>
          <w:insideV w:val="nil"/>
        </w:tblBorders>
        <w:tblLayout w:type="fixed"/>
        <w:tblLook w:val="0600" w:firstRow="0" w:lastRow="0" w:firstColumn="0" w:lastColumn="0" w:noHBand="1" w:noVBand="1"/>
      </w:tblPr>
      <w:tblGrid>
        <w:gridCol w:w="4980"/>
        <w:gridCol w:w="1440"/>
        <w:gridCol w:w="1545"/>
        <w:gridCol w:w="1500"/>
      </w:tblGrid>
      <w:tr w:rsidR="006A470A" w14:paraId="2E15E82C" w14:textId="77777777">
        <w:trPr>
          <w:trHeight w:val="345"/>
        </w:trPr>
        <w:tc>
          <w:tcPr>
            <w:tcW w:w="9465" w:type="dxa"/>
            <w:gridSpan w:val="4"/>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14:paraId="13473701" w14:textId="77777777" w:rsidR="006A470A" w:rsidRDefault="00000000">
            <w:pPr>
              <w:widowControl w:val="0"/>
              <w:jc w:val="center"/>
              <w:rPr>
                <w:sz w:val="20"/>
                <w:szCs w:val="20"/>
              </w:rPr>
            </w:pPr>
            <w:r>
              <w:rPr>
                <w:b/>
                <w:sz w:val="24"/>
                <w:szCs w:val="24"/>
              </w:rPr>
              <w:t>Measurement of the Payable payment period</w:t>
            </w:r>
          </w:p>
        </w:tc>
      </w:tr>
      <w:tr w:rsidR="006A470A" w14:paraId="481151E9" w14:textId="77777777">
        <w:trPr>
          <w:trHeight w:val="345"/>
        </w:trPr>
        <w:tc>
          <w:tcPr>
            <w:tcW w:w="498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1978AC6A" w14:textId="77777777" w:rsidR="006A470A" w:rsidRDefault="00000000">
            <w:pPr>
              <w:widowControl w:val="0"/>
              <w:rPr>
                <w:sz w:val="20"/>
                <w:szCs w:val="20"/>
              </w:rPr>
            </w:pPr>
            <w:r>
              <w:rPr>
                <w:b/>
                <w:sz w:val="24"/>
                <w:szCs w:val="24"/>
              </w:rPr>
              <w:t>Particulars</w:t>
            </w:r>
          </w:p>
        </w:tc>
        <w:tc>
          <w:tcPr>
            <w:tcW w:w="144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457B1C79" w14:textId="77777777" w:rsidR="006A470A" w:rsidRDefault="00000000">
            <w:pPr>
              <w:widowControl w:val="0"/>
              <w:jc w:val="right"/>
              <w:rPr>
                <w:sz w:val="20"/>
                <w:szCs w:val="20"/>
              </w:rPr>
            </w:pPr>
            <w:r>
              <w:rPr>
                <w:b/>
                <w:sz w:val="24"/>
                <w:szCs w:val="24"/>
              </w:rPr>
              <w:t>2021</w:t>
            </w:r>
          </w:p>
        </w:tc>
        <w:tc>
          <w:tcPr>
            <w:tcW w:w="154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F00301E" w14:textId="77777777" w:rsidR="006A470A" w:rsidRDefault="00000000">
            <w:pPr>
              <w:widowControl w:val="0"/>
              <w:jc w:val="right"/>
              <w:rPr>
                <w:sz w:val="20"/>
                <w:szCs w:val="20"/>
              </w:rPr>
            </w:pPr>
            <w:r>
              <w:rPr>
                <w:b/>
                <w:sz w:val="24"/>
                <w:szCs w:val="24"/>
              </w:rPr>
              <w:t>2022</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542A06D" w14:textId="77777777" w:rsidR="006A470A" w:rsidRDefault="00000000">
            <w:pPr>
              <w:widowControl w:val="0"/>
              <w:jc w:val="right"/>
              <w:rPr>
                <w:sz w:val="20"/>
                <w:szCs w:val="20"/>
              </w:rPr>
            </w:pPr>
            <w:r>
              <w:rPr>
                <w:b/>
                <w:sz w:val="24"/>
                <w:szCs w:val="24"/>
              </w:rPr>
              <w:t>2023</w:t>
            </w:r>
          </w:p>
        </w:tc>
      </w:tr>
      <w:tr w:rsidR="006A470A" w14:paraId="0F075F9C" w14:textId="77777777">
        <w:trPr>
          <w:trHeight w:val="345"/>
        </w:trPr>
        <w:tc>
          <w:tcPr>
            <w:tcW w:w="498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5B802917" w14:textId="77777777" w:rsidR="006A470A" w:rsidRDefault="00000000">
            <w:pPr>
              <w:widowControl w:val="0"/>
              <w:rPr>
                <w:sz w:val="20"/>
                <w:szCs w:val="20"/>
              </w:rPr>
            </w:pPr>
            <w:r>
              <w:rPr>
                <w:sz w:val="24"/>
                <w:szCs w:val="24"/>
              </w:rPr>
              <w:t>Trade payables</w:t>
            </w:r>
          </w:p>
        </w:tc>
        <w:tc>
          <w:tcPr>
            <w:tcW w:w="144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5EB54234" w14:textId="77777777" w:rsidR="006A470A" w:rsidRDefault="00000000">
            <w:pPr>
              <w:widowControl w:val="0"/>
              <w:jc w:val="right"/>
              <w:rPr>
                <w:sz w:val="20"/>
                <w:szCs w:val="20"/>
              </w:rPr>
            </w:pPr>
            <w:r>
              <w:rPr>
                <w:sz w:val="24"/>
                <w:szCs w:val="24"/>
              </w:rPr>
              <w:t>£527,180</w:t>
            </w:r>
          </w:p>
        </w:tc>
        <w:tc>
          <w:tcPr>
            <w:tcW w:w="154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AB99F7A" w14:textId="77777777" w:rsidR="006A470A" w:rsidRDefault="00000000">
            <w:pPr>
              <w:widowControl w:val="0"/>
              <w:jc w:val="right"/>
              <w:rPr>
                <w:sz w:val="20"/>
                <w:szCs w:val="20"/>
              </w:rPr>
            </w:pPr>
            <w:r>
              <w:rPr>
                <w:sz w:val="24"/>
                <w:szCs w:val="24"/>
              </w:rPr>
              <w:t>£499,330</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E27FC4F" w14:textId="77777777" w:rsidR="006A470A" w:rsidRDefault="00000000">
            <w:pPr>
              <w:widowControl w:val="0"/>
              <w:jc w:val="right"/>
              <w:rPr>
                <w:sz w:val="20"/>
                <w:szCs w:val="20"/>
              </w:rPr>
            </w:pPr>
            <w:r>
              <w:rPr>
                <w:sz w:val="24"/>
                <w:szCs w:val="24"/>
              </w:rPr>
              <w:t>£401,350</w:t>
            </w:r>
          </w:p>
        </w:tc>
      </w:tr>
      <w:tr w:rsidR="006A470A" w14:paraId="28E66038" w14:textId="77777777">
        <w:trPr>
          <w:trHeight w:val="345"/>
        </w:trPr>
        <w:tc>
          <w:tcPr>
            <w:tcW w:w="498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8EB8F5B" w14:textId="77777777" w:rsidR="006A470A" w:rsidRDefault="00000000">
            <w:pPr>
              <w:widowControl w:val="0"/>
              <w:rPr>
                <w:sz w:val="20"/>
                <w:szCs w:val="20"/>
              </w:rPr>
            </w:pPr>
            <w:r>
              <w:rPr>
                <w:sz w:val="24"/>
                <w:szCs w:val="24"/>
              </w:rPr>
              <w:t xml:space="preserve">Cost of sales </w:t>
            </w:r>
          </w:p>
        </w:tc>
        <w:tc>
          <w:tcPr>
            <w:tcW w:w="144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FE76BEC" w14:textId="77777777" w:rsidR="006A470A" w:rsidRDefault="00000000">
            <w:pPr>
              <w:widowControl w:val="0"/>
              <w:jc w:val="right"/>
              <w:rPr>
                <w:sz w:val="20"/>
                <w:szCs w:val="20"/>
              </w:rPr>
            </w:pPr>
            <w:r>
              <w:rPr>
                <w:sz w:val="24"/>
                <w:szCs w:val="24"/>
              </w:rPr>
              <w:t>£411,600</w:t>
            </w:r>
          </w:p>
        </w:tc>
        <w:tc>
          <w:tcPr>
            <w:tcW w:w="154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C244315" w14:textId="77777777" w:rsidR="006A470A" w:rsidRDefault="00000000">
            <w:pPr>
              <w:widowControl w:val="0"/>
              <w:jc w:val="right"/>
              <w:rPr>
                <w:sz w:val="20"/>
                <w:szCs w:val="20"/>
              </w:rPr>
            </w:pPr>
            <w:r>
              <w:rPr>
                <w:sz w:val="24"/>
                <w:szCs w:val="24"/>
              </w:rPr>
              <w:t>£401,510</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362E4A55" w14:textId="77777777" w:rsidR="006A470A" w:rsidRDefault="00000000">
            <w:pPr>
              <w:widowControl w:val="0"/>
              <w:jc w:val="right"/>
              <w:rPr>
                <w:sz w:val="20"/>
                <w:szCs w:val="20"/>
              </w:rPr>
            </w:pPr>
            <w:r>
              <w:rPr>
                <w:sz w:val="24"/>
                <w:szCs w:val="24"/>
              </w:rPr>
              <w:t>£176,250</w:t>
            </w:r>
          </w:p>
        </w:tc>
      </w:tr>
      <w:tr w:rsidR="006A470A" w14:paraId="45D160F1" w14:textId="77777777">
        <w:trPr>
          <w:trHeight w:val="345"/>
        </w:trPr>
        <w:tc>
          <w:tcPr>
            <w:tcW w:w="4980"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14:paraId="290606CF" w14:textId="77777777" w:rsidR="006A470A" w:rsidRDefault="00000000">
            <w:pPr>
              <w:widowControl w:val="0"/>
              <w:rPr>
                <w:sz w:val="20"/>
                <w:szCs w:val="20"/>
              </w:rPr>
            </w:pPr>
            <w:r>
              <w:rPr>
                <w:sz w:val="24"/>
                <w:szCs w:val="24"/>
              </w:rPr>
              <w:t xml:space="preserve">Payable Days = </w:t>
            </w:r>
            <m:oMath>
              <m:f>
                <m:fPr>
                  <m:ctrlPr>
                    <w:rPr>
                      <w:rFonts w:ascii="Cambria Math" w:hAnsi="Cambria Math"/>
                      <w:sz w:val="24"/>
                      <w:szCs w:val="24"/>
                    </w:rPr>
                  </m:ctrlPr>
                </m:fPr>
                <m:num>
                  <m:r>
                    <w:rPr>
                      <w:rFonts w:ascii="Cambria Math" w:hAnsi="Cambria Math"/>
                      <w:sz w:val="24"/>
                      <w:szCs w:val="24"/>
                    </w:rPr>
                    <m:t>Trade payables</m:t>
                  </m:r>
                </m:num>
                <m:den>
                  <m:r>
                    <w:rPr>
                      <w:rFonts w:ascii="Cambria Math" w:hAnsi="Cambria Math"/>
                      <w:sz w:val="24"/>
                      <w:szCs w:val="24"/>
                    </w:rPr>
                    <m:t>Cost of sales</m:t>
                  </m:r>
                </m:den>
              </m:f>
            </m:oMath>
            <w:r>
              <w:rPr>
                <w:sz w:val="24"/>
                <w:szCs w:val="24"/>
              </w:rPr>
              <w:t>*365</w:t>
            </w:r>
          </w:p>
        </w:tc>
        <w:tc>
          <w:tcPr>
            <w:tcW w:w="144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673FEB18" w14:textId="77777777" w:rsidR="006A470A" w:rsidRDefault="00000000">
            <w:pPr>
              <w:widowControl w:val="0"/>
              <w:jc w:val="right"/>
              <w:rPr>
                <w:sz w:val="20"/>
                <w:szCs w:val="20"/>
              </w:rPr>
            </w:pPr>
            <w:r>
              <w:rPr>
                <w:sz w:val="24"/>
                <w:szCs w:val="24"/>
              </w:rPr>
              <w:t>467 days</w:t>
            </w:r>
          </w:p>
        </w:tc>
        <w:tc>
          <w:tcPr>
            <w:tcW w:w="154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1A2AE4E4" w14:textId="77777777" w:rsidR="006A470A" w:rsidRDefault="00000000">
            <w:pPr>
              <w:widowControl w:val="0"/>
              <w:jc w:val="right"/>
              <w:rPr>
                <w:sz w:val="20"/>
                <w:szCs w:val="20"/>
              </w:rPr>
            </w:pPr>
            <w:r>
              <w:rPr>
                <w:sz w:val="24"/>
                <w:szCs w:val="24"/>
              </w:rPr>
              <w:t>454 days</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14:paraId="7A9BCB40" w14:textId="77777777" w:rsidR="006A470A" w:rsidRDefault="00000000">
            <w:pPr>
              <w:widowControl w:val="0"/>
              <w:jc w:val="right"/>
              <w:rPr>
                <w:sz w:val="20"/>
                <w:szCs w:val="20"/>
              </w:rPr>
            </w:pPr>
            <w:r>
              <w:rPr>
                <w:sz w:val="24"/>
                <w:szCs w:val="24"/>
              </w:rPr>
              <w:t>831 days</w:t>
            </w:r>
          </w:p>
        </w:tc>
      </w:tr>
    </w:tbl>
    <w:p w14:paraId="0C80DFC9" w14:textId="77777777" w:rsidR="006A470A" w:rsidRDefault="006A470A">
      <w:pPr>
        <w:spacing w:line="360" w:lineRule="auto"/>
        <w:jc w:val="both"/>
        <w:rPr>
          <w:b/>
          <w:sz w:val="24"/>
          <w:szCs w:val="24"/>
        </w:rPr>
      </w:pPr>
    </w:p>
    <w:p w14:paraId="4715DA84" w14:textId="77777777" w:rsidR="006A470A" w:rsidRDefault="00000000">
      <w:pPr>
        <w:spacing w:line="360" w:lineRule="auto"/>
        <w:jc w:val="both"/>
        <w:rPr>
          <w:sz w:val="24"/>
          <w:szCs w:val="24"/>
        </w:rPr>
      </w:pPr>
      <w:r>
        <w:rPr>
          <w:sz w:val="24"/>
          <w:szCs w:val="24"/>
        </w:rPr>
        <w:t>The time period in days that are required for a business to provide the payments for purchases to suppliers is illustrated by the payables payment period (</w:t>
      </w:r>
      <w:r>
        <w:rPr>
          <w:sz w:val="24"/>
          <w:szCs w:val="24"/>
          <w:highlight w:val="white"/>
        </w:rPr>
        <w:t xml:space="preserve">Carey </w:t>
      </w:r>
      <w:r>
        <w:rPr>
          <w:i/>
          <w:sz w:val="24"/>
          <w:szCs w:val="24"/>
          <w:highlight w:val="white"/>
        </w:rPr>
        <w:t>et al</w:t>
      </w:r>
      <w:r>
        <w:rPr>
          <w:sz w:val="24"/>
          <w:szCs w:val="24"/>
          <w:highlight w:val="white"/>
        </w:rPr>
        <w:t>. 2017)</w:t>
      </w:r>
      <w:r>
        <w:rPr>
          <w:sz w:val="24"/>
          <w:szCs w:val="24"/>
        </w:rPr>
        <w:t xml:space="preserve">. The City Hotel has delayed the payment to suppliers in 2023, as these funds have been used as trade credit in the recent financial year. This is good for managing the liquidity within the organisation, however, the relationship with the suppliers would take a back. </w:t>
      </w:r>
    </w:p>
    <w:p w14:paraId="2C6CD225" w14:textId="77777777" w:rsidR="006A470A" w:rsidRDefault="00000000" w:rsidP="001B2EB1">
      <w:pPr>
        <w:pStyle w:val="Heading2"/>
      </w:pPr>
      <w:bookmarkStart w:id="5" w:name="_Toc181955507"/>
      <w:r>
        <w:t>Solvency</w:t>
      </w:r>
      <w:bookmarkEnd w:id="5"/>
    </w:p>
    <w:p w14:paraId="65C6A743" w14:textId="77777777" w:rsidR="006A470A" w:rsidRDefault="00000000">
      <w:pPr>
        <w:spacing w:line="360" w:lineRule="auto"/>
        <w:jc w:val="both"/>
        <w:rPr>
          <w:b/>
          <w:sz w:val="24"/>
          <w:szCs w:val="24"/>
        </w:rPr>
      </w:pPr>
      <w:r>
        <w:rPr>
          <w:b/>
          <w:i/>
          <w:sz w:val="24"/>
          <w:szCs w:val="24"/>
        </w:rPr>
        <w:t>ix. Gearing ratio:</w:t>
      </w:r>
      <w:r>
        <w:rPr>
          <w:b/>
          <w:sz w:val="24"/>
          <w:szCs w:val="24"/>
        </w:rPr>
        <w:t xml:space="preserve"> </w:t>
      </w:r>
    </w:p>
    <w:tbl>
      <w:tblPr>
        <w:tblStyle w:val="a7"/>
        <w:tblW w:w="9465" w:type="dxa"/>
        <w:tblBorders>
          <w:top w:val="nil"/>
          <w:left w:val="nil"/>
          <w:bottom w:val="nil"/>
          <w:right w:val="nil"/>
          <w:insideH w:val="nil"/>
          <w:insideV w:val="nil"/>
        </w:tblBorders>
        <w:tblLayout w:type="fixed"/>
        <w:tblLook w:val="0600" w:firstRow="0" w:lastRow="0" w:firstColumn="0" w:lastColumn="0" w:noHBand="1" w:noVBand="1"/>
      </w:tblPr>
      <w:tblGrid>
        <w:gridCol w:w="4810"/>
        <w:gridCol w:w="1417"/>
        <w:gridCol w:w="1753"/>
        <w:gridCol w:w="1485"/>
      </w:tblGrid>
      <w:tr w:rsidR="006A470A" w14:paraId="0586121C" w14:textId="77777777">
        <w:trPr>
          <w:trHeight w:val="345"/>
        </w:trPr>
        <w:tc>
          <w:tcPr>
            <w:tcW w:w="9465" w:type="dxa"/>
            <w:gridSpan w:val="4"/>
            <w:tcBorders>
              <w:top w:val="single" w:sz="8" w:space="0" w:color="000000"/>
              <w:left w:val="single" w:sz="8" w:space="0" w:color="000000"/>
              <w:bottom w:val="single" w:sz="8" w:space="0" w:color="000000"/>
              <w:right w:val="single" w:sz="8" w:space="0" w:color="000000"/>
            </w:tcBorders>
            <w:tcMar>
              <w:top w:w="40" w:type="dxa"/>
              <w:left w:w="40" w:type="dxa"/>
              <w:bottom w:w="40" w:type="dxa"/>
              <w:right w:w="40" w:type="dxa"/>
            </w:tcMar>
            <w:vAlign w:val="bottom"/>
          </w:tcPr>
          <w:p w14:paraId="110B9CAB" w14:textId="77777777" w:rsidR="006A470A" w:rsidRDefault="00000000">
            <w:pPr>
              <w:widowControl w:val="0"/>
              <w:jc w:val="center"/>
              <w:rPr>
                <w:sz w:val="20"/>
                <w:szCs w:val="20"/>
              </w:rPr>
            </w:pPr>
            <w:r>
              <w:rPr>
                <w:b/>
                <w:sz w:val="24"/>
                <w:szCs w:val="24"/>
              </w:rPr>
              <w:t>Measurement of the Gearing ratio</w:t>
            </w:r>
          </w:p>
        </w:tc>
      </w:tr>
      <w:tr w:rsidR="006A470A" w14:paraId="4FC67F8A" w14:textId="77777777" w:rsidTr="00AC4038">
        <w:trPr>
          <w:trHeight w:val="345"/>
        </w:trPr>
        <w:tc>
          <w:tcPr>
            <w:tcW w:w="4810"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03716250" w14:textId="77777777" w:rsidR="006A470A" w:rsidRDefault="00000000">
            <w:pPr>
              <w:widowControl w:val="0"/>
              <w:rPr>
                <w:sz w:val="20"/>
                <w:szCs w:val="20"/>
              </w:rPr>
            </w:pPr>
            <w:r>
              <w:rPr>
                <w:b/>
                <w:sz w:val="24"/>
                <w:szCs w:val="24"/>
              </w:rPr>
              <w:t>Particulars</w:t>
            </w:r>
          </w:p>
        </w:tc>
        <w:tc>
          <w:tcPr>
            <w:tcW w:w="1417"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2FD55BFF" w14:textId="77777777" w:rsidR="006A470A" w:rsidRDefault="00000000">
            <w:pPr>
              <w:widowControl w:val="0"/>
              <w:jc w:val="right"/>
              <w:rPr>
                <w:sz w:val="20"/>
                <w:szCs w:val="20"/>
              </w:rPr>
            </w:pPr>
            <w:r>
              <w:rPr>
                <w:b/>
                <w:sz w:val="24"/>
                <w:szCs w:val="24"/>
              </w:rPr>
              <w:t>2021</w:t>
            </w:r>
          </w:p>
        </w:tc>
        <w:tc>
          <w:tcPr>
            <w:tcW w:w="1753"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273723AC" w14:textId="77777777" w:rsidR="006A470A" w:rsidRDefault="00000000">
            <w:pPr>
              <w:widowControl w:val="0"/>
              <w:jc w:val="right"/>
              <w:rPr>
                <w:sz w:val="20"/>
                <w:szCs w:val="20"/>
              </w:rPr>
            </w:pPr>
            <w:r>
              <w:rPr>
                <w:b/>
                <w:sz w:val="24"/>
                <w:szCs w:val="24"/>
              </w:rPr>
              <w:t>2022</w:t>
            </w:r>
          </w:p>
        </w:tc>
        <w:tc>
          <w:tcPr>
            <w:tcW w:w="1485"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096055C1" w14:textId="77777777" w:rsidR="006A470A" w:rsidRDefault="00000000">
            <w:pPr>
              <w:widowControl w:val="0"/>
              <w:jc w:val="right"/>
              <w:rPr>
                <w:sz w:val="20"/>
                <w:szCs w:val="20"/>
              </w:rPr>
            </w:pPr>
            <w:r>
              <w:rPr>
                <w:b/>
                <w:sz w:val="24"/>
                <w:szCs w:val="24"/>
              </w:rPr>
              <w:t>2023</w:t>
            </w:r>
          </w:p>
        </w:tc>
      </w:tr>
      <w:tr w:rsidR="006A470A" w14:paraId="469A3C1B" w14:textId="77777777" w:rsidTr="00AC4038">
        <w:trPr>
          <w:trHeight w:val="540"/>
        </w:trPr>
        <w:tc>
          <w:tcPr>
            <w:tcW w:w="4810"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0D17B457" w14:textId="77777777" w:rsidR="006A470A" w:rsidRDefault="00000000">
            <w:pPr>
              <w:widowControl w:val="0"/>
              <w:rPr>
                <w:sz w:val="20"/>
                <w:szCs w:val="20"/>
              </w:rPr>
            </w:pPr>
            <w:r>
              <w:rPr>
                <w:sz w:val="24"/>
                <w:szCs w:val="24"/>
              </w:rPr>
              <w:t>Non-current liabilities</w:t>
            </w:r>
          </w:p>
        </w:tc>
        <w:tc>
          <w:tcPr>
            <w:tcW w:w="1417"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616E33F6" w14:textId="77777777" w:rsidR="006A470A" w:rsidRDefault="00000000">
            <w:pPr>
              <w:widowControl w:val="0"/>
              <w:jc w:val="right"/>
              <w:rPr>
                <w:sz w:val="20"/>
                <w:szCs w:val="20"/>
              </w:rPr>
            </w:pPr>
            <w:r>
              <w:rPr>
                <w:sz w:val="24"/>
                <w:szCs w:val="24"/>
              </w:rPr>
              <w:t>£8,727,580</w:t>
            </w:r>
          </w:p>
        </w:tc>
        <w:tc>
          <w:tcPr>
            <w:tcW w:w="1753"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5BCC53B6" w14:textId="77777777" w:rsidR="006A470A" w:rsidRDefault="00000000">
            <w:pPr>
              <w:widowControl w:val="0"/>
              <w:jc w:val="right"/>
              <w:rPr>
                <w:sz w:val="20"/>
                <w:szCs w:val="20"/>
              </w:rPr>
            </w:pPr>
            <w:r>
              <w:rPr>
                <w:sz w:val="24"/>
                <w:szCs w:val="24"/>
              </w:rPr>
              <w:t>£11,230,300</w:t>
            </w:r>
          </w:p>
        </w:tc>
        <w:tc>
          <w:tcPr>
            <w:tcW w:w="1485"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48B443CF" w14:textId="77777777" w:rsidR="006A470A" w:rsidRDefault="00000000">
            <w:pPr>
              <w:widowControl w:val="0"/>
              <w:jc w:val="right"/>
              <w:rPr>
                <w:sz w:val="20"/>
                <w:szCs w:val="20"/>
              </w:rPr>
            </w:pPr>
            <w:r>
              <w:rPr>
                <w:sz w:val="24"/>
                <w:szCs w:val="24"/>
              </w:rPr>
              <w:t>£12,228,780</w:t>
            </w:r>
          </w:p>
        </w:tc>
      </w:tr>
      <w:tr w:rsidR="006A470A" w14:paraId="26F67FB0" w14:textId="77777777" w:rsidTr="00AC4038">
        <w:trPr>
          <w:trHeight w:val="585"/>
        </w:trPr>
        <w:tc>
          <w:tcPr>
            <w:tcW w:w="4810"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2600C4D5" w14:textId="77777777" w:rsidR="006A470A" w:rsidRDefault="00000000">
            <w:pPr>
              <w:widowControl w:val="0"/>
              <w:rPr>
                <w:sz w:val="20"/>
                <w:szCs w:val="20"/>
              </w:rPr>
            </w:pPr>
            <w:r>
              <w:rPr>
                <w:sz w:val="24"/>
                <w:szCs w:val="24"/>
              </w:rPr>
              <w:t>Total shareholders' equity</w:t>
            </w:r>
          </w:p>
        </w:tc>
        <w:tc>
          <w:tcPr>
            <w:tcW w:w="1417"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068BDDDF" w14:textId="77777777" w:rsidR="006A470A" w:rsidRDefault="00000000">
            <w:pPr>
              <w:widowControl w:val="0"/>
              <w:jc w:val="right"/>
              <w:rPr>
                <w:sz w:val="20"/>
                <w:szCs w:val="20"/>
              </w:rPr>
            </w:pPr>
            <w:r>
              <w:rPr>
                <w:sz w:val="24"/>
                <w:szCs w:val="24"/>
              </w:rPr>
              <w:t>£2,256,180</w:t>
            </w:r>
          </w:p>
        </w:tc>
        <w:tc>
          <w:tcPr>
            <w:tcW w:w="1753"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3ECB7A38" w14:textId="77777777" w:rsidR="006A470A" w:rsidRDefault="00000000">
            <w:pPr>
              <w:widowControl w:val="0"/>
              <w:jc w:val="right"/>
              <w:rPr>
                <w:sz w:val="20"/>
                <w:szCs w:val="20"/>
              </w:rPr>
            </w:pPr>
            <w:r>
              <w:rPr>
                <w:sz w:val="24"/>
                <w:szCs w:val="24"/>
              </w:rPr>
              <w:t>£2,583,030</w:t>
            </w:r>
          </w:p>
        </w:tc>
        <w:tc>
          <w:tcPr>
            <w:tcW w:w="1485"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1F1C97C1" w14:textId="77777777" w:rsidR="006A470A" w:rsidRDefault="00000000">
            <w:pPr>
              <w:widowControl w:val="0"/>
              <w:jc w:val="right"/>
              <w:rPr>
                <w:sz w:val="20"/>
                <w:szCs w:val="20"/>
              </w:rPr>
            </w:pPr>
            <w:r>
              <w:rPr>
                <w:sz w:val="24"/>
                <w:szCs w:val="24"/>
              </w:rPr>
              <w:t>£1,410,580</w:t>
            </w:r>
          </w:p>
        </w:tc>
      </w:tr>
      <w:tr w:rsidR="006A470A" w14:paraId="565E1C6F" w14:textId="77777777" w:rsidTr="00AC4038">
        <w:trPr>
          <w:trHeight w:val="587"/>
        </w:trPr>
        <w:tc>
          <w:tcPr>
            <w:tcW w:w="4810"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598D3BBB" w14:textId="77777777" w:rsidR="006A470A" w:rsidRDefault="00000000">
            <w:pPr>
              <w:widowControl w:val="0"/>
              <w:rPr>
                <w:sz w:val="20"/>
                <w:szCs w:val="20"/>
              </w:rPr>
            </w:pPr>
            <w:r>
              <w:rPr>
                <w:sz w:val="24"/>
                <w:szCs w:val="24"/>
              </w:rPr>
              <w:lastRenderedPageBreak/>
              <w:t xml:space="preserve">Gearing ratio = </w:t>
            </w:r>
            <m:oMath>
              <m:f>
                <m:fPr>
                  <m:ctrlPr>
                    <w:rPr>
                      <w:rFonts w:ascii="Cambria Math" w:hAnsi="Cambria Math"/>
                      <w:sz w:val="24"/>
                      <w:szCs w:val="24"/>
                    </w:rPr>
                  </m:ctrlPr>
                </m:fPr>
                <m:num>
                  <m:r>
                    <w:rPr>
                      <w:rFonts w:ascii="Cambria Math" w:hAnsi="Cambria Math"/>
                      <w:sz w:val="24"/>
                      <w:szCs w:val="24"/>
                    </w:rPr>
                    <m:t>Non-current liabilities</m:t>
                  </m:r>
                </m:num>
                <m:den>
                  <m:r>
                    <w:rPr>
                      <w:rFonts w:ascii="Cambria Math" w:hAnsi="Cambria Math"/>
                      <w:sz w:val="24"/>
                      <w:szCs w:val="24"/>
                    </w:rPr>
                    <m:t>Non-current liabilities + Total equity</m:t>
                  </m:r>
                </m:den>
              </m:f>
            </m:oMath>
            <w:r>
              <w:rPr>
                <w:sz w:val="24"/>
                <w:szCs w:val="24"/>
              </w:rPr>
              <w:t>*100</w:t>
            </w:r>
          </w:p>
        </w:tc>
        <w:tc>
          <w:tcPr>
            <w:tcW w:w="1417"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1A396900" w14:textId="77777777" w:rsidR="006A470A" w:rsidRDefault="00000000">
            <w:pPr>
              <w:widowControl w:val="0"/>
              <w:jc w:val="right"/>
              <w:rPr>
                <w:sz w:val="20"/>
                <w:szCs w:val="20"/>
              </w:rPr>
            </w:pPr>
            <w:r>
              <w:rPr>
                <w:sz w:val="24"/>
                <w:szCs w:val="24"/>
              </w:rPr>
              <w:t>79.46%</w:t>
            </w:r>
          </w:p>
        </w:tc>
        <w:tc>
          <w:tcPr>
            <w:tcW w:w="1753"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277DE657" w14:textId="77777777" w:rsidR="006A470A" w:rsidRDefault="00000000">
            <w:pPr>
              <w:widowControl w:val="0"/>
              <w:jc w:val="right"/>
              <w:rPr>
                <w:sz w:val="20"/>
                <w:szCs w:val="20"/>
              </w:rPr>
            </w:pPr>
            <w:r>
              <w:rPr>
                <w:sz w:val="24"/>
                <w:szCs w:val="24"/>
              </w:rPr>
              <w:t>81.30%</w:t>
            </w:r>
          </w:p>
        </w:tc>
        <w:tc>
          <w:tcPr>
            <w:tcW w:w="1485" w:type="dxa"/>
            <w:tcBorders>
              <w:top w:val="single" w:sz="8" w:space="0" w:color="000000"/>
              <w:left w:val="single" w:sz="8" w:space="0" w:color="000000"/>
              <w:bottom w:val="single" w:sz="8" w:space="0" w:color="000000"/>
              <w:right w:val="single" w:sz="8" w:space="0" w:color="000000"/>
            </w:tcBorders>
            <w:shd w:val="clear" w:color="auto" w:fill="auto"/>
            <w:tcMar>
              <w:top w:w="40" w:type="dxa"/>
              <w:left w:w="40" w:type="dxa"/>
              <w:bottom w:w="40" w:type="dxa"/>
              <w:right w:w="40" w:type="dxa"/>
            </w:tcMar>
            <w:vAlign w:val="bottom"/>
          </w:tcPr>
          <w:p w14:paraId="23FA5A12" w14:textId="77777777" w:rsidR="006A470A" w:rsidRDefault="00000000">
            <w:pPr>
              <w:widowControl w:val="0"/>
              <w:jc w:val="right"/>
              <w:rPr>
                <w:sz w:val="20"/>
                <w:szCs w:val="20"/>
              </w:rPr>
            </w:pPr>
            <w:r>
              <w:rPr>
                <w:sz w:val="24"/>
                <w:szCs w:val="24"/>
              </w:rPr>
              <w:t>89.66%</w:t>
            </w:r>
          </w:p>
        </w:tc>
      </w:tr>
    </w:tbl>
    <w:p w14:paraId="7375BB7E" w14:textId="77777777" w:rsidR="006A470A" w:rsidRDefault="006A470A">
      <w:pPr>
        <w:spacing w:line="360" w:lineRule="auto"/>
        <w:jc w:val="both"/>
        <w:rPr>
          <w:b/>
          <w:sz w:val="24"/>
          <w:szCs w:val="24"/>
        </w:rPr>
      </w:pPr>
    </w:p>
    <w:p w14:paraId="06A6C391" w14:textId="6753271C" w:rsidR="006A470A" w:rsidRDefault="00000000">
      <w:pPr>
        <w:spacing w:line="360" w:lineRule="auto"/>
        <w:jc w:val="both"/>
        <w:rPr>
          <w:sz w:val="24"/>
          <w:szCs w:val="24"/>
        </w:rPr>
      </w:pPr>
      <w:r>
        <w:rPr>
          <w:sz w:val="24"/>
          <w:szCs w:val="24"/>
        </w:rPr>
        <w:t xml:space="preserve">The gearing ratio </w:t>
      </w:r>
      <w:r w:rsidR="001B2EB1">
        <w:rPr>
          <w:sz w:val="24"/>
          <w:szCs w:val="24"/>
        </w:rPr>
        <w:t>talks</w:t>
      </w:r>
      <w:r>
        <w:rPr>
          <w:sz w:val="24"/>
          <w:szCs w:val="24"/>
        </w:rPr>
        <w:t xml:space="preserve"> about the fraction of assets that long-term borrowings finance against the shareholders’ equity that long-term debts &amp; obligations finance (GoCardless, 2024). Here, the gearing ratio of the company has gradually risen, indicating a higher fraction of the business’s equity financed by long-term debts. This indicates lower solvency of the City Hotel in 2023 which affects the financial stability of the business in the mentioned year. </w:t>
      </w:r>
    </w:p>
    <w:p w14:paraId="686128BB" w14:textId="7C104DDC" w:rsidR="006A470A" w:rsidRDefault="00000000" w:rsidP="001B2EB1">
      <w:pPr>
        <w:pStyle w:val="Heading1"/>
      </w:pPr>
      <w:bookmarkStart w:id="6" w:name="_Toc181955508"/>
      <w:r>
        <w:t>Reasons behind the decline in profitability</w:t>
      </w:r>
      <w:bookmarkEnd w:id="6"/>
    </w:p>
    <w:p w14:paraId="72648C2F" w14:textId="77777777" w:rsidR="006A470A" w:rsidRDefault="00000000">
      <w:pPr>
        <w:spacing w:line="360" w:lineRule="auto"/>
        <w:jc w:val="both"/>
        <w:rPr>
          <w:sz w:val="24"/>
          <w:szCs w:val="24"/>
        </w:rPr>
      </w:pPr>
      <w:r>
        <w:rPr>
          <w:sz w:val="24"/>
          <w:szCs w:val="24"/>
        </w:rPr>
        <w:t>Here, the profitability of the City Hotel has not only declined, rather has been negative, indicating financial losses during the year. There are quite a few external factors affecting the profitability of the hotel in 2023 as shown in the income statement.</w:t>
      </w:r>
    </w:p>
    <w:p w14:paraId="56E0145F" w14:textId="77777777" w:rsidR="001B2EB1" w:rsidRDefault="00000000">
      <w:pPr>
        <w:spacing w:line="360" w:lineRule="auto"/>
        <w:jc w:val="both"/>
        <w:rPr>
          <w:b/>
          <w:i/>
          <w:sz w:val="24"/>
          <w:szCs w:val="24"/>
        </w:rPr>
      </w:pPr>
      <w:r>
        <w:rPr>
          <w:b/>
          <w:i/>
          <w:sz w:val="24"/>
          <w:szCs w:val="24"/>
        </w:rPr>
        <w:t>The Covid-19 Pandemic:</w:t>
      </w:r>
    </w:p>
    <w:p w14:paraId="1662E9C1" w14:textId="334E1DF5" w:rsidR="006A470A" w:rsidRDefault="00000000">
      <w:pPr>
        <w:spacing w:line="360" w:lineRule="auto"/>
        <w:jc w:val="both"/>
        <w:rPr>
          <w:sz w:val="24"/>
          <w:szCs w:val="24"/>
        </w:rPr>
      </w:pPr>
      <w:r>
        <w:rPr>
          <w:sz w:val="24"/>
          <w:szCs w:val="24"/>
        </w:rPr>
        <w:t xml:space="preserve">The hospitality industry in the UK is one of the worst hit industries by COVID-19. The pandemic enforced a lot of restrictions on travel, hotel stays, etc. which reduced the demand for customers for travel and hotel bookings. Even in 2023, some restrictions are still there, which led to lower occupancy rates for the City Hotel.  </w:t>
      </w:r>
    </w:p>
    <w:p w14:paraId="6BAE3C32" w14:textId="77777777" w:rsidR="006A470A" w:rsidRDefault="00000000">
      <w:pPr>
        <w:spacing w:line="360" w:lineRule="auto"/>
        <w:jc w:val="both"/>
        <w:rPr>
          <w:b/>
          <w:i/>
          <w:sz w:val="24"/>
          <w:szCs w:val="24"/>
        </w:rPr>
      </w:pPr>
      <w:r>
        <w:rPr>
          <w:b/>
          <w:i/>
          <w:sz w:val="24"/>
          <w:szCs w:val="24"/>
        </w:rPr>
        <w:t xml:space="preserve">High Inflation in the UK: </w:t>
      </w:r>
    </w:p>
    <w:p w14:paraId="16483504" w14:textId="77777777" w:rsidR="006A470A" w:rsidRDefault="00000000">
      <w:pPr>
        <w:spacing w:line="360" w:lineRule="auto"/>
        <w:jc w:val="both"/>
        <w:rPr>
          <w:sz w:val="24"/>
          <w:szCs w:val="24"/>
        </w:rPr>
      </w:pPr>
      <w:r>
        <w:rPr>
          <w:sz w:val="24"/>
          <w:szCs w:val="24"/>
        </w:rPr>
        <w:t>In 2022, the inflation of the UK sky-rocketed because of the internal energy crisis and the Russia-Ukraine conflict. It has put a lot of cost pressure on the hospitality businesses (</w:t>
      </w:r>
      <w:r>
        <w:rPr>
          <w:sz w:val="24"/>
          <w:szCs w:val="24"/>
          <w:highlight w:val="white"/>
        </w:rPr>
        <w:t>BBC, 2024)</w:t>
      </w:r>
      <w:r>
        <w:rPr>
          <w:sz w:val="24"/>
          <w:szCs w:val="24"/>
        </w:rPr>
        <w:t xml:space="preserve">. Similarly, the City Hotel had to bear significantly higher operating costs because of the inflationary pressures, that have exceeded the revenue of the business. </w:t>
      </w:r>
    </w:p>
    <w:p w14:paraId="6B268ED3" w14:textId="77777777" w:rsidR="006A470A" w:rsidRDefault="00000000">
      <w:pPr>
        <w:spacing w:line="360" w:lineRule="auto"/>
        <w:jc w:val="both"/>
        <w:rPr>
          <w:b/>
          <w:i/>
          <w:sz w:val="24"/>
          <w:szCs w:val="24"/>
        </w:rPr>
      </w:pPr>
      <w:r>
        <w:rPr>
          <w:b/>
          <w:i/>
          <w:sz w:val="24"/>
          <w:szCs w:val="24"/>
        </w:rPr>
        <w:t xml:space="preserve">Brexit: </w:t>
      </w:r>
    </w:p>
    <w:p w14:paraId="41423395" w14:textId="77777777" w:rsidR="006A470A" w:rsidRDefault="00000000">
      <w:pPr>
        <w:spacing w:line="360" w:lineRule="auto"/>
        <w:jc w:val="both"/>
        <w:rPr>
          <w:sz w:val="24"/>
          <w:szCs w:val="24"/>
        </w:rPr>
      </w:pPr>
      <w:r>
        <w:rPr>
          <w:sz w:val="24"/>
          <w:szCs w:val="24"/>
        </w:rPr>
        <w:t xml:space="preserve">Brexit has been another relevant event that has had an adverse impact on the profitability of the City Hotel UK. Brexit has affected the supply chain of the hotel and a shortage of labour was also faced by the hotel because of the revised migration rules. Therefore, the </w:t>
      </w:r>
      <w:r>
        <w:rPr>
          <w:sz w:val="24"/>
          <w:szCs w:val="24"/>
        </w:rPr>
        <w:lastRenderedPageBreak/>
        <w:t>wages for workers increased amidst this inflationary period, affecting the profit margins of the business (</w:t>
      </w:r>
      <w:r>
        <w:rPr>
          <w:sz w:val="24"/>
          <w:szCs w:val="24"/>
          <w:highlight w:val="white"/>
        </w:rPr>
        <w:t>Russell, 2024)</w:t>
      </w:r>
      <w:r>
        <w:rPr>
          <w:sz w:val="24"/>
          <w:szCs w:val="24"/>
        </w:rPr>
        <w:t xml:space="preserve">.  </w:t>
      </w:r>
    </w:p>
    <w:p w14:paraId="23C1A995" w14:textId="17A00762" w:rsidR="006A470A" w:rsidRDefault="00000000" w:rsidP="001B2EB1">
      <w:pPr>
        <w:pStyle w:val="Heading1"/>
      </w:pPr>
      <w:bookmarkStart w:id="7" w:name="_Toc181955509"/>
      <w:r>
        <w:t xml:space="preserve">A comprehensive turnaround strategy for the City Hotel </w:t>
      </w:r>
      <w:r w:rsidR="00F3272F">
        <w:t>- Recommendations</w:t>
      </w:r>
      <w:bookmarkEnd w:id="7"/>
    </w:p>
    <w:p w14:paraId="5793736C" w14:textId="77777777" w:rsidR="006A470A" w:rsidRDefault="00000000">
      <w:pPr>
        <w:spacing w:line="360" w:lineRule="auto"/>
        <w:jc w:val="both"/>
        <w:rPr>
          <w:sz w:val="24"/>
          <w:szCs w:val="24"/>
        </w:rPr>
      </w:pPr>
      <w:r>
        <w:rPr>
          <w:sz w:val="24"/>
          <w:szCs w:val="24"/>
        </w:rPr>
        <w:t>A comprehensive turnaround strategy for the City Hotel UK can be useful in changing the financial outcomes of the business through the implementation of effective measures. These measures include -</w:t>
      </w:r>
    </w:p>
    <w:p w14:paraId="4EBFDC36" w14:textId="77777777" w:rsidR="006A470A" w:rsidRDefault="00000000">
      <w:pPr>
        <w:spacing w:line="360" w:lineRule="auto"/>
        <w:jc w:val="both"/>
        <w:rPr>
          <w:b/>
          <w:i/>
          <w:sz w:val="24"/>
          <w:szCs w:val="24"/>
        </w:rPr>
      </w:pPr>
      <w:r>
        <w:rPr>
          <w:b/>
          <w:i/>
          <w:sz w:val="24"/>
          <w:szCs w:val="24"/>
        </w:rPr>
        <w:t>Operating efficiency &amp; cost control:</w:t>
      </w:r>
    </w:p>
    <w:p w14:paraId="316FE5A0" w14:textId="77777777" w:rsidR="006A470A" w:rsidRDefault="00000000">
      <w:pPr>
        <w:spacing w:line="360" w:lineRule="auto"/>
        <w:jc w:val="both"/>
        <w:rPr>
          <w:sz w:val="24"/>
          <w:szCs w:val="24"/>
        </w:rPr>
      </w:pPr>
      <w:r>
        <w:rPr>
          <w:sz w:val="24"/>
          <w:szCs w:val="24"/>
        </w:rPr>
        <w:t>The management of the City Hotel needs to implement some cost-saving initiatives that will not compromise the quality. These initiatives include the renegotiation of contracts of suppliers, optimised use of energy sources, and adoption of the management systems for the inventory so that waste amount can be reduced. Also, flexibility can be useful in raising the efficiency of the workers for which cross-training staff is required (</w:t>
      </w:r>
      <w:r>
        <w:rPr>
          <w:sz w:val="24"/>
          <w:szCs w:val="24"/>
          <w:highlight w:val="white"/>
        </w:rPr>
        <w:t>Erasmus, 2021)</w:t>
      </w:r>
      <w:r>
        <w:rPr>
          <w:sz w:val="24"/>
          <w:szCs w:val="24"/>
        </w:rPr>
        <w:t>.</w:t>
      </w:r>
    </w:p>
    <w:p w14:paraId="2CC8F515" w14:textId="77777777" w:rsidR="006A470A" w:rsidRDefault="00000000">
      <w:pPr>
        <w:spacing w:line="360" w:lineRule="auto"/>
        <w:jc w:val="both"/>
        <w:rPr>
          <w:b/>
          <w:i/>
          <w:sz w:val="24"/>
          <w:szCs w:val="24"/>
        </w:rPr>
      </w:pPr>
      <w:r>
        <w:rPr>
          <w:b/>
          <w:i/>
          <w:sz w:val="24"/>
          <w:szCs w:val="24"/>
        </w:rPr>
        <w:t>Initiatives to enhance revenue:</w:t>
      </w:r>
    </w:p>
    <w:p w14:paraId="346EE4D2" w14:textId="77777777" w:rsidR="006A470A" w:rsidRDefault="00000000">
      <w:pPr>
        <w:spacing w:line="360" w:lineRule="auto"/>
        <w:jc w:val="both"/>
        <w:rPr>
          <w:sz w:val="24"/>
          <w:szCs w:val="24"/>
        </w:rPr>
      </w:pPr>
      <w:r>
        <w:rPr>
          <w:sz w:val="24"/>
          <w:szCs w:val="24"/>
        </w:rPr>
        <w:t>Here, a dynamic pricing strategy can be useful for the City Hotel for the maximisation of turnover per room. Prices should be set according to the demand and seasonality. Also, the company can think of diversifying the revenue streams by promoting the hosting of different events like weddings, corporate retreats, local events, etc., spa treatments, dining and drinking packages, etc. (</w:t>
      </w:r>
      <w:r>
        <w:rPr>
          <w:sz w:val="24"/>
          <w:szCs w:val="24"/>
          <w:highlight w:val="white"/>
        </w:rPr>
        <w:t>Jimenez and Afonso, 2022)</w:t>
      </w:r>
      <w:r>
        <w:rPr>
          <w:sz w:val="24"/>
          <w:szCs w:val="24"/>
        </w:rPr>
        <w:t xml:space="preserve">.  </w:t>
      </w:r>
    </w:p>
    <w:p w14:paraId="1D4D1CFD" w14:textId="77777777" w:rsidR="006A470A" w:rsidRDefault="00000000">
      <w:pPr>
        <w:spacing w:line="360" w:lineRule="auto"/>
        <w:jc w:val="both"/>
        <w:rPr>
          <w:b/>
          <w:i/>
          <w:sz w:val="24"/>
          <w:szCs w:val="24"/>
        </w:rPr>
      </w:pPr>
      <w:r>
        <w:rPr>
          <w:b/>
          <w:i/>
          <w:sz w:val="24"/>
          <w:szCs w:val="24"/>
        </w:rPr>
        <w:t>Improvement of customer experience:</w:t>
      </w:r>
    </w:p>
    <w:p w14:paraId="325DE170" w14:textId="77777777" w:rsidR="006A470A" w:rsidRDefault="00000000">
      <w:pPr>
        <w:spacing w:line="360" w:lineRule="auto"/>
        <w:jc w:val="both"/>
        <w:rPr>
          <w:sz w:val="24"/>
          <w:szCs w:val="24"/>
        </w:rPr>
      </w:pPr>
      <w:r>
        <w:rPr>
          <w:sz w:val="24"/>
          <w:szCs w:val="24"/>
        </w:rPr>
        <w:t>Customer complaints, feedback, and queries are to be taken into account by the management. Post-pandemic hygiene expectations are to be met by the Hotel. Workers are to be trained efficiently to provide customer services efficiently (</w:t>
      </w:r>
      <w:r>
        <w:rPr>
          <w:sz w:val="24"/>
          <w:szCs w:val="24"/>
          <w:highlight w:val="white"/>
        </w:rPr>
        <w:t>Wetzels and Wetzels, 2023)</w:t>
      </w:r>
      <w:r>
        <w:rPr>
          <w:sz w:val="24"/>
          <w:szCs w:val="24"/>
        </w:rPr>
        <w:t xml:space="preserve">. A loyalty program will be introduced so that direct bookings and repeated bookings are incentivised to improve brand loyalty and room occupancy rates. </w:t>
      </w:r>
    </w:p>
    <w:p w14:paraId="569E631F" w14:textId="77777777" w:rsidR="006A470A" w:rsidRDefault="00000000">
      <w:pPr>
        <w:spacing w:line="360" w:lineRule="auto"/>
        <w:jc w:val="both"/>
        <w:rPr>
          <w:b/>
          <w:i/>
          <w:sz w:val="24"/>
          <w:szCs w:val="24"/>
        </w:rPr>
      </w:pPr>
      <w:r>
        <w:rPr>
          <w:b/>
          <w:i/>
          <w:sz w:val="24"/>
          <w:szCs w:val="24"/>
        </w:rPr>
        <w:t>Marketing and Rebranding:</w:t>
      </w:r>
    </w:p>
    <w:p w14:paraId="154D8983" w14:textId="77777777" w:rsidR="006A470A" w:rsidRDefault="00000000">
      <w:pPr>
        <w:spacing w:line="360" w:lineRule="auto"/>
        <w:jc w:val="both"/>
        <w:rPr>
          <w:sz w:val="24"/>
          <w:szCs w:val="24"/>
        </w:rPr>
      </w:pPr>
      <w:r>
        <w:rPr>
          <w:sz w:val="24"/>
          <w:szCs w:val="24"/>
        </w:rPr>
        <w:t xml:space="preserve">Unique and efficient marketing campaigns are to be planned and implemented to address the target audience. Also, social media platforms like YouTube, Facebook, and </w:t>
      </w:r>
      <w:r>
        <w:rPr>
          <w:sz w:val="24"/>
          <w:szCs w:val="24"/>
        </w:rPr>
        <w:lastRenderedPageBreak/>
        <w:t>Instagram, can be used for promotional activities (</w:t>
      </w:r>
      <w:proofErr w:type="spellStart"/>
      <w:r>
        <w:rPr>
          <w:sz w:val="24"/>
          <w:szCs w:val="24"/>
          <w:highlight w:val="white"/>
        </w:rPr>
        <w:t>Ezeife</w:t>
      </w:r>
      <w:proofErr w:type="spellEnd"/>
      <w:r>
        <w:rPr>
          <w:sz w:val="24"/>
          <w:szCs w:val="24"/>
          <w:highlight w:val="white"/>
        </w:rPr>
        <w:t>, 2017)</w:t>
      </w:r>
      <w:r>
        <w:rPr>
          <w:sz w:val="24"/>
          <w:szCs w:val="24"/>
        </w:rPr>
        <w:t xml:space="preserve">. Besides, the Hotel can form partnerships with local travel agencies for events, night stays, etc. </w:t>
      </w:r>
    </w:p>
    <w:p w14:paraId="5AA1139F" w14:textId="77777777" w:rsidR="006A470A" w:rsidRDefault="00000000" w:rsidP="001B2EB1">
      <w:pPr>
        <w:pStyle w:val="Heading1"/>
      </w:pPr>
      <w:bookmarkStart w:id="8" w:name="_Toc181955510"/>
      <w:r>
        <w:t>Conclusion</w:t>
      </w:r>
      <w:bookmarkEnd w:id="8"/>
      <w:r>
        <w:t xml:space="preserve"> </w:t>
      </w:r>
    </w:p>
    <w:p w14:paraId="707A9AF8" w14:textId="77777777" w:rsidR="006A470A" w:rsidRDefault="00000000">
      <w:pPr>
        <w:spacing w:line="360" w:lineRule="auto"/>
        <w:jc w:val="both"/>
        <w:rPr>
          <w:sz w:val="24"/>
          <w:szCs w:val="24"/>
        </w:rPr>
      </w:pPr>
      <w:r>
        <w:rPr>
          <w:sz w:val="24"/>
          <w:szCs w:val="24"/>
        </w:rPr>
        <w:t xml:space="preserve">This financial assessment of the financial strength and recital of the City Hotel &amp; restaurant shows the use of different accounting methods like ratio analysis that has been effective in comparing between results of different years. The City Hotel can now consider the recommendations provided for the turnaround as these measures are applicable when improving the ongoing financial aspects like revenue, profitability, solvency, and liquidity for the upcoming fiscal period. </w:t>
      </w:r>
    </w:p>
    <w:p w14:paraId="2A97FEA0" w14:textId="77777777" w:rsidR="006A470A" w:rsidRDefault="006A470A">
      <w:pPr>
        <w:spacing w:line="360" w:lineRule="auto"/>
        <w:jc w:val="both"/>
        <w:rPr>
          <w:b/>
          <w:sz w:val="24"/>
          <w:szCs w:val="24"/>
        </w:rPr>
      </w:pPr>
    </w:p>
    <w:p w14:paraId="24101492" w14:textId="77777777" w:rsidR="006A470A" w:rsidRDefault="00000000">
      <w:pPr>
        <w:spacing w:line="360" w:lineRule="auto"/>
        <w:jc w:val="both"/>
        <w:rPr>
          <w:b/>
          <w:sz w:val="24"/>
          <w:szCs w:val="24"/>
        </w:rPr>
      </w:pPr>
      <w:r>
        <w:br w:type="page"/>
      </w:r>
    </w:p>
    <w:p w14:paraId="17F1F3B7" w14:textId="77777777" w:rsidR="006A470A" w:rsidRDefault="00000000" w:rsidP="001B2EB1">
      <w:pPr>
        <w:pStyle w:val="Heading1"/>
      </w:pPr>
      <w:bookmarkStart w:id="9" w:name="_Toc181955511"/>
      <w:r>
        <w:lastRenderedPageBreak/>
        <w:t>References</w:t>
      </w:r>
      <w:bookmarkEnd w:id="9"/>
    </w:p>
    <w:p w14:paraId="6D643C85" w14:textId="77777777" w:rsidR="001B2EB1" w:rsidRDefault="001B2EB1">
      <w:pPr>
        <w:spacing w:after="240" w:line="360" w:lineRule="auto"/>
        <w:jc w:val="both"/>
        <w:rPr>
          <w:sz w:val="24"/>
          <w:szCs w:val="24"/>
          <w:highlight w:val="white"/>
        </w:rPr>
      </w:pPr>
      <w:r>
        <w:rPr>
          <w:sz w:val="24"/>
          <w:szCs w:val="24"/>
          <w:highlight w:val="white"/>
        </w:rPr>
        <w:t xml:space="preserve">Atrill, P. (2009). MBA-746 Financial Management for Decision Makers. </w:t>
      </w:r>
      <w:hyperlink r:id="rId7">
        <w:r>
          <w:rPr>
            <w:color w:val="1155CC"/>
            <w:sz w:val="24"/>
            <w:szCs w:val="24"/>
            <w:highlight w:val="white"/>
            <w:u w:val="single"/>
          </w:rPr>
          <w:t>https://rowkish.wordpress.com/wp-content/uploads/2019/10/financial-management-for-decision-makers-5th-editi.pdf</w:t>
        </w:r>
      </w:hyperlink>
      <w:r>
        <w:rPr>
          <w:sz w:val="24"/>
          <w:szCs w:val="24"/>
          <w:highlight w:val="white"/>
        </w:rPr>
        <w:t xml:space="preserve">. </w:t>
      </w:r>
    </w:p>
    <w:p w14:paraId="39729F8C" w14:textId="0951D1E5" w:rsidR="001B2EB1" w:rsidRDefault="001B2EB1">
      <w:pPr>
        <w:spacing w:after="240" w:line="360" w:lineRule="auto"/>
        <w:jc w:val="both"/>
        <w:rPr>
          <w:sz w:val="24"/>
          <w:szCs w:val="24"/>
          <w:highlight w:val="white"/>
        </w:rPr>
      </w:pPr>
      <w:r>
        <w:rPr>
          <w:sz w:val="24"/>
          <w:szCs w:val="24"/>
          <w:highlight w:val="white"/>
        </w:rPr>
        <w:t xml:space="preserve">BBC. (2024). </w:t>
      </w:r>
      <w:r>
        <w:rPr>
          <w:i/>
          <w:sz w:val="24"/>
          <w:szCs w:val="24"/>
          <w:highlight w:val="white"/>
        </w:rPr>
        <w:t>Inflation: Hospitality sector struggling with cost pressures</w:t>
      </w:r>
      <w:r>
        <w:rPr>
          <w:sz w:val="24"/>
          <w:szCs w:val="24"/>
          <w:highlight w:val="white"/>
        </w:rPr>
        <w:t xml:space="preserve">. </w:t>
      </w:r>
      <w:r w:rsidR="009E5C5A">
        <w:rPr>
          <w:sz w:val="24"/>
          <w:szCs w:val="24"/>
          <w:highlight w:val="white"/>
        </w:rPr>
        <w:t>[</w:t>
      </w:r>
      <w:r>
        <w:rPr>
          <w:sz w:val="24"/>
          <w:szCs w:val="24"/>
          <w:highlight w:val="white"/>
        </w:rPr>
        <w:t>online</w:t>
      </w:r>
      <w:r w:rsidR="009E5C5A">
        <w:rPr>
          <w:sz w:val="24"/>
          <w:szCs w:val="24"/>
          <w:highlight w:val="white"/>
        </w:rPr>
        <w:t>]</w:t>
      </w:r>
      <w:r>
        <w:rPr>
          <w:sz w:val="24"/>
          <w:szCs w:val="24"/>
          <w:highlight w:val="white"/>
        </w:rPr>
        <w:t xml:space="preserve"> Available at: https://www.bbc.com/news/articles/cw99e8v0wg1o </w:t>
      </w:r>
      <w:r w:rsidR="009E5C5A">
        <w:rPr>
          <w:sz w:val="24"/>
          <w:szCs w:val="24"/>
          <w:highlight w:val="white"/>
        </w:rPr>
        <w:t>(</w:t>
      </w:r>
      <w:r>
        <w:rPr>
          <w:sz w:val="24"/>
          <w:szCs w:val="24"/>
          <w:highlight w:val="white"/>
        </w:rPr>
        <w:t>Accessed 28 Oct. 2024</w:t>
      </w:r>
      <w:r w:rsidR="009E5C5A">
        <w:rPr>
          <w:sz w:val="24"/>
          <w:szCs w:val="24"/>
          <w:highlight w:val="white"/>
        </w:rPr>
        <w:t>)</w:t>
      </w:r>
      <w:r>
        <w:rPr>
          <w:sz w:val="24"/>
          <w:szCs w:val="24"/>
          <w:highlight w:val="white"/>
        </w:rPr>
        <w:t>.</w:t>
      </w:r>
    </w:p>
    <w:p w14:paraId="7D5F809E" w14:textId="77777777" w:rsidR="001B2EB1" w:rsidRDefault="001B2EB1">
      <w:pPr>
        <w:spacing w:line="360" w:lineRule="auto"/>
        <w:jc w:val="both"/>
        <w:rPr>
          <w:sz w:val="24"/>
          <w:szCs w:val="24"/>
        </w:rPr>
      </w:pPr>
      <w:r>
        <w:rPr>
          <w:sz w:val="24"/>
          <w:szCs w:val="24"/>
          <w:highlight w:val="white"/>
        </w:rPr>
        <w:t xml:space="preserve">Carey, M., Knowles, C. and Towers-Clark, J., (2017). </w:t>
      </w:r>
      <w:r>
        <w:rPr>
          <w:i/>
          <w:sz w:val="24"/>
          <w:szCs w:val="24"/>
          <w:highlight w:val="white"/>
        </w:rPr>
        <w:t>Accounting: a smart approach</w:t>
      </w:r>
      <w:r>
        <w:rPr>
          <w:sz w:val="24"/>
          <w:szCs w:val="24"/>
          <w:highlight w:val="white"/>
        </w:rPr>
        <w:t>. Oxford University Press.</w:t>
      </w:r>
      <w:r>
        <w:rPr>
          <w:sz w:val="24"/>
          <w:szCs w:val="24"/>
        </w:rPr>
        <w:t xml:space="preserve"> </w:t>
      </w:r>
    </w:p>
    <w:p w14:paraId="53D62788" w14:textId="77777777" w:rsidR="001B2EB1" w:rsidRDefault="001B2EB1">
      <w:pPr>
        <w:spacing w:after="240" w:line="360" w:lineRule="auto"/>
        <w:jc w:val="both"/>
        <w:rPr>
          <w:sz w:val="24"/>
          <w:szCs w:val="24"/>
          <w:highlight w:val="white"/>
        </w:rPr>
      </w:pPr>
      <w:r>
        <w:rPr>
          <w:sz w:val="24"/>
          <w:szCs w:val="24"/>
          <w:highlight w:val="white"/>
        </w:rPr>
        <w:t xml:space="preserve">Erasmus, E.G., (2021). Cost management practice and financial performance of listed deposit money banks in Nigeria. </w:t>
      </w:r>
      <w:r>
        <w:rPr>
          <w:i/>
          <w:sz w:val="24"/>
          <w:szCs w:val="24"/>
          <w:highlight w:val="white"/>
        </w:rPr>
        <w:t>Journal of Accounting and Financial Management</w:t>
      </w:r>
      <w:r>
        <w:rPr>
          <w:sz w:val="24"/>
          <w:szCs w:val="24"/>
          <w:highlight w:val="white"/>
        </w:rPr>
        <w:t xml:space="preserve">, </w:t>
      </w:r>
      <w:r>
        <w:rPr>
          <w:i/>
          <w:sz w:val="24"/>
          <w:szCs w:val="24"/>
          <w:highlight w:val="white"/>
        </w:rPr>
        <w:t>7</w:t>
      </w:r>
      <w:r>
        <w:rPr>
          <w:sz w:val="24"/>
          <w:szCs w:val="24"/>
          <w:highlight w:val="white"/>
        </w:rPr>
        <w:t xml:space="preserve">(2), pp.1-14. </w:t>
      </w:r>
      <w:hyperlink r:id="rId8">
        <w:r>
          <w:rPr>
            <w:color w:val="1155CC"/>
            <w:sz w:val="24"/>
            <w:szCs w:val="24"/>
            <w:highlight w:val="white"/>
            <w:u w:val="single"/>
          </w:rPr>
          <w:t>https://www.iiardjournals.org/get/JAFM/VOL.%207%20NO.%201%202021/Cost%20management%20practice%20and%20Financial.pdf</w:t>
        </w:r>
      </w:hyperlink>
      <w:r>
        <w:rPr>
          <w:sz w:val="24"/>
          <w:szCs w:val="24"/>
          <w:highlight w:val="white"/>
        </w:rPr>
        <w:t xml:space="preserve">. </w:t>
      </w:r>
    </w:p>
    <w:p w14:paraId="59B7693E" w14:textId="77777777" w:rsidR="001B2EB1" w:rsidRDefault="001B2EB1">
      <w:pPr>
        <w:spacing w:after="240" w:line="360" w:lineRule="auto"/>
        <w:jc w:val="both"/>
        <w:rPr>
          <w:sz w:val="24"/>
          <w:szCs w:val="24"/>
          <w:highlight w:val="white"/>
        </w:rPr>
      </w:pPr>
      <w:proofErr w:type="spellStart"/>
      <w:r>
        <w:rPr>
          <w:sz w:val="24"/>
          <w:szCs w:val="24"/>
          <w:highlight w:val="white"/>
        </w:rPr>
        <w:t>Ezeife</w:t>
      </w:r>
      <w:proofErr w:type="spellEnd"/>
      <w:r>
        <w:rPr>
          <w:sz w:val="24"/>
          <w:szCs w:val="24"/>
          <w:highlight w:val="white"/>
        </w:rPr>
        <w:t xml:space="preserve">, L., (2017). </w:t>
      </w:r>
      <w:r>
        <w:rPr>
          <w:i/>
          <w:sz w:val="24"/>
          <w:szCs w:val="24"/>
          <w:highlight w:val="white"/>
        </w:rPr>
        <w:t>Social media strategies for increasing sales</w:t>
      </w:r>
      <w:r>
        <w:rPr>
          <w:sz w:val="24"/>
          <w:szCs w:val="24"/>
          <w:highlight w:val="white"/>
        </w:rPr>
        <w:t xml:space="preserve">. Walden University. </w:t>
      </w:r>
      <w:hyperlink r:id="rId9">
        <w:r>
          <w:rPr>
            <w:color w:val="1155CC"/>
            <w:sz w:val="24"/>
            <w:szCs w:val="24"/>
            <w:highlight w:val="white"/>
            <w:u w:val="single"/>
          </w:rPr>
          <w:t>https://scholarworks.waldenu.edu/cgi/viewcontent.cgi?article=5385&amp;context=dissertations</w:t>
        </w:r>
      </w:hyperlink>
      <w:r>
        <w:rPr>
          <w:sz w:val="24"/>
          <w:szCs w:val="24"/>
          <w:highlight w:val="white"/>
        </w:rPr>
        <w:t xml:space="preserve">. </w:t>
      </w:r>
    </w:p>
    <w:p w14:paraId="6C4D4B62" w14:textId="40D9A778" w:rsidR="001B2EB1" w:rsidRDefault="001B2EB1">
      <w:pPr>
        <w:spacing w:after="240" w:line="360" w:lineRule="auto"/>
        <w:jc w:val="both"/>
        <w:rPr>
          <w:sz w:val="24"/>
          <w:szCs w:val="24"/>
        </w:rPr>
      </w:pPr>
      <w:r>
        <w:rPr>
          <w:sz w:val="24"/>
          <w:szCs w:val="24"/>
        </w:rPr>
        <w:t xml:space="preserve">GoCardless. (2024). </w:t>
      </w:r>
      <w:r>
        <w:rPr>
          <w:i/>
          <w:sz w:val="24"/>
          <w:szCs w:val="24"/>
        </w:rPr>
        <w:t>What Is the Gearing Ratio?</w:t>
      </w:r>
      <w:r>
        <w:rPr>
          <w:sz w:val="24"/>
          <w:szCs w:val="24"/>
        </w:rPr>
        <w:t xml:space="preserve"> </w:t>
      </w:r>
      <w:r w:rsidR="009E5C5A">
        <w:rPr>
          <w:sz w:val="24"/>
          <w:szCs w:val="24"/>
        </w:rPr>
        <w:t>[o</w:t>
      </w:r>
      <w:r>
        <w:rPr>
          <w:sz w:val="24"/>
          <w:szCs w:val="24"/>
        </w:rPr>
        <w:t>nline</w:t>
      </w:r>
      <w:r w:rsidR="009E5C5A">
        <w:rPr>
          <w:sz w:val="24"/>
          <w:szCs w:val="24"/>
        </w:rPr>
        <w:t>]</w:t>
      </w:r>
      <w:r>
        <w:rPr>
          <w:sz w:val="24"/>
          <w:szCs w:val="24"/>
        </w:rPr>
        <w:t xml:space="preserve"> Available at: https://gocardless.com/guides/posts/what-is-gearing-ratio/ </w:t>
      </w:r>
      <w:r w:rsidR="009E5C5A">
        <w:rPr>
          <w:sz w:val="24"/>
          <w:szCs w:val="24"/>
        </w:rPr>
        <w:t>(</w:t>
      </w:r>
      <w:r>
        <w:rPr>
          <w:sz w:val="24"/>
          <w:szCs w:val="24"/>
        </w:rPr>
        <w:t>Accessed 28 Oct. 2024</w:t>
      </w:r>
      <w:r w:rsidR="009E5C5A">
        <w:rPr>
          <w:sz w:val="24"/>
          <w:szCs w:val="24"/>
        </w:rPr>
        <w:t>)</w:t>
      </w:r>
      <w:r>
        <w:rPr>
          <w:sz w:val="24"/>
          <w:szCs w:val="24"/>
        </w:rPr>
        <w:t>.</w:t>
      </w:r>
    </w:p>
    <w:p w14:paraId="6C51E2F6" w14:textId="77777777" w:rsidR="001B2EB1" w:rsidRDefault="001B2EB1">
      <w:pPr>
        <w:spacing w:after="240" w:line="360" w:lineRule="auto"/>
        <w:jc w:val="both"/>
        <w:rPr>
          <w:sz w:val="24"/>
          <w:szCs w:val="24"/>
          <w:highlight w:val="white"/>
        </w:rPr>
      </w:pPr>
      <w:r>
        <w:rPr>
          <w:sz w:val="24"/>
          <w:szCs w:val="24"/>
          <w:highlight w:val="white"/>
        </w:rPr>
        <w:t xml:space="preserve">Jimenez, B.S. and Afonso, W.B., (2022). Revisiting the theory of revenue diversification: Insights from an empirical analysis of municipal budgetary solvency. </w:t>
      </w:r>
      <w:r>
        <w:rPr>
          <w:i/>
          <w:sz w:val="24"/>
          <w:szCs w:val="24"/>
          <w:highlight w:val="white"/>
        </w:rPr>
        <w:t>Public Budgeting &amp; Finance</w:t>
      </w:r>
      <w:r>
        <w:rPr>
          <w:sz w:val="24"/>
          <w:szCs w:val="24"/>
          <w:highlight w:val="white"/>
        </w:rPr>
        <w:t xml:space="preserve">, </w:t>
      </w:r>
      <w:r>
        <w:rPr>
          <w:i/>
          <w:sz w:val="24"/>
          <w:szCs w:val="24"/>
          <w:highlight w:val="white"/>
        </w:rPr>
        <w:t>42</w:t>
      </w:r>
      <w:r>
        <w:rPr>
          <w:sz w:val="24"/>
          <w:szCs w:val="24"/>
          <w:highlight w:val="white"/>
        </w:rPr>
        <w:t xml:space="preserve">(2), pp.196-220. </w:t>
      </w:r>
      <w:hyperlink r:id="rId10">
        <w:r>
          <w:rPr>
            <w:color w:val="1155CC"/>
            <w:sz w:val="24"/>
            <w:szCs w:val="24"/>
            <w:highlight w:val="white"/>
            <w:u w:val="single"/>
          </w:rPr>
          <w:t>https://scholarworks.gsu.edu/cgi/viewcontent.cgi?article=1032&amp;context=pmap_facpubs</w:t>
        </w:r>
      </w:hyperlink>
      <w:r>
        <w:rPr>
          <w:sz w:val="24"/>
          <w:szCs w:val="24"/>
          <w:highlight w:val="white"/>
        </w:rPr>
        <w:t>.</w:t>
      </w:r>
    </w:p>
    <w:p w14:paraId="1C7CFB05" w14:textId="77777777" w:rsidR="001B2EB1" w:rsidRDefault="001B2EB1">
      <w:pPr>
        <w:spacing w:after="240" w:line="360" w:lineRule="auto"/>
        <w:jc w:val="both"/>
        <w:rPr>
          <w:sz w:val="24"/>
          <w:szCs w:val="24"/>
          <w:highlight w:val="white"/>
        </w:rPr>
      </w:pPr>
      <w:r>
        <w:rPr>
          <w:sz w:val="24"/>
          <w:szCs w:val="24"/>
          <w:highlight w:val="white"/>
        </w:rPr>
        <w:t xml:space="preserve">McLaney, E. and Atrill, P., (2016). </w:t>
      </w:r>
      <w:r>
        <w:rPr>
          <w:i/>
          <w:sz w:val="24"/>
          <w:szCs w:val="24"/>
          <w:highlight w:val="white"/>
        </w:rPr>
        <w:t>Accounting and finance: an introduction</w:t>
      </w:r>
      <w:r>
        <w:rPr>
          <w:sz w:val="24"/>
          <w:szCs w:val="24"/>
          <w:highlight w:val="white"/>
        </w:rPr>
        <w:t xml:space="preserve">. Pearson. </w:t>
      </w:r>
      <w:hyperlink r:id="rId11">
        <w:r>
          <w:rPr>
            <w:color w:val="1155CC"/>
            <w:sz w:val="24"/>
            <w:szCs w:val="24"/>
            <w:highlight w:val="white"/>
            <w:u w:val="single"/>
          </w:rPr>
          <w:t>https://opac.atmaluhur.ac.id/uploaded_files/temporary/DigitalCollection/NGIzNDBiMjUxNDRlYWYyNzNiNGJjMTA4YmQ0NmQ1YTMwZTEzNWZkNQ==.pdf</w:t>
        </w:r>
      </w:hyperlink>
      <w:r>
        <w:rPr>
          <w:sz w:val="24"/>
          <w:szCs w:val="24"/>
          <w:highlight w:val="white"/>
        </w:rPr>
        <w:t xml:space="preserve">. </w:t>
      </w:r>
    </w:p>
    <w:p w14:paraId="01B6A7D7" w14:textId="03073F2C" w:rsidR="001B2EB1" w:rsidRDefault="001B2EB1">
      <w:pPr>
        <w:spacing w:after="240" w:line="360" w:lineRule="auto"/>
        <w:jc w:val="both"/>
        <w:rPr>
          <w:sz w:val="24"/>
          <w:szCs w:val="24"/>
          <w:highlight w:val="white"/>
        </w:rPr>
      </w:pPr>
      <w:r>
        <w:rPr>
          <w:sz w:val="24"/>
          <w:szCs w:val="24"/>
          <w:highlight w:val="white"/>
        </w:rPr>
        <w:lastRenderedPageBreak/>
        <w:t xml:space="preserve">Russell, J. (2024). </w:t>
      </w:r>
      <w:r>
        <w:rPr>
          <w:i/>
          <w:sz w:val="24"/>
          <w:szCs w:val="24"/>
          <w:highlight w:val="white"/>
        </w:rPr>
        <w:t>The Ongoing Economic and Cultural Impact of Brexit on the UK Hospitality Industry: A Litany of Broken Promises - Hospitality &amp; Catering News</w:t>
      </w:r>
      <w:r>
        <w:rPr>
          <w:sz w:val="24"/>
          <w:szCs w:val="24"/>
          <w:highlight w:val="white"/>
        </w:rPr>
        <w:t xml:space="preserve">. </w:t>
      </w:r>
      <w:r w:rsidR="009E5C5A">
        <w:rPr>
          <w:sz w:val="24"/>
          <w:szCs w:val="24"/>
          <w:highlight w:val="white"/>
        </w:rPr>
        <w:t>[</w:t>
      </w:r>
      <w:r>
        <w:rPr>
          <w:sz w:val="24"/>
          <w:szCs w:val="24"/>
          <w:highlight w:val="white"/>
        </w:rPr>
        <w:t>online</w:t>
      </w:r>
      <w:r w:rsidR="009E5C5A">
        <w:rPr>
          <w:sz w:val="24"/>
          <w:szCs w:val="24"/>
          <w:highlight w:val="white"/>
        </w:rPr>
        <w:t>]</w:t>
      </w:r>
      <w:r>
        <w:rPr>
          <w:sz w:val="24"/>
          <w:szCs w:val="24"/>
          <w:highlight w:val="white"/>
        </w:rPr>
        <w:t xml:space="preserve"> Hospitality &amp; Catering News. Available at: https://www.hospitalityandcateringnews.com/2024/06/the-ongoing-economic-and-cultural-impact-of-brexit-on-the-uk-hospitality-industry-a-litany-of-broken-promises/ </w:t>
      </w:r>
      <w:r w:rsidR="009E5C5A">
        <w:rPr>
          <w:sz w:val="24"/>
          <w:szCs w:val="24"/>
          <w:highlight w:val="white"/>
        </w:rPr>
        <w:t>(</w:t>
      </w:r>
      <w:r>
        <w:rPr>
          <w:sz w:val="24"/>
          <w:szCs w:val="24"/>
          <w:highlight w:val="white"/>
        </w:rPr>
        <w:t>Accessed 28 Oct. 2024</w:t>
      </w:r>
      <w:r w:rsidR="009E5C5A">
        <w:rPr>
          <w:sz w:val="24"/>
          <w:szCs w:val="24"/>
          <w:highlight w:val="white"/>
        </w:rPr>
        <w:t>)</w:t>
      </w:r>
      <w:r>
        <w:rPr>
          <w:sz w:val="24"/>
          <w:szCs w:val="24"/>
          <w:highlight w:val="white"/>
        </w:rPr>
        <w:t>.</w:t>
      </w:r>
    </w:p>
    <w:p w14:paraId="715AF4AB" w14:textId="77777777" w:rsidR="001B2EB1" w:rsidRDefault="001B2EB1">
      <w:pPr>
        <w:spacing w:after="240" w:line="360" w:lineRule="auto"/>
        <w:jc w:val="both"/>
        <w:rPr>
          <w:sz w:val="24"/>
          <w:szCs w:val="24"/>
          <w:highlight w:val="white"/>
        </w:rPr>
      </w:pPr>
      <w:r>
        <w:rPr>
          <w:sz w:val="24"/>
          <w:szCs w:val="24"/>
          <w:highlight w:val="white"/>
        </w:rPr>
        <w:t xml:space="preserve">Wetzels, R.W. and Wetzels, M., (2023). There is a secret to success: Linking customer experience management practices to profitability. </w:t>
      </w:r>
      <w:r>
        <w:rPr>
          <w:i/>
          <w:sz w:val="24"/>
          <w:szCs w:val="24"/>
          <w:highlight w:val="white"/>
        </w:rPr>
        <w:t>Journal of Retailing and Consumer Services</w:t>
      </w:r>
      <w:r>
        <w:rPr>
          <w:sz w:val="24"/>
          <w:szCs w:val="24"/>
          <w:highlight w:val="white"/>
        </w:rPr>
        <w:t xml:space="preserve">, </w:t>
      </w:r>
      <w:r>
        <w:rPr>
          <w:i/>
          <w:sz w:val="24"/>
          <w:szCs w:val="24"/>
          <w:highlight w:val="white"/>
        </w:rPr>
        <w:t>73</w:t>
      </w:r>
      <w:r>
        <w:rPr>
          <w:sz w:val="24"/>
          <w:szCs w:val="24"/>
          <w:highlight w:val="white"/>
        </w:rPr>
        <w:t xml:space="preserve">, p.103338. </w:t>
      </w:r>
      <w:hyperlink r:id="rId12">
        <w:r>
          <w:rPr>
            <w:color w:val="1155CC"/>
            <w:sz w:val="24"/>
            <w:szCs w:val="24"/>
            <w:highlight w:val="white"/>
            <w:u w:val="single"/>
          </w:rPr>
          <w:t>https://repository.ubn.ru.nl/bitstream/handle/2066/293285/1/293285.pdf</w:t>
        </w:r>
      </w:hyperlink>
      <w:r>
        <w:rPr>
          <w:sz w:val="24"/>
          <w:szCs w:val="24"/>
          <w:highlight w:val="white"/>
        </w:rPr>
        <w:t>.</w:t>
      </w:r>
    </w:p>
    <w:p w14:paraId="66CF9B26" w14:textId="77777777" w:rsidR="006A470A" w:rsidRDefault="006A470A">
      <w:pPr>
        <w:spacing w:line="360" w:lineRule="auto"/>
        <w:jc w:val="both"/>
        <w:rPr>
          <w:sz w:val="24"/>
          <w:szCs w:val="24"/>
        </w:rPr>
      </w:pPr>
    </w:p>
    <w:sectPr w:rsidR="006A470A" w:rsidSect="001B2EB1">
      <w:headerReference w:type="default" r:id="rId13"/>
      <w:footerReference w:type="default" r:id="rId14"/>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F96394" w14:textId="77777777" w:rsidR="00111BD6" w:rsidRDefault="00111BD6">
      <w:pPr>
        <w:spacing w:line="240" w:lineRule="auto"/>
      </w:pPr>
      <w:r>
        <w:separator/>
      </w:r>
    </w:p>
  </w:endnote>
  <w:endnote w:type="continuationSeparator" w:id="0">
    <w:p w14:paraId="12ECF090" w14:textId="77777777" w:rsidR="00111BD6" w:rsidRDefault="00111B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91364496"/>
      <w:docPartObj>
        <w:docPartGallery w:val="Page Numbers (Bottom of Page)"/>
        <w:docPartUnique/>
      </w:docPartObj>
    </w:sdtPr>
    <w:sdtContent>
      <w:p w14:paraId="31A023C6" w14:textId="124CD886" w:rsidR="001B2EB1" w:rsidRDefault="001B2EB1">
        <w:pPr>
          <w:pStyle w:val="Footer"/>
          <w:jc w:val="right"/>
        </w:pPr>
        <w:r>
          <w:fldChar w:fldCharType="begin"/>
        </w:r>
        <w:r>
          <w:instrText>PAGE   \* MERGEFORMAT</w:instrText>
        </w:r>
        <w:r>
          <w:fldChar w:fldCharType="separate"/>
        </w:r>
        <w:r>
          <w:rPr>
            <w:lang w:val="en-GB"/>
          </w:rPr>
          <w:t>2</w:t>
        </w:r>
        <w:r>
          <w:fldChar w:fldCharType="end"/>
        </w:r>
      </w:p>
    </w:sdtContent>
  </w:sdt>
  <w:p w14:paraId="32C4A9D6" w14:textId="77777777" w:rsidR="001B2EB1" w:rsidRDefault="001B2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3A7526" w14:textId="77777777" w:rsidR="00111BD6" w:rsidRDefault="00111BD6">
      <w:pPr>
        <w:spacing w:line="240" w:lineRule="auto"/>
      </w:pPr>
      <w:r>
        <w:separator/>
      </w:r>
    </w:p>
  </w:footnote>
  <w:footnote w:type="continuationSeparator" w:id="0">
    <w:p w14:paraId="6F2D25BE" w14:textId="77777777" w:rsidR="00111BD6" w:rsidRDefault="00111B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D060C9" w14:textId="77777777" w:rsidR="006A470A" w:rsidRDefault="00000000">
    <w:pPr>
      <w:jc w:val="right"/>
    </w:pPr>
    <w:r>
      <w:rPr>
        <w:noProof/>
      </w:rPr>
      <w:drawing>
        <wp:inline distT="114300" distB="114300" distL="114300" distR="114300" wp14:anchorId="1A7EF800" wp14:editId="13FCE6FA">
          <wp:extent cx="1119188" cy="476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119188" cy="476250"/>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470A"/>
    <w:rsid w:val="00014601"/>
    <w:rsid w:val="00111BD6"/>
    <w:rsid w:val="00117E2C"/>
    <w:rsid w:val="00126883"/>
    <w:rsid w:val="001B2EB1"/>
    <w:rsid w:val="00473D7B"/>
    <w:rsid w:val="00563AF6"/>
    <w:rsid w:val="006051AF"/>
    <w:rsid w:val="006A470A"/>
    <w:rsid w:val="009911C6"/>
    <w:rsid w:val="009C6A66"/>
    <w:rsid w:val="009E5C5A"/>
    <w:rsid w:val="00A43B7F"/>
    <w:rsid w:val="00AC4038"/>
    <w:rsid w:val="00C32D76"/>
    <w:rsid w:val="00F3272F"/>
    <w:rsid w:val="00F60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812F89"/>
  <w15:docId w15:val="{40D0D1A7-0EEB-418F-A64E-8C1834D18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B2EB1"/>
    <w:pPr>
      <w:keepNext/>
      <w:keepLines/>
      <w:spacing w:before="640" w:after="360" w:line="360" w:lineRule="auto"/>
      <w:jc w:val="both"/>
      <w:outlineLvl w:val="0"/>
    </w:pPr>
    <w:rPr>
      <w:b/>
      <w:color w:val="000000" w:themeColor="text1"/>
      <w:sz w:val="24"/>
      <w:szCs w:val="40"/>
      <w:u w:val="single"/>
    </w:rPr>
  </w:style>
  <w:style w:type="paragraph" w:styleId="Heading2">
    <w:name w:val="heading 2"/>
    <w:basedOn w:val="Normal"/>
    <w:next w:val="Normal"/>
    <w:uiPriority w:val="9"/>
    <w:unhideWhenUsed/>
    <w:qFormat/>
    <w:rsid w:val="001B2EB1"/>
    <w:pPr>
      <w:keepNext/>
      <w:keepLines/>
      <w:spacing w:before="480" w:after="240" w:line="360" w:lineRule="auto"/>
      <w:jc w:val="both"/>
      <w:outlineLvl w:val="1"/>
    </w:pPr>
    <w:rPr>
      <w:b/>
      <w:color w:val="000000" w:themeColor="tex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B2EB1"/>
    <w:pPr>
      <w:tabs>
        <w:tab w:val="center" w:pos="4513"/>
        <w:tab w:val="right" w:pos="9026"/>
      </w:tabs>
      <w:spacing w:line="240" w:lineRule="auto"/>
    </w:pPr>
  </w:style>
  <w:style w:type="character" w:customStyle="1" w:styleId="HeaderChar">
    <w:name w:val="Header Char"/>
    <w:basedOn w:val="DefaultParagraphFont"/>
    <w:link w:val="Header"/>
    <w:uiPriority w:val="99"/>
    <w:rsid w:val="001B2EB1"/>
  </w:style>
  <w:style w:type="paragraph" w:styleId="Footer">
    <w:name w:val="footer"/>
    <w:basedOn w:val="Normal"/>
    <w:link w:val="FooterChar"/>
    <w:uiPriority w:val="99"/>
    <w:unhideWhenUsed/>
    <w:rsid w:val="001B2EB1"/>
    <w:pPr>
      <w:tabs>
        <w:tab w:val="center" w:pos="4513"/>
        <w:tab w:val="right" w:pos="9026"/>
      </w:tabs>
      <w:spacing w:line="240" w:lineRule="auto"/>
    </w:pPr>
  </w:style>
  <w:style w:type="character" w:customStyle="1" w:styleId="FooterChar">
    <w:name w:val="Footer Char"/>
    <w:basedOn w:val="DefaultParagraphFont"/>
    <w:link w:val="Footer"/>
    <w:uiPriority w:val="99"/>
    <w:rsid w:val="001B2EB1"/>
  </w:style>
  <w:style w:type="paragraph" w:styleId="TOCHeading">
    <w:name w:val="TOC Heading"/>
    <w:basedOn w:val="Heading1"/>
    <w:next w:val="Normal"/>
    <w:uiPriority w:val="39"/>
    <w:unhideWhenUsed/>
    <w:qFormat/>
    <w:rsid w:val="001B2EB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u w:val="none"/>
      <w:lang w:val="en-GB"/>
    </w:rPr>
  </w:style>
  <w:style w:type="paragraph" w:styleId="TOC1">
    <w:name w:val="toc 1"/>
    <w:basedOn w:val="Normal"/>
    <w:next w:val="Normal"/>
    <w:autoRedefine/>
    <w:uiPriority w:val="39"/>
    <w:unhideWhenUsed/>
    <w:rsid w:val="001B2EB1"/>
    <w:pPr>
      <w:tabs>
        <w:tab w:val="right" w:leader="dot" w:pos="9350"/>
      </w:tabs>
      <w:spacing w:after="100" w:line="360" w:lineRule="auto"/>
      <w:jc w:val="both"/>
    </w:pPr>
    <w:rPr>
      <w:b/>
      <w:bCs/>
      <w:noProof/>
      <w:sz w:val="24"/>
      <w:szCs w:val="24"/>
    </w:rPr>
  </w:style>
  <w:style w:type="paragraph" w:styleId="TOC2">
    <w:name w:val="toc 2"/>
    <w:basedOn w:val="Normal"/>
    <w:next w:val="Normal"/>
    <w:autoRedefine/>
    <w:uiPriority w:val="39"/>
    <w:unhideWhenUsed/>
    <w:rsid w:val="001B2EB1"/>
    <w:pPr>
      <w:spacing w:after="100"/>
      <w:ind w:left="220"/>
    </w:pPr>
  </w:style>
  <w:style w:type="character" w:styleId="Hyperlink">
    <w:name w:val="Hyperlink"/>
    <w:basedOn w:val="DefaultParagraphFont"/>
    <w:uiPriority w:val="99"/>
    <w:unhideWhenUsed/>
    <w:rsid w:val="001B2EB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iiardjournals.org/get/JAFM/VOL.%207%20NO.%201%202021/Cost%20management%20practice%20and%20Financial.pdf"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rowkish.wordpress.com/wp-content/uploads/2019/10/financial-management-for-decision-makers-5th-editi.pdf" TargetMode="External"/><Relationship Id="rId12" Type="http://schemas.openxmlformats.org/officeDocument/2006/relationships/hyperlink" Target="https://repository.ubn.ru.nl/bitstream/handle/2066/293285/1/293285.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pac.atmaluhur.ac.id/uploaded_files/temporary/DigitalCollection/NGIzNDBiMjUxNDRlYWYyNzNiNGJjMTA4YmQ0NmQ1YTMwZTEzNWZkNQ==.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cholarworks.gsu.edu/cgi/viewcontent.cgi?article=1032&amp;context=pmap_facpubs" TargetMode="External"/><Relationship Id="rId4" Type="http://schemas.openxmlformats.org/officeDocument/2006/relationships/webSettings" Target="webSettings.xml"/><Relationship Id="rId9" Type="http://schemas.openxmlformats.org/officeDocument/2006/relationships/hyperlink" Target="https://scholarworks.waldenu.edu/cgi/viewcontent.cgi?article=5385&amp;context=dissertations" TargetMode="Externa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EE2EE8-465D-4BE3-A68C-610BC6906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2513</Words>
  <Characters>14880</Characters>
  <Application>Microsoft Office Word</Application>
  <DocSecurity>0</DocSecurity>
  <Lines>437</Lines>
  <Paragraphs>310</Paragraphs>
  <ScaleCrop>false</ScaleCrop>
  <Company/>
  <LinksUpToDate>false</LinksUpToDate>
  <CharactersWithSpaces>17083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Iulia Maria Luca</cp:lastModifiedBy>
  <cp:revision>5</cp:revision>
  <dcterms:created xsi:type="dcterms:W3CDTF">2024-11-08T05:30:00Z</dcterms:created>
  <dcterms:modified xsi:type="dcterms:W3CDTF">2024-11-10T22:51:00Z</dcterms:modified>
</cp:coreProperties>
</file>