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8F3D9" w14:textId="77777777" w:rsidR="005C5581" w:rsidRPr="00410651" w:rsidRDefault="005C5581" w:rsidP="005C5581">
      <w:pPr>
        <w:rPr>
          <w:b/>
          <w:bCs/>
          <w:u w:val="single"/>
        </w:rPr>
      </w:pPr>
      <w:r w:rsidRPr="00410651">
        <w:rPr>
          <w:b/>
          <w:bCs/>
          <w:u w:val="single"/>
        </w:rPr>
        <w:t>Robert James Rees</w:t>
      </w:r>
      <w:r>
        <w:rPr>
          <w:b/>
          <w:bCs/>
          <w:u w:val="single"/>
        </w:rPr>
        <w:t xml:space="preserve"> - (2236198) -</w:t>
      </w:r>
      <w:r w:rsidRPr="00410651">
        <w:rPr>
          <w:b/>
          <w:bCs/>
          <w:u w:val="single"/>
        </w:rPr>
        <w:t xml:space="preserve"> Essay one.</w:t>
      </w:r>
    </w:p>
    <w:p w14:paraId="585FC344" w14:textId="77777777" w:rsidR="005C5581" w:rsidRDefault="005C5581" w:rsidP="005C5581">
      <w:pPr>
        <w:rPr>
          <w:b/>
          <w:bCs/>
        </w:rPr>
      </w:pPr>
      <w:r w:rsidRPr="00410651">
        <w:rPr>
          <w:b/>
          <w:bCs/>
        </w:rPr>
        <w:t xml:space="preserve">Maintaining Professional Standards </w:t>
      </w:r>
    </w:p>
    <w:p w14:paraId="6CD2F612" w14:textId="77777777" w:rsidR="005C5581" w:rsidRDefault="005C5581" w:rsidP="005C5581">
      <w:r w:rsidRPr="00410651">
        <w:rPr>
          <w:b/>
          <w:bCs/>
        </w:rPr>
        <w:t>Critically examine policing policies and procedures</w:t>
      </w:r>
      <w:r>
        <w:t xml:space="preserve"> (e.g. PACE, Code of Ethics, NDM, use of BWV) aimed at reducing misconduct and malpractice by police officers. How might these increase public confidence in police? </w:t>
      </w:r>
    </w:p>
    <w:p w14:paraId="5C12A793" w14:textId="77777777" w:rsidR="005C5581" w:rsidRDefault="005C5581" w:rsidP="005C5581"/>
    <w:p w14:paraId="7CFD980D" w14:textId="77777777" w:rsidR="005C5581" w:rsidRPr="009222C2" w:rsidRDefault="005C5581" w:rsidP="005C5581">
      <w:pPr>
        <w:rPr>
          <w:b/>
          <w:bCs/>
        </w:rPr>
      </w:pPr>
      <w:r w:rsidRPr="009222C2">
        <w:rPr>
          <w:b/>
          <w:bCs/>
        </w:rPr>
        <w:t>Answer</w:t>
      </w:r>
    </w:p>
    <w:p w14:paraId="27BF12F3" w14:textId="77777777" w:rsidR="005C5581" w:rsidRPr="005C5581" w:rsidRDefault="005C5581" w:rsidP="005C5581">
      <w:r w:rsidRPr="005C5581">
        <w:t>Maintaining professional standards within policing remains a paramount priority across all police forces in the United Kingdom, ensuring accountability and increasing the public’s confidence in the police is an important goal promoted by senior chief officers and filtered down to operational police officers and staff</w:t>
      </w:r>
      <w:sdt>
        <w:sdtPr>
          <w:id w:val="2071062781"/>
          <w:citation/>
        </w:sdtPr>
        <w:sdtContent>
          <w:r w:rsidRPr="005C5581">
            <w:fldChar w:fldCharType="begin"/>
          </w:r>
          <w:r w:rsidRPr="005C5581">
            <w:instrText xml:space="preserve"> CITATION Pol08 \l 2057 </w:instrText>
          </w:r>
          <w:r w:rsidRPr="005C5581">
            <w:fldChar w:fldCharType="separate"/>
          </w:r>
          <w:r w:rsidRPr="005C5581">
            <w:rPr>
              <w:noProof/>
            </w:rPr>
            <w:t xml:space="preserve"> (Behaviour., 2008)</w:t>
          </w:r>
          <w:r w:rsidRPr="005C5581">
            <w:fldChar w:fldCharType="end"/>
          </w:r>
        </w:sdtContent>
      </w:sdt>
    </w:p>
    <w:p w14:paraId="6846C13A" w14:textId="77777777" w:rsidR="005C5581" w:rsidRPr="005C5581" w:rsidRDefault="005C5581" w:rsidP="005C5581">
      <w:r w:rsidRPr="005C5581">
        <w:t>There are several policies and procedures put in place, which are designed to reduce misconduct and malpractice. It is vital that police officers do not use their position of power and responsibilities to gain any personal advantage, this can be hugely detrimental and damaging when trying to build confidence from the public. The police code of ethics has several principles which must be followed by police officers, police staff and any individual who works within the police organisation, the policing professionalism has a commitment set out to be of the highest standards of behaviour and ethical decisions. The code of ethics</w:t>
      </w:r>
      <w:sdt>
        <w:sdtPr>
          <w:id w:val="-234086065"/>
          <w:citation/>
        </w:sdtPr>
        <w:sdtContent>
          <w:r w:rsidRPr="005C5581">
            <w:fldChar w:fldCharType="begin"/>
          </w:r>
          <w:r w:rsidRPr="005C5581">
            <w:instrText xml:space="preserve"> CITATION Col242 \l 2057 </w:instrText>
          </w:r>
          <w:r w:rsidRPr="005C5581">
            <w:fldChar w:fldCharType="separate"/>
          </w:r>
          <w:r w:rsidRPr="005C5581">
            <w:rPr>
              <w:noProof/>
            </w:rPr>
            <w:t xml:space="preserve"> (College of Policing, 2024)</w:t>
          </w:r>
          <w:r w:rsidRPr="005C5581">
            <w:fldChar w:fldCharType="end"/>
          </w:r>
        </w:sdtContent>
      </w:sdt>
      <w:r w:rsidRPr="005C5581">
        <w:t xml:space="preserve"> has listed several key principles such as, fairness, accountability, honesty, integrity and confidentiality, failure to follow these principles can severely undermine the public confidence and trust. Continuous evaluation and critical analysis of policing procedures and practices are essential to ensure professional standards remain high and have the public’s interest at the forefront of every police decision.</w:t>
      </w:r>
    </w:p>
    <w:p w14:paraId="7D6FBCD0" w14:textId="77777777" w:rsidR="005C5581" w:rsidRPr="005C5581" w:rsidRDefault="005C5581" w:rsidP="005C5581">
      <w:r w:rsidRPr="005C5581">
        <w:t>Police forces across the United Kingdom follow a structured decision-making model named the National Decision making model, often referred to as the NDM,</w:t>
      </w:r>
      <w:sdt>
        <w:sdtPr>
          <w:id w:val="-1227373767"/>
          <w:citation/>
        </w:sdtPr>
        <w:sdtContent>
          <w:r w:rsidRPr="005C5581">
            <w:fldChar w:fldCharType="begin"/>
          </w:r>
          <w:r w:rsidRPr="005C5581">
            <w:instrText xml:space="preserve"> CITATION Col243 \l 2057 </w:instrText>
          </w:r>
          <w:r w:rsidRPr="005C5581">
            <w:fldChar w:fldCharType="separate"/>
          </w:r>
          <w:r w:rsidRPr="005C5581">
            <w:rPr>
              <w:noProof/>
            </w:rPr>
            <w:t xml:space="preserve"> (College of Police, 2024)</w:t>
          </w:r>
          <w:r w:rsidRPr="005C5581">
            <w:fldChar w:fldCharType="end"/>
          </w:r>
        </w:sdtContent>
      </w:sdt>
      <w:r w:rsidRPr="005C5581">
        <w:t>, despite the NDM not directly designed to increase public’s confidence it can indirectly assist in increasing public confidence as officers are required to follow a number of policies and procedures set out within the framework. By utilising the NDM it ensures that all officers act consistently when decision making, by following the steps set out in the decision-making model this can give members of the public a greater understanding of why decisions were made and provides accountability for police officers. Officers are expected to carry out their roles and responsibilities in an honest and professional manner, however, this can be particularly challenging when officers are faced with difficult and fast changing situations and requires adaptability, however the overarching mission is to act with integrity and serve the public</w:t>
      </w:r>
      <w:sdt>
        <w:sdtPr>
          <w:id w:val="135919663"/>
          <w:citation/>
        </w:sdtPr>
        <w:sdtContent>
          <w:r w:rsidRPr="005C5581">
            <w:fldChar w:fldCharType="begin"/>
          </w:r>
          <w:r w:rsidRPr="005C5581">
            <w:instrText xml:space="preserve"> CITATION Col244 \l 2057 </w:instrText>
          </w:r>
          <w:r w:rsidRPr="005C5581">
            <w:fldChar w:fldCharType="separate"/>
          </w:r>
          <w:r w:rsidRPr="005C5581">
            <w:rPr>
              <w:noProof/>
            </w:rPr>
            <w:t xml:space="preserve"> (College of Policing, 2024)</w:t>
          </w:r>
          <w:r w:rsidRPr="005C5581">
            <w:fldChar w:fldCharType="end"/>
          </w:r>
        </w:sdtContent>
      </w:sdt>
      <w:r w:rsidRPr="005C5581">
        <w:t xml:space="preserve">. The NDM remains a guide and cannot always cover all situations officers are faced with, furthermore the NDM cannot replace professional judgement or basic common sense and must remain as a guide to follow, one of the most significant parts of the NDM is the ability to reflect and review the decisions that were made, this is a critical evaluation and can be done straight after an incident or with your supervisor, to dissect any positives or negatives from the incident </w:t>
      </w:r>
      <w:sdt>
        <w:sdtPr>
          <w:id w:val="1686401651"/>
          <w:citation/>
        </w:sdtPr>
        <w:sdtContent>
          <w:r w:rsidRPr="005C5581">
            <w:fldChar w:fldCharType="begin"/>
          </w:r>
          <w:r w:rsidRPr="005C5581">
            <w:instrText xml:space="preserve"> CITATION IOP22 \l 2057 </w:instrText>
          </w:r>
          <w:r w:rsidRPr="005C5581">
            <w:fldChar w:fldCharType="separate"/>
          </w:r>
          <w:r w:rsidRPr="005C5581">
            <w:rPr>
              <w:noProof/>
            </w:rPr>
            <w:t>(IOPC, 2022)</w:t>
          </w:r>
          <w:r w:rsidRPr="005C5581">
            <w:fldChar w:fldCharType="end"/>
          </w:r>
        </w:sdtContent>
      </w:sdt>
      <w:r w:rsidRPr="005C5581">
        <w:t xml:space="preserve"> much like the reflective practice approach discussed in this article published by the IOPC highlighting the benefits of reflective practice and focuses on resolution and solutions through learning.</w:t>
      </w:r>
    </w:p>
    <w:p w14:paraId="42AB633C" w14:textId="77777777" w:rsidR="005C5581" w:rsidRPr="005C5581" w:rsidRDefault="005C5581" w:rsidP="005C5581">
      <w:pPr>
        <w:rPr>
          <w:rStyle w:val="Emphasis"/>
          <w:i w:val="0"/>
          <w:iCs w:val="0"/>
        </w:rPr>
      </w:pPr>
      <w:r w:rsidRPr="005C5581">
        <w:lastRenderedPageBreak/>
        <w:t xml:space="preserve">The public demand transparency from police officers to build public trust and can provide evidence against any complaints. An article written by </w:t>
      </w:r>
      <w:sdt>
        <w:sdtPr>
          <w:rPr>
            <w:rStyle w:val="Emphasis"/>
            <w:rFonts w:cstheme="minorHAnsi"/>
            <w:i w:val="0"/>
            <w:iCs w:val="0"/>
            <w:color w:val="15090B"/>
            <w:bdr w:val="none" w:sz="0" w:space="0" w:color="auto" w:frame="1"/>
            <w:shd w:val="clear" w:color="auto" w:fill="FFFFFF"/>
          </w:rPr>
          <w:id w:val="65388538"/>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Cha16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(Kelsh, 2016)</w:t>
          </w:r>
          <w:r w:rsidRPr="005C5581">
            <w:rPr>
              <w:rStyle w:val="Emphasis"/>
              <w:rFonts w:cstheme="minorHAnsi"/>
              <w:i w:val="0"/>
              <w:iCs w:val="0"/>
              <w:color w:val="15090B"/>
              <w:bdr w:val="none" w:sz="0" w:space="0" w:color="auto" w:frame="1"/>
              <w:shd w:val="clear" w:color="auto" w:fill="FFFFFF"/>
            </w:rPr>
            <w:fldChar w:fldCharType="end"/>
          </w:r>
        </w:sdtContent>
      </w:sdt>
      <w:r w:rsidRPr="005C5581">
        <w:t xml:space="preserve">, talks about a recent study published in the </w:t>
      </w:r>
      <w:r w:rsidRPr="005C5581">
        <w:rPr>
          <w:rStyle w:val="Emphasis"/>
          <w:rFonts w:cstheme="minorHAnsi"/>
          <w:i w:val="0"/>
          <w:iCs w:val="0"/>
          <w:color w:val="15090B"/>
          <w:bdr w:val="none" w:sz="0" w:space="0" w:color="auto" w:frame="1"/>
          <w:shd w:val="clear" w:color="auto" w:fill="FFFFFF"/>
        </w:rPr>
        <w:t>Journal of Experimental Criminology, where a controlled experiment with a Police department determined how body worn cameras influenced police interactions with members of the public, the article led to some interesting findings. Officers who were wearing the body worn cameras were 13.5% more likely to interact with members of the public, however, officers who were not wearing the cameras conducted more stop &amp; searches and made more arrests than those who were wearing the cameras.</w:t>
      </w:r>
      <w:r w:rsidRPr="005C5581">
        <w:rPr>
          <w:rStyle w:val="Emphasis"/>
          <w:i w:val="0"/>
          <w:iCs w:val="0"/>
        </w:rPr>
        <w:t xml:space="preserve"> </w:t>
      </w:r>
      <w:r w:rsidRPr="005C5581">
        <w:rPr>
          <w:rStyle w:val="Emphasis"/>
          <w:rFonts w:cstheme="minorHAnsi"/>
          <w:i w:val="0"/>
          <w:iCs w:val="0"/>
          <w:color w:val="15090B"/>
          <w:bdr w:val="none" w:sz="0" w:space="0" w:color="auto" w:frame="1"/>
          <w:shd w:val="clear" w:color="auto" w:fill="FFFFFF"/>
        </w:rPr>
        <w:t>This suggests that police officers are being over cautious, and risk averse when wearing the cameras, it is apparent that officers who wear body worn cameras are aware they are recording their interactions, and this could affect their decision making in high pressure situations, furthermore officers risk prioritizing controversies and overtaking necessary risks to protect themselves against complaints.</w:t>
      </w:r>
    </w:p>
    <w:p w14:paraId="440ACF63"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 xml:space="preserve">In an additional study written by </w:t>
      </w:r>
      <w:sdt>
        <w:sdtPr>
          <w:rPr>
            <w:rStyle w:val="Emphasis"/>
            <w:rFonts w:cstheme="minorHAnsi"/>
            <w:i w:val="0"/>
            <w:iCs w:val="0"/>
            <w:color w:val="15090B"/>
            <w:bdr w:val="none" w:sz="0" w:space="0" w:color="auto" w:frame="1"/>
            <w:shd w:val="clear" w:color="auto" w:fill="FFFFFF"/>
          </w:rPr>
          <w:id w:val="165375959"/>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Bre18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(Chapman, 2018)</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the article boosts some key benefits relating to an increase in transparency, accountability, quicker resolutions and can assist with corroborating evidence, firstly with police forces across the UK. The author discusses the current research findings and states that there was a reduction in complaints and a reduction in crime, along with an increase in arrests, and guilty pleas, corroborating efficiency. The article is then followed into the United States, where initially there appeared to be a dubious approach from the UK findings, stating that some studies of the body worn cameras lacked an independent evaluator, the article does however state that the scientific rigor did improve over time and states that in 2014 researchers in Arizona State University found that officers with body-worn cameras were more productive in terms of making arrests and had fewer complaints against them.</w:t>
      </w:r>
    </w:p>
    <w:p w14:paraId="6DC2D397"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The Police and Criminal Evidence Act</w:t>
      </w:r>
      <w:sdt>
        <w:sdtPr>
          <w:rPr>
            <w:rStyle w:val="Emphasis"/>
            <w:rFonts w:cstheme="minorHAnsi"/>
            <w:i w:val="0"/>
            <w:iCs w:val="0"/>
            <w:color w:val="15090B"/>
            <w:bdr w:val="none" w:sz="0" w:space="0" w:color="auto" w:frame="1"/>
            <w:shd w:val="clear" w:color="auto" w:fill="FFFFFF"/>
          </w:rPr>
          <w:id w:val="-98340346"/>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Law13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Style w:val="Emphasis"/>
              <w:rFonts w:cstheme="minorHAnsi"/>
              <w:i w:val="0"/>
              <w:iCs w:val="0"/>
              <w:noProof/>
              <w:color w:val="15090B"/>
              <w:bdr w:val="none" w:sz="0" w:space="0" w:color="auto" w:frame="1"/>
              <w:shd w:val="clear" w:color="auto" w:fill="FFFFFF"/>
            </w:rPr>
            <w:t xml:space="preserve"> </w:t>
          </w:r>
          <w:r w:rsidRPr="005C5581">
            <w:rPr>
              <w:rFonts w:cstheme="minorHAnsi"/>
              <w:noProof/>
              <w:color w:val="15090B"/>
              <w:bdr w:val="none" w:sz="0" w:space="0" w:color="auto" w:frame="1"/>
              <w:shd w:val="clear" w:color="auto" w:fill="FFFFFF"/>
            </w:rPr>
            <w:t>(LawTeacher, 2013)</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PACE, was introduced in 1984 following the 1981 Brixton Riots and the Scarman Report, which is designed to increase public confidence in policing by playing a crucial role in promoting transparency, accountability, fairness, and a positive engagement with the local community, fostering collaboration police can strengthen community confidence, and address any areas of concern. Following PACE guidance is mandatory and provides police officers with an additional structure of framework to follow when conducting their duties, during investigations, conducting arrests and interviews. This is a legal requirement and is legally binding to comply with its regulations. Following PACE guidance is essential to ensure professional standards are upheld within the UK police forces, following the guidance ensures procedures and policies are consistent, efficient, and effective when conducting police duties.</w:t>
      </w:r>
    </w:p>
    <w:p w14:paraId="663C44C2"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Ensuring accountability of police there is an independent body, named the IOPC</w:t>
      </w:r>
      <w:sdt>
        <w:sdtPr>
          <w:rPr>
            <w:rStyle w:val="Emphasis"/>
            <w:rFonts w:cstheme="minorHAnsi"/>
            <w:i w:val="0"/>
            <w:iCs w:val="0"/>
            <w:color w:val="15090B"/>
            <w:bdr w:val="none" w:sz="0" w:space="0" w:color="auto" w:frame="1"/>
            <w:shd w:val="clear" w:color="auto" w:fill="FFFFFF"/>
          </w:rPr>
          <w:id w:val="-1862893296"/>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Gov242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Style w:val="Emphasis"/>
              <w:rFonts w:cstheme="minorHAnsi"/>
              <w:i w:val="0"/>
              <w:iCs w:val="0"/>
              <w:noProof/>
              <w:color w:val="15090B"/>
              <w:bdr w:val="none" w:sz="0" w:space="0" w:color="auto" w:frame="1"/>
              <w:shd w:val="clear" w:color="auto" w:fill="FFFFFF"/>
            </w:rPr>
            <w:t xml:space="preserve"> </w:t>
          </w:r>
          <w:r w:rsidRPr="005C5581">
            <w:rPr>
              <w:rFonts w:cstheme="minorHAnsi"/>
              <w:noProof/>
              <w:color w:val="15090B"/>
              <w:bdr w:val="none" w:sz="0" w:space="0" w:color="auto" w:frame="1"/>
              <w:shd w:val="clear" w:color="auto" w:fill="FFFFFF"/>
            </w:rPr>
            <w:t>(Gov.UK, 2024)</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which is an executive non-departmental public body, and oversees complaints against police in England and Wales. </w:t>
      </w:r>
      <w:sdt>
        <w:sdtPr>
          <w:rPr>
            <w:rStyle w:val="Emphasis"/>
            <w:rFonts w:cstheme="minorHAnsi"/>
            <w:i w:val="0"/>
            <w:iCs w:val="0"/>
            <w:color w:val="15090B"/>
            <w:bdr w:val="none" w:sz="0" w:space="0" w:color="auto" w:frame="1"/>
            <w:shd w:val="clear" w:color="auto" w:fill="FFFFFF"/>
          </w:rPr>
          <w:id w:val="681937462"/>
          <w:citation/>
        </w:sdtPr>
        <w:sdtContent>
          <w:r w:rsidRPr="005C5581">
            <w:rPr>
              <w:rStyle w:val="Emphasis"/>
              <w:rFonts w:cstheme="minorHAnsi"/>
              <w:i w:val="0"/>
              <w:iCs w:val="0"/>
              <w:color w:val="15090B"/>
              <w:bdr w:val="none" w:sz="0" w:space="0" w:color="auto" w:frame="1"/>
              <w:shd w:val="clear" w:color="auto" w:fill="FFFFFF"/>
            </w:rPr>
            <w:fldChar w:fldCharType="begin"/>
          </w:r>
          <w:r w:rsidRPr="005C5581">
            <w:rPr>
              <w:rStyle w:val="Emphasis"/>
              <w:rFonts w:cstheme="minorHAnsi"/>
              <w:i w:val="0"/>
              <w:iCs w:val="0"/>
              <w:color w:val="15090B"/>
              <w:bdr w:val="none" w:sz="0" w:space="0" w:color="auto" w:frame="1"/>
              <w:shd w:val="clear" w:color="auto" w:fill="FFFFFF"/>
            </w:rPr>
            <w:instrText xml:space="preserve"> CITATION Hom24 \l 2057 </w:instrText>
          </w:r>
          <w:r w:rsidRPr="005C5581">
            <w:rPr>
              <w:rStyle w:val="Emphasis"/>
              <w:rFonts w:cstheme="minorHAnsi"/>
              <w:i w:val="0"/>
              <w:iCs w:val="0"/>
              <w:color w:val="15090B"/>
              <w:bdr w:val="none" w:sz="0" w:space="0" w:color="auto" w:frame="1"/>
              <w:shd w:val="clear" w:color="auto" w:fill="FFFFFF"/>
            </w:rPr>
            <w:fldChar w:fldCharType="separate"/>
          </w:r>
          <w:r w:rsidRPr="005C5581">
            <w:rPr>
              <w:rFonts w:cstheme="minorHAnsi"/>
              <w:noProof/>
              <w:color w:val="15090B"/>
              <w:bdr w:val="none" w:sz="0" w:space="0" w:color="auto" w:frame="1"/>
              <w:shd w:val="clear" w:color="auto" w:fill="FFFFFF"/>
            </w:rPr>
            <w:t>(Home Office, 2024)</w:t>
          </w:r>
          <w:r w:rsidRPr="005C5581">
            <w:rPr>
              <w:rStyle w:val="Emphasis"/>
              <w:rFonts w:cstheme="minorHAnsi"/>
              <w:i w:val="0"/>
              <w:iCs w:val="0"/>
              <w:color w:val="15090B"/>
              <w:bdr w:val="none" w:sz="0" w:space="0" w:color="auto" w:frame="1"/>
              <w:shd w:val="clear" w:color="auto" w:fill="FFFFFF"/>
            </w:rPr>
            <w:fldChar w:fldCharType="end"/>
          </w:r>
        </w:sdtContent>
      </w:sdt>
      <w:r w:rsidRPr="005C5581">
        <w:rPr>
          <w:rStyle w:val="Emphasis"/>
          <w:rFonts w:cstheme="minorHAnsi"/>
          <w:i w:val="0"/>
          <w:iCs w:val="0"/>
          <w:color w:val="15090B"/>
          <w:bdr w:val="none" w:sz="0" w:space="0" w:color="auto" w:frame="1"/>
          <w:shd w:val="clear" w:color="auto" w:fill="FFFFFF"/>
        </w:rPr>
        <w:t xml:space="preserve"> this article discusses several points highlighting officer’s accountability, it also states that the IOPC will over the coming years look to make the misconduct process more efficient and will pilot time limits on IOPC investigations. </w:t>
      </w:r>
    </w:p>
    <w:p w14:paraId="3126BEE3" w14:textId="77777777" w:rsidR="005C5581" w:rsidRP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 xml:space="preserve">In conclusion, there are </w:t>
      </w:r>
      <w:proofErr w:type="gramStart"/>
      <w:r w:rsidRPr="005C5581">
        <w:rPr>
          <w:rStyle w:val="Emphasis"/>
          <w:rFonts w:cstheme="minorHAnsi"/>
          <w:i w:val="0"/>
          <w:iCs w:val="0"/>
          <w:color w:val="15090B"/>
          <w:bdr w:val="none" w:sz="0" w:space="0" w:color="auto" w:frame="1"/>
          <w:shd w:val="clear" w:color="auto" w:fill="FFFFFF"/>
        </w:rPr>
        <w:t>a number of</w:t>
      </w:r>
      <w:proofErr w:type="gramEnd"/>
      <w:r w:rsidRPr="005C5581">
        <w:rPr>
          <w:rStyle w:val="Emphasis"/>
          <w:rFonts w:cstheme="minorHAnsi"/>
          <w:i w:val="0"/>
          <w:iCs w:val="0"/>
          <w:color w:val="15090B"/>
          <w:bdr w:val="none" w:sz="0" w:space="0" w:color="auto" w:frame="1"/>
          <w:shd w:val="clear" w:color="auto" w:fill="FFFFFF"/>
        </w:rPr>
        <w:t xml:space="preserve"> policing policies and procedures that police officers must follow, that aid the confidence in the police due to the transparency that it offers the public. Increasing public confidence in policing remains a high priority and being held accountable by an external body (the IOPC) ensures a reduction in misconduct and malpractice by police officers across UK forces, which increases the public’s confidence in the police.</w:t>
      </w:r>
    </w:p>
    <w:p w14:paraId="64D23439" w14:textId="77777777" w:rsidR="005C5581" w:rsidRDefault="005C5581" w:rsidP="005C5581">
      <w:pPr>
        <w:rPr>
          <w:rStyle w:val="Emphasis"/>
          <w:rFonts w:cstheme="minorHAnsi"/>
          <w:i w:val="0"/>
          <w:iCs w:val="0"/>
          <w:color w:val="15090B"/>
          <w:bdr w:val="none" w:sz="0" w:space="0" w:color="auto" w:frame="1"/>
          <w:shd w:val="clear" w:color="auto" w:fill="FFFFFF"/>
        </w:rPr>
      </w:pPr>
      <w:r w:rsidRPr="005C5581">
        <w:rPr>
          <w:rStyle w:val="Emphasis"/>
          <w:rFonts w:cstheme="minorHAnsi"/>
          <w:i w:val="0"/>
          <w:iCs w:val="0"/>
          <w:color w:val="15090B"/>
          <w:bdr w:val="none" w:sz="0" w:space="0" w:color="auto" w:frame="1"/>
          <w:shd w:val="clear" w:color="auto" w:fill="FFFFFF"/>
        </w:rPr>
        <w:t>1064 words. Updated 07/06/2024</w:t>
      </w:r>
    </w:p>
    <w:p w14:paraId="4F3831FC" w14:textId="4C68A015" w:rsidR="005C5581" w:rsidRPr="005C5581" w:rsidRDefault="005C5581" w:rsidP="005C5581">
      <w:pPr>
        <w:rPr>
          <w:rFonts w:cstheme="minorHAnsi"/>
          <w:color w:val="15090B"/>
          <w:bdr w:val="none" w:sz="0" w:space="0" w:color="auto" w:frame="1"/>
          <w:shd w:val="clear" w:color="auto" w:fill="FFFFFF"/>
        </w:rPr>
      </w:pPr>
      <w:r w:rsidRPr="00410651">
        <w:rPr>
          <w:b/>
          <w:bCs/>
          <w:u w:val="single"/>
        </w:rPr>
        <w:lastRenderedPageBreak/>
        <w:t>Robert James Rees</w:t>
      </w:r>
      <w:r>
        <w:rPr>
          <w:b/>
          <w:bCs/>
          <w:u w:val="single"/>
        </w:rPr>
        <w:t xml:space="preserve"> (2236198)</w:t>
      </w:r>
      <w:r w:rsidRPr="00410651">
        <w:rPr>
          <w:b/>
          <w:bCs/>
          <w:u w:val="single"/>
        </w:rPr>
        <w:t xml:space="preserve"> Essay </w:t>
      </w:r>
      <w:r>
        <w:rPr>
          <w:b/>
          <w:bCs/>
          <w:u w:val="single"/>
        </w:rPr>
        <w:t>2</w:t>
      </w:r>
      <w:r w:rsidRPr="00410651">
        <w:rPr>
          <w:b/>
          <w:bCs/>
          <w:u w:val="single"/>
        </w:rPr>
        <w:t>.</w:t>
      </w:r>
    </w:p>
    <w:p w14:paraId="39E261D8" w14:textId="77777777" w:rsidR="005C5581" w:rsidRDefault="005C5581" w:rsidP="005C5581">
      <w:r>
        <w:rPr>
          <w:b/>
          <w:bCs/>
        </w:rPr>
        <w:t xml:space="preserve"> </w:t>
      </w:r>
      <w:r w:rsidRPr="00C332BC">
        <w:rPr>
          <w:b/>
          <w:bCs/>
        </w:rPr>
        <w:t>Public Protection</w:t>
      </w:r>
      <w:r>
        <w:rPr>
          <w:b/>
          <w:bCs/>
        </w:rPr>
        <w:t xml:space="preserve"> -</w:t>
      </w:r>
      <w:r>
        <w:t xml:space="preserve"> What characteristics (socio-economic, psychological etc.) can make a person vulnerable to exploitation to criminal gangs? Your answer must be based on academic research. Word limit: 1000 words.</w:t>
      </w:r>
    </w:p>
    <w:p w14:paraId="3CD07861" w14:textId="77777777" w:rsidR="005C5581" w:rsidRDefault="005C5581" w:rsidP="005C5581"/>
    <w:p w14:paraId="24A70412" w14:textId="77777777" w:rsidR="005C5581" w:rsidRDefault="005C5581" w:rsidP="005C5581">
      <w:r w:rsidRPr="00F8752C">
        <w:rPr>
          <w:b/>
          <w:bCs/>
        </w:rPr>
        <w:t>Answer</w:t>
      </w:r>
      <w:r>
        <w:t>.</w:t>
      </w:r>
    </w:p>
    <w:p w14:paraId="3653F06B" w14:textId="77777777" w:rsidR="005C5581" w:rsidRDefault="005C5581" w:rsidP="005C5581">
      <w:r>
        <w:t>There are several characteristics that can make a person vulnerable</w:t>
      </w:r>
      <w:sdt>
        <w:sdtPr>
          <w:id w:val="-832070665"/>
          <w:citation/>
        </w:sdtPr>
        <w:sdtContent>
          <w:r>
            <w:fldChar w:fldCharType="begin"/>
          </w:r>
          <w:r>
            <w:instrText xml:space="preserve"> CITATION Pre17 \l 2057 </w:instrText>
          </w:r>
          <w:r>
            <w:fldChar w:fldCharType="separate"/>
          </w:r>
          <w:r>
            <w:rPr>
              <w:noProof/>
            </w:rPr>
            <w:t xml:space="preserve"> </w:t>
          </w:r>
          <w:r w:rsidRPr="00C73951">
            <w:rPr>
              <w:noProof/>
            </w:rPr>
            <w:t>(Web, 2017)</w:t>
          </w:r>
          <w:r>
            <w:fldChar w:fldCharType="end"/>
          </w:r>
        </w:sdtContent>
      </w:sdt>
      <w:r>
        <w:t xml:space="preserve"> such as age, social isolation, economic instability, mental or physical health issues, children are particularly vulnerable to exploitation from criminal gangs due to the fact they can be easily coerced and manipulated, children and young teenagers may also lack awareness of the dangers and implications of exploitation. Children are most at risk from exploitation from gangs or organised crime groups due to their vulnerability, gangs will target them in an aim to provide them with protection, money, gifts, and a better quality of life, and provide them with a sense of belonging.</w:t>
      </w:r>
      <w:sdt>
        <w:sdtPr>
          <w:id w:val="-2103552414"/>
          <w:citation/>
        </w:sdtPr>
        <w:sdtContent>
          <w:r>
            <w:fldChar w:fldCharType="begin"/>
          </w:r>
          <w:r>
            <w:instrText xml:space="preserve"> CITATION Act24 \l 2057 </w:instrText>
          </w:r>
          <w:r>
            <w:fldChar w:fldCharType="separate"/>
          </w:r>
          <w:r>
            <w:rPr>
              <w:noProof/>
            </w:rPr>
            <w:t xml:space="preserve"> </w:t>
          </w:r>
          <w:r w:rsidRPr="00C73951">
            <w:rPr>
              <w:noProof/>
            </w:rPr>
            <w:t>(Children., 2024)</w:t>
          </w:r>
          <w:r>
            <w:fldChar w:fldCharType="end"/>
          </w:r>
        </w:sdtContent>
      </w:sdt>
      <w:r>
        <w:t xml:space="preserve"> This article discusses how children are exploited and manipulated by criminal gangs, leading to physical harm, long term trauma and often criminalisation, summarising on this article, there are key lessons identified such as, the absence of clear and consistent definition of criminal exploitation of children is the barrier to protect and support them, furthermore the article states that children are too often treated like criminals rather than victims and as a result do not receive a child protection response</w:t>
      </w:r>
      <w:sdt>
        <w:sdtPr>
          <w:id w:val="-989395381"/>
          <w:citation/>
        </w:sdtPr>
        <w:sdtContent>
          <w:r>
            <w:fldChar w:fldCharType="begin"/>
          </w:r>
          <w:r>
            <w:instrText xml:space="preserve"> CITATION HMG23 \l 2057 </w:instrText>
          </w:r>
          <w:r>
            <w:fldChar w:fldCharType="separate"/>
          </w:r>
          <w:r>
            <w:rPr>
              <w:noProof/>
            </w:rPr>
            <w:t xml:space="preserve"> </w:t>
          </w:r>
          <w:r w:rsidRPr="009D2C3F">
            <w:rPr>
              <w:noProof/>
            </w:rPr>
            <w:t>(HM Government, 2023)</w:t>
          </w:r>
          <w:r>
            <w:fldChar w:fldCharType="end"/>
          </w:r>
        </w:sdtContent>
      </w:sdt>
      <w:r>
        <w:t>. Additional reading states there has been an increase of 45% in referrals to the National Referral Mechanism (NRM)</w:t>
      </w:r>
      <w:sdt>
        <w:sdtPr>
          <w:id w:val="-417252745"/>
          <w:citation/>
        </w:sdtPr>
        <w:sdtContent>
          <w:r>
            <w:fldChar w:fldCharType="begin"/>
          </w:r>
          <w:r>
            <w:instrText xml:space="preserve"> CITATION Gov241 \l 2057 </w:instrText>
          </w:r>
          <w:r>
            <w:fldChar w:fldCharType="separate"/>
          </w:r>
          <w:r>
            <w:rPr>
              <w:noProof/>
            </w:rPr>
            <w:t xml:space="preserve"> </w:t>
          </w:r>
          <w:r w:rsidRPr="009D2C3F">
            <w:rPr>
              <w:noProof/>
            </w:rPr>
            <w:t>(Gov.UK, 2024)</w:t>
          </w:r>
          <w:r>
            <w:fldChar w:fldCharType="end"/>
          </w:r>
        </w:sdtContent>
      </w:sdt>
      <w:r>
        <w:t>. The article suggests recommendations such as, coordinated policies and practice at a local level, however, believe that the UK government should take ownership and lead the response to develop a national strategy.</w:t>
      </w:r>
    </w:p>
    <w:p w14:paraId="4D3B1675" w14:textId="77777777" w:rsidR="005C5581" w:rsidRDefault="005C5581" w:rsidP="005C5581">
      <w:r>
        <w:t>Partner agencies</w:t>
      </w:r>
      <w:sdt>
        <w:sdtPr>
          <w:id w:val="-1105258568"/>
          <w:citation/>
        </w:sdtPr>
        <w:sdtContent>
          <w:r>
            <w:fldChar w:fldCharType="begin"/>
          </w:r>
          <w:r>
            <w:instrText xml:space="preserve"> CITATION Col237 \l 2057 </w:instrText>
          </w:r>
          <w:r>
            <w:fldChar w:fldCharType="separate"/>
          </w:r>
          <w:r>
            <w:rPr>
              <w:noProof/>
            </w:rPr>
            <w:t xml:space="preserve"> </w:t>
          </w:r>
          <w:r w:rsidRPr="00BE6672">
            <w:rPr>
              <w:noProof/>
            </w:rPr>
            <w:t>(College of Policing, 2023)</w:t>
          </w:r>
          <w:r>
            <w:fldChar w:fldCharType="end"/>
          </w:r>
        </w:sdtContent>
      </w:sdt>
      <w:r>
        <w:t xml:space="preserve"> can play a vital role in addressing and assisting in providing specialised support to individuals in need of such support, using referrals and signposting individuals to partner agencies, ensuring early help to prevent the onset of offending. Early intervention and specialised support can provide an individual with support through several services such as, counselling, substance support, housing assistance, mental health services, by partner agencies working collaboratively this can be effective in preventing a vulnerable person becoming exposed to exploitation and the involvement with youth gangs.</w:t>
      </w:r>
    </w:p>
    <w:p w14:paraId="6ED95B52" w14:textId="77777777" w:rsidR="005C5581" w:rsidRDefault="005C5581" w:rsidP="005C5581">
      <w:r>
        <w:t>Agencies such as MAPPA play a crucial role in managing the risks posed by serious and violent offenders in the community, the role of MAPPA is to provide a structured framework that work collaboratively to maximise their collective impact, this ensures collaboration among partner agencies that can share vital information and establish any further actions required, also ensuring no partner agency operates solely, holding regular meetings along with case reviews provide agencies with updates and up to date risk assessments</w:t>
      </w:r>
      <w:sdt>
        <w:sdtPr>
          <w:id w:val="1809967155"/>
          <w:citation/>
        </w:sdtPr>
        <w:sdtContent>
          <w:r>
            <w:fldChar w:fldCharType="begin"/>
          </w:r>
          <w:r>
            <w:instrText xml:space="preserve"> CITATION Der22 \l 2057 </w:instrText>
          </w:r>
          <w:r>
            <w:fldChar w:fldCharType="separate"/>
          </w:r>
          <w:r>
            <w:rPr>
              <w:noProof/>
            </w:rPr>
            <w:t xml:space="preserve"> </w:t>
          </w:r>
          <w:r w:rsidRPr="00D953D2">
            <w:rPr>
              <w:noProof/>
            </w:rPr>
            <w:t>(Police, 2021/2022)</w:t>
          </w:r>
          <w:r>
            <w:fldChar w:fldCharType="end"/>
          </w:r>
        </w:sdtContent>
      </w:sdt>
      <w:r>
        <w:t>. The impact of MAPPA is to enhance public safety by effectively managing high risk offenders within the local community, it ensures a structured approach to be able to identify threats posed and are dealt with promptly and efficiently, furthermore it improves agency cooperation. By fostering a holistic approach, it ensures many aspects of the offender’s life are considered within a set-out management plan. Overall MAPPA plays a vital role in enhancing public safety, reducing re-offending and collaborative working between partner agencies, MAPPA requires continuous monitoring, however, aims to make a beneficial contribution to the impact on the local community.</w:t>
      </w:r>
    </w:p>
    <w:p w14:paraId="23914A4F" w14:textId="77777777" w:rsidR="005C5581" w:rsidRDefault="005C5581" w:rsidP="005C5581">
      <w:bookmarkStart w:id="0" w:name="_Hlk167787576"/>
      <w:r>
        <w:lastRenderedPageBreak/>
        <w:t>Remaining on the topic of partner agencies and the pivotal role they play in addressing and assisting in providing specialised support to individuals in need of support,</w:t>
      </w:r>
      <w:sdt>
        <w:sdtPr>
          <w:id w:val="569395239"/>
          <w:citation/>
        </w:sdtPr>
        <w:sdtContent>
          <w:r>
            <w:fldChar w:fldCharType="begin"/>
          </w:r>
          <w:r>
            <w:instrText xml:space="preserve"> CITATION Gov14 \l 2057 </w:instrText>
          </w:r>
          <w:r>
            <w:fldChar w:fldCharType="separate"/>
          </w:r>
          <w:r>
            <w:rPr>
              <w:noProof/>
            </w:rPr>
            <w:t xml:space="preserve"> </w:t>
          </w:r>
          <w:r w:rsidRPr="000459E2">
            <w:rPr>
              <w:noProof/>
            </w:rPr>
            <w:t>(Gov.UK, 2014)</w:t>
          </w:r>
          <w:r>
            <w:fldChar w:fldCharType="end"/>
          </w:r>
        </w:sdtContent>
      </w:sdt>
      <w:r>
        <w:t>. Multi-Agency Safeguarding Hubs, also known as M.A.S.H, have been created to prevent and mitigate the risk of any individual slipping through the safeguarding net, thus preventing them falling into gangs or the involvement in other criminality. The report states that interviews were carried out with 37 areas to look at the issues surrounding the safeguarding of vulnerable adults and children, the report states that (26) of the local authorities that were interviewed said they did have multi agency models in place, however, this often only extended to include only two agencies. The local authorities who had established the M.A.S.H model reported an increase in outcomes for children and families, thus providing evidence of the benefits of utilising the M.A.S.H model,</w:t>
      </w:r>
      <w:sdt>
        <w:sdtPr>
          <w:id w:val="-751200061"/>
          <w:citation/>
        </w:sdtPr>
        <w:sdtContent>
          <w:r>
            <w:fldChar w:fldCharType="begin"/>
          </w:r>
          <w:r>
            <w:instrText xml:space="preserve"> CITATION Hom14 \l 2057 </w:instrText>
          </w:r>
          <w:r>
            <w:fldChar w:fldCharType="separate"/>
          </w:r>
          <w:r>
            <w:rPr>
              <w:noProof/>
            </w:rPr>
            <w:t xml:space="preserve"> </w:t>
          </w:r>
          <w:r w:rsidRPr="00CE4D20">
            <w:rPr>
              <w:noProof/>
            </w:rPr>
            <w:t>(Home office, 2014)</w:t>
          </w:r>
          <w:r>
            <w:fldChar w:fldCharType="end"/>
          </w:r>
        </w:sdtContent>
      </w:sdt>
      <w:r>
        <w:t>. It is clear from the report that local authorities are keen to drive and improve safeguarding, through an increase in information sharing as well as high quality and timely safeguarding responses. Agencies can provide an individual with several services such as, counselling, substance support, housing assistance, mental health service, and by partner agencies working collaboratively this can be an effective model in preventing a vulnerable person becoming exposed to exploitation into gangs. The report also stated that overall partner agencies can maximise their collective impact and create a supportive safety net to individuals, however, M.A.S.H will not deliver its benefits listed unless each agency efficiently discharges its own safeguarding duties, successfully delivery though can, over time can assist in empowering an individual who may be vulnerable initially.</w:t>
      </w:r>
      <w:bookmarkEnd w:id="0"/>
    </w:p>
    <w:p w14:paraId="17DC735F" w14:textId="77777777" w:rsidR="005C5581" w:rsidRDefault="005C5581" w:rsidP="005C5581">
      <w:r>
        <w:t>The National Police Chiefs Council has developed the national Vulnerability Action Plan (NVAP)</w:t>
      </w:r>
      <w:sdt>
        <w:sdtPr>
          <w:id w:val="865028246"/>
          <w:citation/>
        </w:sdtPr>
        <w:sdtContent>
          <w:r>
            <w:fldChar w:fldCharType="begin"/>
          </w:r>
          <w:r>
            <w:instrText xml:space="preserve"> CITATION Col221 \l 2057 </w:instrText>
          </w:r>
          <w:r>
            <w:fldChar w:fldCharType="separate"/>
          </w:r>
          <w:r>
            <w:rPr>
              <w:noProof/>
            </w:rPr>
            <w:t xml:space="preserve"> </w:t>
          </w:r>
          <w:r w:rsidRPr="00354476">
            <w:rPr>
              <w:noProof/>
            </w:rPr>
            <w:t>(College of Policing - NPCC, 2020 - 2022)</w:t>
          </w:r>
          <w:r>
            <w:fldChar w:fldCharType="end"/>
          </w:r>
        </w:sdtContent>
      </w:sdt>
      <w:r>
        <w:t xml:space="preserve"> the National Action Plan is aimed at providing support to policing to deliver 7 identified key themes that have specific actions, early intervention and prevention, protecting, supporting, safeguarding and managing risk, information, intelligence, data collection and management of information, effective investigations and outcomes, leadership, learning and development, communications. Implementing and developing detailed actions plans for each individual and identifying responsible parties help to systematically reduce vulnerabilities and enhance national resilience thus ensuring a well-prepared response to threats. Recognizing that the action plan has a shared ownership and several owners such as, The college of policing, Individual Police Forces, and regional teams, each with their own objective and action goals.</w:t>
      </w:r>
    </w:p>
    <w:p w14:paraId="7F42BF9A" w14:textId="77777777" w:rsidR="005C5581" w:rsidRDefault="005C5581" w:rsidP="005C5581">
      <w:r>
        <w:t>In conclusion, the psychological impact of abuse on victims is profound and can have severe, lasting emotional and mental health effects, vulnerable victims can often develop PTSD</w:t>
      </w:r>
      <w:sdt>
        <w:sdtPr>
          <w:id w:val="-1584684899"/>
          <w:citation/>
        </w:sdtPr>
        <w:sdtContent>
          <w:r>
            <w:fldChar w:fldCharType="begin"/>
          </w:r>
          <w:r>
            <w:instrText xml:space="preserve"> CITATION Cam18 \l 2057 </w:instrText>
          </w:r>
          <w:r>
            <w:fldChar w:fldCharType="separate"/>
          </w:r>
          <w:r>
            <w:rPr>
              <w:noProof/>
            </w:rPr>
            <w:t xml:space="preserve"> </w:t>
          </w:r>
          <w:r w:rsidRPr="00B160E7">
            <w:rPr>
              <w:noProof/>
            </w:rPr>
            <w:t>(Cambridge University, 2018)</w:t>
          </w:r>
          <w:r>
            <w:fldChar w:fldCharType="end"/>
          </w:r>
        </w:sdtContent>
      </w:sdt>
      <w:r>
        <w:t xml:space="preserve"> depression, anxiety, and behavioural issues, addressing these psychological impacts requires specialised support. It is evident that vulnerability factors such as individuals from low socioeconomic backgrounds who lack positive relationships with family members, are at risk of becoming more susceptible to becoming exploited by gangs or other organised criminal enterprises. Through research it is clear there are support agencies available to those who require it along with action plans and models which focus on how effective the current public protection practises that are currently in place at protecting those who may be exploited to gangs.</w:t>
      </w:r>
    </w:p>
    <w:p w14:paraId="3EBD6AB6" w14:textId="77777777" w:rsidR="005C5581" w:rsidRDefault="005C5581" w:rsidP="005C5581"/>
    <w:p w14:paraId="7D1CA6CE" w14:textId="03B39406" w:rsidR="005C5581" w:rsidRDefault="005C5581" w:rsidP="005C5581">
      <w:r>
        <w:t>1086 words. Updated 10/06/2024</w:t>
      </w:r>
    </w:p>
    <w:p w14:paraId="44C36DCE" w14:textId="77777777" w:rsidR="005C5581" w:rsidRDefault="005C5581" w:rsidP="005C5581"/>
    <w:p w14:paraId="0A4A7E21" w14:textId="77777777" w:rsidR="005C5581" w:rsidRPr="004A79AD" w:rsidRDefault="005C5581" w:rsidP="005C5581">
      <w:pPr>
        <w:rPr>
          <w:b/>
          <w:bCs/>
          <w:u w:val="single"/>
        </w:rPr>
      </w:pPr>
      <w:r w:rsidRPr="004A79AD">
        <w:rPr>
          <w:b/>
          <w:bCs/>
          <w:u w:val="single"/>
        </w:rPr>
        <w:lastRenderedPageBreak/>
        <w:t>Robert James Rees (2236198) Essay 3.</w:t>
      </w:r>
    </w:p>
    <w:p w14:paraId="66D55D3A" w14:textId="77777777" w:rsidR="005C5581" w:rsidRPr="004A79AD" w:rsidRDefault="005C5581" w:rsidP="005C5581">
      <w:pPr>
        <w:rPr>
          <w:b/>
          <w:bCs/>
        </w:rPr>
      </w:pPr>
      <w:r w:rsidRPr="004A79AD">
        <w:rPr>
          <w:b/>
          <w:bCs/>
        </w:rPr>
        <w:t>Vulnerability &amp; Risk.</w:t>
      </w:r>
    </w:p>
    <w:p w14:paraId="22665E7A" w14:textId="77777777" w:rsidR="005C5581" w:rsidRPr="004A79AD" w:rsidRDefault="005C5581" w:rsidP="005C5581">
      <w:r w:rsidRPr="004A79AD">
        <w:t>Is early intervention an effective means of preventing young people from offending? What increases or detracts from its effectiveness? Your answer must be based on academic research. Word limit: 1000 words.</w:t>
      </w:r>
    </w:p>
    <w:p w14:paraId="4C433115" w14:textId="77777777" w:rsidR="005C5581" w:rsidRPr="004A79AD" w:rsidRDefault="005C5581" w:rsidP="005C5581"/>
    <w:p w14:paraId="48BEC666" w14:textId="77777777" w:rsidR="005C5581" w:rsidRPr="00FF76FC" w:rsidRDefault="005C5581" w:rsidP="005C5581">
      <w:r>
        <w:t xml:space="preserve">Early interventions can be an effective way of providing support to individuals, especially young people, early interventions can assist in addressing the root causes and help to mitigate any underlying issues that may contribute to criminal behaviour, issues such as family, mental health, substance abuse, by providing support and guidance early interventions can be beneficial. Early intervention is mostly effective when partnership agencies are involved, known as, </w:t>
      </w:r>
      <w:r w:rsidRPr="005C5581">
        <w:rPr>
          <w:rStyle w:val="Strong"/>
          <w:rFonts w:cstheme="minorHAnsi"/>
          <w:b w:val="0"/>
          <w:bCs w:val="0"/>
          <w:color w:val="222222"/>
          <w:bdr w:val="none" w:sz="0" w:space="0" w:color="auto" w:frame="1"/>
        </w:rPr>
        <w:t>Multi Agency Public Protection Arrangements, (MAPPA)</w:t>
      </w:r>
      <w:sdt>
        <w:sdtPr>
          <w:rPr>
            <w:rStyle w:val="Strong"/>
            <w:rFonts w:cstheme="minorHAnsi"/>
            <w:b w:val="0"/>
            <w:bCs w:val="0"/>
            <w:color w:val="222222"/>
            <w:bdr w:val="none" w:sz="0" w:space="0" w:color="auto" w:frame="1"/>
          </w:rPr>
          <w:id w:val="-1111126904"/>
          <w:citation/>
        </w:sdtPr>
        <w:sdtContent>
          <w:r w:rsidRPr="005C5581">
            <w:rPr>
              <w:rStyle w:val="Strong"/>
              <w:rFonts w:cstheme="minorHAnsi"/>
              <w:b w:val="0"/>
              <w:bCs w:val="0"/>
              <w:color w:val="222222"/>
              <w:bdr w:val="none" w:sz="0" w:space="0" w:color="auto" w:frame="1"/>
            </w:rPr>
            <w:fldChar w:fldCharType="begin"/>
          </w:r>
          <w:r w:rsidRPr="005C5581">
            <w:rPr>
              <w:rStyle w:val="Strong"/>
              <w:rFonts w:ascii="Montserrat" w:hAnsi="Montserrat"/>
              <w:b w:val="0"/>
              <w:bCs w:val="0"/>
              <w:color w:val="222222"/>
              <w:bdr w:val="none" w:sz="0" w:space="0" w:color="auto" w:frame="1"/>
            </w:rPr>
            <w:instrText xml:space="preserve"> CITATION GOV24 \l 2057 </w:instrText>
          </w:r>
          <w:r w:rsidRPr="005C5581">
            <w:rPr>
              <w:rStyle w:val="Strong"/>
              <w:rFonts w:cstheme="minorHAnsi"/>
              <w:b w:val="0"/>
              <w:bCs w:val="0"/>
              <w:color w:val="222222"/>
              <w:bdr w:val="none" w:sz="0" w:space="0" w:color="auto" w:frame="1"/>
            </w:rPr>
            <w:fldChar w:fldCharType="separate"/>
          </w:r>
          <w:r w:rsidRPr="005C5581">
            <w:rPr>
              <w:rStyle w:val="Strong"/>
              <w:rFonts w:ascii="Montserrat" w:hAnsi="Montserrat"/>
              <w:b w:val="0"/>
              <w:bCs w:val="0"/>
              <w:noProof/>
              <w:color w:val="222222"/>
              <w:bdr w:val="none" w:sz="0" w:space="0" w:color="auto" w:frame="1"/>
            </w:rPr>
            <w:t xml:space="preserve"> </w:t>
          </w:r>
          <w:r w:rsidRPr="005C5581">
            <w:rPr>
              <w:rFonts w:ascii="Montserrat" w:hAnsi="Montserrat"/>
              <w:b/>
              <w:bCs/>
              <w:noProof/>
              <w:color w:val="222222"/>
              <w:bdr w:val="none" w:sz="0" w:space="0" w:color="auto" w:frame="1"/>
            </w:rPr>
            <w:t>(GOV.UK, 2024)</w:t>
          </w:r>
          <w:r w:rsidRPr="005C5581">
            <w:rPr>
              <w:rStyle w:val="Strong"/>
              <w:rFonts w:cstheme="minorHAnsi"/>
              <w:b w:val="0"/>
              <w:bCs w:val="0"/>
              <w:color w:val="222222"/>
              <w:bdr w:val="none" w:sz="0" w:space="0" w:color="auto" w:frame="1"/>
            </w:rPr>
            <w:fldChar w:fldCharType="end"/>
          </w:r>
        </w:sdtContent>
      </w:sdt>
      <w:r w:rsidRPr="005C5581">
        <w:rPr>
          <w:rStyle w:val="Strong"/>
          <w:rFonts w:cstheme="minorHAnsi"/>
          <w:b w:val="0"/>
          <w:bCs w:val="0"/>
          <w:color w:val="222222"/>
          <w:bdr w:val="none" w:sz="0" w:space="0" w:color="auto" w:frame="1"/>
        </w:rPr>
        <w:t xml:space="preserve"> the aim of MAPPA is to assess and manage the risk posed by serious, sexual, and violent offenders through multiple agencies public protection arrangements being put in place.</w:t>
      </w:r>
      <w:r>
        <w:t xml:space="preserve"> In 2023 there was a serious case review report published, which focused on the vulnerability of individuals that were being managed under MAPPA, </w:t>
      </w:r>
      <w:sdt>
        <w:sdtPr>
          <w:id w:val="-1258363983"/>
          <w:citation/>
        </w:sdtPr>
        <w:sdtContent>
          <w:r>
            <w:fldChar w:fldCharType="begin"/>
          </w:r>
          <w:r>
            <w:instrText xml:space="preserve"> CITATION Dar22 \l 2057 </w:instrText>
          </w:r>
          <w:r>
            <w:fldChar w:fldCharType="separate"/>
          </w:r>
          <w:r w:rsidRPr="004E6A9C">
            <w:rPr>
              <w:noProof/>
            </w:rPr>
            <w:t>(Darling, et al., 2021/2022)</w:t>
          </w:r>
          <w:r>
            <w:fldChar w:fldCharType="end"/>
          </w:r>
        </w:sdtContent>
      </w:sdt>
      <w:r>
        <w:t xml:space="preserve"> the article states that vulnerabilities can be a risk factor when trying to identify an individual’s risk to further offending, it also identifies police learning in relation to a better understanding and an adequate response to those with vulnerabilities, the most common vulnerability that was identified was those individuals who were substance and alcohol misuse or dependant. It is recognised that vulnerabilities can manifest and fluctuate over time due to changes in lifestyles, living circumstances, and medication or treatment. Once vulnerability-related risks have been identified risk management plans will be set into place by relevant partner agencies with an aim to prevent individuals from re-offending, this refers to actions which focus more on developing the individuals own ability to avoid and manage risk situations, its aim is also to build strengths that will help individuals to resist from re-offending. Further key considerations from the report state that the offender manager should consider the quality of the offender engagement and evidence any changes in thoughts, attitudes and offender behaviour when assessing the impact of interventions on vulnerability related risks. To summarise, MAPPA play a vital role in preventing young people from re-offending as discussed in the report, through coordinating efforts among partnership agencies to manage the risks posed by individuals, by a comprehensive approach this ensures young offenders receive the support and supervision to reduce the chances of reoffending, police should also be prepared to professionally challenge other agencies where necessary to ensure individuals are safeguarded and protected.</w:t>
      </w:r>
    </w:p>
    <w:p w14:paraId="59CE13BD" w14:textId="77777777" w:rsidR="005C5581" w:rsidRDefault="005C5581" w:rsidP="005C5581">
      <w:r>
        <w:t>Police must be able to identify individuals who are at risk of harm and take advantage of any opportunities to gather information regarding a person’s situation, professional curiosity remains to be a vital skill of police officers along with an increased understanding of vulnerabilities, guidelines from the college of policing aim to deliver practical operational advice for officers and staff to be professionally curious when attending incidents or gathering information during investigations</w:t>
      </w:r>
      <w:sdt>
        <w:sdtPr>
          <w:id w:val="1059139491"/>
          <w:citation/>
        </w:sdtPr>
        <w:sdtContent>
          <w:r>
            <w:fldChar w:fldCharType="begin"/>
          </w:r>
          <w:r>
            <w:instrText xml:space="preserve"> CITATION Col245 \l 2057 </w:instrText>
          </w:r>
          <w:r>
            <w:fldChar w:fldCharType="separate"/>
          </w:r>
          <w:r>
            <w:rPr>
              <w:noProof/>
            </w:rPr>
            <w:t xml:space="preserve"> </w:t>
          </w:r>
          <w:r w:rsidRPr="00E1671A">
            <w:rPr>
              <w:noProof/>
            </w:rPr>
            <w:t>(College of Policing, 2024)</w:t>
          </w:r>
          <w:r>
            <w:fldChar w:fldCharType="end"/>
          </w:r>
        </w:sdtContent>
      </w:sdt>
      <w:r>
        <w:t>. The National Vulnerability Action Plan (NVAP)</w:t>
      </w:r>
      <w:sdt>
        <w:sdtPr>
          <w:id w:val="-341705475"/>
          <w:citation/>
        </w:sdtPr>
        <w:sdtContent>
          <w:r>
            <w:fldChar w:fldCharType="begin"/>
          </w:r>
          <w:r>
            <w:instrText xml:space="preserve"> CITATION Col222 \l 2057 </w:instrText>
          </w:r>
          <w:r>
            <w:fldChar w:fldCharType="separate"/>
          </w:r>
          <w:r>
            <w:rPr>
              <w:noProof/>
            </w:rPr>
            <w:t xml:space="preserve"> </w:t>
          </w:r>
          <w:r w:rsidRPr="00E1671A">
            <w:rPr>
              <w:noProof/>
            </w:rPr>
            <w:t>(College of Policing, 2020 - 2022)</w:t>
          </w:r>
          <w:r>
            <w:fldChar w:fldCharType="end"/>
          </w:r>
        </w:sdtContent>
      </w:sdt>
      <w:r>
        <w:t xml:space="preserve"> is an initiative in the UK designed to improve the identification and response to vulnerable individuals, particularly those who are at risk or exploitation. The NVAP states that by adopting a principle of professional curiosity indicators of vulnerability can be identified at an early stage, therefor resulting in the appropriate steps to safeguard, and signpost to the relevant agency, leading to early intervention, professional </w:t>
      </w:r>
      <w:r>
        <w:lastRenderedPageBreak/>
        <w:t>curiosity can be understood as a tool to encourage practitioners to move from having information to taking action</w:t>
      </w:r>
      <w:sdt>
        <w:sdtPr>
          <w:id w:val="249936141"/>
          <w:citation/>
        </w:sdtPr>
        <w:sdtContent>
          <w:r>
            <w:fldChar w:fldCharType="begin"/>
          </w:r>
          <w:r>
            <w:instrText xml:space="preserve"> CITATION Sag22 \l 2057 </w:instrText>
          </w:r>
          <w:r>
            <w:fldChar w:fldCharType="separate"/>
          </w:r>
          <w:r>
            <w:rPr>
              <w:noProof/>
            </w:rPr>
            <w:t xml:space="preserve"> </w:t>
          </w:r>
          <w:r w:rsidRPr="008E1301">
            <w:rPr>
              <w:noProof/>
            </w:rPr>
            <w:t>(Sage Journals, 2022)</w:t>
          </w:r>
          <w:r>
            <w:fldChar w:fldCharType="end"/>
          </w:r>
        </w:sdtContent>
      </w:sdt>
      <w:r>
        <w:t xml:space="preserve"> this article discusses how professional curiosity can be used to prevent failures in social work and probation, the article states that a lack of professional curiosity has been identified as a contributing factor in serious case reviews, (SCR)</w:t>
      </w:r>
      <w:sdt>
        <w:sdtPr>
          <w:id w:val="-1293292931"/>
          <w:citation/>
        </w:sdtPr>
        <w:sdtContent>
          <w:r>
            <w:fldChar w:fldCharType="begin"/>
          </w:r>
          <w:r>
            <w:instrText xml:space="preserve"> CITATION NSP24 \l 2057 </w:instrText>
          </w:r>
          <w:r>
            <w:fldChar w:fldCharType="separate"/>
          </w:r>
          <w:r>
            <w:rPr>
              <w:noProof/>
            </w:rPr>
            <w:t xml:space="preserve"> </w:t>
          </w:r>
          <w:r w:rsidRPr="00ED1396">
            <w:rPr>
              <w:noProof/>
            </w:rPr>
            <w:t>(NSPCC, 2024)</w:t>
          </w:r>
          <w:r>
            <w:fldChar w:fldCharType="end"/>
          </w:r>
        </w:sdtContent>
      </w:sdt>
      <w:r>
        <w:t xml:space="preserve"> take place following the death of a child.</w:t>
      </w:r>
    </w:p>
    <w:p w14:paraId="51D82DF3" w14:textId="77777777" w:rsidR="005C5581" w:rsidRDefault="005C5581" w:rsidP="005C5581">
      <w:r>
        <w:t>The impact of early intervention can have on an offending curve, requires a multi-agency approach to ensure support and guidance is offered to young offenders, there are two key factors relating to this, firstly, Individual Risk Factors such as exposure to Adverse Childhood Experiences (ACE’s)</w:t>
      </w:r>
      <w:sdt>
        <w:sdtPr>
          <w:id w:val="-1034428694"/>
          <w:citation/>
        </w:sdtPr>
        <w:sdtContent>
          <w:r>
            <w:fldChar w:fldCharType="begin"/>
          </w:r>
          <w:r>
            <w:instrText xml:space="preserve"> CITATION NHS241 \l 2057 </w:instrText>
          </w:r>
          <w:r>
            <w:fldChar w:fldCharType="separate"/>
          </w:r>
          <w:r>
            <w:rPr>
              <w:noProof/>
            </w:rPr>
            <w:t xml:space="preserve"> </w:t>
          </w:r>
          <w:r w:rsidRPr="007B7802">
            <w:rPr>
              <w:noProof/>
            </w:rPr>
            <w:t>(NHS - Manchester University, 2024)</w:t>
          </w:r>
          <w:r>
            <w:fldChar w:fldCharType="end"/>
          </w:r>
        </w:sdtContent>
      </w:sdt>
      <w:r>
        <w:t xml:space="preserve"> for example domestic abuse, exclusion from school and poor mental health, secondly Environmental Risk Factors such coming from an area of social deprivation, a negative relationship towards police, this article</w:t>
      </w:r>
      <w:sdt>
        <w:sdtPr>
          <w:id w:val="-1051764639"/>
          <w:citation/>
        </w:sdtPr>
        <w:sdtContent>
          <w:r>
            <w:fldChar w:fldCharType="begin"/>
          </w:r>
          <w:r>
            <w:instrText xml:space="preserve"> CITATION Kar21 \l 2057 </w:instrText>
          </w:r>
          <w:r>
            <w:fldChar w:fldCharType="separate"/>
          </w:r>
          <w:r>
            <w:rPr>
              <w:noProof/>
            </w:rPr>
            <w:t xml:space="preserve"> </w:t>
          </w:r>
          <w:r w:rsidRPr="007B7802">
            <w:rPr>
              <w:noProof/>
            </w:rPr>
            <w:t>(Thompson, 2021)</w:t>
          </w:r>
          <w:r>
            <w:fldChar w:fldCharType="end"/>
          </w:r>
        </w:sdtContent>
      </w:sdt>
      <w:r>
        <w:t xml:space="preserve"> compares the two factors discussed above to compare the range of distinguishes between individual and environmental interventions. This article looks at individual risk factors support such as mentoring, specialist children services, one example states that when child support agencies find extra financial support for young people wo have been victims of domestic abuse, one study yielding reduction rates from 25% to 7%. The troubled families programme involves assigning a support worker to families whose children were at risk from offending, with the aim of helping children engage within the local community along with employment opportunities. Secondly, the article looks at Environmental Interventions to prevent crime, community interventions such as increasing police visibility in high crime areas, School based interventions such as educating children, emotional and communication skills, which is shown to have a positive impact in reducing crime along with substance abuse. The article provides a balanced approach to how impactful early interventions can be and their effectiveness, whilst also acknowledging that even without early interventions it is difficult to fully understand that crime would have been reduced anyway.</w:t>
      </w:r>
    </w:p>
    <w:p w14:paraId="6D679984" w14:textId="77777777" w:rsidR="005C5581" w:rsidRDefault="005C5581" w:rsidP="005C5581">
      <w:r>
        <w:t>Poor p</w:t>
      </w:r>
      <w:r w:rsidRPr="004A79AD">
        <w:t>arental supervision can have a detrimental impact on a child’s development and significantly increases the risks of their involvement in crime and anti-social behaviour</w:t>
      </w:r>
      <w:sdt>
        <w:sdtPr>
          <w:id w:val="2014796985"/>
          <w:citation/>
        </w:sdtPr>
        <w:sdtContent>
          <w:r>
            <w:fldChar w:fldCharType="begin"/>
          </w:r>
          <w:r>
            <w:instrText xml:space="preserve"> CITATION Gle21 \l 2057 </w:instrText>
          </w:r>
          <w:r>
            <w:fldChar w:fldCharType="separate"/>
          </w:r>
          <w:r>
            <w:rPr>
              <w:noProof/>
            </w:rPr>
            <w:t xml:space="preserve"> </w:t>
          </w:r>
          <w:r w:rsidRPr="005E00BB">
            <w:rPr>
              <w:noProof/>
            </w:rPr>
            <w:t>(Walters, 2021)</w:t>
          </w:r>
          <w:r>
            <w:fldChar w:fldCharType="end"/>
          </w:r>
        </w:sdtContent>
      </w:sdt>
      <w:r w:rsidRPr="004A79AD">
        <w:t xml:space="preserve">, </w:t>
      </w:r>
      <w:r>
        <w:t>this article provides further evidence that poor parental supervision contributes to an increased risk of future delinquency from 19% to 29%</w:t>
      </w:r>
      <w:r w:rsidRPr="004A79AD">
        <w:t>.</w:t>
      </w:r>
      <w:r>
        <w:t xml:space="preserve"> </w:t>
      </w:r>
      <w:r w:rsidRPr="004A79AD">
        <w:t xml:space="preserve">Structure is important when trying to introduce an early intervention scheme with a young person, however flexibility is also critical, </w:t>
      </w:r>
      <w:r>
        <w:t xml:space="preserve">it </w:t>
      </w:r>
      <w:r w:rsidRPr="004A79AD">
        <w:t>can allow agencies to focus on the child’s and parents particular parenting needs, as every situation is unique.</w:t>
      </w:r>
    </w:p>
    <w:p w14:paraId="3A795FC7" w14:textId="77777777" w:rsidR="005C5581" w:rsidRPr="004A79AD" w:rsidRDefault="005C5581" w:rsidP="005C5581">
      <w:r w:rsidRPr="004A79AD">
        <w:t>In conclusion</w:t>
      </w:r>
      <w:r>
        <w:t>,</w:t>
      </w:r>
      <w:r w:rsidRPr="004A79AD">
        <w:t xml:space="preserve"> it is apparent that preventing young people and teenagers becoming involved in serious and organised crime cannot only be done solely through disruption and prosecution, it needs to be an objective for police, and especially partner agencies to stop young people and teenagers from being drawn into the involvement of serious and organised crime</w:t>
      </w:r>
      <w:r>
        <w:t>.</w:t>
      </w:r>
    </w:p>
    <w:p w14:paraId="5D5C34D3" w14:textId="77777777" w:rsidR="005C5581" w:rsidRDefault="005C5581" w:rsidP="005C5581">
      <w:r w:rsidRPr="004A79AD">
        <w:t>Ultimately</w:t>
      </w:r>
      <w:r>
        <w:t>,</w:t>
      </w:r>
      <w:r w:rsidRPr="004A79AD">
        <w:t xml:space="preserve"> to successfully prevent young people becoming involved in crime is a collaborative effort and requires partnership working across all levels, early intervention is recognised as predominately a positive approach and an effective one</w:t>
      </w:r>
      <w:r>
        <w:t xml:space="preserve"> as evidenced above</w:t>
      </w:r>
      <w:r w:rsidRPr="004A79AD">
        <w:t>, understandable there will be occasions when early interventions will be met with hostility and an unwillingness to engage, however early intervention remain</w:t>
      </w:r>
      <w:r>
        <w:t>s</w:t>
      </w:r>
      <w:r w:rsidRPr="004A79AD">
        <w:t xml:space="preserve"> to play a key role in preventing children and young people becoming crime, and finding pathways towards a law-abiding lifestyle</w:t>
      </w:r>
      <w:r>
        <w:t xml:space="preserve">. </w:t>
      </w:r>
    </w:p>
    <w:p w14:paraId="1198109F" w14:textId="35637332" w:rsidR="005C5581" w:rsidRPr="005C5581" w:rsidRDefault="005C5581" w:rsidP="005C5581">
      <w:pPr>
        <w:rPr>
          <w:rFonts w:cstheme="minorHAnsi"/>
          <w:color w:val="15090B"/>
          <w:bdr w:val="none" w:sz="0" w:space="0" w:color="auto" w:frame="1"/>
          <w:shd w:val="clear" w:color="auto" w:fill="FFFFFF"/>
        </w:rPr>
      </w:pPr>
      <w:r>
        <w:t>1081 Words. Updated 10/06/2024</w:t>
      </w:r>
    </w:p>
    <w:p w14:paraId="40B2DF5A" w14:textId="77777777" w:rsidR="005C5581" w:rsidRDefault="005C5581"/>
    <w:p w14:paraId="5C01386C" w14:textId="77777777" w:rsidR="005C5581" w:rsidRDefault="005C5581" w:rsidP="005C5581">
      <w:r w:rsidRPr="00410651">
        <w:rPr>
          <w:b/>
          <w:bCs/>
          <w:u w:val="single"/>
        </w:rPr>
        <w:lastRenderedPageBreak/>
        <w:t>Robert James Rees</w:t>
      </w:r>
      <w:r>
        <w:rPr>
          <w:b/>
          <w:bCs/>
          <w:u w:val="single"/>
        </w:rPr>
        <w:t xml:space="preserve"> (2236198)</w:t>
      </w:r>
      <w:r w:rsidRPr="00410651">
        <w:rPr>
          <w:b/>
          <w:bCs/>
          <w:u w:val="single"/>
        </w:rPr>
        <w:t xml:space="preserve"> Essay </w:t>
      </w:r>
      <w:r>
        <w:rPr>
          <w:b/>
          <w:bCs/>
          <w:u w:val="single"/>
        </w:rPr>
        <w:t>4.</w:t>
      </w:r>
    </w:p>
    <w:p w14:paraId="35DE6964" w14:textId="77777777" w:rsidR="005C5581" w:rsidRDefault="005C5581" w:rsidP="005C5581"/>
    <w:p w14:paraId="307DF938" w14:textId="77777777" w:rsidR="005C5581" w:rsidRPr="00C72F7D" w:rsidRDefault="005C5581" w:rsidP="005C5581">
      <w:pPr>
        <w:rPr>
          <w:b/>
          <w:bCs/>
        </w:rPr>
      </w:pPr>
      <w:r w:rsidRPr="00C72F7D">
        <w:rPr>
          <w:b/>
          <w:bCs/>
        </w:rPr>
        <w:t>Essay four – Valuing Difference &amp; Inclusion.</w:t>
      </w:r>
    </w:p>
    <w:p w14:paraId="6BCEB5A7" w14:textId="77777777" w:rsidR="005C5581" w:rsidRDefault="005C5581" w:rsidP="005C5581">
      <w:bookmarkStart w:id="1" w:name="_Hlk168490184"/>
      <w:r>
        <w:t>How effectively has policing adapted to accommodate diversity within the UK? Consider the police force itself and/or the way police engage with diverse communities</w:t>
      </w:r>
      <w:bookmarkEnd w:id="1"/>
      <w:r>
        <w:t>. Support your answer with relevant evidence drawn from academic sources. Word limit: 1000 words.</w:t>
      </w:r>
    </w:p>
    <w:p w14:paraId="741BBF7A" w14:textId="77777777" w:rsidR="005C5581" w:rsidRDefault="005C5581" w:rsidP="005C5581"/>
    <w:p w14:paraId="678D963E" w14:textId="4325916F" w:rsidR="005C5581" w:rsidRDefault="005C5581" w:rsidP="005C5581">
      <w:r>
        <w:t>The United Kingdom is renowned for being diverse and boasts a vast mixture of cultures, languages, and traditions, and continues to grow rapidly, the diversity stems from hundreds of years of immigration and cultural exchanges. Police forces must ensure views of all individuals are incorporated. Diversity can be identified as, ethnicity, nationality, class, gender, age, religion, and sexual orientation</w:t>
      </w:r>
      <w:sdt>
        <w:sdtPr>
          <w:id w:val="853623977"/>
          <w:citation/>
        </w:sdtPr>
        <w:sdtContent>
          <w:r>
            <w:fldChar w:fldCharType="begin"/>
          </w:r>
          <w:r>
            <w:instrText xml:space="preserve"> CITATION SPH10 \l 2057 </w:instrText>
          </w:r>
          <w:r>
            <w:fldChar w:fldCharType="separate"/>
          </w:r>
          <w:r>
            <w:rPr>
              <w:noProof/>
            </w:rPr>
            <w:t xml:space="preserve"> </w:t>
          </w:r>
          <w:r w:rsidRPr="00473153">
            <w:rPr>
              <w:noProof/>
            </w:rPr>
            <w:t>(SPH.UNC, 2010)</w:t>
          </w:r>
          <w:r>
            <w:fldChar w:fldCharType="end"/>
          </w:r>
        </w:sdtContent>
      </w:sdt>
      <w:r>
        <w:t xml:space="preserve">. </w:t>
      </w:r>
      <w:r>
        <w:t>Throughout the United Kingdom, police forces prioritise diversity, equality and inclusion,</w:t>
      </w:r>
      <w:r>
        <w:t xml:space="preserve"> and strive to achieve a diverse workforce within UK policing </w:t>
      </w:r>
      <w:sdt>
        <w:sdtPr>
          <w:id w:val="927698766"/>
          <w:citation/>
        </w:sdtPr>
        <w:sdtContent>
          <w:r>
            <w:fldChar w:fldCharType="begin"/>
          </w:r>
          <w:r>
            <w:instrText xml:space="preserve"> CITATION Equ22 \l 2057 </w:instrText>
          </w:r>
          <w:r>
            <w:fldChar w:fldCharType="separate"/>
          </w:r>
          <w:r w:rsidRPr="00CC36BC">
            <w:rPr>
              <w:noProof/>
            </w:rPr>
            <w:t>(Anon., 2022)</w:t>
          </w:r>
          <w:r>
            <w:fldChar w:fldCharType="end"/>
          </w:r>
        </w:sdtContent>
      </w:sdt>
      <w:r>
        <w:t xml:space="preserve"> as highlighted in this article by the IOPC, is the importance of demonstrating sensitivity and empathy when working with individuals from different backgrounds, in order to continually produce excellence in outcomes. Whilst representing individuals from all backgrounds, this vision is paramount in a successful police organisation and heightening public confidence, the vision set out by UK police forces does not solely focus on this vison in isolation, but strives for collaboration, it is paramount to hold those within the organisation accountable and aware of the changes in society. Policing is vastly changing and at times a challenging workplace and requires adaptability and must be able to recognise the changes it faces, however the key policing principles remain the same, as set out by Sir Robert Peel’s Policing Principles in 1829 </w:t>
      </w:r>
      <w:sdt>
        <w:sdtPr>
          <w:id w:val="-789508322"/>
          <w:citation/>
        </w:sdtPr>
        <w:sdtContent>
          <w:r>
            <w:fldChar w:fldCharType="begin"/>
          </w:r>
          <w:r>
            <w:instrText xml:space="preserve"> CITATION Law \l 2057 </w:instrText>
          </w:r>
          <w:r>
            <w:fldChar w:fldCharType="separate"/>
          </w:r>
          <w:r w:rsidRPr="00CC36BC">
            <w:rPr>
              <w:noProof/>
            </w:rPr>
            <w:t>(Law Enforcement Action Partnership, n.d.)</w:t>
          </w:r>
          <w:r>
            <w:fldChar w:fldCharType="end"/>
          </w:r>
        </w:sdtContent>
      </w:sdt>
      <w:r>
        <w:t xml:space="preserve"> accountability, fairness, integrity, honestly, openness and transparency just a few off the key core policing principles, and standards of behaviour for professional police officers in England and Wales.</w:t>
      </w:r>
    </w:p>
    <w:p w14:paraId="3DC9AA28" w14:textId="77777777" w:rsidR="005C5581" w:rsidRDefault="005C5581" w:rsidP="005C5581">
      <w:r>
        <w:t xml:space="preserve">Police forces across the United Kingdom have recognised the importance of adapting to the increase in diversity within the local communities, and as a result have made efforts over a number of years to implement strategies such as, diversity training for police officers, community engagement focused groups and positive action recruitment drives </w:t>
      </w:r>
      <w:sdt>
        <w:sdtPr>
          <w:id w:val="-697706468"/>
          <w:citation/>
        </w:sdtPr>
        <w:sdtContent>
          <w:r>
            <w:fldChar w:fldCharType="begin"/>
          </w:r>
          <w:r>
            <w:instrText xml:space="preserve"> CITATION Sou \l 2057 </w:instrText>
          </w:r>
          <w:r>
            <w:fldChar w:fldCharType="separate"/>
          </w:r>
          <w:r w:rsidRPr="00CC36BC">
            <w:rPr>
              <w:noProof/>
            </w:rPr>
            <w:t>(South Wales Police, n.d.)</w:t>
          </w:r>
          <w:r>
            <w:fldChar w:fldCharType="end"/>
          </w:r>
        </w:sdtContent>
      </w:sdt>
      <w:r>
        <w:t xml:space="preserve"> positive action recruitment works tirelessly to provide assistance and advice to potential candidates who are from an under-represented groups. Having a multi-cultural police force helps bring a different perspective and assists in creating a better understanding the local communities and as a result police forces can be innovative and respond to ever changing society. Community engagement has been highlighted as an area which needs improvement from UK police forces, as discussed in this report </w:t>
      </w:r>
      <w:sdt>
        <w:sdtPr>
          <w:id w:val="302204481"/>
          <w:citation/>
        </w:sdtPr>
        <w:sdtContent>
          <w:r>
            <w:fldChar w:fldCharType="begin"/>
          </w:r>
          <w:r>
            <w:instrText xml:space="preserve"> CITATION NPC18 \l 2057 </w:instrText>
          </w:r>
          <w:r>
            <w:fldChar w:fldCharType="separate"/>
          </w:r>
          <w:r w:rsidRPr="00CC0FCF">
            <w:rPr>
              <w:noProof/>
            </w:rPr>
            <w:t>(NPCC, 2018)</w:t>
          </w:r>
          <w:r>
            <w:fldChar w:fldCharType="end"/>
          </w:r>
        </w:sdtContent>
      </w:sdt>
      <w:r>
        <w:t>, the report states how the introduction of PCSO’s and neighbourhood policing has led to a greater diversity within policing, as a result of police forces being more representative of the community it serves this leads to better decision making. Intertwined with the policing vision for 2025, police forces across the UK have set an aim to become more representative of the demographic make-up of the communities it serves, thus leading to an increase in public confidence.</w:t>
      </w:r>
    </w:p>
    <w:p w14:paraId="7C918E01" w14:textId="77777777" w:rsidR="005C5581" w:rsidRDefault="005C5581" w:rsidP="005C5581">
      <w:r>
        <w:t>The Independent Office for Police Conduct (IOPC) state in their Equality, diversity, and inclusion strategy 2022 – 2025</w:t>
      </w:r>
      <w:sdt>
        <w:sdtPr>
          <w:id w:val="-1487856139"/>
          <w:citation/>
        </w:sdtPr>
        <w:sdtContent>
          <w:r>
            <w:fldChar w:fldCharType="begin"/>
          </w:r>
          <w:r>
            <w:instrText xml:space="preserve"> CITATION IOP \l 2057 </w:instrText>
          </w:r>
          <w:r>
            <w:fldChar w:fldCharType="separate"/>
          </w:r>
          <w:r>
            <w:rPr>
              <w:noProof/>
            </w:rPr>
            <w:t xml:space="preserve"> </w:t>
          </w:r>
          <w:r w:rsidRPr="00CC36BC">
            <w:rPr>
              <w:noProof/>
            </w:rPr>
            <w:t>(IOPC (Independant Office of Police Conduct), n.d.)</w:t>
          </w:r>
          <w:r>
            <w:fldChar w:fldCharType="end"/>
          </w:r>
        </w:sdtContent>
      </w:sdt>
      <w:r>
        <w:t xml:space="preserve"> set out the need for cultural competence. This is designed to build knowledge, improve attitudes, and demonstrate sensitivity and empathy when working alongside individuals from ethic minority backgrounds. </w:t>
      </w:r>
      <w:r>
        <w:lastRenderedPageBreak/>
        <w:t>The IOPC article discusses the desire to deliver the gold standard of public service and focuses on ensuring cultural competency is met. The article also discusses how senior management teams play a vital role and share a responsibility, when demonstrating the commitment to ensuring UK police forces value diversity and show adaptability when engaging with diverse communities. Whilst there is still a strong commitment to ensuring these goals are met, there appears to be an insufficiency in diversity at the senior levels within the IOPC, important that this shortfall is recognised and rectified in the coming years, further ensuring accountability and represent groups from diverse multicultural backgrounds.</w:t>
      </w:r>
    </w:p>
    <w:p w14:paraId="7701B585" w14:textId="77777777" w:rsidR="005C5581" w:rsidRDefault="005C5581" w:rsidP="005C5581">
      <w:r>
        <w:t>Deontology</w:t>
      </w:r>
      <w:sdt>
        <w:sdtPr>
          <w:id w:val="1387525381"/>
          <w:citation/>
        </w:sdtPr>
        <w:sdtContent>
          <w:r>
            <w:fldChar w:fldCharType="begin"/>
          </w:r>
          <w:r>
            <w:instrText xml:space="preserve"> CITATION Ste02 \l 2057 </w:instrText>
          </w:r>
          <w:r>
            <w:fldChar w:fldCharType="separate"/>
          </w:r>
          <w:r>
            <w:rPr>
              <w:noProof/>
            </w:rPr>
            <w:t xml:space="preserve"> </w:t>
          </w:r>
          <w:r w:rsidRPr="00396602">
            <w:rPr>
              <w:noProof/>
            </w:rPr>
            <w:t>(Darwell, 2002)</w:t>
          </w:r>
          <w:r>
            <w:fldChar w:fldCharType="end"/>
          </w:r>
        </w:sdtContent>
      </w:sdt>
      <w:r>
        <w:t xml:space="preserve"> is a theory that focuses on the moral obligations and duties of individuals in society, closely related to how police forces engage with diverse communities and given a the obligations and duties required of a police officer, the theory states that an individual’s actions should be based on their duties to obey certain ethical rules and principles, this theory very closely resembles the policing code of ethics </w:t>
      </w:r>
      <w:sdt>
        <w:sdtPr>
          <w:id w:val="1615484931"/>
          <w:citation/>
        </w:sdtPr>
        <w:sdtContent>
          <w:r>
            <w:fldChar w:fldCharType="begin"/>
          </w:r>
          <w:r>
            <w:instrText xml:space="preserve"> CITATION Col241 \l 2057 </w:instrText>
          </w:r>
          <w:r>
            <w:fldChar w:fldCharType="separate"/>
          </w:r>
          <w:r w:rsidRPr="00CC36BC">
            <w:rPr>
              <w:noProof/>
            </w:rPr>
            <w:t>(College of Policing, 2024)</w:t>
          </w:r>
          <w:r>
            <w:fldChar w:fldCharType="end"/>
          </w:r>
        </w:sdtContent>
      </w:sdt>
      <w:r>
        <w:t>. The policing code of ethics states that police officers routinely make important decisions, and these decisions are made to uphold the law, prevent crime and disorder, protect, and reassure communities. Furthermore, the policing code of ethics reminds officers that it is a privileged position within society, however not forgetting the core responsibility of policing by consent, and cooperation of the public. Deontology places a strong emphasis on justice, furthering a resemblance of the police code of ethics, the theory strongly believes that fairness should be the foundation of ethical decision making, adapting this theory into modern policing can be a beneficial way of effectively engaging with diverse communities</w:t>
      </w:r>
      <w:sdt>
        <w:sdtPr>
          <w:id w:val="489297490"/>
          <w:citation/>
        </w:sdtPr>
        <w:sdtContent>
          <w:r>
            <w:fldChar w:fldCharType="begin"/>
          </w:r>
          <w:r>
            <w:instrText xml:space="preserve"> CITATION Sus80 \l 2057 </w:instrText>
          </w:r>
          <w:r>
            <w:fldChar w:fldCharType="separate"/>
          </w:r>
          <w:r>
            <w:rPr>
              <w:noProof/>
            </w:rPr>
            <w:t xml:space="preserve"> </w:t>
          </w:r>
          <w:r w:rsidRPr="00C34046">
            <w:rPr>
              <w:noProof/>
            </w:rPr>
            <w:t>(Susini, 1980)</w:t>
          </w:r>
          <w:r>
            <w:fldChar w:fldCharType="end"/>
          </w:r>
        </w:sdtContent>
      </w:sdt>
      <w:r>
        <w:t>.</w:t>
      </w:r>
    </w:p>
    <w:p w14:paraId="179DA495" w14:textId="77777777" w:rsidR="005C5581" w:rsidRDefault="005C5581" w:rsidP="005C5581">
      <w:r>
        <w:t>Police forces across the United Kingdom have made positive strides in ensuring effectively adapting to diversity</w:t>
      </w:r>
      <w:sdt>
        <w:sdtPr>
          <w:id w:val="-1288582377"/>
          <w:citation/>
        </w:sdtPr>
        <w:sdtContent>
          <w:r>
            <w:fldChar w:fldCharType="begin"/>
          </w:r>
          <w:r>
            <w:instrText xml:space="preserve"> CITATION Col238 \l 2057 </w:instrText>
          </w:r>
          <w:r>
            <w:fldChar w:fldCharType="separate"/>
          </w:r>
          <w:r>
            <w:rPr>
              <w:noProof/>
            </w:rPr>
            <w:t xml:space="preserve"> </w:t>
          </w:r>
          <w:r w:rsidRPr="00153ED9">
            <w:rPr>
              <w:noProof/>
            </w:rPr>
            <w:t>(College of Policing, 2023)</w:t>
          </w:r>
          <w:r>
            <w:fldChar w:fldCharType="end"/>
          </w:r>
        </w:sdtContent>
      </w:sdt>
      <w:r>
        <w:t xml:space="preserve"> however it remains a continuous process and challenges do persist, such as issues related to racial bias, therefore it is vital that police forces continue to welcome feedback and scrutiny to remain accountable and transparent, ensuring reflective practice and the way in which it engages with diverse communities. Setting out action plans such as the Police Race Action Plan which was developed jointly by the college of policing, the NPCC and the National Black Policing Association (NBPA) and aims to increase trust and confidence in the police and continue to strengthen the relationship with diverse communities</w:t>
      </w:r>
      <w:sdt>
        <w:sdtPr>
          <w:id w:val="1370888503"/>
          <w:citation/>
        </w:sdtPr>
        <w:sdtContent>
          <w:r>
            <w:fldChar w:fldCharType="begin"/>
          </w:r>
          <w:r>
            <w:instrText xml:space="preserve"> CITATION Chi22 \l 2057 </w:instrText>
          </w:r>
          <w:r>
            <w:fldChar w:fldCharType="separate"/>
          </w:r>
          <w:r>
            <w:rPr>
              <w:noProof/>
            </w:rPr>
            <w:t xml:space="preserve"> </w:t>
          </w:r>
          <w:r w:rsidRPr="00B77DDF">
            <w:rPr>
              <w:noProof/>
            </w:rPr>
            <w:t>(DL, 2022)</w:t>
          </w:r>
          <w:r>
            <w:fldChar w:fldCharType="end"/>
          </w:r>
        </w:sdtContent>
      </w:sdt>
      <w:r>
        <w:t xml:space="preserve"> Senior management and leaders must sponsor and support the recruitment process from underrepresented groups, whilst also encouraging promotion from individuals already within the organisation.</w:t>
      </w:r>
    </w:p>
    <w:p w14:paraId="15BFA5F3" w14:textId="77777777" w:rsidR="005C5581" w:rsidRDefault="005C5581" w:rsidP="005C5581"/>
    <w:p w14:paraId="744E0921" w14:textId="77777777" w:rsidR="005C5581" w:rsidRDefault="005C5581" w:rsidP="005C5581">
      <w:r>
        <w:t>964 Words.</w:t>
      </w:r>
    </w:p>
    <w:p w14:paraId="70C13D7B" w14:textId="77777777" w:rsidR="005C5581" w:rsidRDefault="005C5581" w:rsidP="005C5581">
      <w:r>
        <w:t>Updated 05/06/2026</w:t>
      </w:r>
    </w:p>
    <w:p w14:paraId="478532F8" w14:textId="77777777" w:rsidR="005C5581" w:rsidRDefault="005C5581"/>
    <w:sectPr w:rsidR="005C5581" w:rsidSect="005C55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ontserrat">
    <w:charset w:val="00"/>
    <w:family w:val="auto"/>
    <w:pitch w:val="variable"/>
    <w:sig w:usb0="2000020F" w:usb1="00000003"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211C"/>
    <w:rsid w:val="001B3C34"/>
    <w:rsid w:val="00574049"/>
    <w:rsid w:val="005C5581"/>
    <w:rsid w:val="009C211C"/>
    <w:rsid w:val="00A247DC"/>
    <w:rsid w:val="00BA661F"/>
    <w:rsid w:val="00BC5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3BF53"/>
  <w15:chartTrackingRefBased/>
  <w15:docId w15:val="{A5FD7C2B-748D-4E65-81EA-35BE3F9CD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581"/>
  </w:style>
  <w:style w:type="paragraph" w:styleId="Heading1">
    <w:name w:val="heading 1"/>
    <w:basedOn w:val="Normal"/>
    <w:next w:val="Normal"/>
    <w:link w:val="Heading1Char"/>
    <w:uiPriority w:val="9"/>
    <w:qFormat/>
    <w:rsid w:val="009C2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11C"/>
    <w:rPr>
      <w:rFonts w:eastAsiaTheme="majorEastAsia" w:cstheme="majorBidi"/>
      <w:color w:val="272727" w:themeColor="text1" w:themeTint="D8"/>
    </w:rPr>
  </w:style>
  <w:style w:type="paragraph" w:styleId="Title">
    <w:name w:val="Title"/>
    <w:basedOn w:val="Normal"/>
    <w:next w:val="Normal"/>
    <w:link w:val="TitleChar"/>
    <w:uiPriority w:val="10"/>
    <w:qFormat/>
    <w:rsid w:val="009C2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11C"/>
    <w:pPr>
      <w:spacing w:before="160"/>
      <w:jc w:val="center"/>
    </w:pPr>
    <w:rPr>
      <w:i/>
      <w:iCs/>
      <w:color w:val="404040" w:themeColor="text1" w:themeTint="BF"/>
    </w:rPr>
  </w:style>
  <w:style w:type="character" w:customStyle="1" w:styleId="QuoteChar">
    <w:name w:val="Quote Char"/>
    <w:basedOn w:val="DefaultParagraphFont"/>
    <w:link w:val="Quote"/>
    <w:uiPriority w:val="29"/>
    <w:rsid w:val="009C211C"/>
    <w:rPr>
      <w:i/>
      <w:iCs/>
      <w:color w:val="404040" w:themeColor="text1" w:themeTint="BF"/>
    </w:rPr>
  </w:style>
  <w:style w:type="paragraph" w:styleId="ListParagraph">
    <w:name w:val="List Paragraph"/>
    <w:basedOn w:val="Normal"/>
    <w:uiPriority w:val="34"/>
    <w:qFormat/>
    <w:rsid w:val="009C211C"/>
    <w:pPr>
      <w:ind w:left="720"/>
      <w:contextualSpacing/>
    </w:pPr>
  </w:style>
  <w:style w:type="character" w:styleId="IntenseEmphasis">
    <w:name w:val="Intense Emphasis"/>
    <w:basedOn w:val="DefaultParagraphFont"/>
    <w:uiPriority w:val="21"/>
    <w:qFormat/>
    <w:rsid w:val="009C211C"/>
    <w:rPr>
      <w:i/>
      <w:iCs/>
      <w:color w:val="0F4761" w:themeColor="accent1" w:themeShade="BF"/>
    </w:rPr>
  </w:style>
  <w:style w:type="paragraph" w:styleId="IntenseQuote">
    <w:name w:val="Intense Quote"/>
    <w:basedOn w:val="Normal"/>
    <w:next w:val="Normal"/>
    <w:link w:val="IntenseQuoteChar"/>
    <w:uiPriority w:val="30"/>
    <w:qFormat/>
    <w:rsid w:val="009C2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11C"/>
    <w:rPr>
      <w:i/>
      <w:iCs/>
      <w:color w:val="0F4761" w:themeColor="accent1" w:themeShade="BF"/>
    </w:rPr>
  </w:style>
  <w:style w:type="character" w:styleId="IntenseReference">
    <w:name w:val="Intense Reference"/>
    <w:basedOn w:val="DefaultParagraphFont"/>
    <w:uiPriority w:val="32"/>
    <w:qFormat/>
    <w:rsid w:val="009C211C"/>
    <w:rPr>
      <w:b/>
      <w:bCs/>
      <w:smallCaps/>
      <w:color w:val="0F4761" w:themeColor="accent1" w:themeShade="BF"/>
      <w:spacing w:val="5"/>
    </w:rPr>
  </w:style>
  <w:style w:type="character" w:styleId="Emphasis">
    <w:name w:val="Emphasis"/>
    <w:basedOn w:val="DefaultParagraphFont"/>
    <w:uiPriority w:val="20"/>
    <w:qFormat/>
    <w:rsid w:val="005C5581"/>
    <w:rPr>
      <w:i/>
      <w:iCs/>
    </w:rPr>
  </w:style>
  <w:style w:type="character" w:styleId="Strong">
    <w:name w:val="Strong"/>
    <w:basedOn w:val="DefaultParagraphFont"/>
    <w:uiPriority w:val="22"/>
    <w:qFormat/>
    <w:rsid w:val="005C55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Pol08</b:Tag>
    <b:SourceType>InternetSite</b:SourceType>
    <b:Guid>{DA27D4FB-DD50-4FCE-B8C3-4EE6FFFC2802}</b:Guid>
    <b:Author>
      <b:Author>
        <b:NameList>
          <b:Person>
            <b:Last>Behaviour.</b:Last>
            <b:First>Police</b:First>
            <b:Middle>Staff Standards of Professional</b:Middle>
          </b:Person>
        </b:NameList>
      </b:Author>
    </b:Author>
    <b:Title>https://www.local.gov.uk/our-support</b:Title>
    <b:Year>2008</b:Year>
    <b:YearAccessed>2024</b:YearAccessed>
    <b:MonthAccessed>May</b:MonthAccessed>
    <b:DayAccessed>27</b:DayAccessed>
    <b:URL>https://www.local.gov.uk/our-support/workforce-and-hr-support/police/police-staff/police-staff-council-handbook/police-staff</b:URL>
    <b:RefOrder>1</b:RefOrder>
  </b:Source>
  <b:Source>
    <b:Tag>Col242</b:Tag>
    <b:SourceType>InternetSite</b:SourceType>
    <b:Guid>{60F8F202-5F62-4325-813C-E47A67C82AFD}</b:Guid>
    <b:Author>
      <b:Author>
        <b:Corporate>College of Policing</b:Corporate>
      </b:Author>
    </b:Author>
    <b:Year>2024</b:Year>
    <b:YearAccessed>2024</b:YearAccessed>
    <b:MonthAccessed>May</b:MonthAccessed>
    <b:DayAccessed>27</b:DayAccessed>
    <b:URL>https://www.college.police.uk/ethics/code-of-ethics/principles</b:URL>
    <b:RefOrder>3</b:RefOrder>
  </b:Source>
  <b:Source>
    <b:Tag>Col243</b:Tag>
    <b:SourceType>InternetSite</b:SourceType>
    <b:Guid>{FF33D46A-1CD3-4C5F-A3A7-9971834CCD7C}</b:Guid>
    <b:Author>
      <b:Author>
        <b:Corporate>College of Police</b:Corporate>
      </b:Author>
    </b:Author>
    <b:Title>National decision model</b:Title>
    <b:Year>2024</b:Year>
    <b:YearAccessed>2024</b:YearAccessed>
    <b:MonthAccessed>May</b:MonthAccessed>
    <b:URL>https://www.college.police.uk/app/national-decision-model/national-decision-model</b:URL>
    <b:RefOrder>4</b:RefOrder>
  </b:Source>
  <b:Source>
    <b:Tag>Col244</b:Tag>
    <b:SourceType>InternetSite</b:SourceType>
    <b:Guid>{83B5E17C-D83C-4EF8-A31E-2A735D1752F5}</b:Guid>
    <b:Author>
      <b:Author>
        <b:Corporate>College of Policing</b:Corporate>
      </b:Author>
    </b:Author>
    <b:Title>National decision model</b:Title>
    <b:Year>2024</b:Year>
    <b:YearAccessed>2024</b:YearAccessed>
    <b:MonthAccessed>May</b:MonthAccessed>
    <b:URL>https://www.college.police.uk/app/national-decision-model/national-decision-model</b:URL>
    <b:RefOrder>5</b:RefOrder>
  </b:Source>
  <b:Source>
    <b:Tag>IOP22</b:Tag>
    <b:SourceType>InternetSite</b:SourceType>
    <b:Guid>{E3709683-252F-4540-A92E-204907A63C74}</b:Guid>
    <b:Author>
      <b:Author>
        <b:Corporate>IOPC</b:Corporate>
      </b:Author>
    </b:Author>
    <b:Title>Reflective practice </b:Title>
    <b:Year>2022</b:Year>
    <b:YearAccessed>2024</b:YearAccessed>
    <b:MonthAccessed>May</b:MonthAccessed>
    <b:URL>https://www.policeconduct.gov.uk/sites/default/files/documents/RPRP_summary_report.pdf</b:URL>
    <b:RefOrder>6</b:RefOrder>
  </b:Source>
  <b:Source>
    <b:Tag>Cha16</b:Tag>
    <b:SourceType>InternetSite</b:SourceType>
    <b:Guid>{58AC6AE8-BAC7-471C-8AD9-CE47AB4F8FAC}</b:Guid>
    <b:Title>Do body cameras change how police interact with the public?</b:Title>
    <b:Year>2016</b:Year>
    <b:YearAccessed>2024</b:YearAccessed>
    <b:MonthAccessed>April</b:MonthAccessed>
    <b:URL>https://journalistsresource.org/politics-and-government/body-cameras-police-interact-with-public/</b:URL>
    <b:Author>
      <b:Author>
        <b:NameList>
          <b:Person>
            <b:Last>Kelsh</b:Last>
            <b:First>Chaz</b:First>
          </b:Person>
        </b:NameList>
      </b:Author>
    </b:Author>
    <b:InternetSiteTitle>https://journalistsresource.org/</b:InternetSiteTitle>
    <b:Month>July</b:Month>
    <b:Day>1</b:Day>
    <b:RefOrder>7</b:RefOrder>
  </b:Source>
  <b:Source>
    <b:Tag>Bre18</b:Tag>
    <b:SourceType>InternetSite</b:SourceType>
    <b:Guid>{E5823A86-1A0E-47BC-AB36-189BC037EBA6}</b:Guid>
    <b:Author>
      <b:Author>
        <b:NameList>
          <b:Person>
            <b:Last>Chapman</b:Last>
            <b:First>Brett</b:First>
          </b:Person>
        </b:NameList>
      </b:Author>
    </b:Author>
    <b:Title>Body-Worn Cameras: What the Evidence Tells Us</b:Title>
    <b:Year>2018</b:Year>
    <b:YearAccessed>2024</b:YearAccessed>
    <b:MonthAccessed>May</b:MonthAccessed>
    <b:DayAccessed>27</b:DayAccessed>
    <b:URL>https://nij.ojp.gov/topics/articles/body-worn-cameras-what-evidence-tells-us#:~:text=The%20studies%20found%20that%20the%20use%20of%20body-worn,in%20fewer%20people%20choosing%20to%20go%20to%20trial.</b:URL>
    <b:RefOrder>8</b:RefOrder>
  </b:Source>
  <b:Source>
    <b:Tag>Law13</b:Tag>
    <b:SourceType>InternetSite</b:SourceType>
    <b:Guid>{AE84FC8D-1A40-4530-859C-0EC5643D5561}</b:Guid>
    <b:Author>
      <b:Author>
        <b:NameList>
          <b:Person>
            <b:Last>LawTeacher</b:Last>
          </b:Person>
        </b:NameList>
      </b:Author>
    </b:Author>
    <b:Title>Police and Criminal Evidence Act 1984</b:Title>
    <b:Year>2013</b:Year>
    <b:YearAccessed>2024</b:YearAccessed>
    <b:MonthAccessed>May</b:MonthAccessed>
    <b:URL>https://www.lawteacher.net/acts/police-and-criminal-evidence-act.php</b:URL>
    <b:RefOrder>9</b:RefOrder>
  </b:Source>
  <b:Source>
    <b:Tag>Gov242</b:Tag>
    <b:SourceType>InternetSite</b:SourceType>
    <b:Guid>{932BC0E7-0728-4B5A-A896-3C87B086F2DD}</b:Guid>
    <b:Author>
      <b:Author>
        <b:Corporate>Gov.UK</b:Corporate>
      </b:Author>
    </b:Author>
    <b:Title>Independent Office for Police Conduct</b:Title>
    <b:Year>2024</b:Year>
    <b:YearAccessed>2024</b:YearAccessed>
    <b:MonthAccessed>May</b:MonthAccessed>
    <b:URL>https://www.gov.uk/government/organisations/independent-office-for-police-conduct</b:URL>
    <b:RefOrder>10</b:RefOrder>
  </b:Source>
  <b:Source>
    <b:Tag>Hom24</b:Tag>
    <b:SourceType>InternetSite</b:SourceType>
    <b:Guid>{279390FA-CBFD-41DE-8959-BE8555FCFEB4}</b:Guid>
    <b:Author>
      <b:Author>
        <b:Corporate>Home Office</b:Corporate>
      </b:Author>
    </b:Author>
    <b:Title>Reforms to boost confidence in police accountability system.</b:Title>
    <b:Year>2024</b:Year>
    <b:YearAccessed>2024</b:YearAccessed>
    <b:MonthAccessed>May</b:MonthAccessed>
    <b:URL>https://www.gov.uk/government/news/reforms-to-boost-confidence-in-police-accountability-system</b:URL>
    <b:RefOrder>11</b:RefOrder>
  </b:Source>
  <b:Source>
    <b:Tag>Pre17</b:Tag>
    <b:SourceType>InternetSite</b:SourceType>
    <b:Guid>{42A93DD6-C6C6-4CA4-AED5-B28087A24B3B}</b:Guid>
    <b:Title>Vulnerability is one of the defining components of disaster risk.</b:Title>
    <b:Year>2017</b:Year>
    <b:Author>
      <b:Author>
        <b:NameList>
          <b:Person>
            <b:Last>Web</b:Last>
            <b:First>Prevention</b:First>
          </b:Person>
        </b:NameList>
      </b:Author>
    </b:Author>
    <b:YearAccessed>2024</b:YearAccessed>
    <b:MonthAccessed>May</b:MonthAccessed>
    <b:URL>https://www.preventionweb.net/understanding-disaster-risk/component-risk/vulnerability</b:URL>
    <b:RefOrder>3</b:RefOrder>
  </b:Source>
  <b:Source>
    <b:Tag>Act24</b:Tag>
    <b:SourceType>InternetSite</b:SourceType>
    <b:Guid>{E0F6918C-F191-45BE-8675-2FD58A26EDB7}</b:Guid>
    <b:Author>
      <b:Author>
        <b:NameList>
          <b:Person>
            <b:Last>Children.</b:Last>
            <b:First>Action</b:First>
            <b:Middle>for</b:Middle>
          </b:Person>
        </b:NameList>
      </b:Author>
    </b:Author>
    <b:Title>Shattered lives, stolen futures: The Jay Review of Criminally Exploited Children</b:Title>
    <b:Year>2024</b:Year>
    <b:YearAccessed>2024</b:YearAccessed>
    <b:MonthAccessed>May</b:MonthAccessed>
    <b:URL>https://www.actionforchildren.org.uk/our-work-and-impact/policy-work-campaigns-and-research/policy-reports/the-jay-review-of-criminally-exploited-children/</b:URL>
    <b:RefOrder>4</b:RefOrder>
  </b:Source>
  <b:Source>
    <b:Tag>HMG23</b:Tag>
    <b:SourceType>JournalArticle</b:SourceType>
    <b:Guid>{2D03D028-261D-43F8-B6B9-1F0360BE7CB7}</b:Guid>
    <b:Title>Working Together to Safeguard Children 2023</b:Title>
    <b:Year>2023</b:Year>
    <b:URL>https://assets.publishing.service.gov.uk/media/65cb4349a7ded0000c79e4e1/Working_together_to_safeguard_children_2023_-_statutory_guidance.pdf</b:URL>
    <b:JournalName>Working Together to Safeguard Children 2023</b:JournalName>
    <b:Pages>43</b:Pages>
    <b:Author>
      <b:Author>
        <b:Corporate>HM Government</b:Corporate>
      </b:Author>
    </b:Author>
    <b:Month>December</b:Month>
    <b:RefOrder>5</b:RefOrder>
  </b:Source>
  <b:Source>
    <b:Tag>Gov241</b:Tag>
    <b:SourceType>InternetSite</b:SourceType>
    <b:Guid>{1FD93458-12F1-4797-B6F4-AB00047399C2}</b:Guid>
    <b:Title>National referral mechanism guidance: adult (England and Wales)</b:Title>
    <b:Year>2024</b:Year>
    <b:Author>
      <b:Author>
        <b:Corporate>Gov.UK</b:Corporate>
      </b:Author>
    </b:Author>
    <b:YearAccessed>2024</b:YearAccessed>
    <b:MonthAccessed>May</b:MonthAccessed>
    <b:URL>https://www.gov.uk/government/publications/human-trafficking-victims-referral-and-assessment-forms/guidance-on-the-national-referral-mechanism-for-potential-adult-victims-of-modern-slavery-england-and-wales</b:URL>
    <b:RefOrder>6</b:RefOrder>
  </b:Source>
  <b:Source>
    <b:Tag>Col237</b:Tag>
    <b:SourceType>InternetSite</b:SourceType>
    <b:Guid>{DBF14F05-67E9-4211-B34A-DE855D87E830}</b:Guid>
    <b:Author>
      <b:Author>
        <b:Corporate>College of Policing</b:Corporate>
      </b:Author>
    </b:Author>
    <b:Title>Multi-agency public protection arrangements (MAPPA)</b:Title>
    <b:Year>2023</b:Year>
    <b:YearAccessed>2024</b:YearAccessed>
    <b:MonthAccessed>May</b:MonthAccessed>
    <b:URL>https://www.college.police.uk/app/major-investigation-and-public-protection/managing-sexual-offenders-and-violent-offenders/multi-agency-public-protection-arrangements-mappa</b:URL>
    <b:RefOrder>7</b:RefOrder>
  </b:Source>
  <b:Source>
    <b:Tag>Der22</b:Tag>
    <b:SourceType>JournalArticle</b:SourceType>
    <b:Guid>{F9D4A813-475B-450D-89C9-BDCC9F382A8A}</b:Guid>
    <b:Title>Multi Agency Public Protection Arrangements</b:Title>
    <b:Year>2021/2022</b:Year>
    <b:URL>file:///C:/Users/SWP8547/Downloads/Derbyshire.pdf</b:URL>
    <b:Pages>4 - 13</b:Pages>
    <b:Author>
      <b:Author>
        <b:NameList>
          <b:Person>
            <b:Last>Police</b:Last>
            <b:First>Deryshire</b:First>
          </b:Person>
        </b:NameList>
      </b:Author>
    </b:Author>
    <b:RefOrder>8</b:RefOrder>
  </b:Source>
  <b:Source>
    <b:Tag>Gov14</b:Tag>
    <b:SourceType>InternetSite</b:SourceType>
    <b:Guid>{8A9C31E3-F94C-4C8A-B1BF-80F8D00F0887}</b:Guid>
    <b:Author>
      <b:Author>
        <b:Corporate>Gov.UK</b:Corporate>
      </b:Author>
    </b:Author>
    <b:Title>Working together to safeguard children: Multi-Agency Safeguarding Hubs</b:Title>
    <b:Year>2014</b:Year>
    <b:YearAccessed>2024</b:YearAccessed>
    <b:MonthAccessed>May</b:MonthAccessed>
    <b:URL>https://www.gov.uk/government/news/working-together-to-safeguard-children-multi-agency-safeguarding-hubs</b:URL>
    <b:Month>July</b:Month>
    <b:Day>29</b:Day>
    <b:RefOrder>9</b:RefOrder>
  </b:Source>
  <b:Source>
    <b:Tag>Hom14</b:Tag>
    <b:SourceType>JournalArticle</b:SourceType>
    <b:Guid>{DC81271D-38F6-4453-BF0E-11021A8A6D88}</b:Guid>
    <b:Title>Multi Agency Working and Information Sharing Project Final Report</b:Title>
    <b:Year>2014</b:Year>
    <b:URL>https://assets.publishing.service.gov.uk/media/5a750ddb40f0b6360e472fa5/MASH.pdf</b:URL>
    <b:Pages>7</b:Pages>
    <b:Author>
      <b:Author>
        <b:Corporate>Home office</b:Corporate>
      </b:Author>
    </b:Author>
    <b:JournalName>Multi Agency Working and Information Sharing Project Final Report</b:JournalName>
    <b:Month>July </b:Month>
    <b:RefOrder>10</b:RefOrder>
  </b:Source>
  <b:Source>
    <b:Tag>Col221</b:Tag>
    <b:SourceType>InternetSite</b:SourceType>
    <b:Guid>{9C21F336-8932-4B9B-9193-11E71D103C23}</b:Guid>
    <b:Author>
      <b:Author>
        <b:Corporate>College of Policing - NPCC</b:Corporate>
      </b:Author>
    </b:Author>
    <b:Title>National Vulnerability Action Plan (NVAP) Revised</b:Title>
    <b:Year>2020 - 2022</b:Year>
    <b:YearAccessed>2024</b:YearAccessed>
    <b:MonthAccessed>May</b:MonthAccessed>
    <b:URL>https://www.npcc.police.uk/SysSiteAssets/media/downloads/publications/publications-log/2019/national-vulnerability-action-plan-2020-2022.pdf</b:URL>
    <b:RefOrder>11</b:RefOrder>
  </b:Source>
  <b:Source>
    <b:Tag>Cam18</b:Tag>
    <b:SourceType>InternetSite</b:SourceType>
    <b:Guid>{91E3B0EF-36D7-422B-B19A-EC082A008B50}</b:Guid>
    <b:Title>Post-traumatic stress disorder, resilience and vulnerability</b:Title>
    <b:Year>2018</b:Year>
    <b:Author>
      <b:Author>
        <b:Corporate>Cambridge University</b:Corporate>
      </b:Author>
    </b:Author>
    <b:YearAccessed>2024</b:YearAccessed>
    <b:MonthAccessed>May</b:MonthAccessed>
    <b:URL>https://www.cambridge.org/core/journals/advances-in-psychiatric-treatment/article/posttraumatic-stress-disorder-resilience-and-vulnerability/DC7B949AE55A67678098B0B2A90DD11C</b:URL>
    <b:RefOrder>12</b:RefOrder>
  </b:Source>
  <b:Source>
    <b:Tag>GOV24</b:Tag>
    <b:SourceType>InternetSite</b:SourceType>
    <b:Guid>{BEDA3C35-CA59-4D6D-8984-68680568B098}</b:Guid>
    <b:Author>
      <b:Author>
        <b:Corporate>GOV.UK</b:Corporate>
      </b:Author>
    </b:Author>
    <b:Title>GOV.UK</b:Title>
    <b:Year>2024</b:Year>
    <b:YearAccessed>2024</b:YearAccessed>
    <b:MonthAccessed>June</b:MonthAccessed>
    <b:URL>https://www.gov.uk/government/publications/multi-agency-public-protection-arrangements-mappa-guidance</b:URL>
    <b:RefOrder>1</b:RefOrder>
  </b:Source>
  <b:Source>
    <b:Tag>Dar22</b:Tag>
    <b:SourceType>InternetSite</b:SourceType>
    <b:Guid>{829CD720-ABE8-4185-BBD9-9AD1074A3BA0}</b:Guid>
    <b:Title>Vulnerability and individuals managed under Mulit-agency Public Protection Arrangements (MAPPA)</b:Title>
    <b:Year>2021/2022</b:Year>
    <b:YearAccessed>2024</b:YearAccessed>
    <b:MonthAccessed>June</b:MonthAccessed>
    <b:URL>https://www.vkpp.org.uk/assets/Files/VKKP-Spotlight-Briefing-2-Vulnerability-and-individuals-managed-under-Multi-agency-Public-Protection-Arrangements.pdf</b:URL>
    <b:Author>
      <b:Author>
        <b:NameList>
          <b:Person>
            <b:Last>Darling</b:Last>
            <b:First>Andrea</b:First>
          </b:Person>
          <b:Person>
            <b:Last>Hawkins</b:Last>
            <b:First>Kristina</b:First>
          </b:Person>
          <b:Person>
            <b:Last>Williams</b:Last>
            <b:First>Hollie</b:First>
          </b:Person>
          <b:Person>
            <b:Last>Aguilera</b:Last>
            <b:Middle>Fernandes</b:Middle>
            <b:First>Milena</b:First>
          </b:Person>
        </b:NameList>
      </b:Author>
    </b:Author>
    <b:RefOrder>2</b:RefOrder>
  </b:Source>
  <b:Source>
    <b:Tag>Col245</b:Tag>
    <b:SourceType>InternetSite</b:SourceType>
    <b:Guid>{70217374-7EB2-47BC-AB5A-A19368FB38C2}</b:Guid>
    <b:Author>
      <b:Author>
        <b:Corporate>College of Policing</b:Corporate>
      </b:Author>
    </b:Author>
    <b:Title>Vulnerability-related risks</b:Title>
    <b:Year>2024</b:Year>
    <b:YearAccessed>2024</b:YearAccessed>
    <b:MonthAccessed>June</b:MonthAccessed>
    <b:URL>https://www.college.police.uk/guidance/vulnerability-related-risks</b:URL>
    <b:RefOrder>3</b:RefOrder>
  </b:Source>
  <b:Source>
    <b:Tag>Col222</b:Tag>
    <b:SourceType>InternetSite</b:SourceType>
    <b:Guid>{0D12D2A0-9BD7-48EB-945A-A7E7A0F1D507}</b:Guid>
    <b:Author>
      <b:Author>
        <b:Corporate>College of Policing</b:Corporate>
      </b:Author>
    </b:Author>
    <b:Title>National Vulnerability Action Plan (NVAP) Revised</b:Title>
    <b:Year>2020 - 2022</b:Year>
    <b:YearAccessed>2024</b:YearAccessed>
    <b:MonthAccessed>June</b:MonthAccessed>
    <b:URL>https://www.npcc.police.uk/SysSiteAssets/media/downloads/publications/publications-log/2019/national-vulnerability-action-plan-2020-2022.pdf</b:URL>
    <b:RefOrder>4</b:RefOrder>
  </b:Source>
  <b:Source>
    <b:Tag>Sag22</b:Tag>
    <b:SourceType>InternetSite</b:SourceType>
    <b:Guid>{851D9195-0945-42C5-97BD-4D23AD9A3ADC}</b:Guid>
    <b:Author>
      <b:Author>
        <b:Corporate>Sage Journals</b:Corporate>
      </b:Author>
    </b:Author>
    <b:Title>Lifting the lid on Pandora’s box: Putting professional curiosity into practice.</b:Title>
    <b:Year>2022</b:Year>
    <b:YearAccessed>2024</b:YearAccessed>
    <b:MonthAccessed>June</b:MonthAccessed>
    <b:URL>https://journals.sagepub.com/doi/full/10.1177/17488958221116323</b:URL>
    <b:RefOrder>5</b:RefOrder>
  </b:Source>
  <b:Source>
    <b:Tag>NSP24</b:Tag>
    <b:SourceType>InternetSite</b:SourceType>
    <b:Guid>{9366E4F2-28F6-43D9-BE21-CA9B002E1890}</b:Guid>
    <b:Author>
      <b:Author>
        <b:Corporate>NSPCC</b:Corporate>
      </b:Author>
    </b:Author>
    <b:Title>Case review process in UK nations</b:Title>
    <b:Year>2024</b:Year>
    <b:YearAccessed>2024</b:YearAccessed>
    <b:MonthAccessed>Feburary</b:MonthAccessed>
    <b:URL>https://learning.nspcc.org.uk/case-reviews/process-in-each-uk-nation</b:URL>
    <b:RefOrder>6</b:RefOrder>
  </b:Source>
  <b:Source>
    <b:Tag>NHS241</b:Tag>
    <b:SourceType>InternetSite</b:SourceType>
    <b:Guid>{E549BE2D-2775-439B-9626-C55243535863}</b:Guid>
    <b:Author>
      <b:Author>
        <b:Corporate>NHS - Manchester University</b:Corporate>
      </b:Author>
    </b:Author>
    <b:Title>Adverse Childhood Experiences (ACEs) and Attachment</b:Title>
    <b:Year>2024</b:Year>
    <b:YearAccessed>2024</b:YearAccessed>
    <b:MonthAccessed>June</b:MonthAccessed>
    <b:URL>https://mft.nhs.uk/rmch/services/camhs/young-people/adverse-childhood-experiences-aces-and-attachment/</b:URL>
    <b:RefOrder>7</b:RefOrder>
  </b:Source>
  <b:Source>
    <b:Tag>Kar21</b:Tag>
    <b:SourceType>InternetSite</b:SourceType>
    <b:Guid>{2B127CD6-78F3-4C80-AE70-96D91C908743}</b:Guid>
    <b:Author>
      <b:Author>
        <b:NameList>
          <b:Person>
            <b:Last>Thompson</b:Last>
            <b:First>Karl</b:First>
          </b:Person>
        </b:NameList>
      </b:Author>
    </b:Author>
    <b:Title>How successful are early interventions in reducing violent crime?</b:Title>
    <b:Year>2021</b:Year>
    <b:YearAccessed>2024</b:YearAccessed>
    <b:MonthAccessed>June</b:MonthAccessed>
    <b:URL>https://revisesociology.com/2021/05/26/how-successful-are-early-interventions-in-reducing-violent-crime/#:~:text=Early%20interventions%20involve%20taking%20a%20multi-agency,to%20%E2%80%98steer%E2%80%99%20them%20away%20from%20crime.&amp;text=Early%20interventi</b:URL>
    <b:RefOrder>8</b:RefOrder>
  </b:Source>
  <b:Source>
    <b:Tag>Gle21</b:Tag>
    <b:SourceType>InternetSite</b:SourceType>
    <b:Guid>{5426A1E9-FF57-4F16-8A6C-6CC171A5E2B7}</b:Guid>
    <b:Author>
      <b:Author>
        <b:NameList>
          <b:Person>
            <b:Last>Walters</b:Last>
            <b:First>Glenn</b:First>
            <b:Middle>D.</b:Middle>
          </b:Person>
        </b:NameList>
      </b:Author>
    </b:Author>
    <b:Title>Weak parental supervision and lack of child remorse as predictors of proximal crime continuity in early-to-mid adolescent delinquents</b:Title>
    <b:Year>2021</b:Year>
    <b:YearAccessed>2024</b:YearAccessed>
    <b:MonthAccessed>June</b:MonthAccessed>
    <b:URL>https://www.emerald.com/insight/content/doi/10.1108/JCP-10-2020-0043/full/html#:~:text=Weak%20parental%20supervision%20and%20failure%20to%20express%20remorse,promoting%20desistance%20to%20crime%20in%20early%20juvenile%20offenders.</b:URL>
    <b:RefOrder>9</b:RefOrder>
  </b:Source>
  <b:Source>
    <b:Tag>SPH10</b:Tag>
    <b:SourceType>InternetSite</b:SourceType>
    <b:Guid>{16790183-767B-4C8C-B82E-B4F52A6DE8AC}</b:Guid>
    <b:Author>
      <b:Author>
        <b:NameList>
          <b:Person>
            <b:Last>SPH.UNC</b:Last>
          </b:Person>
        </b:NameList>
      </b:Author>
    </b:Author>
    <b:Title>How would you define diversity? </b:Title>
    <b:Year>2010</b:Year>
    <b:YearAccessed>2024</b:YearAccessed>
    <b:MonthAccessed>June</b:MonthAccessed>
    <b:DayAccessed>05</b:DayAccessed>
    <b:URL>https://sph.unc.edu/wp-content/uploads/sites/112/2013/07/define_diversity.pdf</b:URL>
    <b:RefOrder>1</b:RefOrder>
  </b:Source>
  <b:Source>
    <b:Tag>Equ22</b:Tag>
    <b:SourceType>InternetSite</b:SourceType>
    <b:Guid>{5D273B14-0D60-4ADD-8C13-08FE8990EDEC}</b:Guid>
    <b:Title>Equality, diversity and inclusion strategy 2022 - 2025</b:Title>
    <b:Year>2022</b:Year>
    <b:YearAccessed>2024</b:YearAccessed>
    <b:MonthAccessed>June</b:MonthAccessed>
    <b:URL>https://www.policeconduct.gov.uk/sites/default/files/documents/ODDT_EDI_strategy_FINAL.pdf</b:URL>
    <b:RefOrder>2</b:RefOrder>
  </b:Source>
  <b:Source>
    <b:Tag>Law</b:Tag>
    <b:SourceType>InternetSite</b:SourceType>
    <b:Guid>{ADE18123-4796-488B-9A08-072F05074D89}</b:Guid>
    <b:Title>Sir Robert Peel's Policing Principles</b:Title>
    <b:Author>
      <b:Author>
        <b:Corporate>Law Enforcement Action Partnership</b:Corporate>
      </b:Author>
    </b:Author>
    <b:InternetSiteTitle>https://lawenforcementactionpartnership.org</b:InternetSiteTitle>
    <b:URL>https://lawenforcementactionpartnership.org/peel-policing-principles/</b:URL>
    <b:RefOrder>3</b:RefOrder>
  </b:Source>
  <b:Source>
    <b:Tag>Sou</b:Tag>
    <b:SourceType>InternetSite</b:SourceType>
    <b:Guid>{C9467CE0-01AD-4934-A5AA-15B5DAE36D87}</b:Guid>
    <b:Author>
      <b:Author>
        <b:Corporate>South Wales Police</b:Corporate>
      </b:Author>
    </b:Author>
    <b:Title>Positive Action Support</b:Title>
    <b:InternetSiteTitle>https://www.south-wales.police.uk/</b:InternetSiteTitle>
    <b:URL>https://www.south-wales.police.uk/police-forces/south-wales-police/areas/careers/careers/positive-action/</b:URL>
    <b:RefOrder>4</b:RefOrder>
  </b:Source>
  <b:Source>
    <b:Tag>NPC18</b:Tag>
    <b:SourceType>Report</b:SourceType>
    <b:Guid>{BEEBB1EA-0F34-4FFF-961A-82B78E2DCB9A}</b:Guid>
    <b:Author>
      <b:Author>
        <b:NameList>
          <b:Person>
            <b:Last>NPCC</b:Last>
          </b:Person>
        </b:NameList>
      </b:Author>
    </b:Author>
    <b:Title>Enhancing </b:Title>
    <b:Year>2018</b:Year>
    <b:YearAccessed>2024</b:YearAccessed>
    <b:MonthAccessed>June</b:MonthAccessed>
    <b:DayAccessed>05</b:DayAccessed>
    <b:URL>https://www.npcc.police.uk/SysSiteAssets/media/downloads/publications/publications-log/2018/natcen-enhancing-diversity-in-policing-final-report---may-2018.pdf</b:URL>
    <b:Publisher>NatCen Social Research </b:Publisher>
    <b:City>Suffolk</b:City>
    <b:RefOrder>5</b:RefOrder>
  </b:Source>
  <b:Source>
    <b:Tag>IOP</b:Tag>
    <b:SourceType>InternetSite</b:SourceType>
    <b:Guid>{300F4A26-A464-4EF4-9937-57B81F6E93F9}</b:Guid>
    <b:Author>
      <b:Author>
        <b:Corporate>IOPC (Independant Office of Police Conduct)</b:Corporate>
      </b:Author>
    </b:Author>
    <b:Title>Equality, diversity </b:Title>
    <b:InternetSiteTitle>https://www.policeconduct.gov.uk</b:InternetSiteTitle>
    <b:URL>https://www.policeconduct.gov.uk/sites/default/files/documents/ODDT_EDI_strategy_FINAL.pdf</b:URL>
    <b:RefOrder>6</b:RefOrder>
  </b:Source>
  <b:Source>
    <b:Tag>Ste02</b:Tag>
    <b:SourceType>Book</b:SourceType>
    <b:Guid>{45630348-3299-4C0C-B1C1-B25DCE05006B}</b:Guid>
    <b:Title>Deontology</b:Title>
    <b:Year>2002</b:Year>
    <b:Publisher>Wiley</b:Publisher>
    <b:YearAccessed>2024</b:YearAccessed>
    <b:MonthAccessed>June</b:MonthAccessed>
    <b:DayAccessed>05</b:DayAccessed>
    <b:URL>https://www.google.co.uk/books/edition/_/ioW6swEACAAJ?hl=en&amp;sa=X&amp;ved=2ahUKEwicuKG6y8SGAxXGhP0HHeHJODIQ8fIDegQIDhAE</b:URL>
    <b:Author>
      <b:Author>
        <b:NameList>
          <b:Person>
            <b:Last>Darwell</b:Last>
            <b:First>Stephen</b:First>
          </b:Person>
        </b:NameList>
      </b:Author>
      <b:Editor>
        <b:NameList>
          <b:Person>
            <b:Last>Darwell</b:Last>
            <b:First>Stephen</b:First>
          </b:Person>
        </b:NameList>
      </b:Editor>
    </b:Author>
    <b:RefOrder>7</b:RefOrder>
  </b:Source>
  <b:Source>
    <b:Tag>Col241</b:Tag>
    <b:SourceType>InternetSite</b:SourceType>
    <b:Guid>{015F2859-9FBF-485F-BF96-7C5E88E9A35B}</b:Guid>
    <b:Author>
      <b:Author>
        <b:Corporate>College of Policing</b:Corporate>
      </b:Author>
    </b:Author>
    <b:Title>Ethical policing principles</b:Title>
    <b:InternetSiteTitle>College of Policing</b:InternetSiteTitle>
    <b:Year>2024</b:Year>
    <b:URL>https://www.college.police.uk/ethics/code-of-ethics/principles</b:URL>
    <b:RefOrder>8</b:RefOrder>
  </b:Source>
  <b:Source>
    <b:Tag>Sus80</b:Tag>
    <b:SourceType>DocumentFromInternetSite</b:SourceType>
    <b:Guid>{C639FE0D-44A8-4AB8-B642-B9F0E665B616}</b:Guid>
    <b:Title>Deontology and Police (Contribution to an Ethics Renaissance as a Fact of Life in Law)</b:Title>
    <b:Year>1980</b:Year>
    <b:Author>
      <b:Author>
        <b:NameList>
          <b:Person>
            <b:Last>Susini</b:Last>
            <b:First>J</b:First>
          </b:Person>
        </b:NameList>
      </b:Author>
    </b:Author>
    <b:Month>September</b:Month>
    <b:YearAccessed>2024</b:YearAccessed>
    <b:MonthAccessed>June</b:MonthAccessed>
    <b:URL>https://www.ojp.gov/ncjrs/virtual-library/abstracts/deontology-and-police-contribution-ethics-renaissance-fact-life-law</b:URL>
    <b:RefOrder>9</b:RefOrder>
  </b:Source>
  <b:Source>
    <b:Tag>Col238</b:Tag>
    <b:SourceType>DocumentFromInternetSite</b:SourceType>
    <b:Guid>{8CE9A5C2-8658-404F-B0FD-58B48CE64840}</b:Guid>
    <b:Title>Building trust and a fair culture</b:Title>
    <b:Year>2023</b:Year>
    <b:Month>February</b:Month>
    <b:Day>20</b:Day>
    <b:YearAccessed>2024</b:YearAccessed>
    <b:MonthAccessed>June</b:MonthAccessed>
    <b:DayAccessed>05</b:DayAccessed>
    <b:URL>https://www.college.police.uk/about/corporate-strategy-2022-2026/building-trust-and-fair-culture</b:URL>
    <b:Author>
      <b:Author>
        <b:Corporate>College of Policing</b:Corporate>
      </b:Author>
    </b:Author>
    <b:RefOrder>10</b:RefOrder>
  </b:Source>
  <b:Source>
    <b:Tag>Chi22</b:Tag>
    <b:SourceType>DocumentFromInternetSite</b:SourceType>
    <b:Guid>{18553A7B-F93C-41F8-BAEA-5620781D3CA1}</b:Guid>
    <b:Title>Police Race Action Plan</b:Title>
    <b:Year>2022</b:Year>
    <b:Month>December</b:Month>
    <b:YearAccessed>2024</b:YearAccessed>
    <b:MonthAccessed>June</b:MonthAccessed>
    <b:DayAccessed>05</b:DayAccessed>
    <b:URL>https://assets.college.police.uk/s3fs-public/Police-Race-Action-Plan.pdf</b:URL>
    <b:Author>
      <b:Author>
        <b:NameList>
          <b:Person>
            <b:Last>DL</b:Last>
            <b:First>Chief</b:First>
            <b:Middle>Constable Sir David Thompson QPM</b:Middle>
          </b:Person>
        </b:NameList>
      </b:Author>
    </b:Author>
    <b:RefOrder>11</b:RefOrder>
  </b:Source>
</b:Sources>
</file>

<file path=customXml/itemProps1.xml><?xml version="1.0" encoding="utf-8"?>
<ds:datastoreItem xmlns:ds="http://schemas.openxmlformats.org/officeDocument/2006/customXml" ds:itemID="{CE1BD16C-7C48-4E6C-8A01-702FD19D0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4524</Words>
  <Characters>25793</Characters>
  <Application>Microsoft Office Word</Application>
  <DocSecurity>0</DocSecurity>
  <Lines>214</Lines>
  <Paragraphs>60</Paragraphs>
  <ScaleCrop>false</ScaleCrop>
  <Company/>
  <LinksUpToDate>false</LinksUpToDate>
  <CharactersWithSpaces>30257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swp8547</dc:creator>
  <cp:keywords/>
  <dc:description/>
  <cp:lastModifiedBy>Rees,James swp8547</cp:lastModifiedBy>
  <cp:revision>2</cp:revision>
  <dcterms:created xsi:type="dcterms:W3CDTF">2024-06-10T09:09:00Z</dcterms:created>
  <dcterms:modified xsi:type="dcterms:W3CDTF">2024-06-10T09:09:00Z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2024-06-10T09:09:34Z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b230c66e-719d-4bac-97b6-558891e7b270</vt:lpwstr>
  </property>
  <property fmtid="{D5CDD505-2E9C-101B-9397-08002B2CF9AE}" pid="8" name="MSIP_Label_66cf8fe5-b7b7-4df7-b38d-1c61ac2f6639_ContentBits">
    <vt:lpwstr>0</vt:lpwstr>
  </property>
</Properties>
</file>