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5B3011" w14:textId="77777777" w:rsidR="00CA54D8" w:rsidRDefault="00000000" w:rsidP="002D15FA">
      <w:pPr>
        <w:jc w:val="center"/>
      </w:pPr>
      <w:r>
        <w:rPr>
          <w:noProof/>
        </w:rPr>
        <w:drawing>
          <wp:inline distT="0" distB="0" distL="0" distR="0" wp14:anchorId="2929D564" wp14:editId="44EC293B">
            <wp:extent cx="1810385" cy="725170"/>
            <wp:effectExtent l="0" t="0" r="0" b="0"/>
            <wp:docPr id="1345763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763364"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810385" cy="725170"/>
                    </a:xfrm>
                    <a:prstGeom prst="rect">
                      <a:avLst/>
                    </a:prstGeom>
                    <a:noFill/>
                  </pic:spPr>
                </pic:pic>
              </a:graphicData>
            </a:graphic>
          </wp:inline>
        </w:drawing>
      </w:r>
    </w:p>
    <w:p w14:paraId="28B833A2" w14:textId="77777777" w:rsidR="009F1FDB" w:rsidRDefault="009F1FDB" w:rsidP="002D15FA">
      <w:pPr>
        <w:jc w:val="center"/>
        <w:rPr>
          <w:b/>
        </w:rPr>
      </w:pPr>
    </w:p>
    <w:p w14:paraId="783BC190" w14:textId="77777777" w:rsidR="009F1FDB" w:rsidRDefault="009F1FDB" w:rsidP="002D15FA">
      <w:pPr>
        <w:jc w:val="center"/>
        <w:rPr>
          <w:b/>
        </w:rPr>
      </w:pPr>
    </w:p>
    <w:p w14:paraId="3D9A954D" w14:textId="3DA1836D" w:rsidR="009F1FDB" w:rsidRPr="009F1FDB" w:rsidRDefault="009F1FDB" w:rsidP="002D15FA">
      <w:pPr>
        <w:jc w:val="center"/>
        <w:rPr>
          <w:sz w:val="44"/>
          <w:szCs w:val="40"/>
        </w:rPr>
      </w:pPr>
      <w:r w:rsidRPr="009F1FDB">
        <w:rPr>
          <w:b/>
          <w:sz w:val="44"/>
          <w:szCs w:val="40"/>
        </w:rPr>
        <w:t>LCBB4011</w:t>
      </w:r>
    </w:p>
    <w:p w14:paraId="4E4FB68B" w14:textId="77777777" w:rsidR="00CA54D8" w:rsidRDefault="00CA54D8"/>
    <w:p w14:paraId="631ADF71" w14:textId="77777777" w:rsidR="00564888" w:rsidRDefault="00000000" w:rsidP="002D15FA">
      <w:pPr>
        <w:pStyle w:val="Title"/>
        <w:jc w:val="center"/>
        <w:rPr>
          <w:rFonts w:ascii="Times New Roman" w:hAnsi="Times New Roman" w:cs="Times New Roman"/>
          <w:b/>
          <w:bCs/>
          <w:sz w:val="72"/>
          <w:szCs w:val="72"/>
        </w:rPr>
      </w:pPr>
      <w:r w:rsidRPr="009F1FDB">
        <w:rPr>
          <w:rFonts w:ascii="Times New Roman" w:hAnsi="Times New Roman" w:cs="Times New Roman"/>
          <w:b/>
          <w:bCs/>
          <w:sz w:val="72"/>
          <w:szCs w:val="72"/>
        </w:rPr>
        <w:t>Community Engagement</w:t>
      </w:r>
    </w:p>
    <w:p w14:paraId="5A521E7A" w14:textId="77777777" w:rsidR="009F1FDB" w:rsidRDefault="009F1FDB" w:rsidP="009F1FDB"/>
    <w:p w14:paraId="03E23DFB" w14:textId="77777777" w:rsidR="009F1FDB" w:rsidRDefault="009F1FDB" w:rsidP="009F1FDB"/>
    <w:p w14:paraId="0A7F5F80" w14:textId="276A67DF" w:rsidR="009F1FDB" w:rsidRPr="009F1FDB" w:rsidRDefault="009F1FDB" w:rsidP="009F1FDB">
      <w:pPr>
        <w:jc w:val="center"/>
        <w:rPr>
          <w:sz w:val="36"/>
          <w:szCs w:val="32"/>
        </w:rPr>
      </w:pPr>
      <w:r w:rsidRPr="009F1FDB">
        <w:rPr>
          <w:b/>
          <w:bCs/>
          <w:sz w:val="36"/>
          <w:szCs w:val="32"/>
        </w:rPr>
        <w:t>Assessment component 1 – Community Engagement portfolio</w:t>
      </w:r>
    </w:p>
    <w:p w14:paraId="18FACFF0" w14:textId="77777777" w:rsidR="002D15FA" w:rsidRDefault="002D15FA" w:rsidP="002D15FA"/>
    <w:p w14:paraId="6907F484" w14:textId="77777777" w:rsidR="002D15FA" w:rsidRDefault="002D15FA" w:rsidP="002D15FA"/>
    <w:p w14:paraId="31624201" w14:textId="277DB0C4" w:rsidR="002D15FA" w:rsidRPr="009F1FDB" w:rsidRDefault="00000000" w:rsidP="009F1FDB">
      <w:pPr>
        <w:jc w:val="center"/>
        <w:rPr>
          <w:b/>
          <w:bCs/>
          <w:sz w:val="32"/>
          <w:szCs w:val="32"/>
        </w:rPr>
      </w:pPr>
      <w:r w:rsidRPr="009F1FDB">
        <w:rPr>
          <w:b/>
          <w:bCs/>
          <w:sz w:val="32"/>
          <w:szCs w:val="32"/>
        </w:rPr>
        <w:t xml:space="preserve">Student Name </w:t>
      </w:r>
    </w:p>
    <w:p w14:paraId="218AEDEB" w14:textId="77777777" w:rsidR="002D15FA" w:rsidRPr="009F1FDB" w:rsidRDefault="00000000" w:rsidP="002D15FA">
      <w:pPr>
        <w:jc w:val="center"/>
        <w:rPr>
          <w:b/>
          <w:bCs/>
          <w:sz w:val="32"/>
          <w:szCs w:val="32"/>
        </w:rPr>
      </w:pPr>
      <w:r w:rsidRPr="009F1FDB">
        <w:rPr>
          <w:b/>
          <w:bCs/>
          <w:sz w:val="32"/>
          <w:szCs w:val="32"/>
        </w:rPr>
        <w:t xml:space="preserve">Student ID </w:t>
      </w:r>
    </w:p>
    <w:p w14:paraId="69D603C5" w14:textId="77777777" w:rsidR="002367FA" w:rsidRDefault="00000000">
      <w:pPr>
        <w:spacing w:line="259" w:lineRule="auto"/>
        <w:jc w:val="left"/>
        <w:rPr>
          <w:b/>
          <w:bCs/>
          <w:sz w:val="44"/>
          <w:szCs w:val="44"/>
        </w:rPr>
      </w:pPr>
      <w:r>
        <w:rPr>
          <w:b/>
          <w:bCs/>
          <w:sz w:val="44"/>
          <w:szCs w:val="44"/>
        </w:rPr>
        <w:br w:type="page"/>
      </w:r>
    </w:p>
    <w:sdt>
      <w:sdtPr>
        <w:rPr>
          <w:rFonts w:ascii="Times New Roman" w:eastAsiaTheme="minorHAnsi" w:hAnsi="Times New Roman" w:cstheme="minorBidi"/>
          <w:color w:val="auto"/>
          <w:kern w:val="2"/>
          <w:sz w:val="24"/>
          <w:szCs w:val="22"/>
          <w:lang w:val="en-IN"/>
          <w14:ligatures w14:val="standardContextual"/>
        </w:rPr>
        <w:id w:val="-1684582440"/>
        <w:docPartObj>
          <w:docPartGallery w:val="Table of Contents"/>
          <w:docPartUnique/>
        </w:docPartObj>
      </w:sdtPr>
      <w:sdtEndPr>
        <w:rPr>
          <w:b/>
          <w:bCs/>
          <w:noProof/>
        </w:rPr>
      </w:sdtEndPr>
      <w:sdtContent>
        <w:p w14:paraId="525B8DA2" w14:textId="77777777" w:rsidR="009D707C" w:rsidRPr="009D707C" w:rsidRDefault="00000000">
          <w:pPr>
            <w:pStyle w:val="TOCHeading"/>
            <w:rPr>
              <w:rFonts w:ascii="Times New Roman" w:hAnsi="Times New Roman" w:cs="Times New Roman"/>
              <w:b/>
              <w:bCs/>
              <w:color w:val="000000" w:themeColor="text1"/>
            </w:rPr>
          </w:pPr>
          <w:r w:rsidRPr="009D707C">
            <w:rPr>
              <w:rFonts w:ascii="Times New Roman" w:hAnsi="Times New Roman" w:cs="Times New Roman"/>
              <w:b/>
              <w:bCs/>
              <w:color w:val="000000" w:themeColor="text1"/>
            </w:rPr>
            <w:t>Table of Contents</w:t>
          </w:r>
        </w:p>
        <w:p w14:paraId="393D4F68" w14:textId="0D05EEC1" w:rsidR="009F1FDB" w:rsidRDefault="00000000">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73333230" w:history="1">
            <w:r w:rsidR="009F1FDB" w:rsidRPr="00EE4288">
              <w:rPr>
                <w:rStyle w:val="Hyperlink"/>
                <w:noProof/>
              </w:rPr>
              <w:t>Introduction</w:t>
            </w:r>
            <w:r w:rsidR="009F1FDB">
              <w:rPr>
                <w:noProof/>
                <w:webHidden/>
              </w:rPr>
              <w:tab/>
            </w:r>
            <w:r w:rsidR="009F1FDB">
              <w:rPr>
                <w:noProof/>
                <w:webHidden/>
              </w:rPr>
              <w:fldChar w:fldCharType="begin"/>
            </w:r>
            <w:r w:rsidR="009F1FDB">
              <w:rPr>
                <w:noProof/>
                <w:webHidden/>
              </w:rPr>
              <w:instrText xml:space="preserve"> PAGEREF _Toc173333230 \h </w:instrText>
            </w:r>
            <w:r w:rsidR="009F1FDB">
              <w:rPr>
                <w:noProof/>
                <w:webHidden/>
              </w:rPr>
            </w:r>
            <w:r w:rsidR="009F1FDB">
              <w:rPr>
                <w:noProof/>
                <w:webHidden/>
              </w:rPr>
              <w:fldChar w:fldCharType="separate"/>
            </w:r>
            <w:r w:rsidR="009F1FDB">
              <w:rPr>
                <w:noProof/>
                <w:webHidden/>
              </w:rPr>
              <w:t>3</w:t>
            </w:r>
            <w:r w:rsidR="009F1FDB">
              <w:rPr>
                <w:noProof/>
                <w:webHidden/>
              </w:rPr>
              <w:fldChar w:fldCharType="end"/>
            </w:r>
          </w:hyperlink>
        </w:p>
        <w:p w14:paraId="001C22A0" w14:textId="3A8EFB61" w:rsidR="009F1FDB" w:rsidRDefault="009F1FDB">
          <w:pPr>
            <w:pStyle w:val="TOC1"/>
            <w:tabs>
              <w:tab w:val="right" w:leader="dot" w:pos="9016"/>
            </w:tabs>
            <w:rPr>
              <w:rFonts w:asciiTheme="minorHAnsi" w:eastAsiaTheme="minorEastAsia" w:hAnsiTheme="minorHAnsi"/>
              <w:noProof/>
              <w:sz w:val="22"/>
              <w:lang w:eastAsia="en-IN"/>
            </w:rPr>
          </w:pPr>
          <w:hyperlink w:anchor="_Toc173333231" w:history="1">
            <w:r w:rsidRPr="00EE4288">
              <w:rPr>
                <w:rStyle w:val="Hyperlink"/>
                <w:noProof/>
              </w:rPr>
              <w:t>Community Engagement Principles</w:t>
            </w:r>
            <w:r>
              <w:rPr>
                <w:noProof/>
                <w:webHidden/>
              </w:rPr>
              <w:tab/>
            </w:r>
            <w:r>
              <w:rPr>
                <w:noProof/>
                <w:webHidden/>
              </w:rPr>
              <w:fldChar w:fldCharType="begin"/>
            </w:r>
            <w:r>
              <w:rPr>
                <w:noProof/>
                <w:webHidden/>
              </w:rPr>
              <w:instrText xml:space="preserve"> PAGEREF _Toc173333231 \h </w:instrText>
            </w:r>
            <w:r>
              <w:rPr>
                <w:noProof/>
                <w:webHidden/>
              </w:rPr>
            </w:r>
            <w:r>
              <w:rPr>
                <w:noProof/>
                <w:webHidden/>
              </w:rPr>
              <w:fldChar w:fldCharType="separate"/>
            </w:r>
            <w:r>
              <w:rPr>
                <w:noProof/>
                <w:webHidden/>
              </w:rPr>
              <w:t>4</w:t>
            </w:r>
            <w:r>
              <w:rPr>
                <w:noProof/>
                <w:webHidden/>
              </w:rPr>
              <w:fldChar w:fldCharType="end"/>
            </w:r>
          </w:hyperlink>
        </w:p>
        <w:p w14:paraId="5268FF6F" w14:textId="588F5537" w:rsidR="009F1FDB" w:rsidRDefault="009F1FDB">
          <w:pPr>
            <w:pStyle w:val="TOC1"/>
            <w:tabs>
              <w:tab w:val="right" w:leader="dot" w:pos="9016"/>
            </w:tabs>
            <w:rPr>
              <w:rFonts w:asciiTheme="minorHAnsi" w:eastAsiaTheme="minorEastAsia" w:hAnsiTheme="minorHAnsi"/>
              <w:noProof/>
              <w:sz w:val="22"/>
              <w:lang w:eastAsia="en-IN"/>
            </w:rPr>
          </w:pPr>
          <w:hyperlink w:anchor="_Toc173333232" w:history="1">
            <w:r w:rsidRPr="00EE4288">
              <w:rPr>
                <w:rStyle w:val="Hyperlink"/>
                <w:noProof/>
              </w:rPr>
              <w:t>Planning and Design</w:t>
            </w:r>
            <w:r>
              <w:rPr>
                <w:noProof/>
                <w:webHidden/>
              </w:rPr>
              <w:tab/>
            </w:r>
            <w:r>
              <w:rPr>
                <w:noProof/>
                <w:webHidden/>
              </w:rPr>
              <w:fldChar w:fldCharType="begin"/>
            </w:r>
            <w:r>
              <w:rPr>
                <w:noProof/>
                <w:webHidden/>
              </w:rPr>
              <w:instrText xml:space="preserve"> PAGEREF _Toc173333232 \h </w:instrText>
            </w:r>
            <w:r>
              <w:rPr>
                <w:noProof/>
                <w:webHidden/>
              </w:rPr>
            </w:r>
            <w:r>
              <w:rPr>
                <w:noProof/>
                <w:webHidden/>
              </w:rPr>
              <w:fldChar w:fldCharType="separate"/>
            </w:r>
            <w:r>
              <w:rPr>
                <w:noProof/>
                <w:webHidden/>
              </w:rPr>
              <w:t>5</w:t>
            </w:r>
            <w:r>
              <w:rPr>
                <w:noProof/>
                <w:webHidden/>
              </w:rPr>
              <w:fldChar w:fldCharType="end"/>
            </w:r>
          </w:hyperlink>
        </w:p>
        <w:p w14:paraId="211C1EB8" w14:textId="71693BE9" w:rsidR="009F1FDB" w:rsidRDefault="009F1FDB">
          <w:pPr>
            <w:pStyle w:val="TOC1"/>
            <w:tabs>
              <w:tab w:val="right" w:leader="dot" w:pos="9016"/>
            </w:tabs>
            <w:rPr>
              <w:rFonts w:asciiTheme="minorHAnsi" w:eastAsiaTheme="minorEastAsia" w:hAnsiTheme="minorHAnsi"/>
              <w:noProof/>
              <w:sz w:val="22"/>
              <w:lang w:eastAsia="en-IN"/>
            </w:rPr>
          </w:pPr>
          <w:hyperlink w:anchor="_Toc173333233" w:history="1">
            <w:r w:rsidRPr="00EE4288">
              <w:rPr>
                <w:rStyle w:val="Hyperlink"/>
                <w:noProof/>
              </w:rPr>
              <w:t>Standards</w:t>
            </w:r>
            <w:r>
              <w:rPr>
                <w:noProof/>
                <w:webHidden/>
              </w:rPr>
              <w:tab/>
            </w:r>
            <w:r>
              <w:rPr>
                <w:noProof/>
                <w:webHidden/>
              </w:rPr>
              <w:fldChar w:fldCharType="begin"/>
            </w:r>
            <w:r>
              <w:rPr>
                <w:noProof/>
                <w:webHidden/>
              </w:rPr>
              <w:instrText xml:space="preserve"> PAGEREF _Toc173333233 \h </w:instrText>
            </w:r>
            <w:r>
              <w:rPr>
                <w:noProof/>
                <w:webHidden/>
              </w:rPr>
            </w:r>
            <w:r>
              <w:rPr>
                <w:noProof/>
                <w:webHidden/>
              </w:rPr>
              <w:fldChar w:fldCharType="separate"/>
            </w:r>
            <w:r>
              <w:rPr>
                <w:noProof/>
                <w:webHidden/>
              </w:rPr>
              <w:t>7</w:t>
            </w:r>
            <w:r>
              <w:rPr>
                <w:noProof/>
                <w:webHidden/>
              </w:rPr>
              <w:fldChar w:fldCharType="end"/>
            </w:r>
          </w:hyperlink>
        </w:p>
        <w:p w14:paraId="4ED32F17" w14:textId="750458CA" w:rsidR="009F1FDB" w:rsidRDefault="009F1FDB">
          <w:pPr>
            <w:pStyle w:val="TOC1"/>
            <w:tabs>
              <w:tab w:val="right" w:leader="dot" w:pos="9016"/>
            </w:tabs>
            <w:rPr>
              <w:rFonts w:asciiTheme="minorHAnsi" w:eastAsiaTheme="minorEastAsia" w:hAnsiTheme="minorHAnsi"/>
              <w:noProof/>
              <w:sz w:val="22"/>
              <w:lang w:eastAsia="en-IN"/>
            </w:rPr>
          </w:pPr>
          <w:hyperlink w:anchor="_Toc173333234" w:history="1">
            <w:r w:rsidRPr="00EE4288">
              <w:rPr>
                <w:rStyle w:val="Hyperlink"/>
                <w:noProof/>
              </w:rPr>
              <w:t>Evaluation and Impact</w:t>
            </w:r>
            <w:r>
              <w:rPr>
                <w:noProof/>
                <w:webHidden/>
              </w:rPr>
              <w:tab/>
            </w:r>
            <w:r>
              <w:rPr>
                <w:noProof/>
                <w:webHidden/>
              </w:rPr>
              <w:fldChar w:fldCharType="begin"/>
            </w:r>
            <w:r>
              <w:rPr>
                <w:noProof/>
                <w:webHidden/>
              </w:rPr>
              <w:instrText xml:space="preserve"> PAGEREF _Toc173333234 \h </w:instrText>
            </w:r>
            <w:r>
              <w:rPr>
                <w:noProof/>
                <w:webHidden/>
              </w:rPr>
            </w:r>
            <w:r>
              <w:rPr>
                <w:noProof/>
                <w:webHidden/>
              </w:rPr>
              <w:fldChar w:fldCharType="separate"/>
            </w:r>
            <w:r>
              <w:rPr>
                <w:noProof/>
                <w:webHidden/>
              </w:rPr>
              <w:t>8</w:t>
            </w:r>
            <w:r>
              <w:rPr>
                <w:noProof/>
                <w:webHidden/>
              </w:rPr>
              <w:fldChar w:fldCharType="end"/>
            </w:r>
          </w:hyperlink>
        </w:p>
        <w:p w14:paraId="16C272AE" w14:textId="2AA812DC" w:rsidR="009F1FDB" w:rsidRDefault="009F1FDB">
          <w:pPr>
            <w:pStyle w:val="TOC1"/>
            <w:tabs>
              <w:tab w:val="right" w:leader="dot" w:pos="9016"/>
            </w:tabs>
            <w:rPr>
              <w:rFonts w:asciiTheme="minorHAnsi" w:eastAsiaTheme="minorEastAsia" w:hAnsiTheme="minorHAnsi"/>
              <w:noProof/>
              <w:sz w:val="22"/>
              <w:lang w:eastAsia="en-IN"/>
            </w:rPr>
          </w:pPr>
          <w:hyperlink w:anchor="_Toc173333235" w:history="1">
            <w:r w:rsidRPr="00EE4288">
              <w:rPr>
                <w:rStyle w:val="Hyperlink"/>
                <w:noProof/>
              </w:rPr>
              <w:t>Links to Personal Skills</w:t>
            </w:r>
            <w:r>
              <w:rPr>
                <w:noProof/>
                <w:webHidden/>
              </w:rPr>
              <w:tab/>
            </w:r>
            <w:r>
              <w:rPr>
                <w:noProof/>
                <w:webHidden/>
              </w:rPr>
              <w:fldChar w:fldCharType="begin"/>
            </w:r>
            <w:r>
              <w:rPr>
                <w:noProof/>
                <w:webHidden/>
              </w:rPr>
              <w:instrText xml:space="preserve"> PAGEREF _Toc173333235 \h </w:instrText>
            </w:r>
            <w:r>
              <w:rPr>
                <w:noProof/>
                <w:webHidden/>
              </w:rPr>
            </w:r>
            <w:r>
              <w:rPr>
                <w:noProof/>
                <w:webHidden/>
              </w:rPr>
              <w:fldChar w:fldCharType="separate"/>
            </w:r>
            <w:r>
              <w:rPr>
                <w:noProof/>
                <w:webHidden/>
              </w:rPr>
              <w:t>9</w:t>
            </w:r>
            <w:r>
              <w:rPr>
                <w:noProof/>
                <w:webHidden/>
              </w:rPr>
              <w:fldChar w:fldCharType="end"/>
            </w:r>
          </w:hyperlink>
        </w:p>
        <w:p w14:paraId="3CB63136" w14:textId="4F737662" w:rsidR="009F1FDB" w:rsidRDefault="009F1FDB">
          <w:pPr>
            <w:pStyle w:val="TOC1"/>
            <w:tabs>
              <w:tab w:val="right" w:leader="dot" w:pos="9016"/>
            </w:tabs>
            <w:rPr>
              <w:rFonts w:asciiTheme="minorHAnsi" w:eastAsiaTheme="minorEastAsia" w:hAnsiTheme="minorHAnsi"/>
              <w:noProof/>
              <w:sz w:val="22"/>
              <w:lang w:eastAsia="en-IN"/>
            </w:rPr>
          </w:pPr>
          <w:hyperlink w:anchor="_Toc173333236" w:history="1">
            <w:r w:rsidRPr="00EE4288">
              <w:rPr>
                <w:rStyle w:val="Hyperlink"/>
                <w:noProof/>
              </w:rPr>
              <w:t>Conclusion</w:t>
            </w:r>
            <w:r>
              <w:rPr>
                <w:noProof/>
                <w:webHidden/>
              </w:rPr>
              <w:tab/>
            </w:r>
            <w:r>
              <w:rPr>
                <w:noProof/>
                <w:webHidden/>
              </w:rPr>
              <w:fldChar w:fldCharType="begin"/>
            </w:r>
            <w:r>
              <w:rPr>
                <w:noProof/>
                <w:webHidden/>
              </w:rPr>
              <w:instrText xml:space="preserve"> PAGEREF _Toc173333236 \h </w:instrText>
            </w:r>
            <w:r>
              <w:rPr>
                <w:noProof/>
                <w:webHidden/>
              </w:rPr>
            </w:r>
            <w:r>
              <w:rPr>
                <w:noProof/>
                <w:webHidden/>
              </w:rPr>
              <w:fldChar w:fldCharType="separate"/>
            </w:r>
            <w:r>
              <w:rPr>
                <w:noProof/>
                <w:webHidden/>
              </w:rPr>
              <w:t>12</w:t>
            </w:r>
            <w:r>
              <w:rPr>
                <w:noProof/>
                <w:webHidden/>
              </w:rPr>
              <w:fldChar w:fldCharType="end"/>
            </w:r>
          </w:hyperlink>
        </w:p>
        <w:p w14:paraId="348AC0B5" w14:textId="1C9C5C98" w:rsidR="009F1FDB" w:rsidRDefault="009F1FDB">
          <w:pPr>
            <w:pStyle w:val="TOC1"/>
            <w:tabs>
              <w:tab w:val="right" w:leader="dot" w:pos="9016"/>
            </w:tabs>
            <w:rPr>
              <w:rFonts w:asciiTheme="minorHAnsi" w:eastAsiaTheme="minorEastAsia" w:hAnsiTheme="minorHAnsi"/>
              <w:noProof/>
              <w:sz w:val="22"/>
              <w:lang w:eastAsia="en-IN"/>
            </w:rPr>
          </w:pPr>
          <w:hyperlink w:anchor="_Toc173333237" w:history="1">
            <w:r w:rsidRPr="00EE4288">
              <w:rPr>
                <w:rStyle w:val="Hyperlink"/>
                <w:noProof/>
              </w:rPr>
              <w:t>References</w:t>
            </w:r>
            <w:r>
              <w:rPr>
                <w:noProof/>
                <w:webHidden/>
              </w:rPr>
              <w:tab/>
            </w:r>
            <w:r>
              <w:rPr>
                <w:noProof/>
                <w:webHidden/>
              </w:rPr>
              <w:fldChar w:fldCharType="begin"/>
            </w:r>
            <w:r>
              <w:rPr>
                <w:noProof/>
                <w:webHidden/>
              </w:rPr>
              <w:instrText xml:space="preserve"> PAGEREF _Toc173333237 \h </w:instrText>
            </w:r>
            <w:r>
              <w:rPr>
                <w:noProof/>
                <w:webHidden/>
              </w:rPr>
            </w:r>
            <w:r>
              <w:rPr>
                <w:noProof/>
                <w:webHidden/>
              </w:rPr>
              <w:fldChar w:fldCharType="separate"/>
            </w:r>
            <w:r>
              <w:rPr>
                <w:noProof/>
                <w:webHidden/>
              </w:rPr>
              <w:t>13</w:t>
            </w:r>
            <w:r>
              <w:rPr>
                <w:noProof/>
                <w:webHidden/>
              </w:rPr>
              <w:fldChar w:fldCharType="end"/>
            </w:r>
          </w:hyperlink>
        </w:p>
        <w:p w14:paraId="74205053" w14:textId="4A0F9C4C" w:rsidR="009D707C" w:rsidRDefault="00000000">
          <w:r>
            <w:rPr>
              <w:b/>
              <w:bCs/>
              <w:noProof/>
            </w:rPr>
            <w:fldChar w:fldCharType="end"/>
          </w:r>
        </w:p>
      </w:sdtContent>
    </w:sdt>
    <w:p w14:paraId="41C8C050" w14:textId="1DCB51DC" w:rsidR="00417EC6" w:rsidRDefault="00000000" w:rsidP="009F1FDB">
      <w:pPr>
        <w:pStyle w:val="TableofFigures"/>
        <w:tabs>
          <w:tab w:val="right" w:leader="dot" w:pos="9016"/>
        </w:tabs>
        <w:rPr>
          <w:noProof/>
        </w:rPr>
      </w:pPr>
      <w:r>
        <w:rPr>
          <w:b/>
          <w:bCs/>
        </w:rPr>
        <w:fldChar w:fldCharType="begin"/>
      </w:r>
      <w:r>
        <w:rPr>
          <w:b/>
          <w:bCs/>
        </w:rPr>
        <w:instrText xml:space="preserve"> TOC \h \z \c "Figure" </w:instrText>
      </w:r>
      <w:r>
        <w:rPr>
          <w:b/>
          <w:bCs/>
        </w:rPr>
        <w:fldChar w:fldCharType="separate"/>
      </w:r>
    </w:p>
    <w:p w14:paraId="4D86A716" w14:textId="77777777" w:rsidR="00C94507" w:rsidRDefault="00000000">
      <w:pPr>
        <w:spacing w:line="259" w:lineRule="auto"/>
        <w:jc w:val="left"/>
        <w:rPr>
          <w:b/>
          <w:bCs/>
        </w:rPr>
      </w:pPr>
      <w:r>
        <w:rPr>
          <w:b/>
          <w:bCs/>
        </w:rPr>
        <w:fldChar w:fldCharType="end"/>
      </w:r>
      <w:r>
        <w:rPr>
          <w:b/>
          <w:bCs/>
        </w:rPr>
        <w:br w:type="page"/>
      </w:r>
    </w:p>
    <w:p w14:paraId="41C4D1A8" w14:textId="77777777" w:rsidR="00006370" w:rsidRDefault="00000000" w:rsidP="0050410F">
      <w:pPr>
        <w:pStyle w:val="Heading1"/>
      </w:pPr>
      <w:bookmarkStart w:id="0" w:name="_Toc173333230"/>
      <w:r w:rsidRPr="00006370">
        <w:lastRenderedPageBreak/>
        <w:t>Introduction</w:t>
      </w:r>
      <w:bookmarkEnd w:id="0"/>
      <w:r w:rsidRPr="00006370">
        <w:t xml:space="preserve"> </w:t>
      </w:r>
    </w:p>
    <w:p w14:paraId="36ABEBA1" w14:textId="77777777" w:rsidR="00D90642" w:rsidRDefault="00000000" w:rsidP="00D90642">
      <w:r>
        <w:t xml:space="preserve">The following paper is intended to pay special consideration to a community involvement project with a focus on The Prince's Trust which operates in the UK as a charitable </w:t>
      </w:r>
      <w:r w:rsidR="0014399D">
        <w:t>organisation</w:t>
      </w:r>
      <w:r>
        <w:t>. The Prince's Trust aims at helping young people between the age of 11- 30 years who are out of work, low achievers or facing other problems in life. This the company achieves through free classes, grants, and mentorship where young people are made to acquire crucial skills, confidence, and motivation to secure employment, education or startups.</w:t>
      </w:r>
      <w:r w:rsidR="005A242D">
        <w:t xml:space="preserve"> </w:t>
      </w:r>
      <w:r>
        <w:t>Beginning with the core notions underlying the management of The Prince's Trust about community engagement, the paper will reveal the relevance of the notions and the measures of effective communication on the given subject. Following this, the Trust's projects' planning and design will be explained specifically concerning the process, the steps involved, and the assessment of the community's needs. The shift of the conversation will then be done to the policy that guides the Trust mostly the communication and preservation policy. Also included will be the methods of evaluation and the impact of Trust projects, thus bringing out a view of what is done concerning results dissemination. Finally, the report will show how my development corresponds to the Trust objectives by connecting these aspects to my strengths and work experience.</w:t>
      </w:r>
    </w:p>
    <w:p w14:paraId="7C7B51E8" w14:textId="77777777" w:rsidR="00DC5BF3" w:rsidRDefault="00000000" w:rsidP="00DC5BF3">
      <w:pPr>
        <w:keepNext/>
        <w:jc w:val="center"/>
      </w:pPr>
      <w:r>
        <w:rPr>
          <w:noProof/>
        </w:rPr>
        <w:drawing>
          <wp:inline distT="0" distB="0" distL="0" distR="0" wp14:anchorId="32F69659" wp14:editId="38F2ACF9">
            <wp:extent cx="4572000" cy="2392680"/>
            <wp:effectExtent l="0" t="0" r="0" b="7620"/>
            <wp:docPr id="811322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322160"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577713" cy="2395670"/>
                    </a:xfrm>
                    <a:prstGeom prst="rect">
                      <a:avLst/>
                    </a:prstGeom>
                    <a:noFill/>
                  </pic:spPr>
                </pic:pic>
              </a:graphicData>
            </a:graphic>
          </wp:inline>
        </w:drawing>
      </w:r>
    </w:p>
    <w:p w14:paraId="220229FE" w14:textId="77777777" w:rsidR="00D90642" w:rsidRPr="00DC5BF3" w:rsidRDefault="00000000" w:rsidP="00DC5BF3">
      <w:pPr>
        <w:pStyle w:val="Caption"/>
        <w:spacing w:after="0"/>
        <w:jc w:val="center"/>
        <w:rPr>
          <w:b/>
          <w:bCs/>
          <w:i w:val="0"/>
          <w:iCs w:val="0"/>
          <w:color w:val="000000" w:themeColor="text1"/>
        </w:rPr>
      </w:pPr>
      <w:bookmarkStart w:id="1" w:name="_Toc173053303"/>
      <w:r w:rsidRPr="00DC5BF3">
        <w:rPr>
          <w:b/>
          <w:bCs/>
          <w:i w:val="0"/>
          <w:iCs w:val="0"/>
          <w:color w:val="000000" w:themeColor="text1"/>
        </w:rPr>
        <w:t xml:space="preserve">Figure </w:t>
      </w:r>
      <w:r w:rsidRPr="00DC5BF3">
        <w:rPr>
          <w:b/>
          <w:bCs/>
          <w:i w:val="0"/>
          <w:iCs w:val="0"/>
          <w:color w:val="000000" w:themeColor="text1"/>
        </w:rPr>
        <w:fldChar w:fldCharType="begin"/>
      </w:r>
      <w:r w:rsidRPr="00DC5BF3">
        <w:rPr>
          <w:b/>
          <w:bCs/>
          <w:i w:val="0"/>
          <w:iCs w:val="0"/>
          <w:color w:val="000000" w:themeColor="text1"/>
        </w:rPr>
        <w:instrText xml:space="preserve"> SEQ Figure \* ARABIC </w:instrText>
      </w:r>
      <w:r w:rsidRPr="00DC5BF3">
        <w:rPr>
          <w:b/>
          <w:bCs/>
          <w:i w:val="0"/>
          <w:iCs w:val="0"/>
          <w:color w:val="000000" w:themeColor="text1"/>
        </w:rPr>
        <w:fldChar w:fldCharType="separate"/>
      </w:r>
      <w:r w:rsidR="00EA5446">
        <w:rPr>
          <w:b/>
          <w:bCs/>
          <w:i w:val="0"/>
          <w:iCs w:val="0"/>
          <w:noProof/>
          <w:color w:val="000000" w:themeColor="text1"/>
        </w:rPr>
        <w:t>1</w:t>
      </w:r>
      <w:r w:rsidRPr="00DC5BF3">
        <w:rPr>
          <w:b/>
          <w:bCs/>
          <w:i w:val="0"/>
          <w:iCs w:val="0"/>
          <w:color w:val="000000" w:themeColor="text1"/>
        </w:rPr>
        <w:fldChar w:fldCharType="end"/>
      </w:r>
      <w:r w:rsidRPr="00DC5BF3">
        <w:rPr>
          <w:b/>
          <w:bCs/>
          <w:i w:val="0"/>
          <w:iCs w:val="0"/>
          <w:color w:val="000000" w:themeColor="text1"/>
        </w:rPr>
        <w:t>:(Community Engagement)</w:t>
      </w:r>
      <w:bookmarkEnd w:id="1"/>
    </w:p>
    <w:p w14:paraId="4811C0BA" w14:textId="0FCAA891" w:rsidR="00DC5BF3" w:rsidRPr="00DC5BF3" w:rsidRDefault="00000000" w:rsidP="00DC5BF3">
      <w:pPr>
        <w:spacing w:after="0"/>
        <w:jc w:val="center"/>
        <w:rPr>
          <w:b/>
          <w:bCs/>
          <w:color w:val="000000" w:themeColor="text1"/>
          <w:sz w:val="18"/>
          <w:szCs w:val="18"/>
        </w:rPr>
      </w:pPr>
      <w:r w:rsidRPr="00DC5BF3">
        <w:rPr>
          <w:b/>
          <w:bCs/>
          <w:color w:val="000000" w:themeColor="text1"/>
          <w:sz w:val="18"/>
          <w:szCs w:val="18"/>
        </w:rPr>
        <w:t xml:space="preserve">(Source: </w:t>
      </w:r>
      <w:r w:rsidR="009F1FDB">
        <w:rPr>
          <w:b/>
          <w:bCs/>
          <w:color w:val="000000" w:themeColor="text1"/>
          <w:sz w:val="18"/>
          <w:szCs w:val="18"/>
        </w:rPr>
        <w:t>Medium, 2023)</w:t>
      </w:r>
      <w:r w:rsidRPr="00DC5BF3">
        <w:rPr>
          <w:b/>
          <w:bCs/>
          <w:color w:val="000000" w:themeColor="text1"/>
          <w:sz w:val="18"/>
          <w:szCs w:val="18"/>
        </w:rPr>
        <w:t>)</w:t>
      </w:r>
    </w:p>
    <w:p w14:paraId="6C1B7609" w14:textId="77777777" w:rsidR="00D90642" w:rsidRDefault="00D90642" w:rsidP="00D90642"/>
    <w:p w14:paraId="748C28A2" w14:textId="77777777" w:rsidR="00D90642" w:rsidRDefault="00D90642" w:rsidP="00D90642"/>
    <w:p w14:paraId="3FFFC850" w14:textId="77777777" w:rsidR="007F39AE" w:rsidRDefault="00000000">
      <w:pPr>
        <w:spacing w:line="259" w:lineRule="auto"/>
        <w:jc w:val="left"/>
      </w:pPr>
      <w:r>
        <w:br w:type="page"/>
      </w:r>
    </w:p>
    <w:p w14:paraId="6E3F1A93" w14:textId="77777777" w:rsidR="00006370" w:rsidRDefault="00000000" w:rsidP="00D04081">
      <w:pPr>
        <w:pStyle w:val="Heading1"/>
      </w:pPr>
      <w:bookmarkStart w:id="2" w:name="_Toc173333231"/>
      <w:r w:rsidRPr="00006370">
        <w:lastRenderedPageBreak/>
        <w:t>Community Engagement Principles</w:t>
      </w:r>
      <w:bookmarkEnd w:id="2"/>
      <w:r w:rsidRPr="00006370">
        <w:t xml:space="preserve"> </w:t>
      </w:r>
    </w:p>
    <w:p w14:paraId="05EB6E85" w14:textId="77777777" w:rsidR="009804E4" w:rsidRDefault="00000000" w:rsidP="009804E4">
      <w:r>
        <w:t>The Prince's Trust is guided in helping young people to overcome demanding situations and reach their capacity via a hard and fast of basic beliefs. The Trust's method for incorporating communities depends a lot on every of 3 standards: inclusion, empowerment, and support.</w:t>
      </w:r>
    </w:p>
    <w:p w14:paraId="55711EA0" w14:textId="77777777" w:rsidR="009804E4" w:rsidRDefault="00000000" w:rsidP="009804E4">
      <w:r>
        <w:t>The activities of the Prince's Trust revolve around inclusivity, making sure that each younger character—from whatever backgrounds, conditions, or demanding situations—has admission to its assets and sports. This concept objectives to remove limitations and ahead equality, consequently providing possibilities for individuals who would possibly in any other case be excluded. The Trust welcomes variety and seeks to assist bad areas thereby making sure that its initiatives are available to a remarkable target audience</w:t>
      </w:r>
      <w:r w:rsidR="00A15A50">
        <w:t xml:space="preserve"> (Adams, 2017). </w:t>
      </w:r>
    </w:p>
    <w:p w14:paraId="374CC3CE" w14:textId="093A1608" w:rsidR="00A00676" w:rsidRDefault="00000000" w:rsidP="009F1FDB">
      <w:r>
        <w:t>Mostly, empowerment is about giving younger humans the gear, confidence, and understanding they need to manipulate their futures. This concept is ready to inspire people to comply with their desires with perseverance by self-belief and independence, consequently developing their competencies. The Prince's Trust enables younger human beings to recognise their very own potential and create wonderful changes in their lives via the manner of many education courses, mentoring programs, and personal development projects.</w:t>
      </w:r>
    </w:p>
    <w:p w14:paraId="0A066B47" w14:textId="2F2AF37A" w:rsidR="009804E4" w:rsidRDefault="00000000" w:rsidP="009804E4">
      <w:r>
        <w:t xml:space="preserve">For The Prince's Trust, which seeks to empower young people to establish higher futures by way of training opportunities, employment, and training, those ideals are pretty appropriate. Inclusivity guarantees that the Trust can reach and favourably affect a vast range of human beings, therefore addressing the precise desires of many </w:t>
      </w:r>
      <w:r w:rsidR="0014399D">
        <w:t>organisation</w:t>
      </w:r>
      <w:r>
        <w:t>s. Being inclusive encourages the Trust to create relevant tasks without difficulty accessible to all, consequently maximi</w:t>
      </w:r>
      <w:r w:rsidR="0059662D">
        <w:t>s</w:t>
      </w:r>
      <w:r>
        <w:t>ing its effect.</w:t>
      </w:r>
      <w:r w:rsidR="007E6CA7">
        <w:t xml:space="preserve"> </w:t>
      </w:r>
      <w:r>
        <w:t>Empowerment enhances the Trust's aim of promoting both long-term career and personal improvement (Lee and Jan 2019). Clear conversation of these concepts might help all the stakeholders to recognize and welcome them. The Prince's Trust reaches at this via distinct techniques.</w:t>
      </w:r>
      <w:r w:rsidR="009F1FDB">
        <w:t xml:space="preserve"> </w:t>
      </w:r>
      <w:r>
        <w:t>Seminars and schooling guides are essential gear for direct involvement when you consider that they permit members to personally interact with the standards of empowerment and aid. These meetings provide actual, realistic studying possibilities primarily based on Trust values and aspirations.</w:t>
      </w:r>
    </w:p>
    <w:p w14:paraId="334E410F" w14:textId="77777777" w:rsidR="009804E4" w:rsidRDefault="00000000" w:rsidP="009804E4">
      <w:r>
        <w:t xml:space="preserve">The online </w:t>
      </w:r>
      <w:r w:rsidR="001B53D1">
        <w:t>platform</w:t>
      </w:r>
      <w:r>
        <w:t xml:space="preserve">, together with the Trust's internet site and social media channels, significantly enables information distribution and target market interaction. These websites characteristic achievement tales, program updates, and materials that spotlight the Trust's ideals and thereby reveal them to a larger community. Especially on social media, we participate in </w:t>
      </w:r>
      <w:r>
        <w:lastRenderedPageBreak/>
        <w:t>interactive communication, which allows the Trust to rapidly speak with younger human beings and stakeholders</w:t>
      </w:r>
      <w:r w:rsidR="00016E07">
        <w:t xml:space="preserve"> (Gilchrist, 2019). </w:t>
      </w:r>
    </w:p>
    <w:p w14:paraId="6E0A8169" w14:textId="36E3E7AD" w:rsidR="00C1669E" w:rsidRDefault="00000000" w:rsidP="009804E4">
      <w:r>
        <w:t xml:space="preserve">The Prince's Trust successfully conveys its principles across several venues and strategies. These consist </w:t>
      </w:r>
      <w:r w:rsidR="00E82EEB">
        <w:t>of</w:t>
      </w:r>
      <w:r w:rsidR="009F1FDB">
        <w:t xml:space="preserve"> </w:t>
      </w:r>
      <w:r>
        <w:t xml:space="preserve">Facebook, Twitter, Instagram, and LinkedIn </w:t>
      </w:r>
      <w:r w:rsidR="00E82EEB">
        <w:t>allowing</w:t>
      </w:r>
      <w:r>
        <w:t xml:space="preserve"> one have interact with the network, proportion updates, and reach a massive audience. Social media techniques assist in keeping the target market informed and involved via stressing fulfilment tales and upcoming events.</w:t>
      </w:r>
      <w:r w:rsidR="009F1FDB">
        <w:t xml:space="preserve"> </w:t>
      </w:r>
      <w:r>
        <w:t>The Trust's website is an all-inclusive platform providing a comprehensive understanding of tasks, sports, and ideas. It is the main centre where site visitors may also get assistance services and discover more about Trust goals.</w:t>
      </w:r>
      <w:r w:rsidR="009F1FDB">
        <w:t xml:space="preserve"> </w:t>
      </w:r>
      <w:r>
        <w:t>Conducted both online and in-man or woman seminars and schooling courses provide thrilling learning stories that represent Trust standards. These seminars help contributors to broaden their capacity and gain confidence. By manner of those several communique channels and systems, the Prince's Trust ensures that its fundamental ideals are said, understood, and embraced by all stakeholders.</w:t>
      </w:r>
    </w:p>
    <w:p w14:paraId="24137B3A" w14:textId="77777777" w:rsidR="00006370" w:rsidRPr="00A00676" w:rsidRDefault="00000000" w:rsidP="00A00676">
      <w:pPr>
        <w:pStyle w:val="Heading1"/>
      </w:pPr>
      <w:bookmarkStart w:id="3" w:name="_Toc173333232"/>
      <w:r w:rsidRPr="00006370">
        <w:t>Planning and Design</w:t>
      </w:r>
      <w:bookmarkEnd w:id="3"/>
      <w:r w:rsidRPr="00006370">
        <w:t xml:space="preserve"> </w:t>
      </w:r>
    </w:p>
    <w:p w14:paraId="1D464094" w14:textId="77777777" w:rsidR="00700031" w:rsidRPr="00700031" w:rsidRDefault="00000000" w:rsidP="00700031">
      <w:r>
        <w:t xml:space="preserve">The Prince's Trust's planning method is thorough and orderly to guarantee efficiency and in shape with its goal of supporting young human beings. Starting with the challenge of dreams and objectives—based on the fundamental thoughts of inclusivity, empowerment, and guidance—the system starts </w:t>
      </w:r>
      <w:r w:rsidR="00C90E63">
        <w:t xml:space="preserve">to </w:t>
      </w:r>
      <w:r w:rsidR="00E57B33">
        <w:t>e</w:t>
      </w:r>
      <w:r>
        <w:t>volve</w:t>
      </w:r>
      <w:r w:rsidR="00C90E63">
        <w:t xml:space="preserve"> t</w:t>
      </w:r>
      <w:r>
        <w:t>his includes specifying precise, quantifiable effects the mission seeks to supply, such as raising young individuals' employment fees or improving their school performance</w:t>
      </w:r>
      <w:r w:rsidR="00760E6C">
        <w:t xml:space="preserve"> (Novelli and Sayed, 2016).  </w:t>
      </w:r>
      <w:r w:rsidRPr="00700031">
        <w:t>Resource allocation comes second once the objectives are defined. This entails making sure the required materials—funding, personnel, tools—are readily accessible and suitably distributed. The Trust then creates a thorough project schedule including important benchmarks and deadlines to keep the initiative moving forward. Regular check-ins and progress assessments included in this schedule let one make necessary changes.</w:t>
      </w:r>
    </w:p>
    <w:p w14:paraId="65D56DC6" w14:textId="185E303B" w:rsidR="00B54D57" w:rsidRDefault="00000000" w:rsidP="00B54D57">
      <w:r>
        <w:t>Data gathering on this first segment helps one to grasp the unique wishes and difficulties skilled via the goal populace. Common techniques to accumulate pertinent information from younger human beings and different stakeholders are surveys, interviews, and recognition businesses.</w:t>
      </w:r>
      <w:r w:rsidR="009F1FDB">
        <w:t xml:space="preserve"> </w:t>
      </w:r>
      <w:r>
        <w:t>Based on the requirements assessment, the Trust generates undertaking ideas meant to clear up the located troubles. This section consists of producing feasible treatments, assessing their viability, and choosing the maximum interesting ones.</w:t>
      </w:r>
      <w:r w:rsidR="009F1FDB">
        <w:t xml:space="preserve"> </w:t>
      </w:r>
      <w:r>
        <w:t xml:space="preserve">Early in the design method, stakeholders ensure their remarks and help. Consulting young human beings, community leaders, partners, </w:t>
      </w:r>
      <w:r>
        <w:lastRenderedPageBreak/>
        <w:t>and funders at this degree allows one to get comments and create a settlement at the task proposal</w:t>
      </w:r>
      <w:r w:rsidR="005A1BBC">
        <w:t xml:space="preserve"> (Saayman and Giampiccoli, 2016). </w:t>
      </w:r>
    </w:p>
    <w:p w14:paraId="5A432FAD" w14:textId="1268C540" w:rsidR="00B54D57" w:rsidRDefault="00000000" w:rsidP="00B54D57">
      <w:r>
        <w:t>Pilot testing enables the Trust to enhance the task layout before it's far fully launched. This involves doing small-scale assessments to discover any issues and compiling more feedback, therefore permitting modifications.</w:t>
      </w:r>
      <w:r w:rsidR="009F1FDB">
        <w:t xml:space="preserve"> </w:t>
      </w:r>
      <w:r>
        <w:t>The closing stage combines all comments and enhances the undertaking layout. The Trust then creates a thorough implementation plan together with particular responsibilities, roles, duties, and time limits for execution.</w:t>
      </w:r>
      <w:r w:rsidR="009F1FDB">
        <w:t xml:space="preserve"> </w:t>
      </w:r>
      <w:r>
        <w:t>The making plans process relies upon much on the assessment of community desires. The Prince's Trust ensures a complete recognition of the wishes of the target network via numerous techniques. To bring together quantitative facts on the needs and possibilities of young humans, surveys and polls are despatched out. Focus corporations and interviews allow participants to more deeply proportion their studies and recommendations, consequently providing qualitative insights</w:t>
      </w:r>
      <w:r w:rsidR="00963399">
        <w:t xml:space="preserve"> (Sorokin, 2017). </w:t>
      </w:r>
    </w:p>
    <w:p w14:paraId="2E103619" w14:textId="3988A27B" w:rsidR="008312EB" w:rsidRDefault="00000000" w:rsidP="009F1FDB">
      <w:r>
        <w:t xml:space="preserve">The achievement of The Prince's Trust projects depends on energetic participation with the aid of stakeholders. The Trust counts young humans, parents, community leaders, partner groups, funders, and </w:t>
      </w:r>
      <w:r w:rsidR="00C87DA7">
        <w:t>authorities’</w:t>
      </w:r>
      <w:r>
        <w:t xml:space="preserve"> </w:t>
      </w:r>
      <w:r w:rsidR="0014399D">
        <w:t>organisation</w:t>
      </w:r>
      <w:r>
        <w:t>s as stakeholders. Transparent communication begins with the method of such stakeholders; the Trust makes use of conferences, reviews, and virtual channels to talk about its goals, thoughts, and traits.</w:t>
      </w:r>
      <w:r w:rsidR="009F1FDB">
        <w:t xml:space="preserve"> </w:t>
      </w:r>
      <w:r>
        <w:t xml:space="preserve">The Trust hosts stakeholder seminars and boards in which attendees can also provide remarks, voice problems, and suggest changes to encourage involvement. To make use of extra sources and knowledge, cooperative relationships also are fashioned with close by agencies and businesses. Frequent updates and feedback loops ensure that stakeholders are knowledgeable and engaged at some stage in the mission lifestyles, consequently encouraging a feeling of obligation and willpower to the fulfilment of the mission (Ani et al., 2018). </w:t>
      </w:r>
    </w:p>
    <w:p w14:paraId="3EF81C19" w14:textId="77777777" w:rsidR="002E33A6" w:rsidRDefault="00000000" w:rsidP="00CC77AF">
      <w:pPr>
        <w:pStyle w:val="Heading1"/>
      </w:pPr>
      <w:bookmarkStart w:id="4" w:name="_Toc173333233"/>
      <w:r w:rsidRPr="00006370">
        <w:t>Standards</w:t>
      </w:r>
      <w:bookmarkEnd w:id="4"/>
      <w:r w:rsidRPr="00006370">
        <w:t xml:space="preserve"> </w:t>
      </w:r>
    </w:p>
    <w:p w14:paraId="4F5ABBB4" w14:textId="77777777" w:rsidR="002E33A6" w:rsidRPr="002E33A6" w:rsidRDefault="00000000" w:rsidP="002E33A6">
      <w:pPr>
        <w:rPr>
          <w:b/>
          <w:bCs/>
        </w:rPr>
      </w:pPr>
      <w:r>
        <w:t xml:space="preserve">To guarantee the calibre and potency of its projects, the Prince's Trust follows several critical standards. The UK Youth Quality Mark is one well-known benchmark supposed to help </w:t>
      </w:r>
      <w:r w:rsidR="0014399D">
        <w:t>organisation</w:t>
      </w:r>
      <w:r>
        <w:t>s in raising the quality of their young services. Covering many aspects of young people's paintings, together with governance, application transport, and consequences, this widespread guarantees that projects fulfil excessive standards of exercise and responsibility.</w:t>
      </w:r>
    </w:p>
    <w:p w14:paraId="33BA859F" w14:textId="48B4437E" w:rsidR="002E33A6" w:rsidRDefault="00000000" w:rsidP="002E33A6">
      <w:r>
        <w:lastRenderedPageBreak/>
        <w:t>For businesses providing facts, advocate, and steerage (IAG) services, every other crucial benchmark is the Matrix Standard. The Matrix Standard ensures that the Trust's guiding services are added successfully and satisfy the needs of young people, therefore enabling them to make wise selections concerning their training, tasks, and training.</w:t>
      </w:r>
      <w:r w:rsidR="009F1FDB">
        <w:t xml:space="preserve"> </w:t>
      </w:r>
      <w:r>
        <w:t>The Trust additionally matches its initiatives with the National Occupational Standards for Youth Work, which lists the competencies needed for successful younger employment. These criteria guarantee that volunteers and teams of workers and individuals have the specified expertise and capabilities to help younger human beings effectively</w:t>
      </w:r>
      <w:r w:rsidR="005248C4">
        <w:t xml:space="preserve"> (Fitzgerald et al., 2017). </w:t>
      </w:r>
    </w:p>
    <w:p w14:paraId="264E7F3F" w14:textId="77777777" w:rsidR="009F1FDB" w:rsidRDefault="00000000" w:rsidP="002E33A6">
      <w:r>
        <w:t>These recommendations offer a strong foundation for ensuring quality and efficacy in younger paintings, so they may be nicely ideal for the intention of The Prince's Trust packages. The UK Youth Quality Mark guarantees that Trust tasks are well run and benefit young people. This is consistent with the Trust's aim to equip youngsters with splendid help and opportunities.</w:t>
      </w:r>
      <w:r w:rsidR="009F1FDB">
        <w:t xml:space="preserve"> </w:t>
      </w:r>
      <w:r>
        <w:t>The Matrix Standard could be very critical since it ensures that the IAG offerings of the Trust are of superb first-class, therefore allowing young human beings to negotiate the boundaries of their paths of work and training. This benchmark helps the Trust's goal of guiding younger people in the direction of sensible decisions resulting in favourable results in their existence.</w:t>
      </w:r>
      <w:r w:rsidR="009F1FDB">
        <w:t xml:space="preserve"> </w:t>
      </w:r>
      <w:r>
        <w:t xml:space="preserve">The National Occupational Standards for Youth Work guarantee team of workers and volunteers' competency to offer young human beings with green help. This benchmark suits the Trust's dedication to providing younger human beings with effective and able offerings (Schiefer and Van der Noll, 2017). </w:t>
      </w:r>
    </w:p>
    <w:p w14:paraId="04EF0648" w14:textId="06D96A52" w:rsidR="002E33A6" w:rsidRDefault="00000000" w:rsidP="002E33A6">
      <w:r>
        <w:t>The Prince's Trust makes clear to all the ones engaged in its initiatives these criteria. Starting with induction and education guides for groups of workers and volunteers, this correspondence covers in fantastic elements the criteria and their significance. Frequent team meetings and seminars provide continuous probabilities to go over and aid those criteria.</w:t>
      </w:r>
      <w:r w:rsidR="009F1FDB">
        <w:t xml:space="preserve"> </w:t>
      </w:r>
      <w:r>
        <w:t>The Trust guarantees that every group member is aware of the criteria and expectancies by way of which include know-how of these requirements in its project files and instructions. Internal Trust platforms such as the intranet and venture control software make this material easily available</w:t>
      </w:r>
      <w:r w:rsidR="00344718">
        <w:t xml:space="preserve"> (Bandelj, 2016). </w:t>
      </w:r>
    </w:p>
    <w:p w14:paraId="6336522D" w14:textId="31155167" w:rsidR="00C121B5" w:rsidRDefault="00000000" w:rsidP="009F1FDB">
      <w:r>
        <w:t>The Prince's Trust makes use of numerous venues and assets as a way to properly bring those standards. Standard-related documentation and updates are dispensed through the usage of virtual channels consisting of the Trust's intranet and mission management equipment. For every crew member, those structures supply simple access to pertinent information.</w:t>
      </w:r>
      <w:r w:rsidR="009F1FDB">
        <w:t xml:space="preserve"> </w:t>
      </w:r>
      <w:r>
        <w:t xml:space="preserve">Using </w:t>
      </w:r>
      <w:r>
        <w:lastRenderedPageBreak/>
        <w:t>assets like video conferencing software to guarantee that each workforce and volunteers, everywhere, can also take part, seminars and education sessions are held both in-person and online. To guarantee that the bigger community is knowledgeable and concerned, the Trust also stocks updates on requirements and highlights nice practices in the use of electronic mail newsletters and social media.</w:t>
      </w:r>
      <w:r w:rsidR="008325A8">
        <w:t xml:space="preserve"> </w:t>
      </w:r>
      <w:r>
        <w:t>In addition to emphasi</w:t>
      </w:r>
      <w:r w:rsidR="008325A8">
        <w:t>s</w:t>
      </w:r>
      <w:r>
        <w:t xml:space="preserve">ing the need to follow these standards, the Trust also uses published sources such as posters and guidelines booklets kept in its offices and community centres. This multi-platform approach ensures thorough comprehension of the requirements at some point in the business enterprise and guarantees effective conversation (Wallace, 2018). </w:t>
      </w:r>
    </w:p>
    <w:p w14:paraId="35FB7B24" w14:textId="77777777" w:rsidR="00006370" w:rsidRDefault="00000000" w:rsidP="00CC77AF">
      <w:pPr>
        <w:pStyle w:val="Heading1"/>
      </w:pPr>
      <w:bookmarkStart w:id="5" w:name="_Toc173333234"/>
      <w:r w:rsidRPr="00006370">
        <w:t>Evaluation and Impact</w:t>
      </w:r>
      <w:bookmarkEnd w:id="5"/>
      <w:r w:rsidRPr="00006370">
        <w:t xml:space="preserve"> </w:t>
      </w:r>
    </w:p>
    <w:p w14:paraId="7319D226" w14:textId="5D2A0EBC" w:rsidR="00736A60" w:rsidRDefault="00000000" w:rsidP="00736A60">
      <w:r>
        <w:t>To ensure a thorough assessment, The Prince's Trust applications are assessed through the use of a combination of quantitative and qualitative strategies. The most important instrument for obtaining quantitative information on the success of the programs is surveys. Participants, companions, and stakeholders as well as others are despatched these questionnaires each earlier than and after the task to document their stories, diploma of pride, and apparent results. Surveys have discovered important regions of improvement in process readiness, educational accomplishment, and private boom.</w:t>
      </w:r>
      <w:r w:rsidR="009F1FDB">
        <w:t xml:space="preserve"> </w:t>
      </w:r>
      <w:r>
        <w:t>Another essential device for accumulating qualitative records is remarks forms. Participants and stakeholders fill this paperwork at numerous stages of the task, consisting of the following mentoring activities and workshops. They offer thorough evaluations of personal stories, difficulties overcome, and areas desiring paintings.</w:t>
      </w:r>
    </w:p>
    <w:p w14:paraId="409FFA0F" w14:textId="77777777" w:rsidR="00736A60" w:rsidRDefault="00000000" w:rsidP="00736A60">
      <w:r>
        <w:t xml:space="preserve">Key stakeholders additionally participate in consciousness </w:t>
      </w:r>
      <w:r w:rsidR="0014399D">
        <w:t>organisation</w:t>
      </w:r>
      <w:r>
        <w:t>s and interviews to offer extra thorough knowledge and remarks on the effect of the challenge. These strategies provide complicated viewpoints that surveys and feedback paperwork may not be capable of spotlighting, consequently helping to pinpoint regions needing development and particular fulfilment stories</w:t>
      </w:r>
      <w:r w:rsidR="00A00C32">
        <w:t xml:space="preserve"> (Thompson, 2018). </w:t>
      </w:r>
    </w:p>
    <w:p w14:paraId="2623C6CF" w14:textId="1A6B8CCC" w:rsidR="00BC13EA" w:rsidRPr="009F1FDB" w:rsidRDefault="00000000" w:rsidP="009F1FDB">
      <w:r>
        <w:t>The outcome of the assessment is shared via a couple of retailers to guarantee openness and interaction with all pertinent events. Prepared to provide a complete image of the successes, problems, and standard impact of the task are annual reports. This research offers a whole picture of the effects of the task along with qualitative insights from comments paperwork and polls in addition to quantitative data.</w:t>
      </w:r>
      <w:r w:rsidR="009F1FDB">
        <w:t xml:space="preserve"> </w:t>
      </w:r>
      <w:r>
        <w:t xml:space="preserve">Additionally produced are effect notes emphasizing essential achievements and instructions observed. Usually brief and concentrated on significant successes, this feedback </w:t>
      </w:r>
      <w:r w:rsidR="00E82EEB">
        <w:t>supplies</w:t>
      </w:r>
      <w:r>
        <w:t xml:space="preserve"> stakeholders with a clean review of the effect of the mission.</w:t>
      </w:r>
      <w:r w:rsidR="00096B9F">
        <w:t xml:space="preserve"> </w:t>
      </w:r>
      <w:r>
        <w:lastRenderedPageBreak/>
        <w:t>Case research is created to spotlight unique fulfilment stories and the particular methods in which the initiative has improved the existence of the members. This case research especially helps to reveal the observable outcomes and personal improvement younger task members undergo.</w:t>
      </w:r>
    </w:p>
    <w:p w14:paraId="4234E844" w14:textId="28F129E6" w:rsidR="00736A60" w:rsidRDefault="00000000" w:rsidP="00736A60">
      <w:r>
        <w:t>The Prince's Trust distributes the evaluation findings and impact substances through the use of several venues and techniques. Annual reviews, effect statements, and case studies are distributed extensively through digital channels which include the Trust's website and social media retailers. The website provides without problems to be had printable reviews and highlights essential results in an understandable manner</w:t>
      </w:r>
      <w:r w:rsidR="00677250">
        <w:t xml:space="preserve"> (Gilchrist and Taylor, 2016). </w:t>
      </w:r>
      <w:r w:rsidR="009F1FDB">
        <w:t xml:space="preserve"> </w:t>
      </w:r>
      <w:r>
        <w:t>Sent t</w:t>
      </w:r>
      <w:r w:rsidR="00B05320">
        <w:t>o</w:t>
      </w:r>
      <w:r>
        <w:t xml:space="preserve"> donors, companions, and stakeholders, e-mail newsletters connect with extra comprehensive reports and impact statements and offer summaries of the evaluation findings. These newsletters ensure that individuals are updated on the trends of the Trust's projects.</w:t>
      </w:r>
      <w:r w:rsidR="00096B9F">
        <w:t xml:space="preserve"> </w:t>
      </w:r>
      <w:r>
        <w:t>Evaluation outcomes also are presented and the impact is discussed with vital companions and supporters using in-individual occasions which include annual stakeholder conferences and network boards. These gatherings offer chances for direct participation and remarks, therefore establishing bonds and inspiring teamwork.</w:t>
      </w:r>
      <w:r w:rsidR="00096B9F">
        <w:t xml:space="preserve"> </w:t>
      </w:r>
      <w:r>
        <w:t>The Prince's Trust ensures that assessment results are properly shared with all pertinent stakeholders by using a mix of various communication strategies and platforms, consequently encouraging openness and ongoing improvement.</w:t>
      </w:r>
    </w:p>
    <w:p w14:paraId="02BF61D5" w14:textId="77777777" w:rsidR="00006370" w:rsidRDefault="00000000" w:rsidP="009A7037">
      <w:pPr>
        <w:pStyle w:val="Heading1"/>
      </w:pPr>
      <w:bookmarkStart w:id="6" w:name="_Toc173333235"/>
      <w:r w:rsidRPr="00006370">
        <w:t>Links to Personal Skills</w:t>
      </w:r>
      <w:bookmarkEnd w:id="6"/>
      <w:r w:rsidRPr="00006370">
        <w:t xml:space="preserve"> </w:t>
      </w:r>
    </w:p>
    <w:p w14:paraId="6ACE5CB5" w14:textId="77777777" w:rsidR="00826E1F" w:rsidRDefault="00000000" w:rsidP="00826E1F">
      <w:r>
        <w:t>Managing and guiding The Prince's Trust community involvement initiative will rely plenty on my talents, as proven in my CPD record, which assures its achievement. Project management is a fundamental ability encompassing planning, going for walks, and supervising the improvement of the assignment. Previous positions where I oversaw challenge schedules and deliverables and guided go-purposeful teams have bolstered my capabilities in project management. This ability will assist me in properly allocating resources, arranging task operations, and guaranteeing that scheduled milestones are reached.</w:t>
      </w:r>
    </w:p>
    <w:p w14:paraId="09C770AE" w14:textId="77777777" w:rsidR="006170A1" w:rsidRDefault="00000000" w:rsidP="006170A1">
      <w:r>
        <w:t xml:space="preserve">Engagement of stakeholders is but any other essential potential. My CPD notebook included several tactics for concerning stakeholders, such as relationship-building physical activities and conversation techniques. Strong relationships with project stakeholders along with network leaders, nearby corporations, and young participants could be identified, concerned in, and maintained thanks to the super component of this enjoy. Effective engagement of stakeholders will ensure their active help and involvement in the mission (Madani, 2019). </w:t>
      </w:r>
    </w:p>
    <w:p w14:paraId="379FB050" w14:textId="314916A0" w:rsidR="00826E1F" w:rsidRDefault="00E82EEB" w:rsidP="00826E1F">
      <w:r>
        <w:lastRenderedPageBreak/>
        <w:t>Furthermore,</w:t>
      </w:r>
      <w:r w:rsidR="00000000">
        <w:t xml:space="preserve"> critical for comparing the effect of the mission will be information </w:t>
      </w:r>
      <w:r>
        <w:t>on</w:t>
      </w:r>
      <w:r w:rsidR="00000000">
        <w:t xml:space="preserve"> statistics evaluation and evaluation techniques. My revel in undertaking final results evaluation and obtaining sensible insights might assist me in nicely understanding feedback and assessment effects. This will ensure an accurate dimension of the fulfilment of the venture and evidence-based total change of the path of motion</w:t>
      </w:r>
      <w:r w:rsidR="006E58F3">
        <w:t xml:space="preserve"> (Alfredsson and Eide, 2023). </w:t>
      </w:r>
    </w:p>
    <w:p w14:paraId="043EDE1C" w14:textId="77777777" w:rsidR="00826E1F" w:rsidRDefault="00000000" w:rsidP="00826E1F">
      <w:r>
        <w:t>My CPD sports have helped me to acquire competencies that closely match the wishes of walking a network involvement venture. For instance, my strategic making plans route has stepped forward my ability to virtually country dreams, create thorough techniques, and project feasible difficulties. Design and execution of The Prince's Trust undertaking will without delay benefit from this know-how, consequently strengthening the premise for achievement.</w:t>
      </w:r>
    </w:p>
    <w:p w14:paraId="7ADB9BAE" w14:textId="77777777" w:rsidR="00826E1F" w:rsidRDefault="00000000" w:rsidP="00826E1F">
      <w:r>
        <w:t>Moreover, my advanced verbal exchange abilities from many seminars and palms-on activities will be crucial for truly stating task targets, interacting with different agencies, and nicely presenting consequences. Ensuring that the ideas and dreams of the undertaking are exactly expressed and understood by using all the stakeholders relies upon on correct communication.</w:t>
      </w:r>
    </w:p>
    <w:p w14:paraId="000544D1" w14:textId="77777777" w:rsidR="00826E1F" w:rsidRDefault="00000000" w:rsidP="00826E1F">
      <w:r>
        <w:t>Advanced strategies for undertaking scheduling and risk control caught my attention in a current challenge control convention. Practical physical activities in constructing Gantt charts and hazard matrices had been a part of this path; I used these talents in a later mission to simplify tactics and decrease threats. These processes will assist in manipulating the schedule and minimi</w:t>
      </w:r>
      <w:r w:rsidR="0050718B">
        <w:t>s</w:t>
      </w:r>
      <w:r>
        <w:t>e feasible issues in The Prince's Trust initiative</w:t>
      </w:r>
      <w:r w:rsidR="00714360">
        <w:t xml:space="preserve"> (Tesfaye, 2017). </w:t>
      </w:r>
    </w:p>
    <w:p w14:paraId="652DB13B" w14:textId="2DDF82F3" w:rsidR="00826E1F" w:rsidRDefault="00000000" w:rsidP="00826E1F">
      <w:r>
        <w:t xml:space="preserve">I took a component in a stakeholder engagement training emphasizing developing hit alliances and communication plans. This application helped me to better deal with stakeholder problems and sell cooperation using case studies and position-playing sporting activities. These abilities will be used to involve members in The Prince's Trust undertaking and community leaders thereby ensuring their active assistance. I completed a data evaluation route that gave me state-of-the-art information on qualitative and quantitative data interpretation. </w:t>
      </w:r>
    </w:p>
    <w:p w14:paraId="24F52431" w14:textId="77777777" w:rsidR="00826E1F" w:rsidRDefault="00826E1F" w:rsidP="00826E1F"/>
    <w:p w14:paraId="4804DCF8" w14:textId="77777777" w:rsidR="009F1FDB" w:rsidRDefault="009F1FDB">
      <w:pPr>
        <w:spacing w:line="259" w:lineRule="auto"/>
        <w:jc w:val="left"/>
        <w:rPr>
          <w:rFonts w:eastAsiaTheme="majorEastAsia" w:cstheme="majorBidi"/>
          <w:b/>
          <w:color w:val="000000" w:themeColor="text1"/>
          <w:sz w:val="32"/>
          <w:szCs w:val="32"/>
        </w:rPr>
      </w:pPr>
      <w:r>
        <w:br w:type="page"/>
      </w:r>
    </w:p>
    <w:p w14:paraId="6B7A2186" w14:textId="46E13040" w:rsidR="003534C3" w:rsidRPr="003534C3" w:rsidRDefault="00000000" w:rsidP="00BC13EA">
      <w:pPr>
        <w:pStyle w:val="Heading1"/>
      </w:pPr>
      <w:bookmarkStart w:id="7" w:name="_Toc173333236"/>
      <w:r w:rsidRPr="003534C3">
        <w:lastRenderedPageBreak/>
        <w:t>Conclusion</w:t>
      </w:r>
      <w:bookmarkEnd w:id="7"/>
    </w:p>
    <w:p w14:paraId="4CB7CDEC" w14:textId="77777777" w:rsidR="009F1FDB" w:rsidRDefault="00000000" w:rsidP="009F1FDB">
      <w:r>
        <w:t>In conclusion</w:t>
      </w:r>
      <w:r w:rsidR="003534C3" w:rsidRPr="003534C3">
        <w:t>, stressing diversification, capability, and support, it is possible to summari</w:t>
      </w:r>
      <w:r w:rsidR="00C3197A">
        <w:t>s</w:t>
      </w:r>
      <w:r w:rsidR="003534C3" w:rsidRPr="003534C3">
        <w:t>e the strategy of the given paper and outline the key concepts for running the community involvement project with The Prince’s Trust. We ensure that the project not only meets its objectives but also has a significant impact: it contains properly defined planning activities, complies with relevant criteria, and uses the proper assessment instruments. The positive results should be even higher in the framework of implementing the given practical recommendations and personal strengths. Thus, through this process of systematic review, it is possible to cement organisational commitment towards positive change, as well as community welfare, which ideally aligns with the core values of The Prince’s Trust.</w:t>
      </w:r>
      <w:r w:rsidRPr="00D550C4">
        <w:t xml:space="preserve"> </w:t>
      </w:r>
      <w:r w:rsidR="009F1FDB">
        <w:t xml:space="preserve"> </w:t>
      </w:r>
      <w:r w:rsidR="009F1FDB">
        <w:t>This consists of studying statistical software utilization and generating thorough reviews. The Prince's Trust initiative will hire the obtained talents to examine feedback and survey facts, therefore permitting accurate impact evaluation and informed selection-making.</w:t>
      </w:r>
    </w:p>
    <w:p w14:paraId="4764F496" w14:textId="4263AF60" w:rsidR="00D550C4" w:rsidRDefault="00D550C4" w:rsidP="001B7B7E"/>
    <w:p w14:paraId="0707EF58" w14:textId="77777777" w:rsidR="00175B15" w:rsidRDefault="00000000">
      <w:pPr>
        <w:spacing w:line="259" w:lineRule="auto"/>
        <w:jc w:val="left"/>
        <w:rPr>
          <w:b/>
          <w:bCs/>
        </w:rPr>
      </w:pPr>
      <w:r>
        <w:rPr>
          <w:b/>
          <w:bCs/>
        </w:rPr>
        <w:br w:type="page"/>
      </w:r>
    </w:p>
    <w:p w14:paraId="5675B612" w14:textId="77777777" w:rsidR="006256DE" w:rsidRDefault="00000000" w:rsidP="00BC13EA">
      <w:pPr>
        <w:pStyle w:val="Heading1"/>
      </w:pPr>
      <w:bookmarkStart w:id="8" w:name="_Toc173333237"/>
      <w:r w:rsidRPr="006256DE">
        <w:lastRenderedPageBreak/>
        <w:t>References</w:t>
      </w:r>
      <w:bookmarkEnd w:id="8"/>
      <w:r w:rsidRPr="006256DE">
        <w:t xml:space="preserve"> </w:t>
      </w:r>
    </w:p>
    <w:p w14:paraId="00F1DE42" w14:textId="77777777" w:rsidR="00E82EEB" w:rsidRPr="00A30BA7" w:rsidRDefault="00E82EEB" w:rsidP="00E82EEB">
      <w:r w:rsidRPr="00036C0A">
        <w:t xml:space="preserve">Adams, R., </w:t>
      </w:r>
      <w:r>
        <w:t>(</w:t>
      </w:r>
      <w:r w:rsidRPr="00036C0A">
        <w:t>2017</w:t>
      </w:r>
      <w:r>
        <w:t>)</w:t>
      </w:r>
      <w:r w:rsidRPr="00036C0A">
        <w:t>. </w:t>
      </w:r>
      <w:r w:rsidRPr="00E82EEB">
        <w:rPr>
          <w:i/>
          <w:iCs/>
        </w:rPr>
        <w:t>Empowerment, participation and social work</w:t>
      </w:r>
      <w:r w:rsidRPr="00036C0A">
        <w:t>. Bloomsbury Publishing.</w:t>
      </w:r>
    </w:p>
    <w:p w14:paraId="59E84D69" w14:textId="77777777" w:rsidR="00E82EEB" w:rsidRDefault="00E82EEB" w:rsidP="00E82EEB">
      <w:r w:rsidRPr="00957738">
        <w:t xml:space="preserve">Alfredsson, G. and Eide, A. eds., </w:t>
      </w:r>
      <w:r>
        <w:t>(</w:t>
      </w:r>
      <w:r w:rsidRPr="00957738">
        <w:t>2023</w:t>
      </w:r>
      <w:r>
        <w:t>)</w:t>
      </w:r>
      <w:r w:rsidRPr="00957738">
        <w:t>. </w:t>
      </w:r>
      <w:r w:rsidRPr="00E82EEB">
        <w:rPr>
          <w:i/>
          <w:iCs/>
        </w:rPr>
        <w:t>The Universal Declaration of Human Rights: a common standard of achievement</w:t>
      </w:r>
      <w:r w:rsidRPr="00957738">
        <w:t>. Martinus Nijhoff Publishers.</w:t>
      </w:r>
    </w:p>
    <w:p w14:paraId="3FEEA144" w14:textId="77777777" w:rsidR="00E82EEB" w:rsidRPr="00E82EEB" w:rsidRDefault="00E82EEB" w:rsidP="00E82EEB">
      <w:pPr>
        <w:rPr>
          <w:b/>
          <w:bCs/>
        </w:rPr>
      </w:pPr>
      <w:r w:rsidRPr="00F33675">
        <w:t xml:space="preserve">Ani, F., Ramlan, N., Suhaimy, K.A.M., Jaes, L., Damin, Z.A., Halim, H., Bakar, S.K.S.A. and Ahmad, S., </w:t>
      </w:r>
      <w:r>
        <w:t>(</w:t>
      </w:r>
      <w:r w:rsidRPr="00F33675">
        <w:t>2018</w:t>
      </w:r>
      <w:r>
        <w:t>)</w:t>
      </w:r>
      <w:r w:rsidRPr="00F33675">
        <w:t>, January. Applying empowerment approach in community development. In </w:t>
      </w:r>
      <w:r w:rsidRPr="00E82EEB">
        <w:rPr>
          <w:i/>
          <w:iCs/>
        </w:rPr>
        <w:t>Proceedings of The International Conference on Social Sciences (ICSS)</w:t>
      </w:r>
      <w:r w:rsidRPr="00F33675">
        <w:t> (Vol. 1, No. 1).</w:t>
      </w:r>
    </w:p>
    <w:p w14:paraId="40AD9721" w14:textId="77777777" w:rsidR="00E82EEB" w:rsidRDefault="00E82EEB" w:rsidP="00E82EEB">
      <w:r w:rsidRPr="001F7875">
        <w:t xml:space="preserve">Bandelj, N., </w:t>
      </w:r>
      <w:r>
        <w:t>(</w:t>
      </w:r>
      <w:r w:rsidRPr="001F7875">
        <w:t>2016</w:t>
      </w:r>
      <w:r>
        <w:t>)</w:t>
      </w:r>
      <w:r w:rsidRPr="001F7875">
        <w:t>. On postsocialist capitalism. Theory and Society, 45, pp.89-106.</w:t>
      </w:r>
    </w:p>
    <w:p w14:paraId="5E8B9644" w14:textId="77777777" w:rsidR="00E82EEB" w:rsidRDefault="00E82EEB" w:rsidP="00E82EEB">
      <w:r w:rsidRPr="001F71AD">
        <w:t xml:space="preserve">Fitzgerald, H.E., Van Egeren, L.A., Bargerstock, B.A. and Zientek, R., </w:t>
      </w:r>
      <w:r>
        <w:t>(</w:t>
      </w:r>
      <w:r w:rsidRPr="001F71AD">
        <w:t>2017</w:t>
      </w:r>
      <w:r>
        <w:t>)</w:t>
      </w:r>
      <w:r w:rsidRPr="001F71AD">
        <w:t>. Community engagement scholarship, research universities, and the scholarship of integration. </w:t>
      </w:r>
      <w:r w:rsidRPr="00E82EEB">
        <w:rPr>
          <w:i/>
          <w:iCs/>
        </w:rPr>
        <w:t>Learning through community engagement: Vision and practice in higher education</w:t>
      </w:r>
      <w:r w:rsidRPr="001F71AD">
        <w:t>, pp.31-51.</w:t>
      </w:r>
    </w:p>
    <w:p w14:paraId="2C10A145" w14:textId="77777777" w:rsidR="00E82EEB" w:rsidRPr="001F71AD" w:rsidRDefault="00E82EEB" w:rsidP="00E82EEB">
      <w:r w:rsidRPr="009A7005">
        <w:t xml:space="preserve">Gilchrist, A. and Taylor, M., </w:t>
      </w:r>
      <w:r>
        <w:t>(</w:t>
      </w:r>
      <w:r w:rsidRPr="009A7005">
        <w:t>2016</w:t>
      </w:r>
      <w:r>
        <w:t>)</w:t>
      </w:r>
      <w:r w:rsidRPr="009A7005">
        <w:t>. </w:t>
      </w:r>
      <w:r w:rsidRPr="00E82EEB">
        <w:rPr>
          <w:i/>
          <w:iCs/>
        </w:rPr>
        <w:t>The short guide to community development</w:t>
      </w:r>
      <w:r w:rsidRPr="009A7005">
        <w:t>. Policy Press.</w:t>
      </w:r>
    </w:p>
    <w:p w14:paraId="1507A37E" w14:textId="77777777" w:rsidR="00E82EEB" w:rsidRPr="00A30BA7" w:rsidRDefault="00E82EEB" w:rsidP="00E82EEB">
      <w:r w:rsidRPr="00BE5471">
        <w:t xml:space="preserve">Gilchrist, A., </w:t>
      </w:r>
      <w:r>
        <w:t>(</w:t>
      </w:r>
      <w:r w:rsidRPr="00BE5471">
        <w:t>2019</w:t>
      </w:r>
      <w:r>
        <w:t>)</w:t>
      </w:r>
      <w:r w:rsidRPr="00BE5471">
        <w:t>. The well-connected community: A networking approach to community development. Policy Press.</w:t>
      </w:r>
    </w:p>
    <w:p w14:paraId="6117E0ED" w14:textId="77777777" w:rsidR="00E82EEB" w:rsidRPr="00A30BA7" w:rsidRDefault="00E82EEB" w:rsidP="00E82EEB">
      <w:r w:rsidRPr="001921D4">
        <w:t xml:space="preserve">Lee, T.H. and Jan, F.H., </w:t>
      </w:r>
      <w:r>
        <w:t>(</w:t>
      </w:r>
      <w:r w:rsidRPr="001921D4">
        <w:t>2019</w:t>
      </w:r>
      <w:r>
        <w:t>)</w:t>
      </w:r>
      <w:r w:rsidRPr="001921D4">
        <w:t>. Can community-based tourism contribute to sustainable development? Evidence from residents' perceptions of sustainability. Tourism Management, 70, pp.368-380.</w:t>
      </w:r>
    </w:p>
    <w:p w14:paraId="6C1CE13A" w14:textId="77777777" w:rsidR="00E82EEB" w:rsidRDefault="00E82EEB" w:rsidP="00E82EEB">
      <w:r w:rsidRPr="006F2640">
        <w:t xml:space="preserve">Madani, R.A., </w:t>
      </w:r>
      <w:r>
        <w:t>(</w:t>
      </w:r>
      <w:r w:rsidRPr="006F2640">
        <w:t>2019</w:t>
      </w:r>
      <w:r>
        <w:t>)</w:t>
      </w:r>
      <w:r w:rsidRPr="006F2640">
        <w:t>. Analysis of educational quality, a goal of education for all policy. Higher Education Studies, 9(1), pp.100-109.</w:t>
      </w:r>
    </w:p>
    <w:p w14:paraId="2AF954F3" w14:textId="77777777" w:rsidR="00E82EEB" w:rsidRDefault="00E82EEB" w:rsidP="00E82EEB">
      <w:r w:rsidRPr="00EF43B9">
        <w:t xml:space="preserve">Novelli, M. and Sayed, Y., </w:t>
      </w:r>
      <w:r>
        <w:t>(</w:t>
      </w:r>
      <w:r w:rsidRPr="00EF43B9">
        <w:t>2016</w:t>
      </w:r>
      <w:r>
        <w:t>)</w:t>
      </w:r>
      <w:r w:rsidRPr="00EF43B9">
        <w:t>. Teachers as agents of sustainable peace, social cohesion and development: Theory, practice &amp; evidence. </w:t>
      </w:r>
      <w:r w:rsidRPr="00E82EEB">
        <w:rPr>
          <w:i/>
          <w:iCs/>
        </w:rPr>
        <w:t>Education as change</w:t>
      </w:r>
      <w:r w:rsidRPr="00EF43B9">
        <w:t>, </w:t>
      </w:r>
      <w:r w:rsidRPr="00E82EEB">
        <w:rPr>
          <w:i/>
          <w:iCs/>
        </w:rPr>
        <w:t>20</w:t>
      </w:r>
      <w:r w:rsidRPr="00EF43B9">
        <w:t>(3), pp.15-37.</w:t>
      </w:r>
    </w:p>
    <w:p w14:paraId="3A3CB0E4" w14:textId="77777777" w:rsidR="00E82EEB" w:rsidRDefault="00E82EEB" w:rsidP="00E82EEB">
      <w:r w:rsidRPr="005F6207">
        <w:t xml:space="preserve">Saayman, M. and Giampiccoli, A., </w:t>
      </w:r>
      <w:r>
        <w:t>(</w:t>
      </w:r>
      <w:r w:rsidRPr="005F6207">
        <w:t>2016</w:t>
      </w:r>
      <w:r>
        <w:t>)</w:t>
      </w:r>
      <w:r w:rsidRPr="005F6207">
        <w:t>. Community-based and pro-poor tourism: Initial assessment of their relation to community development. European Journal of Tourism Research, 12, pp.145-190.</w:t>
      </w:r>
    </w:p>
    <w:p w14:paraId="455AE0A9" w14:textId="77777777" w:rsidR="00E82EEB" w:rsidRDefault="00E82EEB" w:rsidP="00E82EEB">
      <w:r w:rsidRPr="00B87C12">
        <w:t xml:space="preserve">Schiefer, D. and Van der Noll, J., </w:t>
      </w:r>
      <w:r>
        <w:t>(</w:t>
      </w:r>
      <w:r w:rsidRPr="00B87C12">
        <w:t>2017</w:t>
      </w:r>
      <w:r>
        <w:t>)</w:t>
      </w:r>
      <w:r w:rsidRPr="00B87C12">
        <w:t>. The essentials of social</w:t>
      </w:r>
      <w:r w:rsidRPr="00E82EEB">
        <w:rPr>
          <w:b/>
          <w:bCs/>
        </w:rPr>
        <w:t xml:space="preserve"> </w:t>
      </w:r>
      <w:r w:rsidRPr="00B87C12">
        <w:t>cohesion: A literature review. Social Indicators Research, 132, pp.579-603.</w:t>
      </w:r>
    </w:p>
    <w:p w14:paraId="4A699853" w14:textId="77777777" w:rsidR="00E82EEB" w:rsidRDefault="00E82EEB" w:rsidP="00E82EEB">
      <w:r w:rsidRPr="00974631">
        <w:t xml:space="preserve">Sorokin, P., </w:t>
      </w:r>
      <w:r>
        <w:t>(</w:t>
      </w:r>
      <w:r w:rsidRPr="00974631">
        <w:t>2017</w:t>
      </w:r>
      <w:r>
        <w:t>)</w:t>
      </w:r>
      <w:r w:rsidRPr="00974631">
        <w:t>. </w:t>
      </w:r>
      <w:r w:rsidRPr="00E82EEB">
        <w:rPr>
          <w:i/>
          <w:iCs/>
        </w:rPr>
        <w:t>Social and cultural dynamics: A study of change in major systems of art, truth, ethics, law and social relationships</w:t>
      </w:r>
      <w:r w:rsidRPr="00974631">
        <w:t>. Routledge.</w:t>
      </w:r>
    </w:p>
    <w:p w14:paraId="50057554" w14:textId="77777777" w:rsidR="00E82EEB" w:rsidRDefault="00E82EEB" w:rsidP="00E82EEB">
      <w:r w:rsidRPr="00E65C7F">
        <w:lastRenderedPageBreak/>
        <w:t xml:space="preserve">Tesfaye, S., </w:t>
      </w:r>
      <w:r>
        <w:t>(</w:t>
      </w:r>
      <w:r w:rsidRPr="00E65C7F">
        <w:t>2017</w:t>
      </w:r>
      <w:r>
        <w:t>)</w:t>
      </w:r>
      <w:r w:rsidRPr="00E65C7F">
        <w:t>. Challenges and opportunities for community-based ecotourism development in Ethiopia. African Journal of Hospitality, Tourism and Leisure, 6(3), pp.1-10.</w:t>
      </w:r>
    </w:p>
    <w:p w14:paraId="7C72F4CC" w14:textId="77777777" w:rsidR="00E82EEB" w:rsidRDefault="00E82EEB" w:rsidP="00E82EEB">
      <w:r w:rsidRPr="00381573">
        <w:t xml:space="preserve">Thompson, M., </w:t>
      </w:r>
      <w:r>
        <w:t>(</w:t>
      </w:r>
      <w:r w:rsidRPr="00381573">
        <w:t>2018</w:t>
      </w:r>
      <w:r>
        <w:t>)</w:t>
      </w:r>
      <w:r w:rsidRPr="00381573">
        <w:t>. </w:t>
      </w:r>
      <w:r w:rsidRPr="00E82EEB">
        <w:rPr>
          <w:i/>
          <w:iCs/>
        </w:rPr>
        <w:t>Cultural theory</w:t>
      </w:r>
      <w:r w:rsidRPr="00381573">
        <w:t>. Routledge.</w:t>
      </w:r>
    </w:p>
    <w:p w14:paraId="61263BC8" w14:textId="77777777" w:rsidR="00E82EEB" w:rsidRDefault="00E82EEB" w:rsidP="00E82EEB">
      <w:r w:rsidRPr="009B4438">
        <w:t xml:space="preserve">Wallace, C., </w:t>
      </w:r>
      <w:r>
        <w:t>(</w:t>
      </w:r>
      <w:r w:rsidRPr="009B4438">
        <w:t>2018</w:t>
      </w:r>
      <w:r>
        <w:t>)</w:t>
      </w:r>
      <w:r w:rsidRPr="009B4438">
        <w:t>. Youth, citizenship and empowerment. </w:t>
      </w:r>
      <w:r w:rsidRPr="00E82EEB">
        <w:rPr>
          <w:i/>
          <w:iCs/>
        </w:rPr>
        <w:t>Youth, citizenship and empowerment</w:t>
      </w:r>
      <w:r w:rsidRPr="009B4438">
        <w:t>, pp.11-31.</w:t>
      </w:r>
    </w:p>
    <w:sectPr w:rsidR="00E82EE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6FAAA7" w14:textId="77777777" w:rsidR="006D7833" w:rsidRDefault="006D7833" w:rsidP="00EB12EB">
      <w:pPr>
        <w:spacing w:after="0" w:line="240" w:lineRule="auto"/>
      </w:pPr>
      <w:r>
        <w:separator/>
      </w:r>
    </w:p>
  </w:endnote>
  <w:endnote w:type="continuationSeparator" w:id="0">
    <w:p w14:paraId="3C936F6F" w14:textId="77777777" w:rsidR="006D7833" w:rsidRDefault="006D7833" w:rsidP="00EB1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3449714"/>
      <w:docPartObj>
        <w:docPartGallery w:val="Page Numbers (Bottom of Page)"/>
        <w:docPartUnique/>
      </w:docPartObj>
    </w:sdtPr>
    <w:sdtEndPr>
      <w:rPr>
        <w:noProof/>
      </w:rPr>
    </w:sdtEndPr>
    <w:sdtContent>
      <w:p w14:paraId="7611611C" w14:textId="5724D172" w:rsidR="00C87DA7" w:rsidRDefault="00C87D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F2739B" w14:textId="77777777" w:rsidR="00C87DA7" w:rsidRDefault="00C87D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25F827" w14:textId="77777777" w:rsidR="006D7833" w:rsidRDefault="006D7833" w:rsidP="00EB12EB">
      <w:pPr>
        <w:spacing w:after="0" w:line="240" w:lineRule="auto"/>
      </w:pPr>
      <w:r>
        <w:separator/>
      </w:r>
    </w:p>
  </w:footnote>
  <w:footnote w:type="continuationSeparator" w:id="0">
    <w:p w14:paraId="5C96B529" w14:textId="77777777" w:rsidR="006D7833" w:rsidRDefault="006D7833" w:rsidP="00EB12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462B8"/>
    <w:multiLevelType w:val="multilevel"/>
    <w:tmpl w:val="CD6C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A72AB"/>
    <w:multiLevelType w:val="multilevel"/>
    <w:tmpl w:val="A83A2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57984"/>
    <w:multiLevelType w:val="multilevel"/>
    <w:tmpl w:val="3108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45CDF"/>
    <w:multiLevelType w:val="multilevel"/>
    <w:tmpl w:val="4296C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2751D3"/>
    <w:multiLevelType w:val="multilevel"/>
    <w:tmpl w:val="8DA8F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F4107D"/>
    <w:multiLevelType w:val="hybridMultilevel"/>
    <w:tmpl w:val="9F54DF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6B81887"/>
    <w:multiLevelType w:val="multilevel"/>
    <w:tmpl w:val="5C244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731185"/>
    <w:multiLevelType w:val="hybridMultilevel"/>
    <w:tmpl w:val="B4581BE0"/>
    <w:lvl w:ilvl="0" w:tplc="B73887EC">
      <w:start w:val="1"/>
      <w:numFmt w:val="decimal"/>
      <w:lvlText w:val="%1."/>
      <w:lvlJc w:val="left"/>
      <w:pPr>
        <w:ind w:left="720" w:hanging="360"/>
      </w:pPr>
    </w:lvl>
    <w:lvl w:ilvl="1" w:tplc="F32C5E72" w:tentative="1">
      <w:start w:val="1"/>
      <w:numFmt w:val="lowerLetter"/>
      <w:lvlText w:val="%2."/>
      <w:lvlJc w:val="left"/>
      <w:pPr>
        <w:ind w:left="1440" w:hanging="360"/>
      </w:pPr>
    </w:lvl>
    <w:lvl w:ilvl="2" w:tplc="A89AB414" w:tentative="1">
      <w:start w:val="1"/>
      <w:numFmt w:val="lowerRoman"/>
      <w:lvlText w:val="%3."/>
      <w:lvlJc w:val="right"/>
      <w:pPr>
        <w:ind w:left="2160" w:hanging="180"/>
      </w:pPr>
    </w:lvl>
    <w:lvl w:ilvl="3" w:tplc="DF86B6E8" w:tentative="1">
      <w:start w:val="1"/>
      <w:numFmt w:val="decimal"/>
      <w:lvlText w:val="%4."/>
      <w:lvlJc w:val="left"/>
      <w:pPr>
        <w:ind w:left="2880" w:hanging="360"/>
      </w:pPr>
    </w:lvl>
    <w:lvl w:ilvl="4" w:tplc="69B4878C" w:tentative="1">
      <w:start w:val="1"/>
      <w:numFmt w:val="lowerLetter"/>
      <w:lvlText w:val="%5."/>
      <w:lvlJc w:val="left"/>
      <w:pPr>
        <w:ind w:left="3600" w:hanging="360"/>
      </w:pPr>
    </w:lvl>
    <w:lvl w:ilvl="5" w:tplc="6862EF9A" w:tentative="1">
      <w:start w:val="1"/>
      <w:numFmt w:val="lowerRoman"/>
      <w:lvlText w:val="%6."/>
      <w:lvlJc w:val="right"/>
      <w:pPr>
        <w:ind w:left="4320" w:hanging="180"/>
      </w:pPr>
    </w:lvl>
    <w:lvl w:ilvl="6" w:tplc="AC942BB4" w:tentative="1">
      <w:start w:val="1"/>
      <w:numFmt w:val="decimal"/>
      <w:lvlText w:val="%7."/>
      <w:lvlJc w:val="left"/>
      <w:pPr>
        <w:ind w:left="5040" w:hanging="360"/>
      </w:pPr>
    </w:lvl>
    <w:lvl w:ilvl="7" w:tplc="EECCBCC0" w:tentative="1">
      <w:start w:val="1"/>
      <w:numFmt w:val="lowerLetter"/>
      <w:lvlText w:val="%8."/>
      <w:lvlJc w:val="left"/>
      <w:pPr>
        <w:ind w:left="5760" w:hanging="360"/>
      </w:pPr>
    </w:lvl>
    <w:lvl w:ilvl="8" w:tplc="B34CED6A" w:tentative="1">
      <w:start w:val="1"/>
      <w:numFmt w:val="lowerRoman"/>
      <w:lvlText w:val="%9."/>
      <w:lvlJc w:val="right"/>
      <w:pPr>
        <w:ind w:left="6480" w:hanging="180"/>
      </w:pPr>
    </w:lvl>
  </w:abstractNum>
  <w:abstractNum w:abstractNumId="8" w15:restartNumberingAfterBreak="0">
    <w:nsid w:val="37B13D29"/>
    <w:multiLevelType w:val="multilevel"/>
    <w:tmpl w:val="04847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565FBB"/>
    <w:multiLevelType w:val="multilevel"/>
    <w:tmpl w:val="C0B6A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482E3C"/>
    <w:multiLevelType w:val="hybridMultilevel"/>
    <w:tmpl w:val="DFB010B8"/>
    <w:lvl w:ilvl="0" w:tplc="D1600794">
      <w:start w:val="1"/>
      <w:numFmt w:val="decimal"/>
      <w:lvlText w:val="%1."/>
      <w:lvlJc w:val="left"/>
      <w:pPr>
        <w:ind w:left="720" w:hanging="360"/>
      </w:pPr>
    </w:lvl>
    <w:lvl w:ilvl="1" w:tplc="22EAEE16" w:tentative="1">
      <w:start w:val="1"/>
      <w:numFmt w:val="lowerLetter"/>
      <w:lvlText w:val="%2."/>
      <w:lvlJc w:val="left"/>
      <w:pPr>
        <w:ind w:left="1440" w:hanging="360"/>
      </w:pPr>
    </w:lvl>
    <w:lvl w:ilvl="2" w:tplc="52444BD8" w:tentative="1">
      <w:start w:val="1"/>
      <w:numFmt w:val="lowerRoman"/>
      <w:lvlText w:val="%3."/>
      <w:lvlJc w:val="right"/>
      <w:pPr>
        <w:ind w:left="2160" w:hanging="180"/>
      </w:pPr>
    </w:lvl>
    <w:lvl w:ilvl="3" w:tplc="2F089996" w:tentative="1">
      <w:start w:val="1"/>
      <w:numFmt w:val="decimal"/>
      <w:lvlText w:val="%4."/>
      <w:lvlJc w:val="left"/>
      <w:pPr>
        <w:ind w:left="2880" w:hanging="360"/>
      </w:pPr>
    </w:lvl>
    <w:lvl w:ilvl="4" w:tplc="8670E912" w:tentative="1">
      <w:start w:val="1"/>
      <w:numFmt w:val="lowerLetter"/>
      <w:lvlText w:val="%5."/>
      <w:lvlJc w:val="left"/>
      <w:pPr>
        <w:ind w:left="3600" w:hanging="360"/>
      </w:pPr>
    </w:lvl>
    <w:lvl w:ilvl="5" w:tplc="F6C8FD5A" w:tentative="1">
      <w:start w:val="1"/>
      <w:numFmt w:val="lowerRoman"/>
      <w:lvlText w:val="%6."/>
      <w:lvlJc w:val="right"/>
      <w:pPr>
        <w:ind w:left="4320" w:hanging="180"/>
      </w:pPr>
    </w:lvl>
    <w:lvl w:ilvl="6" w:tplc="FC7E3520" w:tentative="1">
      <w:start w:val="1"/>
      <w:numFmt w:val="decimal"/>
      <w:lvlText w:val="%7."/>
      <w:lvlJc w:val="left"/>
      <w:pPr>
        <w:ind w:left="5040" w:hanging="360"/>
      </w:pPr>
    </w:lvl>
    <w:lvl w:ilvl="7" w:tplc="788C24D4" w:tentative="1">
      <w:start w:val="1"/>
      <w:numFmt w:val="lowerLetter"/>
      <w:lvlText w:val="%8."/>
      <w:lvlJc w:val="left"/>
      <w:pPr>
        <w:ind w:left="5760" w:hanging="360"/>
      </w:pPr>
    </w:lvl>
    <w:lvl w:ilvl="8" w:tplc="1BBC7C32" w:tentative="1">
      <w:start w:val="1"/>
      <w:numFmt w:val="lowerRoman"/>
      <w:lvlText w:val="%9."/>
      <w:lvlJc w:val="right"/>
      <w:pPr>
        <w:ind w:left="6480" w:hanging="180"/>
      </w:pPr>
    </w:lvl>
  </w:abstractNum>
  <w:abstractNum w:abstractNumId="11" w15:restartNumberingAfterBreak="0">
    <w:nsid w:val="41F222C2"/>
    <w:multiLevelType w:val="multilevel"/>
    <w:tmpl w:val="4860E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FA38D4"/>
    <w:multiLevelType w:val="multilevel"/>
    <w:tmpl w:val="9984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3B7EB8"/>
    <w:multiLevelType w:val="multilevel"/>
    <w:tmpl w:val="749E6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177741"/>
    <w:multiLevelType w:val="multilevel"/>
    <w:tmpl w:val="9806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4F0103"/>
    <w:multiLevelType w:val="multilevel"/>
    <w:tmpl w:val="D7D2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5A004A"/>
    <w:multiLevelType w:val="multilevel"/>
    <w:tmpl w:val="8B76D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0F488E"/>
    <w:multiLevelType w:val="multilevel"/>
    <w:tmpl w:val="45262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BB1E30"/>
    <w:multiLevelType w:val="multilevel"/>
    <w:tmpl w:val="B540E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050D73"/>
    <w:multiLevelType w:val="multilevel"/>
    <w:tmpl w:val="47B2D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384183"/>
    <w:multiLevelType w:val="multilevel"/>
    <w:tmpl w:val="029C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816159"/>
    <w:multiLevelType w:val="hybridMultilevel"/>
    <w:tmpl w:val="AF8C0602"/>
    <w:lvl w:ilvl="0" w:tplc="34D401E2">
      <w:start w:val="1"/>
      <w:numFmt w:val="decimal"/>
      <w:lvlText w:val="%1."/>
      <w:lvlJc w:val="left"/>
      <w:pPr>
        <w:ind w:left="720" w:hanging="360"/>
      </w:pPr>
    </w:lvl>
    <w:lvl w:ilvl="1" w:tplc="7CBEF86C" w:tentative="1">
      <w:start w:val="1"/>
      <w:numFmt w:val="lowerLetter"/>
      <w:lvlText w:val="%2."/>
      <w:lvlJc w:val="left"/>
      <w:pPr>
        <w:ind w:left="1440" w:hanging="360"/>
      </w:pPr>
    </w:lvl>
    <w:lvl w:ilvl="2" w:tplc="D88874EA" w:tentative="1">
      <w:start w:val="1"/>
      <w:numFmt w:val="lowerRoman"/>
      <w:lvlText w:val="%3."/>
      <w:lvlJc w:val="right"/>
      <w:pPr>
        <w:ind w:left="2160" w:hanging="180"/>
      </w:pPr>
    </w:lvl>
    <w:lvl w:ilvl="3" w:tplc="9DFE9FDE" w:tentative="1">
      <w:start w:val="1"/>
      <w:numFmt w:val="decimal"/>
      <w:lvlText w:val="%4."/>
      <w:lvlJc w:val="left"/>
      <w:pPr>
        <w:ind w:left="2880" w:hanging="360"/>
      </w:pPr>
    </w:lvl>
    <w:lvl w:ilvl="4" w:tplc="826033F8" w:tentative="1">
      <w:start w:val="1"/>
      <w:numFmt w:val="lowerLetter"/>
      <w:lvlText w:val="%5."/>
      <w:lvlJc w:val="left"/>
      <w:pPr>
        <w:ind w:left="3600" w:hanging="360"/>
      </w:pPr>
    </w:lvl>
    <w:lvl w:ilvl="5" w:tplc="107A6788" w:tentative="1">
      <w:start w:val="1"/>
      <w:numFmt w:val="lowerRoman"/>
      <w:lvlText w:val="%6."/>
      <w:lvlJc w:val="right"/>
      <w:pPr>
        <w:ind w:left="4320" w:hanging="180"/>
      </w:pPr>
    </w:lvl>
    <w:lvl w:ilvl="6" w:tplc="46B01F48" w:tentative="1">
      <w:start w:val="1"/>
      <w:numFmt w:val="decimal"/>
      <w:lvlText w:val="%7."/>
      <w:lvlJc w:val="left"/>
      <w:pPr>
        <w:ind w:left="5040" w:hanging="360"/>
      </w:pPr>
    </w:lvl>
    <w:lvl w:ilvl="7" w:tplc="8F1EE06E" w:tentative="1">
      <w:start w:val="1"/>
      <w:numFmt w:val="lowerLetter"/>
      <w:lvlText w:val="%8."/>
      <w:lvlJc w:val="left"/>
      <w:pPr>
        <w:ind w:left="5760" w:hanging="360"/>
      </w:pPr>
    </w:lvl>
    <w:lvl w:ilvl="8" w:tplc="7FAC8B98" w:tentative="1">
      <w:start w:val="1"/>
      <w:numFmt w:val="lowerRoman"/>
      <w:lvlText w:val="%9."/>
      <w:lvlJc w:val="right"/>
      <w:pPr>
        <w:ind w:left="6480" w:hanging="180"/>
      </w:pPr>
    </w:lvl>
  </w:abstractNum>
  <w:abstractNum w:abstractNumId="22" w15:restartNumberingAfterBreak="0">
    <w:nsid w:val="6DAC38F7"/>
    <w:multiLevelType w:val="multilevel"/>
    <w:tmpl w:val="4C6AE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5A5F24"/>
    <w:multiLevelType w:val="multilevel"/>
    <w:tmpl w:val="8884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902062">
    <w:abstractNumId w:val="11"/>
  </w:num>
  <w:num w:numId="2" w16cid:durableId="847600718">
    <w:abstractNumId w:val="14"/>
  </w:num>
  <w:num w:numId="3" w16cid:durableId="570699924">
    <w:abstractNumId w:val="17"/>
  </w:num>
  <w:num w:numId="4" w16cid:durableId="956832709">
    <w:abstractNumId w:val="22"/>
  </w:num>
  <w:num w:numId="5" w16cid:durableId="600333226">
    <w:abstractNumId w:val="0"/>
  </w:num>
  <w:num w:numId="6" w16cid:durableId="1962345180">
    <w:abstractNumId w:val="12"/>
  </w:num>
  <w:num w:numId="7" w16cid:durableId="582225826">
    <w:abstractNumId w:val="18"/>
  </w:num>
  <w:num w:numId="8" w16cid:durableId="1416781365">
    <w:abstractNumId w:val="23"/>
  </w:num>
  <w:num w:numId="9" w16cid:durableId="453985534">
    <w:abstractNumId w:val="16"/>
  </w:num>
  <w:num w:numId="10" w16cid:durableId="1202595922">
    <w:abstractNumId w:val="2"/>
  </w:num>
  <w:num w:numId="11" w16cid:durableId="1786848912">
    <w:abstractNumId w:val="13"/>
  </w:num>
  <w:num w:numId="12" w16cid:durableId="648362301">
    <w:abstractNumId w:val="3"/>
  </w:num>
  <w:num w:numId="13" w16cid:durableId="387076487">
    <w:abstractNumId w:val="1"/>
  </w:num>
  <w:num w:numId="14" w16cid:durableId="541018175">
    <w:abstractNumId w:val="20"/>
  </w:num>
  <w:num w:numId="15" w16cid:durableId="1416627050">
    <w:abstractNumId w:val="19"/>
  </w:num>
  <w:num w:numId="16" w16cid:durableId="1796828781">
    <w:abstractNumId w:val="8"/>
  </w:num>
  <w:num w:numId="17" w16cid:durableId="1331057683">
    <w:abstractNumId w:val="4"/>
  </w:num>
  <w:num w:numId="18" w16cid:durableId="569385540">
    <w:abstractNumId w:val="6"/>
  </w:num>
  <w:num w:numId="19" w16cid:durableId="921375633">
    <w:abstractNumId w:val="9"/>
  </w:num>
  <w:num w:numId="20" w16cid:durableId="1864592610">
    <w:abstractNumId w:val="15"/>
  </w:num>
  <w:num w:numId="21" w16cid:durableId="283584298">
    <w:abstractNumId w:val="7"/>
  </w:num>
  <w:num w:numId="22" w16cid:durableId="2031176356">
    <w:abstractNumId w:val="10"/>
  </w:num>
  <w:num w:numId="23" w16cid:durableId="962686655">
    <w:abstractNumId w:val="21"/>
  </w:num>
  <w:num w:numId="24" w16cid:durableId="17120288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4D8"/>
    <w:rsid w:val="0000558F"/>
    <w:rsid w:val="00006370"/>
    <w:rsid w:val="00016E07"/>
    <w:rsid w:val="000363BD"/>
    <w:rsid w:val="00036550"/>
    <w:rsid w:val="00036C0A"/>
    <w:rsid w:val="00037EB6"/>
    <w:rsid w:val="000423FD"/>
    <w:rsid w:val="00055B26"/>
    <w:rsid w:val="00096B9F"/>
    <w:rsid w:val="000C094E"/>
    <w:rsid w:val="0014399D"/>
    <w:rsid w:val="00154544"/>
    <w:rsid w:val="00175B15"/>
    <w:rsid w:val="001921D4"/>
    <w:rsid w:val="001B53D1"/>
    <w:rsid w:val="001B7B7E"/>
    <w:rsid w:val="001F71AD"/>
    <w:rsid w:val="001F7875"/>
    <w:rsid w:val="0022600D"/>
    <w:rsid w:val="002367FA"/>
    <w:rsid w:val="0029248C"/>
    <w:rsid w:val="0029344F"/>
    <w:rsid w:val="002D15FA"/>
    <w:rsid w:val="002E1A9E"/>
    <w:rsid w:val="002E33A6"/>
    <w:rsid w:val="00332B7B"/>
    <w:rsid w:val="00344718"/>
    <w:rsid w:val="003534C3"/>
    <w:rsid w:val="00357860"/>
    <w:rsid w:val="00381573"/>
    <w:rsid w:val="00382EAD"/>
    <w:rsid w:val="003A75DA"/>
    <w:rsid w:val="003B0649"/>
    <w:rsid w:val="003C7FF2"/>
    <w:rsid w:val="003F00AE"/>
    <w:rsid w:val="00411F41"/>
    <w:rsid w:val="00413E59"/>
    <w:rsid w:val="00417EC6"/>
    <w:rsid w:val="00455569"/>
    <w:rsid w:val="00460B98"/>
    <w:rsid w:val="00463F3F"/>
    <w:rsid w:val="0048248B"/>
    <w:rsid w:val="004945D0"/>
    <w:rsid w:val="004C1081"/>
    <w:rsid w:val="0050410F"/>
    <w:rsid w:val="005053BA"/>
    <w:rsid w:val="0050718B"/>
    <w:rsid w:val="005248C4"/>
    <w:rsid w:val="00564888"/>
    <w:rsid w:val="0057623B"/>
    <w:rsid w:val="00586906"/>
    <w:rsid w:val="0059662D"/>
    <w:rsid w:val="005A1BBC"/>
    <w:rsid w:val="005A242D"/>
    <w:rsid w:val="005B0E23"/>
    <w:rsid w:val="005D15C8"/>
    <w:rsid w:val="005D1756"/>
    <w:rsid w:val="005F6207"/>
    <w:rsid w:val="006170A1"/>
    <w:rsid w:val="006256DE"/>
    <w:rsid w:val="0063422D"/>
    <w:rsid w:val="00677250"/>
    <w:rsid w:val="006D7833"/>
    <w:rsid w:val="006E169A"/>
    <w:rsid w:val="006E58F3"/>
    <w:rsid w:val="006F2640"/>
    <w:rsid w:val="00700031"/>
    <w:rsid w:val="00714360"/>
    <w:rsid w:val="0073067A"/>
    <w:rsid w:val="00736A60"/>
    <w:rsid w:val="00760E6C"/>
    <w:rsid w:val="007643E8"/>
    <w:rsid w:val="007E6CA7"/>
    <w:rsid w:val="007F39AE"/>
    <w:rsid w:val="00826E1F"/>
    <w:rsid w:val="008312EB"/>
    <w:rsid w:val="008325A8"/>
    <w:rsid w:val="00845B74"/>
    <w:rsid w:val="00846B26"/>
    <w:rsid w:val="00884448"/>
    <w:rsid w:val="00895BDB"/>
    <w:rsid w:val="00896639"/>
    <w:rsid w:val="008F232C"/>
    <w:rsid w:val="00913650"/>
    <w:rsid w:val="00915A18"/>
    <w:rsid w:val="00917787"/>
    <w:rsid w:val="0094058F"/>
    <w:rsid w:val="00957738"/>
    <w:rsid w:val="00963399"/>
    <w:rsid w:val="00974631"/>
    <w:rsid w:val="009804E4"/>
    <w:rsid w:val="009A7005"/>
    <w:rsid w:val="009A7037"/>
    <w:rsid w:val="009B366C"/>
    <w:rsid w:val="009B4438"/>
    <w:rsid w:val="009C7CCD"/>
    <w:rsid w:val="009D707C"/>
    <w:rsid w:val="009F1FDB"/>
    <w:rsid w:val="00A00676"/>
    <w:rsid w:val="00A00C32"/>
    <w:rsid w:val="00A15A50"/>
    <w:rsid w:val="00A30BA7"/>
    <w:rsid w:val="00AA65FD"/>
    <w:rsid w:val="00AC4A0C"/>
    <w:rsid w:val="00AD4253"/>
    <w:rsid w:val="00AF2661"/>
    <w:rsid w:val="00B05320"/>
    <w:rsid w:val="00B431AD"/>
    <w:rsid w:val="00B46656"/>
    <w:rsid w:val="00B54D57"/>
    <w:rsid w:val="00B569B9"/>
    <w:rsid w:val="00B82628"/>
    <w:rsid w:val="00B87C12"/>
    <w:rsid w:val="00BB5B7B"/>
    <w:rsid w:val="00BC13EA"/>
    <w:rsid w:val="00BE114D"/>
    <w:rsid w:val="00BE5471"/>
    <w:rsid w:val="00C121B5"/>
    <w:rsid w:val="00C1669E"/>
    <w:rsid w:val="00C3197A"/>
    <w:rsid w:val="00C67710"/>
    <w:rsid w:val="00C72E7C"/>
    <w:rsid w:val="00C87DA7"/>
    <w:rsid w:val="00C90E63"/>
    <w:rsid w:val="00C94507"/>
    <w:rsid w:val="00CA54D8"/>
    <w:rsid w:val="00CC3EE3"/>
    <w:rsid w:val="00CC77AF"/>
    <w:rsid w:val="00D04081"/>
    <w:rsid w:val="00D149D1"/>
    <w:rsid w:val="00D40EA6"/>
    <w:rsid w:val="00D550C4"/>
    <w:rsid w:val="00D56C07"/>
    <w:rsid w:val="00D90642"/>
    <w:rsid w:val="00DC4058"/>
    <w:rsid w:val="00DC5BF3"/>
    <w:rsid w:val="00DF2A92"/>
    <w:rsid w:val="00E20E74"/>
    <w:rsid w:val="00E259D7"/>
    <w:rsid w:val="00E57B33"/>
    <w:rsid w:val="00E65C7F"/>
    <w:rsid w:val="00E82EEB"/>
    <w:rsid w:val="00EA5446"/>
    <w:rsid w:val="00EB12EB"/>
    <w:rsid w:val="00EC3046"/>
    <w:rsid w:val="00ED11F8"/>
    <w:rsid w:val="00EF43B9"/>
    <w:rsid w:val="00F30C2E"/>
    <w:rsid w:val="00F33675"/>
    <w:rsid w:val="00F37E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7355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5F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0410F"/>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BC13EA"/>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D15F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5F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0410F"/>
    <w:rPr>
      <w:rFonts w:ascii="Times New Roman" w:eastAsiaTheme="majorEastAsia" w:hAnsi="Times New Roman" w:cstheme="majorBidi"/>
      <w:b/>
      <w:color w:val="000000" w:themeColor="text1"/>
      <w:sz w:val="32"/>
      <w:szCs w:val="32"/>
    </w:rPr>
  </w:style>
  <w:style w:type="paragraph" w:styleId="ListParagraph">
    <w:name w:val="List Paragraph"/>
    <w:basedOn w:val="Normal"/>
    <w:uiPriority w:val="34"/>
    <w:qFormat/>
    <w:rsid w:val="00D149D1"/>
    <w:pPr>
      <w:ind w:left="720"/>
      <w:contextualSpacing/>
    </w:pPr>
  </w:style>
  <w:style w:type="character" w:customStyle="1" w:styleId="Heading2Char">
    <w:name w:val="Heading 2 Char"/>
    <w:basedOn w:val="DefaultParagraphFont"/>
    <w:link w:val="Heading2"/>
    <w:uiPriority w:val="9"/>
    <w:rsid w:val="00BC13EA"/>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9D707C"/>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2">
    <w:name w:val="toc 2"/>
    <w:basedOn w:val="Normal"/>
    <w:next w:val="Normal"/>
    <w:autoRedefine/>
    <w:uiPriority w:val="39"/>
    <w:unhideWhenUsed/>
    <w:rsid w:val="009D707C"/>
    <w:pPr>
      <w:spacing w:after="100"/>
      <w:ind w:left="240"/>
    </w:pPr>
  </w:style>
  <w:style w:type="paragraph" w:styleId="TOC1">
    <w:name w:val="toc 1"/>
    <w:basedOn w:val="Normal"/>
    <w:next w:val="Normal"/>
    <w:autoRedefine/>
    <w:uiPriority w:val="39"/>
    <w:unhideWhenUsed/>
    <w:rsid w:val="009D707C"/>
    <w:pPr>
      <w:spacing w:after="100"/>
    </w:pPr>
  </w:style>
  <w:style w:type="character" w:styleId="Hyperlink">
    <w:name w:val="Hyperlink"/>
    <w:basedOn w:val="DefaultParagraphFont"/>
    <w:uiPriority w:val="99"/>
    <w:unhideWhenUsed/>
    <w:rsid w:val="009D707C"/>
    <w:rPr>
      <w:color w:val="0563C1" w:themeColor="hyperlink"/>
      <w:u w:val="single"/>
    </w:rPr>
  </w:style>
  <w:style w:type="paragraph" w:styleId="Caption">
    <w:name w:val="caption"/>
    <w:basedOn w:val="Normal"/>
    <w:next w:val="Normal"/>
    <w:uiPriority w:val="35"/>
    <w:unhideWhenUsed/>
    <w:qFormat/>
    <w:rsid w:val="00DC5BF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17EC6"/>
    <w:pPr>
      <w:spacing w:after="0"/>
    </w:pPr>
  </w:style>
  <w:style w:type="paragraph" w:styleId="Header">
    <w:name w:val="header"/>
    <w:basedOn w:val="Normal"/>
    <w:link w:val="HeaderChar"/>
    <w:uiPriority w:val="99"/>
    <w:unhideWhenUsed/>
    <w:rsid w:val="00EB12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2EB"/>
    <w:rPr>
      <w:rFonts w:ascii="Times New Roman" w:hAnsi="Times New Roman"/>
      <w:sz w:val="24"/>
    </w:rPr>
  </w:style>
  <w:style w:type="paragraph" w:styleId="Footer">
    <w:name w:val="footer"/>
    <w:basedOn w:val="Normal"/>
    <w:link w:val="FooterChar"/>
    <w:uiPriority w:val="99"/>
    <w:unhideWhenUsed/>
    <w:rsid w:val="00EB12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2E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A7055-8910-4854-B844-FA3279593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3356</Words>
  <Characters>20415</Characters>
  <Application>Microsoft Office Word</Application>
  <DocSecurity>0</DocSecurity>
  <Lines>314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2024-07-31T10:24:00Z</dcterms:created>
  <dcterms:modified xsi:type="dcterms:W3CDTF">2024-07-31T10:40:00Z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37fe81975e0439523ef0470dca2d67beec309dde58f0f2f9b839eafea0d39430</vt:lpwstr>
  </property>
</Properties>
</file>