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7FB25" w14:textId="77777777" w:rsidR="00C53A90" w:rsidRDefault="00C53A90" w:rsidP="00C53A90">
      <w:pPr>
        <w:jc w:val="center"/>
        <w:rPr>
          <w:sz w:val="52"/>
          <w:szCs w:val="52"/>
        </w:rPr>
      </w:pPr>
      <w:r w:rsidRPr="008A0E9D">
        <w:rPr>
          <w:sz w:val="52"/>
          <w:szCs w:val="52"/>
        </w:rPr>
        <w:t xml:space="preserve">University of Wales </w:t>
      </w:r>
    </w:p>
    <w:p w14:paraId="0DD0AEE2" w14:textId="65FE080E" w:rsidR="00C53A90" w:rsidRPr="008A0E9D" w:rsidRDefault="00C53A90" w:rsidP="00C53A90">
      <w:pPr>
        <w:jc w:val="center"/>
        <w:rPr>
          <w:sz w:val="52"/>
          <w:szCs w:val="52"/>
        </w:rPr>
      </w:pPr>
      <w:r w:rsidRPr="008A0E9D">
        <w:rPr>
          <w:sz w:val="52"/>
          <w:szCs w:val="52"/>
        </w:rPr>
        <w:t>Trinity Saint David</w:t>
      </w:r>
    </w:p>
    <w:p w14:paraId="2C9D3996" w14:textId="2E8C5A08" w:rsidR="008A0E9D" w:rsidRDefault="008A0E9D">
      <w:pPr>
        <w:rPr>
          <w:rFonts w:ascii="Arial" w:hAnsi="Arial" w:cs="Arial"/>
        </w:rPr>
      </w:pPr>
    </w:p>
    <w:p w14:paraId="5966A7AB" w14:textId="1D9166E7" w:rsidR="00C53A90" w:rsidRDefault="00C53A90">
      <w:pPr>
        <w:rPr>
          <w:rFonts w:ascii="Arial" w:hAnsi="Arial" w:cs="Arial"/>
        </w:rPr>
      </w:pPr>
    </w:p>
    <w:p w14:paraId="6E256D8D" w14:textId="77777777" w:rsidR="00C53A90" w:rsidRDefault="00C53A90">
      <w:pPr>
        <w:rPr>
          <w:rFonts w:ascii="Arial" w:hAnsi="Arial" w:cs="Arial"/>
        </w:rPr>
      </w:pPr>
    </w:p>
    <w:p w14:paraId="4EC2102F" w14:textId="77777777" w:rsidR="00C53A90" w:rsidRDefault="00C53A90" w:rsidP="00C53A90">
      <w:pPr>
        <w:jc w:val="center"/>
        <w:rPr>
          <w:sz w:val="52"/>
          <w:szCs w:val="52"/>
        </w:rPr>
      </w:pPr>
      <w:r w:rsidRPr="008A0E9D">
        <w:rPr>
          <w:sz w:val="52"/>
          <w:szCs w:val="52"/>
        </w:rPr>
        <w:t xml:space="preserve">Corporate Governance </w:t>
      </w:r>
    </w:p>
    <w:p w14:paraId="05F3BBCF" w14:textId="77777777" w:rsidR="00C53A90" w:rsidRPr="008A0E9D" w:rsidRDefault="00C53A90" w:rsidP="00C53A90">
      <w:pPr>
        <w:jc w:val="center"/>
        <w:rPr>
          <w:sz w:val="15"/>
          <w:szCs w:val="15"/>
        </w:rPr>
      </w:pPr>
    </w:p>
    <w:p w14:paraId="7278BAC7" w14:textId="77777777" w:rsidR="00C53A90" w:rsidRPr="008A0E9D" w:rsidRDefault="00C53A90" w:rsidP="00C53A90">
      <w:pPr>
        <w:jc w:val="center"/>
        <w:rPr>
          <w:sz w:val="36"/>
          <w:szCs w:val="36"/>
        </w:rPr>
      </w:pPr>
      <w:r w:rsidRPr="008A0E9D">
        <w:rPr>
          <w:sz w:val="36"/>
          <w:szCs w:val="36"/>
        </w:rPr>
        <w:t>(BMMB7018)</w:t>
      </w:r>
    </w:p>
    <w:p w14:paraId="1CA2688B" w14:textId="77777777" w:rsidR="00C53A90" w:rsidRPr="008A0E9D" w:rsidRDefault="00C53A90" w:rsidP="00C53A90">
      <w:pPr>
        <w:jc w:val="center"/>
        <w:rPr>
          <w:sz w:val="36"/>
          <w:szCs w:val="36"/>
        </w:rPr>
      </w:pPr>
      <w:r w:rsidRPr="008A0E9D">
        <w:rPr>
          <w:sz w:val="36"/>
          <w:szCs w:val="36"/>
        </w:rPr>
        <w:t>Badhir Miftah</w:t>
      </w:r>
    </w:p>
    <w:p w14:paraId="1F5850A6" w14:textId="1A1AA954" w:rsidR="00C53A90" w:rsidRDefault="00C53A90">
      <w:pPr>
        <w:rPr>
          <w:rFonts w:ascii="Arial" w:hAnsi="Arial" w:cs="Arial"/>
        </w:rPr>
      </w:pPr>
    </w:p>
    <w:p w14:paraId="0BDEB7C3" w14:textId="7A3C68D0" w:rsidR="00C53A90" w:rsidRDefault="00C53A90">
      <w:pPr>
        <w:rPr>
          <w:rFonts w:ascii="Arial" w:hAnsi="Arial" w:cs="Arial"/>
        </w:rPr>
      </w:pPr>
    </w:p>
    <w:p w14:paraId="7A8DDD82" w14:textId="2F77BE70" w:rsidR="00C53A90" w:rsidRDefault="00C53A90">
      <w:pPr>
        <w:rPr>
          <w:rFonts w:ascii="Arial" w:hAnsi="Arial" w:cs="Arial"/>
        </w:rPr>
      </w:pPr>
    </w:p>
    <w:p w14:paraId="1FD18C0E" w14:textId="44F6C5DC" w:rsidR="00C53A90" w:rsidRDefault="00C53A90">
      <w:pPr>
        <w:rPr>
          <w:rFonts w:ascii="Arial" w:hAnsi="Arial" w:cs="Arial"/>
        </w:rPr>
      </w:pPr>
    </w:p>
    <w:p w14:paraId="4A115B6B" w14:textId="16ECF130" w:rsidR="00C53A90" w:rsidRDefault="00C53A90">
      <w:pPr>
        <w:rPr>
          <w:rFonts w:ascii="Arial" w:hAnsi="Arial" w:cs="Arial"/>
        </w:rPr>
      </w:pPr>
    </w:p>
    <w:p w14:paraId="1AED85B2" w14:textId="252ECD8A" w:rsidR="00C53A90" w:rsidRDefault="00C53A90">
      <w:pPr>
        <w:rPr>
          <w:rFonts w:ascii="Arial" w:hAnsi="Arial" w:cs="Arial"/>
        </w:rPr>
      </w:pPr>
    </w:p>
    <w:p w14:paraId="0F8FF2BD" w14:textId="77777777" w:rsidR="00C53A90" w:rsidRDefault="00C53A90">
      <w:pPr>
        <w:rPr>
          <w:rFonts w:ascii="Arial" w:hAnsi="Arial" w:cs="Arial"/>
        </w:rPr>
      </w:pPr>
    </w:p>
    <w:p w14:paraId="411CED84" w14:textId="77777777" w:rsidR="00C53A90" w:rsidRDefault="00C53A90">
      <w:pPr>
        <w:rPr>
          <w:rFonts w:ascii="Arial" w:hAnsi="Arial" w:cs="Arial"/>
        </w:rPr>
      </w:pPr>
    </w:p>
    <w:p w14:paraId="64818920" w14:textId="62B0E311" w:rsidR="008A0E9D" w:rsidRPr="00C53A90" w:rsidRDefault="008A0E9D" w:rsidP="008A0E9D">
      <w:pPr>
        <w:jc w:val="center"/>
        <w:rPr>
          <w:sz w:val="52"/>
          <w:szCs w:val="52"/>
          <w:u w:val="single"/>
        </w:rPr>
      </w:pPr>
      <w:r w:rsidRPr="00C53A90">
        <w:rPr>
          <w:sz w:val="52"/>
          <w:szCs w:val="52"/>
          <w:u w:val="single"/>
        </w:rPr>
        <w:t>Report on the Wells Fargo Crisis</w:t>
      </w:r>
    </w:p>
    <w:p w14:paraId="3703FA50" w14:textId="77777777" w:rsidR="008A0E9D" w:rsidRPr="008A0E9D" w:rsidRDefault="008A0E9D" w:rsidP="008A0E9D">
      <w:pPr>
        <w:jc w:val="center"/>
      </w:pPr>
    </w:p>
    <w:p w14:paraId="540C08E2" w14:textId="77777777" w:rsidR="008A0E9D" w:rsidRPr="008A0E9D" w:rsidRDefault="008A0E9D" w:rsidP="00C53A90">
      <w:pPr>
        <w:jc w:val="center"/>
        <w:rPr>
          <w:sz w:val="36"/>
          <w:szCs w:val="36"/>
        </w:rPr>
      </w:pPr>
      <w:r w:rsidRPr="008A0E9D">
        <w:rPr>
          <w:sz w:val="36"/>
          <w:szCs w:val="36"/>
        </w:rPr>
        <w:t>Assignment</w:t>
      </w:r>
    </w:p>
    <w:p w14:paraId="6CBDAE66" w14:textId="77777777" w:rsidR="008A0E9D" w:rsidRPr="008A0E9D" w:rsidRDefault="008A0E9D" w:rsidP="00C53A90">
      <w:pPr>
        <w:jc w:val="center"/>
        <w:rPr>
          <w:sz w:val="36"/>
          <w:szCs w:val="36"/>
        </w:rPr>
      </w:pPr>
      <w:r w:rsidRPr="008A0E9D">
        <w:rPr>
          <w:sz w:val="36"/>
          <w:szCs w:val="36"/>
        </w:rPr>
        <w:t>15</w:t>
      </w:r>
      <w:r w:rsidRPr="008A0E9D">
        <w:rPr>
          <w:sz w:val="36"/>
          <w:szCs w:val="36"/>
          <w:vertAlign w:val="superscript"/>
        </w:rPr>
        <w:t>th</w:t>
      </w:r>
      <w:r w:rsidRPr="008A0E9D">
        <w:rPr>
          <w:sz w:val="36"/>
          <w:szCs w:val="36"/>
        </w:rPr>
        <w:t xml:space="preserve"> April 2024</w:t>
      </w:r>
    </w:p>
    <w:p w14:paraId="248F075B" w14:textId="78360400" w:rsidR="008A0E9D" w:rsidRDefault="008A0E9D" w:rsidP="008A0E9D">
      <w:pPr>
        <w:jc w:val="center"/>
        <w:rPr>
          <w:sz w:val="36"/>
          <w:szCs w:val="36"/>
        </w:rPr>
      </w:pPr>
    </w:p>
    <w:p w14:paraId="0D3AA0B8" w14:textId="1F681C46" w:rsidR="008A0E9D" w:rsidRPr="008A0E9D" w:rsidRDefault="008A0E9D" w:rsidP="008A0E9D">
      <w:pPr>
        <w:jc w:val="center"/>
        <w:rPr>
          <w:sz w:val="36"/>
          <w:szCs w:val="36"/>
        </w:rPr>
      </w:pPr>
    </w:p>
    <w:p w14:paraId="7CF4C5E5" w14:textId="2CE8BEEC" w:rsidR="008A0E9D" w:rsidRDefault="008A0E9D" w:rsidP="008A0E9D">
      <w:pPr>
        <w:jc w:val="center"/>
        <w:rPr>
          <w:sz w:val="36"/>
          <w:szCs w:val="36"/>
        </w:rPr>
      </w:pPr>
    </w:p>
    <w:p w14:paraId="77F13195" w14:textId="77777777" w:rsidR="00C53A90" w:rsidRDefault="00C53A90" w:rsidP="008A0E9D">
      <w:pPr>
        <w:jc w:val="center"/>
        <w:rPr>
          <w:sz w:val="36"/>
          <w:szCs w:val="36"/>
        </w:rPr>
      </w:pPr>
    </w:p>
    <w:p w14:paraId="25C50E38" w14:textId="13BF4A85" w:rsidR="008A0E9D" w:rsidRDefault="008A0E9D" w:rsidP="008A0E9D">
      <w:pPr>
        <w:jc w:val="center"/>
        <w:rPr>
          <w:sz w:val="36"/>
          <w:szCs w:val="36"/>
        </w:rPr>
      </w:pPr>
    </w:p>
    <w:p w14:paraId="2C9A916E" w14:textId="40C9FCE2" w:rsidR="008A0E9D" w:rsidRDefault="008A0E9D" w:rsidP="008A0E9D">
      <w:pPr>
        <w:jc w:val="center"/>
        <w:rPr>
          <w:sz w:val="36"/>
          <w:szCs w:val="36"/>
        </w:rPr>
      </w:pPr>
    </w:p>
    <w:p w14:paraId="362C1A1E" w14:textId="77777777" w:rsidR="008A0E9D" w:rsidRPr="008A0E9D" w:rsidRDefault="008A0E9D" w:rsidP="008A0E9D">
      <w:pPr>
        <w:jc w:val="center"/>
        <w:rPr>
          <w:sz w:val="36"/>
          <w:szCs w:val="36"/>
        </w:rPr>
      </w:pPr>
    </w:p>
    <w:p w14:paraId="4F78FCD9" w14:textId="54F2D42D" w:rsidR="008A0E9D" w:rsidRDefault="008A0E9D" w:rsidP="008A0E9D">
      <w:pPr>
        <w:jc w:val="center"/>
        <w:rPr>
          <w:sz w:val="52"/>
          <w:szCs w:val="52"/>
        </w:rPr>
      </w:pPr>
      <w:r w:rsidRPr="008A0E9D">
        <w:rPr>
          <w:sz w:val="52"/>
          <w:szCs w:val="52"/>
        </w:rPr>
        <w:t>Kian Watson</w:t>
      </w:r>
    </w:p>
    <w:p w14:paraId="02C2B60A" w14:textId="77777777" w:rsidR="008A0E9D" w:rsidRPr="00C53A90" w:rsidRDefault="008A0E9D" w:rsidP="008A0E9D">
      <w:pPr>
        <w:jc w:val="center"/>
      </w:pPr>
    </w:p>
    <w:p w14:paraId="5521B381" w14:textId="5649FA1C" w:rsidR="008A0E9D" w:rsidRPr="008A0E9D" w:rsidRDefault="008A0E9D" w:rsidP="008A0E9D">
      <w:pPr>
        <w:jc w:val="center"/>
        <w:rPr>
          <w:sz w:val="36"/>
          <w:szCs w:val="36"/>
        </w:rPr>
      </w:pPr>
      <w:r w:rsidRPr="008A0E9D">
        <w:rPr>
          <w:sz w:val="36"/>
          <w:szCs w:val="36"/>
        </w:rPr>
        <w:t>Student Number: 2000820</w:t>
      </w:r>
    </w:p>
    <w:p w14:paraId="6F0CF696" w14:textId="51142B28" w:rsidR="008A0E9D" w:rsidRDefault="008A0E9D" w:rsidP="008A0E9D">
      <w:pPr>
        <w:jc w:val="center"/>
        <w:rPr>
          <w:sz w:val="36"/>
          <w:szCs w:val="36"/>
        </w:rPr>
      </w:pPr>
    </w:p>
    <w:p w14:paraId="0DC87713" w14:textId="77777777" w:rsidR="00032D98" w:rsidRDefault="00032D98" w:rsidP="008A0E9D">
      <w:pPr>
        <w:jc w:val="center"/>
        <w:rPr>
          <w:sz w:val="36"/>
          <w:szCs w:val="36"/>
        </w:rPr>
      </w:pPr>
    </w:p>
    <w:p w14:paraId="42A552D8" w14:textId="77777777" w:rsidR="008A0E9D" w:rsidRPr="008A0E9D" w:rsidRDefault="008A0E9D" w:rsidP="008A0E9D">
      <w:pPr>
        <w:jc w:val="center"/>
        <w:rPr>
          <w:sz w:val="36"/>
          <w:szCs w:val="36"/>
        </w:rPr>
      </w:pPr>
    </w:p>
    <w:p w14:paraId="6028CBF9" w14:textId="2D43CD58" w:rsidR="008A0E9D" w:rsidRPr="007A17F6" w:rsidRDefault="008A0E9D" w:rsidP="007A17F6">
      <w:pPr>
        <w:jc w:val="center"/>
        <w:rPr>
          <w:sz w:val="36"/>
          <w:szCs w:val="36"/>
        </w:rPr>
      </w:pPr>
      <w:r w:rsidRPr="008A0E9D">
        <w:rPr>
          <w:sz w:val="36"/>
          <w:szCs w:val="36"/>
        </w:rPr>
        <w:t>Word Count: 5,</w:t>
      </w:r>
      <w:r w:rsidR="00E32B9C">
        <w:rPr>
          <w:sz w:val="36"/>
          <w:szCs w:val="36"/>
        </w:rPr>
        <w:t>427</w:t>
      </w:r>
    </w:p>
    <w:p w14:paraId="53ABC117" w14:textId="1EC7E529" w:rsidR="007A17F6" w:rsidRPr="00EE6F2B" w:rsidRDefault="00CF7700" w:rsidP="00EE6F2B">
      <w:pPr>
        <w:pStyle w:val="Heading1"/>
        <w:rPr>
          <w:u w:val="single"/>
        </w:rPr>
      </w:pPr>
      <w:bookmarkStart w:id="0" w:name="_Toc164084276"/>
      <w:r w:rsidRPr="00EE6F2B">
        <w:rPr>
          <w:u w:val="single"/>
        </w:rPr>
        <w:lastRenderedPageBreak/>
        <w:t>Executive Summary</w:t>
      </w:r>
      <w:bookmarkEnd w:id="0"/>
    </w:p>
    <w:p w14:paraId="7F1B83F1" w14:textId="77777777" w:rsidR="007A17F6" w:rsidRPr="007A17F6" w:rsidRDefault="007A17F6" w:rsidP="007A17F6">
      <w:pPr>
        <w:rPr>
          <w:rFonts w:ascii="Arial" w:hAnsi="Arial" w:cs="Arial"/>
        </w:rPr>
      </w:pPr>
      <w:r w:rsidRPr="007A17F6">
        <w:rPr>
          <w:rFonts w:ascii="Arial" w:hAnsi="Arial" w:cs="Arial"/>
        </w:rPr>
        <w:t xml:space="preserve">This report provides a comprehensive analysis of the corporate governance scandal that engulfed Wells Fargo in 2016, examining the events that led to the crisis, the impact on stakeholders, and the actions taken by regulators and the company to address the situation. The report begins by defining corporate governance and providing an overview of Wells Fargo's history and operations. It then delves into the details of the scandal, including the unethical sales practices and the shortcomings in the company's corporate governance structure. </w:t>
      </w:r>
    </w:p>
    <w:p w14:paraId="5DA1A6AA" w14:textId="77777777" w:rsidR="007A17F6" w:rsidRPr="007A17F6" w:rsidRDefault="007A17F6" w:rsidP="007A17F6">
      <w:pPr>
        <w:rPr>
          <w:rFonts w:ascii="Arial" w:hAnsi="Arial" w:cs="Arial"/>
        </w:rPr>
      </w:pPr>
    </w:p>
    <w:p w14:paraId="1D83BA2D" w14:textId="77777777" w:rsidR="007A17F6" w:rsidRPr="007A17F6" w:rsidRDefault="007A17F6" w:rsidP="007A17F6">
      <w:pPr>
        <w:rPr>
          <w:rFonts w:ascii="Arial" w:hAnsi="Arial" w:cs="Arial"/>
        </w:rPr>
      </w:pPr>
      <w:r w:rsidRPr="007A17F6">
        <w:rPr>
          <w:rFonts w:ascii="Arial" w:hAnsi="Arial" w:cs="Arial"/>
        </w:rPr>
        <w:t>The report highlights the role of the board structure, regulatory issues, and the application of ethical frameworks in contributing to the crisis. It also discusses the impact of the scandal on various stakeholders, including shareholders, customers, and the broader community. Furthermore, the report examines the actions taken by regulators and Wells Fargo to address the crisis, as well as future recommendations to prevent similar incidents.</w:t>
      </w:r>
    </w:p>
    <w:p w14:paraId="618A11D5" w14:textId="77777777" w:rsidR="007A17F6" w:rsidRPr="007A17F6" w:rsidRDefault="007A17F6" w:rsidP="007A17F6">
      <w:pPr>
        <w:rPr>
          <w:rFonts w:ascii="Arial" w:hAnsi="Arial" w:cs="Arial"/>
        </w:rPr>
      </w:pPr>
    </w:p>
    <w:p w14:paraId="5E209181" w14:textId="45B01B48" w:rsidR="008A0E9D" w:rsidRDefault="007A17F6" w:rsidP="007A17F6">
      <w:pPr>
        <w:rPr>
          <w:rFonts w:ascii="Arial" w:hAnsi="Arial" w:cs="Arial"/>
        </w:rPr>
      </w:pPr>
      <w:r w:rsidRPr="007A17F6">
        <w:rPr>
          <w:rFonts w:ascii="Arial" w:hAnsi="Arial" w:cs="Arial"/>
        </w:rPr>
        <w:t>Overall, the report offers valuable insights into the complexities of corporate governance</w:t>
      </w:r>
      <w:r>
        <w:rPr>
          <w:rFonts w:ascii="Arial" w:hAnsi="Arial" w:cs="Arial"/>
        </w:rPr>
        <w:t xml:space="preserve"> issues</w:t>
      </w:r>
      <w:r w:rsidRPr="007A17F6">
        <w:rPr>
          <w:rFonts w:ascii="Arial" w:hAnsi="Arial" w:cs="Arial"/>
        </w:rPr>
        <w:t xml:space="preserve"> and the far-reaching consequences of a </w:t>
      </w:r>
      <w:r>
        <w:rPr>
          <w:rFonts w:ascii="Arial" w:hAnsi="Arial" w:cs="Arial"/>
        </w:rPr>
        <w:t xml:space="preserve">corporate </w:t>
      </w:r>
      <w:r w:rsidRPr="007A17F6">
        <w:rPr>
          <w:rFonts w:ascii="Arial" w:hAnsi="Arial" w:cs="Arial"/>
        </w:rPr>
        <w:t>governance scandal, providing recommendations for strengthening corporate governance, restoring trust, and preventing future crises.</w:t>
      </w:r>
    </w:p>
    <w:p w14:paraId="62C36697" w14:textId="1825EF98" w:rsidR="008A0E9D" w:rsidRDefault="008A0E9D">
      <w:pPr>
        <w:rPr>
          <w:rFonts w:ascii="Arial" w:hAnsi="Arial" w:cs="Arial"/>
        </w:rPr>
      </w:pPr>
    </w:p>
    <w:p w14:paraId="02654F6C" w14:textId="03A4945E" w:rsidR="008A0E9D" w:rsidRDefault="008A0E9D">
      <w:pPr>
        <w:rPr>
          <w:rFonts w:ascii="Arial" w:hAnsi="Arial" w:cs="Arial"/>
        </w:rPr>
      </w:pPr>
    </w:p>
    <w:p w14:paraId="5BDC7B1E" w14:textId="346C1BBC" w:rsidR="008A0E9D" w:rsidRDefault="008A0E9D">
      <w:pPr>
        <w:rPr>
          <w:rFonts w:ascii="Arial" w:hAnsi="Arial" w:cs="Arial"/>
        </w:rPr>
      </w:pPr>
    </w:p>
    <w:p w14:paraId="3270D0CB" w14:textId="77777777" w:rsidR="008A0E9D" w:rsidRDefault="008A0E9D">
      <w:pPr>
        <w:rPr>
          <w:rFonts w:ascii="Arial" w:hAnsi="Arial" w:cs="Arial"/>
        </w:rPr>
      </w:pPr>
    </w:p>
    <w:p w14:paraId="2438D6D2" w14:textId="3395EDAA" w:rsidR="008A0E9D" w:rsidRDefault="008A0E9D">
      <w:pPr>
        <w:rPr>
          <w:rFonts w:ascii="Arial" w:hAnsi="Arial" w:cs="Arial"/>
        </w:rPr>
      </w:pPr>
    </w:p>
    <w:p w14:paraId="19CB4F27" w14:textId="27A84E15" w:rsidR="008A0E9D" w:rsidRDefault="008A0E9D">
      <w:pPr>
        <w:rPr>
          <w:rFonts w:ascii="Arial" w:hAnsi="Arial" w:cs="Arial"/>
        </w:rPr>
      </w:pPr>
    </w:p>
    <w:p w14:paraId="7EC836F8" w14:textId="2D06B8E4" w:rsidR="008A0E9D" w:rsidRDefault="008A0E9D">
      <w:pPr>
        <w:rPr>
          <w:rFonts w:ascii="Arial" w:hAnsi="Arial" w:cs="Arial"/>
        </w:rPr>
      </w:pPr>
    </w:p>
    <w:p w14:paraId="75EFBEB1" w14:textId="09739187" w:rsidR="008A0E9D" w:rsidRDefault="008A0E9D">
      <w:pPr>
        <w:rPr>
          <w:rFonts w:ascii="Arial" w:hAnsi="Arial" w:cs="Arial"/>
        </w:rPr>
      </w:pPr>
    </w:p>
    <w:p w14:paraId="31A29A05" w14:textId="45FB9193" w:rsidR="008A0E9D" w:rsidRDefault="008A0E9D">
      <w:pPr>
        <w:rPr>
          <w:rFonts w:ascii="Arial" w:hAnsi="Arial" w:cs="Arial"/>
        </w:rPr>
      </w:pPr>
    </w:p>
    <w:p w14:paraId="5F0C937C" w14:textId="0082E926" w:rsidR="008A0E9D" w:rsidRDefault="008A0E9D">
      <w:pPr>
        <w:rPr>
          <w:rFonts w:ascii="Arial" w:hAnsi="Arial" w:cs="Arial"/>
        </w:rPr>
      </w:pPr>
    </w:p>
    <w:p w14:paraId="3936F5E7" w14:textId="0C846102" w:rsidR="008A0E9D" w:rsidRDefault="008A0E9D">
      <w:pPr>
        <w:rPr>
          <w:rFonts w:ascii="Arial" w:hAnsi="Arial" w:cs="Arial"/>
        </w:rPr>
      </w:pPr>
    </w:p>
    <w:p w14:paraId="4D8A509C" w14:textId="4E434411" w:rsidR="008A0E9D" w:rsidRDefault="008A0E9D">
      <w:pPr>
        <w:rPr>
          <w:rFonts w:ascii="Arial" w:hAnsi="Arial" w:cs="Arial"/>
        </w:rPr>
      </w:pPr>
    </w:p>
    <w:p w14:paraId="05972063" w14:textId="11C23223" w:rsidR="008A0E9D" w:rsidRDefault="008A0E9D">
      <w:pPr>
        <w:rPr>
          <w:rFonts w:ascii="Arial" w:hAnsi="Arial" w:cs="Arial"/>
        </w:rPr>
      </w:pPr>
    </w:p>
    <w:p w14:paraId="620A16B8" w14:textId="38167EEA" w:rsidR="008A0E9D" w:rsidRDefault="008A0E9D">
      <w:pPr>
        <w:rPr>
          <w:rFonts w:ascii="Arial" w:hAnsi="Arial" w:cs="Arial"/>
        </w:rPr>
      </w:pPr>
    </w:p>
    <w:p w14:paraId="520FAA54" w14:textId="3E0631C1" w:rsidR="008A0E9D" w:rsidRDefault="008A0E9D">
      <w:pPr>
        <w:rPr>
          <w:rFonts w:ascii="Arial" w:hAnsi="Arial" w:cs="Arial"/>
        </w:rPr>
      </w:pPr>
    </w:p>
    <w:p w14:paraId="0EAF9FC5" w14:textId="0290F634" w:rsidR="008A0E9D" w:rsidRDefault="008A0E9D">
      <w:pPr>
        <w:rPr>
          <w:rFonts w:ascii="Arial" w:hAnsi="Arial" w:cs="Arial"/>
        </w:rPr>
      </w:pPr>
    </w:p>
    <w:p w14:paraId="0E41CDC2" w14:textId="0D7F4D0B" w:rsidR="008A0E9D" w:rsidRDefault="008A0E9D">
      <w:pPr>
        <w:rPr>
          <w:rFonts w:ascii="Arial" w:hAnsi="Arial" w:cs="Arial"/>
        </w:rPr>
      </w:pPr>
    </w:p>
    <w:p w14:paraId="67BB6700" w14:textId="1B6B5A32" w:rsidR="008A0E9D" w:rsidRDefault="008A0E9D">
      <w:pPr>
        <w:rPr>
          <w:rFonts w:ascii="Arial" w:hAnsi="Arial" w:cs="Arial"/>
        </w:rPr>
      </w:pPr>
    </w:p>
    <w:p w14:paraId="006FF8EC" w14:textId="62AD3785" w:rsidR="008A0E9D" w:rsidRDefault="008A0E9D">
      <w:pPr>
        <w:rPr>
          <w:rFonts w:ascii="Arial" w:hAnsi="Arial" w:cs="Arial"/>
        </w:rPr>
      </w:pPr>
    </w:p>
    <w:p w14:paraId="2A37D597" w14:textId="3B09D2DB" w:rsidR="008A0E9D" w:rsidRDefault="008A0E9D">
      <w:pPr>
        <w:rPr>
          <w:rFonts w:ascii="Arial" w:hAnsi="Arial" w:cs="Arial"/>
        </w:rPr>
      </w:pPr>
    </w:p>
    <w:p w14:paraId="02EADC9A" w14:textId="071DA68A" w:rsidR="008A0E9D" w:rsidRDefault="008A0E9D">
      <w:pPr>
        <w:rPr>
          <w:rFonts w:ascii="Arial" w:hAnsi="Arial" w:cs="Arial"/>
        </w:rPr>
      </w:pPr>
    </w:p>
    <w:p w14:paraId="178A9E28" w14:textId="3BE21A79" w:rsidR="008A0E9D" w:rsidRDefault="008A0E9D">
      <w:pPr>
        <w:rPr>
          <w:rFonts w:ascii="Arial" w:hAnsi="Arial" w:cs="Arial"/>
        </w:rPr>
      </w:pPr>
    </w:p>
    <w:p w14:paraId="6C1E5627" w14:textId="62DC158B" w:rsidR="008A0E9D" w:rsidRDefault="008A0E9D">
      <w:pPr>
        <w:rPr>
          <w:rFonts w:ascii="Arial" w:hAnsi="Arial" w:cs="Arial"/>
        </w:rPr>
      </w:pPr>
    </w:p>
    <w:p w14:paraId="30336D9C" w14:textId="4000B3AB" w:rsidR="008A0E9D" w:rsidRDefault="008A0E9D">
      <w:pPr>
        <w:rPr>
          <w:rFonts w:ascii="Arial" w:hAnsi="Arial" w:cs="Arial"/>
        </w:rPr>
      </w:pPr>
    </w:p>
    <w:p w14:paraId="75F97139" w14:textId="7D798A32" w:rsidR="008A0E9D" w:rsidRDefault="008A0E9D">
      <w:pPr>
        <w:rPr>
          <w:rFonts w:ascii="Arial" w:hAnsi="Arial" w:cs="Arial"/>
        </w:rPr>
      </w:pPr>
    </w:p>
    <w:p w14:paraId="3AB78EFC" w14:textId="2EF525E6" w:rsidR="008A0E9D" w:rsidRDefault="008A0E9D">
      <w:pPr>
        <w:rPr>
          <w:rFonts w:ascii="Arial" w:hAnsi="Arial" w:cs="Arial"/>
        </w:rPr>
      </w:pPr>
    </w:p>
    <w:p w14:paraId="0DBBC5EB" w14:textId="77A48848" w:rsidR="008A0E9D" w:rsidRDefault="008A0E9D">
      <w:pPr>
        <w:rPr>
          <w:rFonts w:ascii="Arial" w:hAnsi="Arial" w:cs="Arial"/>
        </w:rPr>
      </w:pPr>
    </w:p>
    <w:p w14:paraId="4BD56060" w14:textId="77777777" w:rsidR="008A0E9D" w:rsidRPr="009658CE" w:rsidRDefault="008A0E9D">
      <w:pPr>
        <w:rPr>
          <w:rFonts w:ascii="Arial" w:hAnsi="Arial" w:cs="Arial"/>
        </w:rPr>
      </w:pPr>
    </w:p>
    <w:sdt>
      <w:sdtPr>
        <w:id w:val="125446785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6D977D0" w14:textId="4997F5C0" w:rsidR="00AC5FEF" w:rsidRDefault="00AC5FEF" w:rsidP="00EE6F2B">
          <w:pPr>
            <w:pStyle w:val="TOCHeading"/>
            <w:rPr>
              <w:rFonts w:ascii="Times" w:hAnsi="Times"/>
              <w:color w:val="000000" w:themeColor="text1"/>
              <w:sz w:val="40"/>
              <w:szCs w:val="40"/>
              <w:u w:val="single"/>
            </w:rPr>
          </w:pPr>
          <w:r w:rsidRPr="00EE6F2B">
            <w:rPr>
              <w:rFonts w:ascii="Times" w:hAnsi="Times"/>
              <w:color w:val="000000" w:themeColor="text1"/>
              <w:sz w:val="40"/>
              <w:szCs w:val="40"/>
              <w:u w:val="single"/>
            </w:rPr>
            <w:t>Table of Contents</w:t>
          </w:r>
        </w:p>
        <w:p w14:paraId="65BBB20C" w14:textId="77777777" w:rsidR="00822F0A" w:rsidRPr="00822F0A" w:rsidRDefault="00822F0A" w:rsidP="00822F0A">
          <w:pPr>
            <w:rPr>
              <w:lang w:val="en-US" w:eastAsia="en-US"/>
            </w:rPr>
          </w:pPr>
        </w:p>
        <w:p w14:paraId="6D44FCA0" w14:textId="77777777" w:rsidR="00577EFC" w:rsidRPr="00577EFC" w:rsidRDefault="00577EFC" w:rsidP="00577EFC">
          <w:pPr>
            <w:rPr>
              <w:lang w:val="en-US" w:eastAsia="en-US"/>
            </w:rPr>
          </w:pPr>
        </w:p>
        <w:p w14:paraId="68C9D480" w14:textId="1E99576B" w:rsidR="007E39A2" w:rsidRDefault="00AC5FEF">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64084276" w:history="1">
            <w:r w:rsidR="007E39A2" w:rsidRPr="008277B8">
              <w:rPr>
                <w:rStyle w:val="Hyperlink"/>
                <w:noProof/>
              </w:rPr>
              <w:t>Executive Summary</w:t>
            </w:r>
            <w:r w:rsidR="007E39A2">
              <w:rPr>
                <w:noProof/>
                <w:webHidden/>
              </w:rPr>
              <w:tab/>
            </w:r>
            <w:r w:rsidR="007E39A2">
              <w:rPr>
                <w:noProof/>
                <w:webHidden/>
              </w:rPr>
              <w:fldChar w:fldCharType="begin"/>
            </w:r>
            <w:r w:rsidR="007E39A2">
              <w:rPr>
                <w:noProof/>
                <w:webHidden/>
              </w:rPr>
              <w:instrText xml:space="preserve"> PAGEREF _Toc164084276 \h </w:instrText>
            </w:r>
            <w:r w:rsidR="007E39A2">
              <w:rPr>
                <w:noProof/>
                <w:webHidden/>
              </w:rPr>
            </w:r>
            <w:r w:rsidR="007E39A2">
              <w:rPr>
                <w:noProof/>
                <w:webHidden/>
              </w:rPr>
              <w:fldChar w:fldCharType="separate"/>
            </w:r>
            <w:r w:rsidR="007E39A2">
              <w:rPr>
                <w:noProof/>
                <w:webHidden/>
              </w:rPr>
              <w:t>2</w:t>
            </w:r>
            <w:r w:rsidR="007E39A2">
              <w:rPr>
                <w:noProof/>
                <w:webHidden/>
              </w:rPr>
              <w:fldChar w:fldCharType="end"/>
            </w:r>
          </w:hyperlink>
        </w:p>
        <w:p w14:paraId="21EA1BED" w14:textId="60EF7FD6" w:rsidR="007E39A2" w:rsidRDefault="007E39A2">
          <w:pPr>
            <w:pStyle w:val="TOC1"/>
            <w:tabs>
              <w:tab w:val="right" w:leader="dot" w:pos="9010"/>
            </w:tabs>
            <w:rPr>
              <w:rFonts w:eastAsiaTheme="minorEastAsia" w:cstheme="minorBidi"/>
              <w:b w:val="0"/>
              <w:bCs w:val="0"/>
              <w:i w:val="0"/>
              <w:iCs w:val="0"/>
              <w:noProof/>
            </w:rPr>
          </w:pPr>
          <w:hyperlink w:anchor="_Toc164084277" w:history="1">
            <w:r w:rsidRPr="008277B8">
              <w:rPr>
                <w:rStyle w:val="Hyperlink"/>
                <w:noProof/>
              </w:rPr>
              <w:t>1. Introduction</w:t>
            </w:r>
            <w:r>
              <w:rPr>
                <w:noProof/>
                <w:webHidden/>
              </w:rPr>
              <w:tab/>
            </w:r>
            <w:r>
              <w:rPr>
                <w:noProof/>
                <w:webHidden/>
              </w:rPr>
              <w:fldChar w:fldCharType="begin"/>
            </w:r>
            <w:r>
              <w:rPr>
                <w:noProof/>
                <w:webHidden/>
              </w:rPr>
              <w:instrText xml:space="preserve"> PAGEREF _Toc164084277 \h </w:instrText>
            </w:r>
            <w:r>
              <w:rPr>
                <w:noProof/>
                <w:webHidden/>
              </w:rPr>
            </w:r>
            <w:r>
              <w:rPr>
                <w:noProof/>
                <w:webHidden/>
              </w:rPr>
              <w:fldChar w:fldCharType="separate"/>
            </w:r>
            <w:r>
              <w:rPr>
                <w:noProof/>
                <w:webHidden/>
              </w:rPr>
              <w:t>4</w:t>
            </w:r>
            <w:r>
              <w:rPr>
                <w:noProof/>
                <w:webHidden/>
              </w:rPr>
              <w:fldChar w:fldCharType="end"/>
            </w:r>
          </w:hyperlink>
        </w:p>
        <w:p w14:paraId="2D3E1C61" w14:textId="364194D6" w:rsidR="007E39A2" w:rsidRDefault="007E39A2">
          <w:pPr>
            <w:pStyle w:val="TOC2"/>
            <w:tabs>
              <w:tab w:val="right" w:leader="dot" w:pos="9010"/>
            </w:tabs>
            <w:rPr>
              <w:rFonts w:eastAsiaTheme="minorEastAsia" w:cstheme="minorBidi"/>
              <w:b w:val="0"/>
              <w:bCs w:val="0"/>
              <w:noProof/>
              <w:sz w:val="24"/>
              <w:szCs w:val="24"/>
            </w:rPr>
          </w:pPr>
          <w:hyperlink w:anchor="_Toc164084278" w:history="1">
            <w:r w:rsidRPr="008277B8">
              <w:rPr>
                <w:rStyle w:val="Hyperlink"/>
                <w:noProof/>
              </w:rPr>
              <w:t>1.1: Introduction to Corporate Governance</w:t>
            </w:r>
            <w:r>
              <w:rPr>
                <w:noProof/>
                <w:webHidden/>
              </w:rPr>
              <w:tab/>
            </w:r>
            <w:r>
              <w:rPr>
                <w:noProof/>
                <w:webHidden/>
              </w:rPr>
              <w:fldChar w:fldCharType="begin"/>
            </w:r>
            <w:r>
              <w:rPr>
                <w:noProof/>
                <w:webHidden/>
              </w:rPr>
              <w:instrText xml:space="preserve"> PAGEREF _Toc164084278 \h </w:instrText>
            </w:r>
            <w:r>
              <w:rPr>
                <w:noProof/>
                <w:webHidden/>
              </w:rPr>
            </w:r>
            <w:r>
              <w:rPr>
                <w:noProof/>
                <w:webHidden/>
              </w:rPr>
              <w:fldChar w:fldCharType="separate"/>
            </w:r>
            <w:r>
              <w:rPr>
                <w:noProof/>
                <w:webHidden/>
              </w:rPr>
              <w:t>4</w:t>
            </w:r>
            <w:r>
              <w:rPr>
                <w:noProof/>
                <w:webHidden/>
              </w:rPr>
              <w:fldChar w:fldCharType="end"/>
            </w:r>
          </w:hyperlink>
        </w:p>
        <w:p w14:paraId="42D38171" w14:textId="0F7C68C0" w:rsidR="007E39A2" w:rsidRDefault="007E39A2">
          <w:pPr>
            <w:pStyle w:val="TOC2"/>
            <w:tabs>
              <w:tab w:val="right" w:leader="dot" w:pos="9010"/>
            </w:tabs>
            <w:rPr>
              <w:rFonts w:eastAsiaTheme="minorEastAsia" w:cstheme="minorBidi"/>
              <w:b w:val="0"/>
              <w:bCs w:val="0"/>
              <w:noProof/>
              <w:sz w:val="24"/>
              <w:szCs w:val="24"/>
            </w:rPr>
          </w:pPr>
          <w:hyperlink w:anchor="_Toc164084279" w:history="1">
            <w:r w:rsidRPr="008277B8">
              <w:rPr>
                <w:rStyle w:val="Hyperlink"/>
                <w:noProof/>
              </w:rPr>
              <w:t>1.2: Introduction to Wells Fargo</w:t>
            </w:r>
            <w:r>
              <w:rPr>
                <w:noProof/>
                <w:webHidden/>
              </w:rPr>
              <w:tab/>
            </w:r>
            <w:r>
              <w:rPr>
                <w:noProof/>
                <w:webHidden/>
              </w:rPr>
              <w:fldChar w:fldCharType="begin"/>
            </w:r>
            <w:r>
              <w:rPr>
                <w:noProof/>
                <w:webHidden/>
              </w:rPr>
              <w:instrText xml:space="preserve"> PAGEREF _Toc164084279 \h </w:instrText>
            </w:r>
            <w:r>
              <w:rPr>
                <w:noProof/>
                <w:webHidden/>
              </w:rPr>
            </w:r>
            <w:r>
              <w:rPr>
                <w:noProof/>
                <w:webHidden/>
              </w:rPr>
              <w:fldChar w:fldCharType="separate"/>
            </w:r>
            <w:r>
              <w:rPr>
                <w:noProof/>
                <w:webHidden/>
              </w:rPr>
              <w:t>4</w:t>
            </w:r>
            <w:r>
              <w:rPr>
                <w:noProof/>
                <w:webHidden/>
              </w:rPr>
              <w:fldChar w:fldCharType="end"/>
            </w:r>
          </w:hyperlink>
        </w:p>
        <w:p w14:paraId="47199B7A" w14:textId="2595672B" w:rsidR="007E39A2" w:rsidRDefault="007E39A2">
          <w:pPr>
            <w:pStyle w:val="TOC2"/>
            <w:tabs>
              <w:tab w:val="right" w:leader="dot" w:pos="9010"/>
            </w:tabs>
            <w:rPr>
              <w:rFonts w:eastAsiaTheme="minorEastAsia" w:cstheme="minorBidi"/>
              <w:b w:val="0"/>
              <w:bCs w:val="0"/>
              <w:noProof/>
              <w:sz w:val="24"/>
              <w:szCs w:val="24"/>
            </w:rPr>
          </w:pPr>
          <w:hyperlink w:anchor="_Toc164084280" w:history="1">
            <w:r w:rsidRPr="008277B8">
              <w:rPr>
                <w:rStyle w:val="Hyperlink"/>
                <w:noProof/>
              </w:rPr>
              <w:t>1.3: Introduction to the Main Body</w:t>
            </w:r>
            <w:r>
              <w:rPr>
                <w:noProof/>
                <w:webHidden/>
              </w:rPr>
              <w:tab/>
            </w:r>
            <w:r>
              <w:rPr>
                <w:noProof/>
                <w:webHidden/>
              </w:rPr>
              <w:fldChar w:fldCharType="begin"/>
            </w:r>
            <w:r>
              <w:rPr>
                <w:noProof/>
                <w:webHidden/>
              </w:rPr>
              <w:instrText xml:space="preserve"> PAGEREF _Toc164084280 \h </w:instrText>
            </w:r>
            <w:r>
              <w:rPr>
                <w:noProof/>
                <w:webHidden/>
              </w:rPr>
            </w:r>
            <w:r>
              <w:rPr>
                <w:noProof/>
                <w:webHidden/>
              </w:rPr>
              <w:fldChar w:fldCharType="separate"/>
            </w:r>
            <w:r>
              <w:rPr>
                <w:noProof/>
                <w:webHidden/>
              </w:rPr>
              <w:t>5</w:t>
            </w:r>
            <w:r>
              <w:rPr>
                <w:noProof/>
                <w:webHidden/>
              </w:rPr>
              <w:fldChar w:fldCharType="end"/>
            </w:r>
          </w:hyperlink>
        </w:p>
        <w:p w14:paraId="3C6E5F7A" w14:textId="50427A37" w:rsidR="007E39A2" w:rsidRDefault="007E39A2">
          <w:pPr>
            <w:pStyle w:val="TOC1"/>
            <w:tabs>
              <w:tab w:val="right" w:leader="dot" w:pos="9010"/>
            </w:tabs>
            <w:rPr>
              <w:rFonts w:eastAsiaTheme="minorEastAsia" w:cstheme="minorBidi"/>
              <w:b w:val="0"/>
              <w:bCs w:val="0"/>
              <w:i w:val="0"/>
              <w:iCs w:val="0"/>
              <w:noProof/>
            </w:rPr>
          </w:pPr>
          <w:hyperlink w:anchor="_Toc164084281" w:history="1">
            <w:r w:rsidRPr="008277B8">
              <w:rPr>
                <w:rStyle w:val="Hyperlink"/>
                <w:noProof/>
              </w:rPr>
              <w:t>2. Corporate Governance Crisis Analysis</w:t>
            </w:r>
            <w:r>
              <w:rPr>
                <w:noProof/>
                <w:webHidden/>
              </w:rPr>
              <w:tab/>
            </w:r>
            <w:r>
              <w:rPr>
                <w:noProof/>
                <w:webHidden/>
              </w:rPr>
              <w:fldChar w:fldCharType="begin"/>
            </w:r>
            <w:r>
              <w:rPr>
                <w:noProof/>
                <w:webHidden/>
              </w:rPr>
              <w:instrText xml:space="preserve"> PAGEREF _Toc164084281 \h </w:instrText>
            </w:r>
            <w:r>
              <w:rPr>
                <w:noProof/>
                <w:webHidden/>
              </w:rPr>
            </w:r>
            <w:r>
              <w:rPr>
                <w:noProof/>
                <w:webHidden/>
              </w:rPr>
              <w:fldChar w:fldCharType="separate"/>
            </w:r>
            <w:r>
              <w:rPr>
                <w:noProof/>
                <w:webHidden/>
              </w:rPr>
              <w:t>5</w:t>
            </w:r>
            <w:r>
              <w:rPr>
                <w:noProof/>
                <w:webHidden/>
              </w:rPr>
              <w:fldChar w:fldCharType="end"/>
            </w:r>
          </w:hyperlink>
        </w:p>
        <w:p w14:paraId="7151A216" w14:textId="61F93A1B" w:rsidR="007E39A2" w:rsidRDefault="007E39A2">
          <w:pPr>
            <w:pStyle w:val="TOC2"/>
            <w:tabs>
              <w:tab w:val="right" w:leader="dot" w:pos="9010"/>
            </w:tabs>
            <w:rPr>
              <w:rFonts w:eastAsiaTheme="minorEastAsia" w:cstheme="minorBidi"/>
              <w:b w:val="0"/>
              <w:bCs w:val="0"/>
              <w:noProof/>
              <w:sz w:val="24"/>
              <w:szCs w:val="24"/>
            </w:rPr>
          </w:pPr>
          <w:hyperlink w:anchor="_Toc164084282" w:history="1">
            <w:r w:rsidRPr="008277B8">
              <w:rPr>
                <w:rStyle w:val="Hyperlink"/>
                <w:noProof/>
              </w:rPr>
              <w:t>2.1: Organisational Culture</w:t>
            </w:r>
            <w:r>
              <w:rPr>
                <w:noProof/>
                <w:webHidden/>
              </w:rPr>
              <w:tab/>
            </w:r>
            <w:r>
              <w:rPr>
                <w:noProof/>
                <w:webHidden/>
              </w:rPr>
              <w:fldChar w:fldCharType="begin"/>
            </w:r>
            <w:r>
              <w:rPr>
                <w:noProof/>
                <w:webHidden/>
              </w:rPr>
              <w:instrText xml:space="preserve"> PAGEREF _Toc164084282 \h </w:instrText>
            </w:r>
            <w:r>
              <w:rPr>
                <w:noProof/>
                <w:webHidden/>
              </w:rPr>
            </w:r>
            <w:r>
              <w:rPr>
                <w:noProof/>
                <w:webHidden/>
              </w:rPr>
              <w:fldChar w:fldCharType="separate"/>
            </w:r>
            <w:r>
              <w:rPr>
                <w:noProof/>
                <w:webHidden/>
              </w:rPr>
              <w:t>6</w:t>
            </w:r>
            <w:r>
              <w:rPr>
                <w:noProof/>
                <w:webHidden/>
              </w:rPr>
              <w:fldChar w:fldCharType="end"/>
            </w:r>
          </w:hyperlink>
        </w:p>
        <w:p w14:paraId="63C40CDE" w14:textId="01E49DF5" w:rsidR="007E39A2" w:rsidRDefault="007E39A2">
          <w:pPr>
            <w:pStyle w:val="TOC2"/>
            <w:tabs>
              <w:tab w:val="right" w:leader="dot" w:pos="9010"/>
            </w:tabs>
            <w:rPr>
              <w:rFonts w:eastAsiaTheme="minorEastAsia" w:cstheme="minorBidi"/>
              <w:b w:val="0"/>
              <w:bCs w:val="0"/>
              <w:noProof/>
              <w:sz w:val="24"/>
              <w:szCs w:val="24"/>
            </w:rPr>
          </w:pPr>
          <w:hyperlink w:anchor="_Toc164084283" w:history="1">
            <w:r w:rsidRPr="008277B8">
              <w:rPr>
                <w:rStyle w:val="Hyperlink"/>
                <w:noProof/>
              </w:rPr>
              <w:t>2.2: Lack of Oversight and Unethical Leadership</w:t>
            </w:r>
            <w:r>
              <w:rPr>
                <w:noProof/>
                <w:webHidden/>
              </w:rPr>
              <w:tab/>
            </w:r>
            <w:r>
              <w:rPr>
                <w:noProof/>
                <w:webHidden/>
              </w:rPr>
              <w:fldChar w:fldCharType="begin"/>
            </w:r>
            <w:r>
              <w:rPr>
                <w:noProof/>
                <w:webHidden/>
              </w:rPr>
              <w:instrText xml:space="preserve"> PAGEREF _Toc164084283 \h </w:instrText>
            </w:r>
            <w:r>
              <w:rPr>
                <w:noProof/>
                <w:webHidden/>
              </w:rPr>
            </w:r>
            <w:r>
              <w:rPr>
                <w:noProof/>
                <w:webHidden/>
              </w:rPr>
              <w:fldChar w:fldCharType="separate"/>
            </w:r>
            <w:r>
              <w:rPr>
                <w:noProof/>
                <w:webHidden/>
              </w:rPr>
              <w:t>7</w:t>
            </w:r>
            <w:r>
              <w:rPr>
                <w:noProof/>
                <w:webHidden/>
              </w:rPr>
              <w:fldChar w:fldCharType="end"/>
            </w:r>
          </w:hyperlink>
        </w:p>
        <w:p w14:paraId="732E899F" w14:textId="6F96F2F5" w:rsidR="007E39A2" w:rsidRDefault="007E39A2">
          <w:pPr>
            <w:pStyle w:val="TOC2"/>
            <w:tabs>
              <w:tab w:val="right" w:leader="dot" w:pos="9010"/>
            </w:tabs>
            <w:rPr>
              <w:rFonts w:eastAsiaTheme="minorEastAsia" w:cstheme="minorBidi"/>
              <w:b w:val="0"/>
              <w:bCs w:val="0"/>
              <w:noProof/>
              <w:sz w:val="24"/>
              <w:szCs w:val="24"/>
            </w:rPr>
          </w:pPr>
          <w:hyperlink w:anchor="_Toc164084284" w:history="1">
            <w:r w:rsidRPr="008277B8">
              <w:rPr>
                <w:rStyle w:val="Hyperlink"/>
                <w:noProof/>
              </w:rPr>
              <w:t>2.4: Regulatory Issues</w:t>
            </w:r>
            <w:r>
              <w:rPr>
                <w:noProof/>
                <w:webHidden/>
              </w:rPr>
              <w:tab/>
            </w:r>
            <w:r>
              <w:rPr>
                <w:noProof/>
                <w:webHidden/>
              </w:rPr>
              <w:fldChar w:fldCharType="begin"/>
            </w:r>
            <w:r>
              <w:rPr>
                <w:noProof/>
                <w:webHidden/>
              </w:rPr>
              <w:instrText xml:space="preserve"> PAGEREF _Toc164084284 \h </w:instrText>
            </w:r>
            <w:r>
              <w:rPr>
                <w:noProof/>
                <w:webHidden/>
              </w:rPr>
            </w:r>
            <w:r>
              <w:rPr>
                <w:noProof/>
                <w:webHidden/>
              </w:rPr>
              <w:fldChar w:fldCharType="separate"/>
            </w:r>
            <w:r>
              <w:rPr>
                <w:noProof/>
                <w:webHidden/>
              </w:rPr>
              <w:t>8</w:t>
            </w:r>
            <w:r>
              <w:rPr>
                <w:noProof/>
                <w:webHidden/>
              </w:rPr>
              <w:fldChar w:fldCharType="end"/>
            </w:r>
          </w:hyperlink>
        </w:p>
        <w:p w14:paraId="5B6284F5" w14:textId="1CDD8EBA" w:rsidR="007E39A2" w:rsidRDefault="007E39A2">
          <w:pPr>
            <w:pStyle w:val="TOC1"/>
            <w:tabs>
              <w:tab w:val="right" w:leader="dot" w:pos="9010"/>
            </w:tabs>
            <w:rPr>
              <w:rFonts w:eastAsiaTheme="minorEastAsia" w:cstheme="minorBidi"/>
              <w:b w:val="0"/>
              <w:bCs w:val="0"/>
              <w:i w:val="0"/>
              <w:iCs w:val="0"/>
              <w:noProof/>
            </w:rPr>
          </w:pPr>
          <w:hyperlink w:anchor="_Toc164084285" w:history="1">
            <w:r w:rsidRPr="008277B8">
              <w:rPr>
                <w:rStyle w:val="Hyperlink"/>
                <w:noProof/>
              </w:rPr>
              <w:t>3. Ethical Frameworks Application</w:t>
            </w:r>
            <w:r>
              <w:rPr>
                <w:noProof/>
                <w:webHidden/>
              </w:rPr>
              <w:tab/>
            </w:r>
            <w:r>
              <w:rPr>
                <w:noProof/>
                <w:webHidden/>
              </w:rPr>
              <w:fldChar w:fldCharType="begin"/>
            </w:r>
            <w:r>
              <w:rPr>
                <w:noProof/>
                <w:webHidden/>
              </w:rPr>
              <w:instrText xml:space="preserve"> PAGEREF _Toc164084285 \h </w:instrText>
            </w:r>
            <w:r>
              <w:rPr>
                <w:noProof/>
                <w:webHidden/>
              </w:rPr>
            </w:r>
            <w:r>
              <w:rPr>
                <w:noProof/>
                <w:webHidden/>
              </w:rPr>
              <w:fldChar w:fldCharType="separate"/>
            </w:r>
            <w:r>
              <w:rPr>
                <w:noProof/>
                <w:webHidden/>
              </w:rPr>
              <w:t>9</w:t>
            </w:r>
            <w:r>
              <w:rPr>
                <w:noProof/>
                <w:webHidden/>
              </w:rPr>
              <w:fldChar w:fldCharType="end"/>
            </w:r>
          </w:hyperlink>
        </w:p>
        <w:p w14:paraId="6D938FEE" w14:textId="10B36118" w:rsidR="007E39A2" w:rsidRDefault="007E39A2">
          <w:pPr>
            <w:pStyle w:val="TOC2"/>
            <w:tabs>
              <w:tab w:val="right" w:leader="dot" w:pos="9010"/>
            </w:tabs>
            <w:rPr>
              <w:rFonts w:eastAsiaTheme="minorEastAsia" w:cstheme="minorBidi"/>
              <w:b w:val="0"/>
              <w:bCs w:val="0"/>
              <w:noProof/>
              <w:sz w:val="24"/>
              <w:szCs w:val="24"/>
            </w:rPr>
          </w:pPr>
          <w:hyperlink w:anchor="_Toc164084286" w:history="1">
            <w:r w:rsidRPr="008277B8">
              <w:rPr>
                <w:rStyle w:val="Hyperlink"/>
                <w:noProof/>
              </w:rPr>
              <w:t>3.1: Stakeholder Theory</w:t>
            </w:r>
            <w:r>
              <w:rPr>
                <w:noProof/>
                <w:webHidden/>
              </w:rPr>
              <w:tab/>
            </w:r>
            <w:r>
              <w:rPr>
                <w:noProof/>
                <w:webHidden/>
              </w:rPr>
              <w:fldChar w:fldCharType="begin"/>
            </w:r>
            <w:r>
              <w:rPr>
                <w:noProof/>
                <w:webHidden/>
              </w:rPr>
              <w:instrText xml:space="preserve"> PAGEREF _Toc164084286 \h </w:instrText>
            </w:r>
            <w:r>
              <w:rPr>
                <w:noProof/>
                <w:webHidden/>
              </w:rPr>
            </w:r>
            <w:r>
              <w:rPr>
                <w:noProof/>
                <w:webHidden/>
              </w:rPr>
              <w:fldChar w:fldCharType="separate"/>
            </w:r>
            <w:r>
              <w:rPr>
                <w:noProof/>
                <w:webHidden/>
              </w:rPr>
              <w:t>9</w:t>
            </w:r>
            <w:r>
              <w:rPr>
                <w:noProof/>
                <w:webHidden/>
              </w:rPr>
              <w:fldChar w:fldCharType="end"/>
            </w:r>
          </w:hyperlink>
        </w:p>
        <w:p w14:paraId="51059100" w14:textId="0DC83B4E" w:rsidR="007E39A2" w:rsidRDefault="007E39A2">
          <w:pPr>
            <w:pStyle w:val="TOC2"/>
            <w:tabs>
              <w:tab w:val="right" w:leader="dot" w:pos="9010"/>
            </w:tabs>
            <w:rPr>
              <w:rFonts w:eastAsiaTheme="minorEastAsia" w:cstheme="minorBidi"/>
              <w:b w:val="0"/>
              <w:bCs w:val="0"/>
              <w:noProof/>
              <w:sz w:val="24"/>
              <w:szCs w:val="24"/>
            </w:rPr>
          </w:pPr>
          <w:hyperlink w:anchor="_Toc164084287" w:history="1">
            <w:r w:rsidRPr="008277B8">
              <w:rPr>
                <w:rStyle w:val="Hyperlink"/>
                <w:noProof/>
              </w:rPr>
              <w:t>3.2: Agency Theory</w:t>
            </w:r>
            <w:r>
              <w:rPr>
                <w:noProof/>
                <w:webHidden/>
              </w:rPr>
              <w:tab/>
            </w:r>
            <w:r>
              <w:rPr>
                <w:noProof/>
                <w:webHidden/>
              </w:rPr>
              <w:fldChar w:fldCharType="begin"/>
            </w:r>
            <w:r>
              <w:rPr>
                <w:noProof/>
                <w:webHidden/>
              </w:rPr>
              <w:instrText xml:space="preserve"> PAGEREF _Toc164084287 \h </w:instrText>
            </w:r>
            <w:r>
              <w:rPr>
                <w:noProof/>
                <w:webHidden/>
              </w:rPr>
            </w:r>
            <w:r>
              <w:rPr>
                <w:noProof/>
                <w:webHidden/>
              </w:rPr>
              <w:fldChar w:fldCharType="separate"/>
            </w:r>
            <w:r>
              <w:rPr>
                <w:noProof/>
                <w:webHidden/>
              </w:rPr>
              <w:t>11</w:t>
            </w:r>
            <w:r>
              <w:rPr>
                <w:noProof/>
                <w:webHidden/>
              </w:rPr>
              <w:fldChar w:fldCharType="end"/>
            </w:r>
          </w:hyperlink>
        </w:p>
        <w:p w14:paraId="5D988A6F" w14:textId="27E59128" w:rsidR="007E39A2" w:rsidRDefault="007E39A2">
          <w:pPr>
            <w:pStyle w:val="TOC1"/>
            <w:tabs>
              <w:tab w:val="right" w:leader="dot" w:pos="9010"/>
            </w:tabs>
            <w:rPr>
              <w:rFonts w:eastAsiaTheme="minorEastAsia" w:cstheme="minorBidi"/>
              <w:b w:val="0"/>
              <w:bCs w:val="0"/>
              <w:i w:val="0"/>
              <w:iCs w:val="0"/>
              <w:noProof/>
            </w:rPr>
          </w:pPr>
          <w:hyperlink w:anchor="_Toc164084288" w:history="1">
            <w:r w:rsidRPr="008277B8">
              <w:rPr>
                <w:rStyle w:val="Hyperlink"/>
                <w:noProof/>
              </w:rPr>
              <w:t>4. Impact on Stakeholders</w:t>
            </w:r>
            <w:r>
              <w:rPr>
                <w:noProof/>
                <w:webHidden/>
              </w:rPr>
              <w:tab/>
            </w:r>
            <w:r>
              <w:rPr>
                <w:noProof/>
                <w:webHidden/>
              </w:rPr>
              <w:fldChar w:fldCharType="begin"/>
            </w:r>
            <w:r>
              <w:rPr>
                <w:noProof/>
                <w:webHidden/>
              </w:rPr>
              <w:instrText xml:space="preserve"> PAGEREF _Toc164084288 \h </w:instrText>
            </w:r>
            <w:r>
              <w:rPr>
                <w:noProof/>
                <w:webHidden/>
              </w:rPr>
            </w:r>
            <w:r>
              <w:rPr>
                <w:noProof/>
                <w:webHidden/>
              </w:rPr>
              <w:fldChar w:fldCharType="separate"/>
            </w:r>
            <w:r>
              <w:rPr>
                <w:noProof/>
                <w:webHidden/>
              </w:rPr>
              <w:t>12</w:t>
            </w:r>
            <w:r>
              <w:rPr>
                <w:noProof/>
                <w:webHidden/>
              </w:rPr>
              <w:fldChar w:fldCharType="end"/>
            </w:r>
          </w:hyperlink>
        </w:p>
        <w:p w14:paraId="4003B192" w14:textId="505E81B2" w:rsidR="007E39A2" w:rsidRDefault="007E39A2">
          <w:pPr>
            <w:pStyle w:val="TOC2"/>
            <w:tabs>
              <w:tab w:val="right" w:leader="dot" w:pos="9010"/>
            </w:tabs>
            <w:rPr>
              <w:rFonts w:eastAsiaTheme="minorEastAsia" w:cstheme="minorBidi"/>
              <w:b w:val="0"/>
              <w:bCs w:val="0"/>
              <w:noProof/>
              <w:sz w:val="24"/>
              <w:szCs w:val="24"/>
            </w:rPr>
          </w:pPr>
          <w:hyperlink w:anchor="_Toc164084289" w:history="1">
            <w:r w:rsidRPr="008277B8">
              <w:rPr>
                <w:rStyle w:val="Hyperlink"/>
                <w:noProof/>
              </w:rPr>
              <w:t>4.1: Shareholders</w:t>
            </w:r>
            <w:r>
              <w:rPr>
                <w:noProof/>
                <w:webHidden/>
              </w:rPr>
              <w:tab/>
            </w:r>
            <w:r>
              <w:rPr>
                <w:noProof/>
                <w:webHidden/>
              </w:rPr>
              <w:fldChar w:fldCharType="begin"/>
            </w:r>
            <w:r>
              <w:rPr>
                <w:noProof/>
                <w:webHidden/>
              </w:rPr>
              <w:instrText xml:space="preserve"> PAGEREF _Toc164084289 \h </w:instrText>
            </w:r>
            <w:r>
              <w:rPr>
                <w:noProof/>
                <w:webHidden/>
              </w:rPr>
            </w:r>
            <w:r>
              <w:rPr>
                <w:noProof/>
                <w:webHidden/>
              </w:rPr>
              <w:fldChar w:fldCharType="separate"/>
            </w:r>
            <w:r>
              <w:rPr>
                <w:noProof/>
                <w:webHidden/>
              </w:rPr>
              <w:t>12</w:t>
            </w:r>
            <w:r>
              <w:rPr>
                <w:noProof/>
                <w:webHidden/>
              </w:rPr>
              <w:fldChar w:fldCharType="end"/>
            </w:r>
          </w:hyperlink>
        </w:p>
        <w:p w14:paraId="68C0016F" w14:textId="10DB29F8" w:rsidR="007E39A2" w:rsidRDefault="007E39A2">
          <w:pPr>
            <w:pStyle w:val="TOC2"/>
            <w:tabs>
              <w:tab w:val="right" w:leader="dot" w:pos="9010"/>
            </w:tabs>
            <w:rPr>
              <w:rFonts w:eastAsiaTheme="minorEastAsia" w:cstheme="minorBidi"/>
              <w:b w:val="0"/>
              <w:bCs w:val="0"/>
              <w:noProof/>
              <w:sz w:val="24"/>
              <w:szCs w:val="24"/>
            </w:rPr>
          </w:pPr>
          <w:hyperlink w:anchor="_Toc164084290" w:history="1">
            <w:r w:rsidRPr="008277B8">
              <w:rPr>
                <w:rStyle w:val="Hyperlink"/>
                <w:noProof/>
              </w:rPr>
              <w:t>4.2: Employees</w:t>
            </w:r>
            <w:r>
              <w:rPr>
                <w:noProof/>
                <w:webHidden/>
              </w:rPr>
              <w:tab/>
            </w:r>
            <w:r>
              <w:rPr>
                <w:noProof/>
                <w:webHidden/>
              </w:rPr>
              <w:fldChar w:fldCharType="begin"/>
            </w:r>
            <w:r>
              <w:rPr>
                <w:noProof/>
                <w:webHidden/>
              </w:rPr>
              <w:instrText xml:space="preserve"> PAGEREF _Toc164084290 \h </w:instrText>
            </w:r>
            <w:r>
              <w:rPr>
                <w:noProof/>
                <w:webHidden/>
              </w:rPr>
            </w:r>
            <w:r>
              <w:rPr>
                <w:noProof/>
                <w:webHidden/>
              </w:rPr>
              <w:fldChar w:fldCharType="separate"/>
            </w:r>
            <w:r>
              <w:rPr>
                <w:noProof/>
                <w:webHidden/>
              </w:rPr>
              <w:t>13</w:t>
            </w:r>
            <w:r>
              <w:rPr>
                <w:noProof/>
                <w:webHidden/>
              </w:rPr>
              <w:fldChar w:fldCharType="end"/>
            </w:r>
          </w:hyperlink>
        </w:p>
        <w:p w14:paraId="2903DF89" w14:textId="15D8A08F" w:rsidR="007E39A2" w:rsidRDefault="007E39A2">
          <w:pPr>
            <w:pStyle w:val="TOC2"/>
            <w:tabs>
              <w:tab w:val="right" w:leader="dot" w:pos="9010"/>
            </w:tabs>
            <w:rPr>
              <w:rFonts w:eastAsiaTheme="minorEastAsia" w:cstheme="minorBidi"/>
              <w:b w:val="0"/>
              <w:bCs w:val="0"/>
              <w:noProof/>
              <w:sz w:val="24"/>
              <w:szCs w:val="24"/>
            </w:rPr>
          </w:pPr>
          <w:hyperlink w:anchor="_Toc164084291" w:history="1">
            <w:r w:rsidRPr="008277B8">
              <w:rPr>
                <w:rStyle w:val="Hyperlink"/>
                <w:noProof/>
              </w:rPr>
              <w:t>4.3: Customers</w:t>
            </w:r>
            <w:r>
              <w:rPr>
                <w:noProof/>
                <w:webHidden/>
              </w:rPr>
              <w:tab/>
            </w:r>
            <w:r>
              <w:rPr>
                <w:noProof/>
                <w:webHidden/>
              </w:rPr>
              <w:fldChar w:fldCharType="begin"/>
            </w:r>
            <w:r>
              <w:rPr>
                <w:noProof/>
                <w:webHidden/>
              </w:rPr>
              <w:instrText xml:space="preserve"> PAGEREF _Toc164084291 \h </w:instrText>
            </w:r>
            <w:r>
              <w:rPr>
                <w:noProof/>
                <w:webHidden/>
              </w:rPr>
            </w:r>
            <w:r>
              <w:rPr>
                <w:noProof/>
                <w:webHidden/>
              </w:rPr>
              <w:fldChar w:fldCharType="separate"/>
            </w:r>
            <w:r>
              <w:rPr>
                <w:noProof/>
                <w:webHidden/>
              </w:rPr>
              <w:t>13</w:t>
            </w:r>
            <w:r>
              <w:rPr>
                <w:noProof/>
                <w:webHidden/>
              </w:rPr>
              <w:fldChar w:fldCharType="end"/>
            </w:r>
          </w:hyperlink>
        </w:p>
        <w:p w14:paraId="14A346F1" w14:textId="3132F9E2" w:rsidR="007E39A2" w:rsidRDefault="007E39A2">
          <w:pPr>
            <w:pStyle w:val="TOC2"/>
            <w:tabs>
              <w:tab w:val="right" w:leader="dot" w:pos="9010"/>
            </w:tabs>
            <w:rPr>
              <w:rFonts w:eastAsiaTheme="minorEastAsia" w:cstheme="minorBidi"/>
              <w:b w:val="0"/>
              <w:bCs w:val="0"/>
              <w:noProof/>
              <w:sz w:val="24"/>
              <w:szCs w:val="24"/>
            </w:rPr>
          </w:pPr>
          <w:hyperlink w:anchor="_Toc164084292" w:history="1">
            <w:r w:rsidRPr="008277B8">
              <w:rPr>
                <w:rStyle w:val="Hyperlink"/>
                <w:noProof/>
              </w:rPr>
              <w:t>4.4: Other Stakeholders</w:t>
            </w:r>
            <w:r>
              <w:rPr>
                <w:noProof/>
                <w:webHidden/>
              </w:rPr>
              <w:tab/>
            </w:r>
            <w:r>
              <w:rPr>
                <w:noProof/>
                <w:webHidden/>
              </w:rPr>
              <w:fldChar w:fldCharType="begin"/>
            </w:r>
            <w:r>
              <w:rPr>
                <w:noProof/>
                <w:webHidden/>
              </w:rPr>
              <w:instrText xml:space="preserve"> PAGEREF _Toc164084292 \h </w:instrText>
            </w:r>
            <w:r>
              <w:rPr>
                <w:noProof/>
                <w:webHidden/>
              </w:rPr>
            </w:r>
            <w:r>
              <w:rPr>
                <w:noProof/>
                <w:webHidden/>
              </w:rPr>
              <w:fldChar w:fldCharType="separate"/>
            </w:r>
            <w:r>
              <w:rPr>
                <w:noProof/>
                <w:webHidden/>
              </w:rPr>
              <w:t>14</w:t>
            </w:r>
            <w:r>
              <w:rPr>
                <w:noProof/>
                <w:webHidden/>
              </w:rPr>
              <w:fldChar w:fldCharType="end"/>
            </w:r>
          </w:hyperlink>
        </w:p>
        <w:p w14:paraId="56E5398E" w14:textId="43E1AC75" w:rsidR="007E39A2" w:rsidRDefault="007E39A2">
          <w:pPr>
            <w:pStyle w:val="TOC1"/>
            <w:tabs>
              <w:tab w:val="right" w:leader="dot" w:pos="9010"/>
            </w:tabs>
            <w:rPr>
              <w:rFonts w:eastAsiaTheme="minorEastAsia" w:cstheme="minorBidi"/>
              <w:b w:val="0"/>
              <w:bCs w:val="0"/>
              <w:i w:val="0"/>
              <w:iCs w:val="0"/>
              <w:noProof/>
            </w:rPr>
          </w:pPr>
          <w:hyperlink w:anchor="_Toc164084293" w:history="1">
            <w:r w:rsidRPr="008277B8">
              <w:rPr>
                <w:rStyle w:val="Hyperlink"/>
                <w:noProof/>
              </w:rPr>
              <w:t>5. Actions and Future Recommendations</w:t>
            </w:r>
            <w:r>
              <w:rPr>
                <w:noProof/>
                <w:webHidden/>
              </w:rPr>
              <w:tab/>
            </w:r>
            <w:r>
              <w:rPr>
                <w:noProof/>
                <w:webHidden/>
              </w:rPr>
              <w:fldChar w:fldCharType="begin"/>
            </w:r>
            <w:r>
              <w:rPr>
                <w:noProof/>
                <w:webHidden/>
              </w:rPr>
              <w:instrText xml:space="preserve"> PAGEREF _Toc164084293 \h </w:instrText>
            </w:r>
            <w:r>
              <w:rPr>
                <w:noProof/>
                <w:webHidden/>
              </w:rPr>
            </w:r>
            <w:r>
              <w:rPr>
                <w:noProof/>
                <w:webHidden/>
              </w:rPr>
              <w:fldChar w:fldCharType="separate"/>
            </w:r>
            <w:r>
              <w:rPr>
                <w:noProof/>
                <w:webHidden/>
              </w:rPr>
              <w:t>15</w:t>
            </w:r>
            <w:r>
              <w:rPr>
                <w:noProof/>
                <w:webHidden/>
              </w:rPr>
              <w:fldChar w:fldCharType="end"/>
            </w:r>
          </w:hyperlink>
        </w:p>
        <w:p w14:paraId="32DDEAA8" w14:textId="1DFF513B" w:rsidR="007E39A2" w:rsidRDefault="007E39A2">
          <w:pPr>
            <w:pStyle w:val="TOC2"/>
            <w:tabs>
              <w:tab w:val="right" w:leader="dot" w:pos="9010"/>
            </w:tabs>
            <w:rPr>
              <w:rFonts w:eastAsiaTheme="minorEastAsia" w:cstheme="minorBidi"/>
              <w:b w:val="0"/>
              <w:bCs w:val="0"/>
              <w:noProof/>
              <w:sz w:val="24"/>
              <w:szCs w:val="24"/>
            </w:rPr>
          </w:pPr>
          <w:hyperlink w:anchor="_Toc164084294" w:history="1">
            <w:r w:rsidRPr="008277B8">
              <w:rPr>
                <w:rStyle w:val="Hyperlink"/>
                <w:noProof/>
              </w:rPr>
              <w:t>5.1: Actions taken by Regulators</w:t>
            </w:r>
            <w:r>
              <w:rPr>
                <w:noProof/>
                <w:webHidden/>
              </w:rPr>
              <w:tab/>
            </w:r>
            <w:r>
              <w:rPr>
                <w:noProof/>
                <w:webHidden/>
              </w:rPr>
              <w:fldChar w:fldCharType="begin"/>
            </w:r>
            <w:r>
              <w:rPr>
                <w:noProof/>
                <w:webHidden/>
              </w:rPr>
              <w:instrText xml:space="preserve"> PAGEREF _Toc164084294 \h </w:instrText>
            </w:r>
            <w:r>
              <w:rPr>
                <w:noProof/>
                <w:webHidden/>
              </w:rPr>
            </w:r>
            <w:r>
              <w:rPr>
                <w:noProof/>
                <w:webHidden/>
              </w:rPr>
              <w:fldChar w:fldCharType="separate"/>
            </w:r>
            <w:r>
              <w:rPr>
                <w:noProof/>
                <w:webHidden/>
              </w:rPr>
              <w:t>15</w:t>
            </w:r>
            <w:r>
              <w:rPr>
                <w:noProof/>
                <w:webHidden/>
              </w:rPr>
              <w:fldChar w:fldCharType="end"/>
            </w:r>
          </w:hyperlink>
        </w:p>
        <w:p w14:paraId="0680025B" w14:textId="62A93A55" w:rsidR="007E39A2" w:rsidRDefault="007E39A2">
          <w:pPr>
            <w:pStyle w:val="TOC2"/>
            <w:tabs>
              <w:tab w:val="right" w:leader="dot" w:pos="9010"/>
            </w:tabs>
            <w:rPr>
              <w:rFonts w:eastAsiaTheme="minorEastAsia" w:cstheme="minorBidi"/>
              <w:b w:val="0"/>
              <w:bCs w:val="0"/>
              <w:noProof/>
              <w:sz w:val="24"/>
              <w:szCs w:val="24"/>
            </w:rPr>
          </w:pPr>
          <w:hyperlink w:anchor="_Toc164084295" w:history="1">
            <w:r w:rsidRPr="008277B8">
              <w:rPr>
                <w:rStyle w:val="Hyperlink"/>
                <w:noProof/>
              </w:rPr>
              <w:t>5.2: Actions taken by Wells Fargo</w:t>
            </w:r>
            <w:r>
              <w:rPr>
                <w:noProof/>
                <w:webHidden/>
              </w:rPr>
              <w:tab/>
            </w:r>
            <w:r>
              <w:rPr>
                <w:noProof/>
                <w:webHidden/>
              </w:rPr>
              <w:fldChar w:fldCharType="begin"/>
            </w:r>
            <w:r>
              <w:rPr>
                <w:noProof/>
                <w:webHidden/>
              </w:rPr>
              <w:instrText xml:space="preserve"> PAGEREF _Toc164084295 \h </w:instrText>
            </w:r>
            <w:r>
              <w:rPr>
                <w:noProof/>
                <w:webHidden/>
              </w:rPr>
            </w:r>
            <w:r>
              <w:rPr>
                <w:noProof/>
                <w:webHidden/>
              </w:rPr>
              <w:fldChar w:fldCharType="separate"/>
            </w:r>
            <w:r>
              <w:rPr>
                <w:noProof/>
                <w:webHidden/>
              </w:rPr>
              <w:t>16</w:t>
            </w:r>
            <w:r>
              <w:rPr>
                <w:noProof/>
                <w:webHidden/>
              </w:rPr>
              <w:fldChar w:fldCharType="end"/>
            </w:r>
          </w:hyperlink>
        </w:p>
        <w:p w14:paraId="77E70FEF" w14:textId="429B19EC" w:rsidR="007E39A2" w:rsidRDefault="007E39A2">
          <w:pPr>
            <w:pStyle w:val="TOC2"/>
            <w:tabs>
              <w:tab w:val="right" w:leader="dot" w:pos="9010"/>
            </w:tabs>
            <w:rPr>
              <w:rFonts w:eastAsiaTheme="minorEastAsia" w:cstheme="minorBidi"/>
              <w:b w:val="0"/>
              <w:bCs w:val="0"/>
              <w:noProof/>
              <w:sz w:val="24"/>
              <w:szCs w:val="24"/>
            </w:rPr>
          </w:pPr>
          <w:hyperlink w:anchor="_Toc164084296" w:history="1">
            <w:r w:rsidRPr="008277B8">
              <w:rPr>
                <w:rStyle w:val="Hyperlink"/>
                <w:noProof/>
              </w:rPr>
              <w:t>5.3: Recommendations</w:t>
            </w:r>
            <w:r>
              <w:rPr>
                <w:noProof/>
                <w:webHidden/>
              </w:rPr>
              <w:tab/>
            </w:r>
            <w:r>
              <w:rPr>
                <w:noProof/>
                <w:webHidden/>
              </w:rPr>
              <w:fldChar w:fldCharType="begin"/>
            </w:r>
            <w:r>
              <w:rPr>
                <w:noProof/>
                <w:webHidden/>
              </w:rPr>
              <w:instrText xml:space="preserve"> PAGEREF _Toc164084296 \h </w:instrText>
            </w:r>
            <w:r>
              <w:rPr>
                <w:noProof/>
                <w:webHidden/>
              </w:rPr>
            </w:r>
            <w:r>
              <w:rPr>
                <w:noProof/>
                <w:webHidden/>
              </w:rPr>
              <w:fldChar w:fldCharType="separate"/>
            </w:r>
            <w:r>
              <w:rPr>
                <w:noProof/>
                <w:webHidden/>
              </w:rPr>
              <w:t>16</w:t>
            </w:r>
            <w:r>
              <w:rPr>
                <w:noProof/>
                <w:webHidden/>
              </w:rPr>
              <w:fldChar w:fldCharType="end"/>
            </w:r>
          </w:hyperlink>
        </w:p>
        <w:p w14:paraId="765B2A79" w14:textId="4730BB22" w:rsidR="007E39A2" w:rsidRDefault="007E39A2">
          <w:pPr>
            <w:pStyle w:val="TOC1"/>
            <w:tabs>
              <w:tab w:val="right" w:leader="dot" w:pos="9010"/>
            </w:tabs>
            <w:rPr>
              <w:rFonts w:eastAsiaTheme="minorEastAsia" w:cstheme="minorBidi"/>
              <w:b w:val="0"/>
              <w:bCs w:val="0"/>
              <w:i w:val="0"/>
              <w:iCs w:val="0"/>
              <w:noProof/>
            </w:rPr>
          </w:pPr>
          <w:hyperlink w:anchor="_Toc164084297" w:history="1">
            <w:r w:rsidRPr="008277B8">
              <w:rPr>
                <w:rStyle w:val="Hyperlink"/>
                <w:noProof/>
              </w:rPr>
              <w:t>6. Conclusion</w:t>
            </w:r>
            <w:r>
              <w:rPr>
                <w:noProof/>
                <w:webHidden/>
              </w:rPr>
              <w:tab/>
            </w:r>
            <w:r>
              <w:rPr>
                <w:noProof/>
                <w:webHidden/>
              </w:rPr>
              <w:fldChar w:fldCharType="begin"/>
            </w:r>
            <w:r>
              <w:rPr>
                <w:noProof/>
                <w:webHidden/>
              </w:rPr>
              <w:instrText xml:space="preserve"> PAGEREF _Toc164084297 \h </w:instrText>
            </w:r>
            <w:r>
              <w:rPr>
                <w:noProof/>
                <w:webHidden/>
              </w:rPr>
            </w:r>
            <w:r>
              <w:rPr>
                <w:noProof/>
                <w:webHidden/>
              </w:rPr>
              <w:fldChar w:fldCharType="separate"/>
            </w:r>
            <w:r>
              <w:rPr>
                <w:noProof/>
                <w:webHidden/>
              </w:rPr>
              <w:t>17</w:t>
            </w:r>
            <w:r>
              <w:rPr>
                <w:noProof/>
                <w:webHidden/>
              </w:rPr>
              <w:fldChar w:fldCharType="end"/>
            </w:r>
          </w:hyperlink>
        </w:p>
        <w:p w14:paraId="22795E78" w14:textId="36FEAE18" w:rsidR="007E39A2" w:rsidRDefault="007E39A2">
          <w:pPr>
            <w:pStyle w:val="TOC1"/>
            <w:tabs>
              <w:tab w:val="right" w:leader="dot" w:pos="9010"/>
            </w:tabs>
            <w:rPr>
              <w:rFonts w:eastAsiaTheme="minorEastAsia" w:cstheme="minorBidi"/>
              <w:b w:val="0"/>
              <w:bCs w:val="0"/>
              <w:i w:val="0"/>
              <w:iCs w:val="0"/>
              <w:noProof/>
            </w:rPr>
          </w:pPr>
          <w:hyperlink w:anchor="_Toc164084298" w:history="1">
            <w:r w:rsidRPr="008277B8">
              <w:rPr>
                <w:rStyle w:val="Hyperlink"/>
                <w:noProof/>
              </w:rPr>
              <w:t>Reference list</w:t>
            </w:r>
            <w:r>
              <w:rPr>
                <w:noProof/>
                <w:webHidden/>
              </w:rPr>
              <w:tab/>
            </w:r>
            <w:r>
              <w:rPr>
                <w:noProof/>
                <w:webHidden/>
              </w:rPr>
              <w:fldChar w:fldCharType="begin"/>
            </w:r>
            <w:r>
              <w:rPr>
                <w:noProof/>
                <w:webHidden/>
              </w:rPr>
              <w:instrText xml:space="preserve"> PAGEREF _Toc164084298 \h </w:instrText>
            </w:r>
            <w:r>
              <w:rPr>
                <w:noProof/>
                <w:webHidden/>
              </w:rPr>
            </w:r>
            <w:r>
              <w:rPr>
                <w:noProof/>
                <w:webHidden/>
              </w:rPr>
              <w:fldChar w:fldCharType="separate"/>
            </w:r>
            <w:r>
              <w:rPr>
                <w:noProof/>
                <w:webHidden/>
              </w:rPr>
              <w:t>18</w:t>
            </w:r>
            <w:r>
              <w:rPr>
                <w:noProof/>
                <w:webHidden/>
              </w:rPr>
              <w:fldChar w:fldCharType="end"/>
            </w:r>
          </w:hyperlink>
        </w:p>
        <w:p w14:paraId="2FD61744" w14:textId="2529D479" w:rsidR="00AC5FEF" w:rsidRDefault="00AC5FEF">
          <w:r>
            <w:rPr>
              <w:b/>
              <w:bCs/>
              <w:noProof/>
            </w:rPr>
            <w:fldChar w:fldCharType="end"/>
          </w:r>
        </w:p>
      </w:sdtContent>
    </w:sdt>
    <w:p w14:paraId="0D6F1B41" w14:textId="1237EADA" w:rsidR="007A17F6" w:rsidRDefault="007A17F6" w:rsidP="007A17F6">
      <w:pPr>
        <w:rPr>
          <w:rFonts w:ascii="Arial" w:hAnsi="Arial" w:cs="Arial"/>
        </w:rPr>
      </w:pPr>
    </w:p>
    <w:p w14:paraId="063971C2" w14:textId="64CDDAAB" w:rsidR="00AC5FEF" w:rsidRDefault="00AC5FEF" w:rsidP="007A17F6">
      <w:pPr>
        <w:rPr>
          <w:rFonts w:ascii="Arial" w:hAnsi="Arial" w:cs="Arial"/>
        </w:rPr>
      </w:pPr>
    </w:p>
    <w:p w14:paraId="484ABEFE" w14:textId="768DED30" w:rsidR="00AC5FEF" w:rsidRDefault="00AC5FEF" w:rsidP="007A17F6">
      <w:pPr>
        <w:rPr>
          <w:rFonts w:ascii="Arial" w:hAnsi="Arial" w:cs="Arial"/>
        </w:rPr>
      </w:pPr>
    </w:p>
    <w:p w14:paraId="3DD13F40" w14:textId="77777777" w:rsidR="00AC5FEF" w:rsidRPr="000749F2" w:rsidRDefault="00AC5FEF" w:rsidP="007A17F6">
      <w:pPr>
        <w:rPr>
          <w:rFonts w:ascii="Arial" w:hAnsi="Arial" w:cs="Arial"/>
        </w:rPr>
      </w:pPr>
    </w:p>
    <w:p w14:paraId="23293284" w14:textId="7E83AC9E" w:rsidR="007A17F6" w:rsidRPr="000749F2" w:rsidRDefault="007A17F6">
      <w:pPr>
        <w:rPr>
          <w:rFonts w:ascii="Arial" w:hAnsi="Arial" w:cs="Arial"/>
        </w:rPr>
      </w:pPr>
    </w:p>
    <w:p w14:paraId="1C823238" w14:textId="49CD5BE5" w:rsidR="007A17F6" w:rsidRPr="000749F2" w:rsidRDefault="007A17F6">
      <w:pPr>
        <w:rPr>
          <w:rFonts w:ascii="Arial" w:hAnsi="Arial" w:cs="Arial"/>
        </w:rPr>
      </w:pPr>
    </w:p>
    <w:p w14:paraId="096918AF" w14:textId="34E7E398" w:rsidR="009930FD" w:rsidRDefault="009930FD">
      <w:pPr>
        <w:rPr>
          <w:rFonts w:ascii="Arial" w:hAnsi="Arial" w:cs="Arial"/>
        </w:rPr>
      </w:pPr>
    </w:p>
    <w:p w14:paraId="3F12FD89" w14:textId="569536E7" w:rsidR="00AC5FEF" w:rsidRDefault="00AC5FEF">
      <w:pPr>
        <w:rPr>
          <w:rFonts w:ascii="Arial" w:hAnsi="Arial" w:cs="Arial"/>
        </w:rPr>
      </w:pPr>
    </w:p>
    <w:p w14:paraId="3568165B" w14:textId="537DBA16" w:rsidR="00AC5FEF" w:rsidRDefault="00AC5FEF">
      <w:pPr>
        <w:rPr>
          <w:rFonts w:ascii="Arial" w:hAnsi="Arial" w:cs="Arial"/>
        </w:rPr>
      </w:pPr>
    </w:p>
    <w:p w14:paraId="1958BAE8" w14:textId="2C4F133A" w:rsidR="00AC5FEF" w:rsidRDefault="00AC5FEF">
      <w:pPr>
        <w:rPr>
          <w:rFonts w:ascii="Arial" w:hAnsi="Arial" w:cs="Arial"/>
        </w:rPr>
      </w:pPr>
    </w:p>
    <w:p w14:paraId="70A15476" w14:textId="69393D68" w:rsidR="00AC5FEF" w:rsidRDefault="00AC5FEF">
      <w:pPr>
        <w:rPr>
          <w:rFonts w:ascii="Arial" w:hAnsi="Arial" w:cs="Arial"/>
        </w:rPr>
      </w:pPr>
    </w:p>
    <w:p w14:paraId="53F5B6AA" w14:textId="42CC1004" w:rsidR="00AC5FEF" w:rsidRDefault="00AC5FEF">
      <w:pPr>
        <w:rPr>
          <w:rFonts w:ascii="Arial" w:hAnsi="Arial" w:cs="Arial"/>
        </w:rPr>
      </w:pPr>
    </w:p>
    <w:p w14:paraId="298F3C7A" w14:textId="77777777" w:rsidR="00AC5FEF" w:rsidRPr="000749F2" w:rsidRDefault="00AC5FEF">
      <w:pPr>
        <w:rPr>
          <w:rFonts w:ascii="Arial" w:hAnsi="Arial" w:cs="Arial"/>
        </w:rPr>
      </w:pPr>
    </w:p>
    <w:p w14:paraId="5AF22C45" w14:textId="5B065A46" w:rsidR="00CF7700" w:rsidRPr="008551D0" w:rsidRDefault="007A17F6" w:rsidP="00577EFC">
      <w:pPr>
        <w:pStyle w:val="Heading1"/>
        <w:spacing w:line="276" w:lineRule="auto"/>
      </w:pPr>
      <w:bookmarkStart w:id="1" w:name="_Toc164084277"/>
      <w:r w:rsidRPr="008551D0">
        <w:t>1</w:t>
      </w:r>
      <w:r w:rsidR="000749F2" w:rsidRPr="008551D0">
        <w:t>.</w:t>
      </w:r>
      <w:r w:rsidRPr="008551D0">
        <w:t xml:space="preserve"> </w:t>
      </w:r>
      <w:r w:rsidR="00CF7700" w:rsidRPr="008551D0">
        <w:t>Introduction</w:t>
      </w:r>
      <w:bookmarkEnd w:id="1"/>
    </w:p>
    <w:p w14:paraId="69B31A41" w14:textId="3F0F7CA1" w:rsidR="00CF7700" w:rsidRPr="008551D0" w:rsidRDefault="00CF7700" w:rsidP="00577EFC">
      <w:pPr>
        <w:pStyle w:val="Heading2"/>
      </w:pPr>
      <w:bookmarkStart w:id="2" w:name="_Toc164084278"/>
      <w:r w:rsidRPr="008551D0">
        <w:t>1.1</w:t>
      </w:r>
      <w:r w:rsidR="001D443D" w:rsidRPr="008551D0">
        <w:t>:</w:t>
      </w:r>
      <w:r w:rsidRPr="008551D0">
        <w:t xml:space="preserve"> Introduction to Corporate Governance</w:t>
      </w:r>
      <w:bookmarkEnd w:id="2"/>
    </w:p>
    <w:p w14:paraId="6E824B4A" w14:textId="77777777" w:rsidR="00CF7700" w:rsidRPr="001B7C40" w:rsidRDefault="00CF7700" w:rsidP="00577EFC">
      <w:pPr>
        <w:spacing w:line="276" w:lineRule="auto"/>
        <w:rPr>
          <w:rFonts w:ascii="Arial" w:hAnsi="Arial" w:cs="Arial"/>
        </w:rPr>
      </w:pPr>
    </w:p>
    <w:p w14:paraId="60237E9B" w14:textId="098AB2E3" w:rsidR="00CF7700" w:rsidRPr="001B7C40" w:rsidRDefault="00CF7700" w:rsidP="00577EFC">
      <w:pPr>
        <w:spacing w:line="276" w:lineRule="auto"/>
        <w:rPr>
          <w:rFonts w:ascii="Arial" w:hAnsi="Arial" w:cs="Arial"/>
        </w:rPr>
      </w:pPr>
      <w:r w:rsidRPr="001B7C40">
        <w:rPr>
          <w:rFonts w:ascii="Arial" w:hAnsi="Arial" w:cs="Arial"/>
          <w:color w:val="000000"/>
        </w:rPr>
        <w:t xml:space="preserve">Before exploring the corporate governance scandal that enveloped Wells Fargo in 2016, it is imperative to first understand the definition of corporate governance and briefly cover the most important aspects of corporate governance theory. Corporate governance refers to the framework and practices established for directing and controlling the actions and affairs of an entity </w:t>
      </w:r>
      <w:r w:rsidR="00E85676" w:rsidRPr="001B7C40">
        <w:rPr>
          <w:rFonts w:ascii="Arial" w:hAnsi="Arial" w:cs="Arial"/>
        </w:rPr>
        <w:t>(Chartered Governance Institute UK &amp; Ireland, 2021)</w:t>
      </w:r>
      <w:r w:rsidRPr="001B7C40">
        <w:rPr>
          <w:rFonts w:ascii="Arial" w:hAnsi="Arial" w:cs="Arial"/>
          <w:color w:val="000000"/>
        </w:rPr>
        <w:t>. </w:t>
      </w:r>
    </w:p>
    <w:p w14:paraId="4CBCE9BB" w14:textId="77777777" w:rsidR="00CF7700" w:rsidRPr="001B7C40" w:rsidRDefault="00CF7700" w:rsidP="00577EFC">
      <w:pPr>
        <w:spacing w:line="276" w:lineRule="auto"/>
        <w:rPr>
          <w:rFonts w:ascii="Arial" w:hAnsi="Arial" w:cs="Arial"/>
        </w:rPr>
      </w:pPr>
    </w:p>
    <w:p w14:paraId="065F9A95" w14:textId="106B9CEA" w:rsidR="00CF7700" w:rsidRPr="001B7C40" w:rsidRDefault="00CF7700" w:rsidP="00577EFC">
      <w:pPr>
        <w:spacing w:line="276" w:lineRule="auto"/>
        <w:rPr>
          <w:rFonts w:ascii="Arial" w:hAnsi="Arial" w:cs="Arial"/>
        </w:rPr>
      </w:pPr>
      <w:r w:rsidRPr="001B7C40">
        <w:rPr>
          <w:rFonts w:ascii="Arial" w:hAnsi="Arial" w:cs="Arial"/>
          <w:color w:val="000000"/>
        </w:rPr>
        <w:t>It focuses on the relationships and interactions that exist between different stakeholders, such as the board of directors, management, and shareholders</w:t>
      </w:r>
      <w:r w:rsidR="008449D9">
        <w:rPr>
          <w:rFonts w:ascii="Arial" w:hAnsi="Arial" w:cs="Arial"/>
          <w:color w:val="000000"/>
        </w:rPr>
        <w:t>,</w:t>
      </w:r>
      <w:r w:rsidRPr="001B7C40">
        <w:rPr>
          <w:rFonts w:ascii="Arial" w:hAnsi="Arial" w:cs="Arial"/>
          <w:color w:val="000000"/>
        </w:rPr>
        <w:t xml:space="preserve"> to achieve the objectives of corporate governance. According to</w:t>
      </w:r>
      <w:r w:rsidR="00E85676" w:rsidRPr="001B7C40">
        <w:rPr>
          <w:rFonts w:ascii="Arial" w:hAnsi="Arial" w:cs="Arial"/>
          <w:color w:val="000000"/>
        </w:rPr>
        <w:t xml:space="preserve"> </w:t>
      </w:r>
      <w:r w:rsidR="00E85676" w:rsidRPr="001B7C40">
        <w:rPr>
          <w:rFonts w:ascii="Arial" w:hAnsi="Arial" w:cs="Arial"/>
        </w:rPr>
        <w:t>ICAEW</w:t>
      </w:r>
      <w:r w:rsidR="008449D9">
        <w:rPr>
          <w:rFonts w:ascii="Arial" w:hAnsi="Arial" w:cs="Arial"/>
        </w:rPr>
        <w:t xml:space="preserve"> (</w:t>
      </w:r>
      <w:r w:rsidR="00E85676" w:rsidRPr="001B7C40">
        <w:rPr>
          <w:rFonts w:ascii="Arial" w:hAnsi="Arial" w:cs="Arial"/>
        </w:rPr>
        <w:t>2019)</w:t>
      </w:r>
      <w:r w:rsidRPr="001B7C40">
        <w:rPr>
          <w:rFonts w:ascii="Arial" w:hAnsi="Arial" w:cs="Arial"/>
          <w:color w:val="000000"/>
        </w:rPr>
        <w:t>, the overarching objective of corporate governance is to ensure the long-term prosperity of a company by fostering efficient and prudent management of the entity. To achieve this objective, corporate governance, through an internal system of policies and procedures, aims to provide transparency, accountability</w:t>
      </w:r>
      <w:r w:rsidR="008449D9">
        <w:rPr>
          <w:rFonts w:ascii="Arial" w:hAnsi="Arial" w:cs="Arial"/>
          <w:color w:val="000000"/>
        </w:rPr>
        <w:t>,</w:t>
      </w:r>
      <w:r w:rsidRPr="001B7C40">
        <w:rPr>
          <w:rFonts w:ascii="Arial" w:hAnsi="Arial" w:cs="Arial"/>
          <w:color w:val="000000"/>
        </w:rPr>
        <w:t xml:space="preserve"> and integrity through the direction and control of management activities. </w:t>
      </w:r>
    </w:p>
    <w:p w14:paraId="1CB9EBF8" w14:textId="77777777" w:rsidR="00CF7700" w:rsidRPr="001B7C40" w:rsidRDefault="00CF7700" w:rsidP="00577EFC">
      <w:pPr>
        <w:spacing w:line="276" w:lineRule="auto"/>
        <w:rPr>
          <w:rFonts w:ascii="Arial" w:hAnsi="Arial" w:cs="Arial"/>
        </w:rPr>
      </w:pPr>
    </w:p>
    <w:p w14:paraId="0CB6AE7A" w14:textId="3977A77C" w:rsidR="00CF7700" w:rsidRDefault="00CF7700" w:rsidP="00577EFC">
      <w:pPr>
        <w:spacing w:line="276" w:lineRule="auto"/>
        <w:rPr>
          <w:rFonts w:ascii="Arial" w:hAnsi="Arial" w:cs="Arial"/>
        </w:rPr>
      </w:pPr>
      <w:r w:rsidRPr="001B7C40">
        <w:rPr>
          <w:rFonts w:ascii="Arial" w:hAnsi="Arial" w:cs="Arial"/>
          <w:color w:val="000000"/>
        </w:rPr>
        <w:t>However, effective corporate governance requires a board culture that is strong enough to safeguard these policies and procedures. By enforcing effective governance practices, a robust board culture helps to mitigate risks and identify any problems that need to be addressed before they escalate further into significant crises</w:t>
      </w:r>
      <w:r w:rsidR="002A35FB">
        <w:rPr>
          <w:rFonts w:ascii="Arial" w:hAnsi="Arial" w:cs="Arial"/>
          <w:color w:val="000000"/>
        </w:rPr>
        <w:t>,</w:t>
      </w:r>
      <w:r w:rsidRPr="001B7C40">
        <w:rPr>
          <w:rFonts w:ascii="Arial" w:hAnsi="Arial" w:cs="Arial"/>
          <w:color w:val="000000"/>
        </w:rPr>
        <w:t xml:space="preserve"> such as the one we will investigate in this report.</w:t>
      </w:r>
    </w:p>
    <w:p w14:paraId="714ED7F5" w14:textId="77777777" w:rsidR="00577EFC" w:rsidRPr="001B7C40" w:rsidRDefault="00577EFC" w:rsidP="00577EFC">
      <w:pPr>
        <w:spacing w:line="276" w:lineRule="auto"/>
        <w:rPr>
          <w:rFonts w:ascii="Arial" w:hAnsi="Arial" w:cs="Arial"/>
        </w:rPr>
      </w:pPr>
    </w:p>
    <w:p w14:paraId="64A598FA" w14:textId="6D4D9548" w:rsidR="00CF7700" w:rsidRPr="001B7C40" w:rsidRDefault="00CF7700" w:rsidP="00577EFC">
      <w:pPr>
        <w:pStyle w:val="Heading2"/>
      </w:pPr>
      <w:bookmarkStart w:id="3" w:name="_Toc164084279"/>
      <w:r w:rsidRPr="001B7C40">
        <w:t>1.2</w:t>
      </w:r>
      <w:r w:rsidR="001D443D" w:rsidRPr="001B7C40">
        <w:t>:</w:t>
      </w:r>
      <w:r w:rsidRPr="001B7C40">
        <w:t xml:space="preserve"> Introduction to Wells Fargo</w:t>
      </w:r>
      <w:bookmarkEnd w:id="3"/>
    </w:p>
    <w:p w14:paraId="4BAF980B" w14:textId="77777777" w:rsidR="00256DCF" w:rsidRPr="00256DCF" w:rsidRDefault="00256DCF" w:rsidP="00577EFC">
      <w:pPr>
        <w:spacing w:line="276" w:lineRule="auto"/>
        <w:rPr>
          <w:rFonts w:ascii="Arial" w:hAnsi="Arial" w:cs="Arial"/>
          <w:color w:val="000000"/>
        </w:rPr>
      </w:pPr>
    </w:p>
    <w:p w14:paraId="78E6E624" w14:textId="10A05B8E" w:rsidR="00CF7700" w:rsidRDefault="00256DCF" w:rsidP="00577EFC">
      <w:pPr>
        <w:spacing w:line="276" w:lineRule="auto"/>
        <w:rPr>
          <w:rFonts w:ascii="Arial" w:hAnsi="Arial" w:cs="Arial"/>
          <w:color w:val="000000"/>
        </w:rPr>
      </w:pPr>
      <w:r w:rsidRPr="00256DCF">
        <w:rPr>
          <w:rFonts w:ascii="Arial" w:hAnsi="Arial" w:cs="Arial"/>
          <w:color w:val="000000"/>
        </w:rPr>
        <w:t>Wells Fargo is one of the largest players in the global financial services industry, holding assets that exceed $1.7 trillion in value as of December 2023 (Dixon, 2019). The entity has a rich history dating back to 1852, when the company was founded in San Francisco during the Gold Rush era in the Western United States. Initially, their operation began as a delivery service, aiming to fill the gap in supply for a reliable method of transporting goods over the, then, poorly connected Western United States (Wells Fargo, 2019). From these operations, which were aided by the booming gold mining industry, Wells Fargo quickly established a reputation for reliability (</w:t>
      </w:r>
      <w:proofErr w:type="spellStart"/>
      <w:r w:rsidRPr="00256DCF">
        <w:rPr>
          <w:rFonts w:ascii="Arial" w:hAnsi="Arial" w:cs="Arial"/>
          <w:color w:val="000000"/>
        </w:rPr>
        <w:t>Fradkin</w:t>
      </w:r>
      <w:proofErr w:type="spellEnd"/>
      <w:r w:rsidRPr="00256DCF">
        <w:rPr>
          <w:rFonts w:ascii="Arial" w:hAnsi="Arial" w:cs="Arial"/>
          <w:color w:val="000000"/>
        </w:rPr>
        <w:t>, 2002).</w:t>
      </w:r>
    </w:p>
    <w:p w14:paraId="72E51453" w14:textId="77777777" w:rsidR="00256DCF" w:rsidRPr="001B7C40" w:rsidRDefault="00256DCF" w:rsidP="00577EFC">
      <w:pPr>
        <w:spacing w:line="276" w:lineRule="auto"/>
        <w:rPr>
          <w:rFonts w:ascii="Arial" w:hAnsi="Arial" w:cs="Arial"/>
        </w:rPr>
      </w:pPr>
    </w:p>
    <w:p w14:paraId="4D17F109" w14:textId="07375E80" w:rsidR="00CF7700" w:rsidRPr="001B7C40" w:rsidRDefault="00CF7700" w:rsidP="00577EFC">
      <w:pPr>
        <w:spacing w:line="276" w:lineRule="auto"/>
        <w:rPr>
          <w:rFonts w:ascii="Arial" w:hAnsi="Arial" w:cs="Arial"/>
        </w:rPr>
      </w:pPr>
      <w:r w:rsidRPr="001B7C40">
        <w:rPr>
          <w:rFonts w:ascii="Arial" w:hAnsi="Arial" w:cs="Arial"/>
          <w:color w:val="000000"/>
        </w:rPr>
        <w:t xml:space="preserve">Leveraging its brand alongside a substantial network of postal offices allowed the company to extend </w:t>
      </w:r>
      <w:r w:rsidR="00256DCF">
        <w:rPr>
          <w:rFonts w:ascii="Arial" w:hAnsi="Arial" w:cs="Arial"/>
          <w:color w:val="000000"/>
        </w:rPr>
        <w:t>its</w:t>
      </w:r>
      <w:r w:rsidRPr="001B7C40">
        <w:rPr>
          <w:rFonts w:ascii="Arial" w:hAnsi="Arial" w:cs="Arial"/>
          <w:color w:val="000000"/>
        </w:rPr>
        <w:t xml:space="preserve"> operations into banking and other financial services for individuals, businesses</w:t>
      </w:r>
      <w:r w:rsidR="00256DCF">
        <w:rPr>
          <w:rFonts w:ascii="Arial" w:hAnsi="Arial" w:cs="Arial"/>
          <w:color w:val="000000"/>
        </w:rPr>
        <w:t>,</w:t>
      </w:r>
      <w:r w:rsidRPr="001B7C40">
        <w:rPr>
          <w:rFonts w:ascii="Arial" w:hAnsi="Arial" w:cs="Arial"/>
          <w:color w:val="000000"/>
        </w:rPr>
        <w:t xml:space="preserve"> and other entities across the United States. Wells Fargo </w:t>
      </w:r>
      <w:r w:rsidRPr="001B7C40">
        <w:rPr>
          <w:rFonts w:ascii="Arial" w:hAnsi="Arial" w:cs="Arial"/>
          <w:color w:val="000000"/>
        </w:rPr>
        <w:lastRenderedPageBreak/>
        <w:t>then grew and diversified their operations through strategic acquisitions and mergers to extend their scope. This growth has led the company to become one of the largest financial conglomerates across the globe today</w:t>
      </w:r>
      <w:r w:rsidR="00256DCF">
        <w:rPr>
          <w:rFonts w:ascii="Arial" w:hAnsi="Arial" w:cs="Arial"/>
          <w:color w:val="000000"/>
        </w:rPr>
        <w:t>,</w:t>
      </w:r>
      <w:r w:rsidRPr="001B7C40">
        <w:rPr>
          <w:rFonts w:ascii="Arial" w:hAnsi="Arial" w:cs="Arial"/>
          <w:color w:val="000000"/>
        </w:rPr>
        <w:t xml:space="preserve"> serving millions of customers and providing a vast range of financial services</w:t>
      </w:r>
      <w:r w:rsidR="00256DCF">
        <w:rPr>
          <w:rFonts w:ascii="Arial" w:hAnsi="Arial" w:cs="Arial"/>
          <w:color w:val="000000"/>
        </w:rPr>
        <w:t>,</w:t>
      </w:r>
      <w:r w:rsidRPr="001B7C40">
        <w:rPr>
          <w:rFonts w:ascii="Arial" w:hAnsi="Arial" w:cs="Arial"/>
          <w:color w:val="000000"/>
        </w:rPr>
        <w:t xml:space="preserve"> from banking and insurance to investment and wealth management </w:t>
      </w:r>
      <w:r w:rsidR="00E85676" w:rsidRPr="001B7C40">
        <w:rPr>
          <w:rFonts w:ascii="Arial" w:hAnsi="Arial" w:cs="Arial"/>
        </w:rPr>
        <w:t>(</w:t>
      </w:r>
      <w:proofErr w:type="spellStart"/>
      <w:r w:rsidR="00E85676" w:rsidRPr="001B7C40">
        <w:rPr>
          <w:rFonts w:ascii="Arial" w:hAnsi="Arial" w:cs="Arial"/>
        </w:rPr>
        <w:t>GlobalData</w:t>
      </w:r>
      <w:proofErr w:type="spellEnd"/>
      <w:r w:rsidR="00E85676" w:rsidRPr="001B7C40">
        <w:rPr>
          <w:rFonts w:ascii="Arial" w:hAnsi="Arial" w:cs="Arial"/>
        </w:rPr>
        <w:t xml:space="preserve"> Plc, 2021)</w:t>
      </w:r>
      <w:r w:rsidRPr="001B7C40">
        <w:rPr>
          <w:rFonts w:ascii="Arial" w:hAnsi="Arial" w:cs="Arial"/>
          <w:color w:val="000000"/>
        </w:rPr>
        <w:t>.</w:t>
      </w:r>
    </w:p>
    <w:p w14:paraId="2A86BDB6" w14:textId="77777777" w:rsidR="00CF7700" w:rsidRPr="001B7C40" w:rsidRDefault="00CF7700" w:rsidP="00577EFC">
      <w:pPr>
        <w:spacing w:line="276" w:lineRule="auto"/>
        <w:rPr>
          <w:rFonts w:ascii="Arial" w:hAnsi="Arial" w:cs="Arial"/>
        </w:rPr>
      </w:pPr>
    </w:p>
    <w:p w14:paraId="0E28C7FC" w14:textId="03A27576" w:rsidR="00CF7700" w:rsidRPr="001B7C40" w:rsidRDefault="00CF7700" w:rsidP="00577EFC">
      <w:pPr>
        <w:spacing w:line="276" w:lineRule="auto"/>
        <w:rPr>
          <w:rFonts w:ascii="Arial" w:hAnsi="Arial" w:cs="Arial"/>
        </w:rPr>
      </w:pPr>
      <w:r w:rsidRPr="001B7C40">
        <w:rPr>
          <w:rFonts w:ascii="Arial" w:hAnsi="Arial" w:cs="Arial"/>
          <w:color w:val="000000"/>
        </w:rPr>
        <w:t xml:space="preserve">Wells Fargo has built a reputation </w:t>
      </w:r>
      <w:r w:rsidR="00256DCF">
        <w:rPr>
          <w:rFonts w:ascii="Arial" w:hAnsi="Arial" w:cs="Arial"/>
          <w:color w:val="000000"/>
        </w:rPr>
        <w:t>for</w:t>
      </w:r>
      <w:r w:rsidRPr="001B7C40">
        <w:rPr>
          <w:rFonts w:ascii="Arial" w:hAnsi="Arial" w:cs="Arial"/>
          <w:color w:val="000000"/>
        </w:rPr>
        <w:t xml:space="preserve"> dependability and quality in financial services by focusing on their strengths</w:t>
      </w:r>
      <w:r w:rsidR="00256DCF">
        <w:rPr>
          <w:rFonts w:ascii="Arial" w:hAnsi="Arial" w:cs="Arial"/>
          <w:color w:val="000000"/>
        </w:rPr>
        <w:t>,</w:t>
      </w:r>
      <w:r w:rsidRPr="001B7C40">
        <w:rPr>
          <w:rFonts w:ascii="Arial" w:hAnsi="Arial" w:cs="Arial"/>
          <w:color w:val="000000"/>
        </w:rPr>
        <w:t xml:space="preserve"> </w:t>
      </w:r>
      <w:r w:rsidR="00256DCF">
        <w:rPr>
          <w:rFonts w:ascii="Arial" w:hAnsi="Arial" w:cs="Arial"/>
          <w:color w:val="000000"/>
        </w:rPr>
        <w:t xml:space="preserve">a </w:t>
      </w:r>
      <w:r w:rsidRPr="001B7C40">
        <w:rPr>
          <w:rFonts w:ascii="Arial" w:hAnsi="Arial" w:cs="Arial"/>
          <w:color w:val="000000"/>
        </w:rPr>
        <w:t>history of innovation and excellent customer satisfaction. However, despite its storied history and significant presence in the banking industry, Wells Fargo endured a severe crisis in recent years that undermined their brand’s credibility. The story of this crisis broke out in 2016 and uncovered an extensive list of fundamental flaws in the company’s corporate governance systems and culture</w:t>
      </w:r>
      <w:r w:rsidR="00256DCF">
        <w:rPr>
          <w:rFonts w:ascii="Arial" w:hAnsi="Arial" w:cs="Arial"/>
          <w:color w:val="000000"/>
        </w:rPr>
        <w:t>,</w:t>
      </w:r>
      <w:r w:rsidRPr="001B7C40">
        <w:rPr>
          <w:rFonts w:ascii="Arial" w:hAnsi="Arial" w:cs="Arial"/>
          <w:color w:val="000000"/>
        </w:rPr>
        <w:t xml:space="preserve"> which severely damaged its public image and undermined the trust of all its stakeholders </w:t>
      </w:r>
      <w:r w:rsidR="00E85676" w:rsidRPr="001B7C40">
        <w:rPr>
          <w:rFonts w:ascii="Arial" w:hAnsi="Arial" w:cs="Arial"/>
        </w:rPr>
        <w:t>(</w:t>
      </w:r>
      <w:proofErr w:type="spellStart"/>
      <w:r w:rsidR="00E85676" w:rsidRPr="001B7C40">
        <w:rPr>
          <w:rFonts w:ascii="Arial" w:hAnsi="Arial" w:cs="Arial"/>
        </w:rPr>
        <w:t>Veetikazhi</w:t>
      </w:r>
      <w:proofErr w:type="spellEnd"/>
      <w:r w:rsidR="00E85676" w:rsidRPr="001B7C40">
        <w:rPr>
          <w:rFonts w:ascii="Arial" w:hAnsi="Arial" w:cs="Arial"/>
        </w:rPr>
        <w:t xml:space="preserve"> and Krishnan, 2018)</w:t>
      </w:r>
      <w:r w:rsidRPr="001B7C40">
        <w:rPr>
          <w:rFonts w:ascii="Arial" w:hAnsi="Arial" w:cs="Arial"/>
          <w:color w:val="000000"/>
        </w:rPr>
        <w:t>. </w:t>
      </w:r>
    </w:p>
    <w:p w14:paraId="0C327187" w14:textId="77777777" w:rsidR="00577EFC" w:rsidRPr="001B7C40" w:rsidRDefault="00577EFC" w:rsidP="00577EFC">
      <w:pPr>
        <w:spacing w:line="276" w:lineRule="auto"/>
        <w:rPr>
          <w:rFonts w:ascii="Arial" w:hAnsi="Arial" w:cs="Arial"/>
        </w:rPr>
      </w:pPr>
    </w:p>
    <w:p w14:paraId="647BAA9A" w14:textId="101DF3C0" w:rsidR="00CF7700" w:rsidRPr="001B7C40" w:rsidRDefault="00CF7700" w:rsidP="00577EFC">
      <w:pPr>
        <w:pStyle w:val="Heading2"/>
      </w:pPr>
      <w:bookmarkStart w:id="4" w:name="_Toc164084280"/>
      <w:r w:rsidRPr="001B7C40">
        <w:t>1.3</w:t>
      </w:r>
      <w:r w:rsidR="001D443D" w:rsidRPr="001B7C40">
        <w:t>:</w:t>
      </w:r>
      <w:r w:rsidRPr="001B7C40">
        <w:t xml:space="preserve"> Introduction to the Main Body</w:t>
      </w:r>
      <w:bookmarkEnd w:id="4"/>
    </w:p>
    <w:p w14:paraId="45419739" w14:textId="77777777" w:rsidR="00F731AB" w:rsidRPr="001B7C40" w:rsidRDefault="00F731AB" w:rsidP="00577EFC">
      <w:pPr>
        <w:spacing w:line="276" w:lineRule="auto"/>
        <w:rPr>
          <w:rFonts w:ascii="Arial" w:hAnsi="Arial" w:cs="Arial"/>
        </w:rPr>
      </w:pPr>
    </w:p>
    <w:p w14:paraId="780EF820" w14:textId="20F07EEA" w:rsidR="008359C4" w:rsidRPr="001B7C40" w:rsidRDefault="008359C4" w:rsidP="00577EFC">
      <w:pPr>
        <w:spacing w:line="276" w:lineRule="auto"/>
        <w:rPr>
          <w:rFonts w:ascii="Arial" w:hAnsi="Arial" w:cs="Arial"/>
        </w:rPr>
      </w:pPr>
      <w:r w:rsidRPr="001B7C40">
        <w:rPr>
          <w:rFonts w:ascii="Arial" w:hAnsi="Arial" w:cs="Arial"/>
        </w:rPr>
        <w:t>Th</w:t>
      </w:r>
      <w:r w:rsidR="004779BF" w:rsidRPr="001B7C40">
        <w:rPr>
          <w:rFonts w:ascii="Arial" w:hAnsi="Arial" w:cs="Arial"/>
        </w:rPr>
        <w:t>e main body of this</w:t>
      </w:r>
      <w:r w:rsidRPr="001B7C40">
        <w:rPr>
          <w:rFonts w:ascii="Arial" w:hAnsi="Arial" w:cs="Arial"/>
        </w:rPr>
        <w:t xml:space="preserve"> report will focus on the corporate governance crisis that impacted Wells Fargo in 2016. We will</w:t>
      </w:r>
      <w:r w:rsidR="004779BF" w:rsidRPr="001B7C40">
        <w:rPr>
          <w:rFonts w:ascii="Arial" w:hAnsi="Arial" w:cs="Arial"/>
        </w:rPr>
        <w:t xml:space="preserve"> thoroughly</w:t>
      </w:r>
      <w:r w:rsidRPr="001B7C40">
        <w:rPr>
          <w:rFonts w:ascii="Arial" w:hAnsi="Arial" w:cs="Arial"/>
        </w:rPr>
        <w:t xml:space="preserve"> analyse the events and factors that contributed to the crisis, including the organisation's culture, regulatory challenges, and board structure. Using ethical frameworks such as stakeholder theory and agency theory, we will delve into </w:t>
      </w:r>
      <w:r w:rsidR="004779BF" w:rsidRPr="001B7C40">
        <w:rPr>
          <w:rFonts w:ascii="Arial" w:hAnsi="Arial" w:cs="Arial"/>
        </w:rPr>
        <w:t>some of the other main contributing</w:t>
      </w:r>
      <w:r w:rsidRPr="001B7C40">
        <w:rPr>
          <w:rFonts w:ascii="Arial" w:hAnsi="Arial" w:cs="Arial"/>
        </w:rPr>
        <w:t xml:space="preserve"> </w:t>
      </w:r>
      <w:r w:rsidR="004779BF" w:rsidRPr="001B7C40">
        <w:rPr>
          <w:rFonts w:ascii="Arial" w:hAnsi="Arial" w:cs="Arial"/>
        </w:rPr>
        <w:t xml:space="preserve">factors that led to </w:t>
      </w:r>
      <w:r w:rsidRPr="001B7C40">
        <w:rPr>
          <w:rFonts w:ascii="Arial" w:hAnsi="Arial" w:cs="Arial"/>
        </w:rPr>
        <w:t>the crisis. Additionally, we will examine how the crisis affected stakeholders such as customers, employees, and the community at large. Finally, we will offer recommendations for enhancing corporate governance and ethical standards to avoid similar crises in the future.</w:t>
      </w:r>
    </w:p>
    <w:p w14:paraId="2A931486" w14:textId="77777777" w:rsidR="00577EFC" w:rsidRPr="001B7C40" w:rsidRDefault="00577EFC" w:rsidP="00577EFC">
      <w:pPr>
        <w:spacing w:line="276" w:lineRule="auto"/>
        <w:rPr>
          <w:rFonts w:ascii="Arial" w:hAnsi="Arial" w:cs="Arial"/>
        </w:rPr>
      </w:pPr>
    </w:p>
    <w:p w14:paraId="64FA6E36" w14:textId="2B04C23D" w:rsidR="00CF7700" w:rsidRPr="008551D0" w:rsidRDefault="00CF7700" w:rsidP="00577EFC">
      <w:pPr>
        <w:pStyle w:val="Heading1"/>
        <w:spacing w:line="276" w:lineRule="auto"/>
      </w:pPr>
      <w:bookmarkStart w:id="5" w:name="_Toc164084281"/>
      <w:r w:rsidRPr="001B7C40">
        <w:t>2</w:t>
      </w:r>
      <w:r w:rsidR="000749F2" w:rsidRPr="001B7C40">
        <w:t>.</w:t>
      </w:r>
      <w:r w:rsidRPr="001B7C40">
        <w:t xml:space="preserve"> Corporate Governance Crisis Analysis</w:t>
      </w:r>
      <w:bookmarkEnd w:id="5"/>
    </w:p>
    <w:p w14:paraId="14C13B0D" w14:textId="79829E24" w:rsidR="00CF7700" w:rsidRPr="00BE632D" w:rsidRDefault="00CF7700" w:rsidP="00577EFC">
      <w:pPr>
        <w:spacing w:line="276" w:lineRule="auto"/>
        <w:rPr>
          <w:rFonts w:ascii="Arial" w:hAnsi="Arial" w:cs="Arial"/>
        </w:rPr>
      </w:pPr>
      <w:r w:rsidRPr="001B7C40">
        <w:rPr>
          <w:rFonts w:ascii="Arial" w:hAnsi="Arial" w:cs="Arial"/>
          <w:color w:val="000000"/>
        </w:rPr>
        <w:t xml:space="preserve">The crisis that enveloped Wells Fargo in 2016 emerged from accusations of systematic misconduct within its retail banking division, in which workers participated in misleading sales practices including, </w:t>
      </w:r>
      <w:r w:rsidRPr="00BC64F4">
        <w:rPr>
          <w:rFonts w:ascii="Arial" w:hAnsi="Arial" w:cs="Arial"/>
          <w:color w:val="000000"/>
        </w:rPr>
        <w:t>most notably</w:t>
      </w:r>
      <w:r w:rsidRPr="001B7C40">
        <w:rPr>
          <w:rFonts w:ascii="Arial" w:hAnsi="Arial" w:cs="Arial"/>
          <w:color w:val="000000"/>
        </w:rPr>
        <w:t xml:space="preserve">, the unauthorised creation of millions of fraudulent accounts under their customers’ names </w:t>
      </w:r>
      <w:r w:rsidR="007423B5" w:rsidRPr="001B7C40">
        <w:rPr>
          <w:rFonts w:ascii="Arial" w:hAnsi="Arial" w:cs="Arial"/>
        </w:rPr>
        <w:t>(</w:t>
      </w:r>
      <w:proofErr w:type="spellStart"/>
      <w:r w:rsidR="007423B5" w:rsidRPr="001B7C40">
        <w:rPr>
          <w:rFonts w:ascii="Arial" w:hAnsi="Arial" w:cs="Arial"/>
        </w:rPr>
        <w:t>Witman</w:t>
      </w:r>
      <w:proofErr w:type="spellEnd"/>
      <w:r w:rsidR="007423B5" w:rsidRPr="001B7C40">
        <w:rPr>
          <w:rFonts w:ascii="Arial" w:hAnsi="Arial" w:cs="Arial"/>
        </w:rPr>
        <w:t>, 2018)</w:t>
      </w:r>
      <w:r w:rsidRPr="001B7C40">
        <w:rPr>
          <w:rFonts w:ascii="Arial" w:hAnsi="Arial" w:cs="Arial"/>
          <w:color w:val="000000"/>
        </w:rPr>
        <w:t xml:space="preserve">. The </w:t>
      </w:r>
      <w:r w:rsidRPr="00BE632D">
        <w:rPr>
          <w:rFonts w:ascii="Arial" w:hAnsi="Arial" w:cs="Arial"/>
          <w:color w:val="000000"/>
        </w:rPr>
        <w:t xml:space="preserve">exposure of the scandal in 2016 sparked outrage amongst the general </w:t>
      </w:r>
      <w:r w:rsidR="00BE632D">
        <w:rPr>
          <w:rFonts w:ascii="Arial" w:hAnsi="Arial" w:cs="Arial"/>
          <w:color w:val="000000"/>
        </w:rPr>
        <w:t>public</w:t>
      </w:r>
      <w:r w:rsidRPr="00BE632D">
        <w:rPr>
          <w:rFonts w:ascii="Arial" w:hAnsi="Arial" w:cs="Arial"/>
          <w:color w:val="000000"/>
        </w:rPr>
        <w:t xml:space="preserve"> and regulators which resulted in a series of investigations and legal proceedings that went on to reveal the enormous scale of the violations and inappropriate behaviour</w:t>
      </w:r>
      <w:r w:rsidR="00BE632D" w:rsidRPr="00BE632D">
        <w:rPr>
          <w:rFonts w:ascii="Arial" w:hAnsi="Arial" w:cs="Arial"/>
          <w:color w:val="000000"/>
        </w:rPr>
        <w:t xml:space="preserve"> </w:t>
      </w:r>
      <w:r w:rsidR="00BE632D" w:rsidRPr="00BE632D">
        <w:rPr>
          <w:rFonts w:ascii="Arial" w:hAnsi="Arial" w:cs="Arial"/>
        </w:rPr>
        <w:t>(Business, 2020)</w:t>
      </w:r>
      <w:r w:rsidR="00BE632D" w:rsidRPr="00BE632D">
        <w:rPr>
          <w:rFonts w:ascii="Arial" w:hAnsi="Arial" w:cs="Arial"/>
        </w:rPr>
        <w:t>.</w:t>
      </w:r>
    </w:p>
    <w:p w14:paraId="54032B60" w14:textId="77777777" w:rsidR="00CF7700" w:rsidRPr="001B7C40" w:rsidRDefault="00CF7700" w:rsidP="00577EFC">
      <w:pPr>
        <w:spacing w:line="276" w:lineRule="auto"/>
        <w:rPr>
          <w:rFonts w:ascii="Arial" w:hAnsi="Arial" w:cs="Arial"/>
        </w:rPr>
      </w:pPr>
    </w:p>
    <w:p w14:paraId="5448BACB" w14:textId="43FE2589" w:rsidR="00BF2B42" w:rsidRDefault="00BF2B42" w:rsidP="00577EFC">
      <w:pPr>
        <w:spacing w:line="276" w:lineRule="auto"/>
        <w:rPr>
          <w:rFonts w:ascii="Arial" w:hAnsi="Arial" w:cs="Arial"/>
          <w:color w:val="000000"/>
        </w:rPr>
      </w:pPr>
      <w:r w:rsidRPr="001B7C40">
        <w:rPr>
          <w:rFonts w:ascii="Arial" w:hAnsi="Arial" w:cs="Arial"/>
          <w:color w:val="000000"/>
        </w:rPr>
        <w:t xml:space="preserve">Wells Fargo’s leadership fell under severe criticism for its part in </w:t>
      </w:r>
      <w:r w:rsidR="00BC64F4">
        <w:rPr>
          <w:rFonts w:ascii="Arial" w:hAnsi="Arial" w:cs="Arial"/>
          <w:color w:val="000000"/>
        </w:rPr>
        <w:t xml:space="preserve">the </w:t>
      </w:r>
      <w:r w:rsidRPr="001B7C40">
        <w:rPr>
          <w:rFonts w:ascii="Arial" w:hAnsi="Arial" w:cs="Arial"/>
          <w:color w:val="000000"/>
        </w:rPr>
        <w:t>oversight and direction of the unethical practices</w:t>
      </w:r>
      <w:r w:rsidR="00BC64F4">
        <w:rPr>
          <w:rFonts w:ascii="Arial" w:hAnsi="Arial" w:cs="Arial"/>
          <w:color w:val="000000"/>
        </w:rPr>
        <w:t>, alongside</w:t>
      </w:r>
      <w:r w:rsidRPr="001B7C40">
        <w:rPr>
          <w:rFonts w:ascii="Arial" w:hAnsi="Arial" w:cs="Arial"/>
          <w:color w:val="000000"/>
        </w:rPr>
        <w:t xml:space="preserve"> neglecting to address the emerging indicators of fraudulent activity and </w:t>
      </w:r>
      <w:r>
        <w:rPr>
          <w:rFonts w:ascii="Arial" w:hAnsi="Arial" w:cs="Arial"/>
          <w:color w:val="000000"/>
        </w:rPr>
        <w:t xml:space="preserve">other </w:t>
      </w:r>
      <w:r w:rsidRPr="001B7C40">
        <w:rPr>
          <w:rFonts w:ascii="Arial" w:hAnsi="Arial" w:cs="Arial"/>
          <w:color w:val="000000"/>
        </w:rPr>
        <w:t xml:space="preserve">unethical behaviour within the company </w:t>
      </w:r>
      <w:r w:rsidRPr="001B7C40">
        <w:rPr>
          <w:rFonts w:ascii="Arial" w:hAnsi="Arial" w:cs="Arial"/>
        </w:rPr>
        <w:t>(</w:t>
      </w:r>
      <w:proofErr w:type="spellStart"/>
      <w:r w:rsidRPr="001B7C40">
        <w:rPr>
          <w:rFonts w:ascii="Arial" w:hAnsi="Arial" w:cs="Arial"/>
        </w:rPr>
        <w:t>Amernic</w:t>
      </w:r>
      <w:proofErr w:type="spellEnd"/>
      <w:r w:rsidRPr="001B7C40">
        <w:rPr>
          <w:rFonts w:ascii="Arial" w:hAnsi="Arial" w:cs="Arial"/>
        </w:rPr>
        <w:t xml:space="preserve"> and Craig, 2022)</w:t>
      </w:r>
      <w:r w:rsidRPr="001B7C40">
        <w:rPr>
          <w:rFonts w:ascii="Arial" w:hAnsi="Arial" w:cs="Arial"/>
          <w:color w:val="000000"/>
        </w:rPr>
        <w:t xml:space="preserve">. </w:t>
      </w:r>
      <w:r>
        <w:rPr>
          <w:rFonts w:ascii="Arial" w:hAnsi="Arial" w:cs="Arial"/>
          <w:color w:val="000000"/>
        </w:rPr>
        <w:t>I</w:t>
      </w:r>
      <w:r w:rsidRPr="001B7C40">
        <w:rPr>
          <w:rFonts w:ascii="Arial" w:hAnsi="Arial" w:cs="Arial"/>
          <w:color w:val="000000"/>
        </w:rPr>
        <w:t xml:space="preserve">n addition to severely harming Wells Fargo’s finances </w:t>
      </w:r>
      <w:r w:rsidRPr="001B7C40">
        <w:rPr>
          <w:rFonts w:ascii="Arial" w:hAnsi="Arial" w:cs="Arial"/>
          <w:color w:val="000000"/>
        </w:rPr>
        <w:lastRenderedPageBreak/>
        <w:t xml:space="preserve">and reputation, the controversy also </w:t>
      </w:r>
      <w:r>
        <w:rPr>
          <w:rFonts w:ascii="Arial" w:hAnsi="Arial" w:cs="Arial"/>
          <w:color w:val="000000"/>
        </w:rPr>
        <w:t>raised doubts about</w:t>
      </w:r>
      <w:r w:rsidRPr="001B7C40">
        <w:rPr>
          <w:rFonts w:ascii="Arial" w:hAnsi="Arial" w:cs="Arial"/>
          <w:color w:val="000000"/>
        </w:rPr>
        <w:t xml:space="preserve"> the company’s commitment to </w:t>
      </w:r>
      <w:r>
        <w:rPr>
          <w:rFonts w:ascii="Arial" w:hAnsi="Arial" w:cs="Arial"/>
          <w:color w:val="000000"/>
        </w:rPr>
        <w:t>its corporate governance procedures and to acting in the best interests of its shareholder</w:t>
      </w:r>
      <w:r>
        <w:rPr>
          <w:rFonts w:ascii="Arial" w:hAnsi="Arial" w:cs="Arial"/>
          <w:color w:val="000000"/>
        </w:rPr>
        <w:t>s, customers and other stakeholders</w:t>
      </w:r>
      <w:r>
        <w:rPr>
          <w:rFonts w:ascii="Arial" w:hAnsi="Arial" w:cs="Arial"/>
          <w:color w:val="000000"/>
        </w:rPr>
        <w:t xml:space="preserve">. </w:t>
      </w:r>
    </w:p>
    <w:p w14:paraId="4F10A63D" w14:textId="6C1169DB" w:rsidR="00BF2B42" w:rsidRDefault="00BF2B42" w:rsidP="00577EFC">
      <w:pPr>
        <w:spacing w:line="276" w:lineRule="auto"/>
        <w:rPr>
          <w:rFonts w:ascii="Arial" w:hAnsi="Arial" w:cs="Arial"/>
        </w:rPr>
      </w:pPr>
    </w:p>
    <w:p w14:paraId="7316F2DD" w14:textId="40F61AEA" w:rsidR="00BF2B42" w:rsidRPr="00BF2B42" w:rsidRDefault="00BF2B42" w:rsidP="00577EFC">
      <w:pPr>
        <w:spacing w:line="276" w:lineRule="auto"/>
        <w:rPr>
          <w:rFonts w:ascii="Arial" w:hAnsi="Arial" w:cs="Arial"/>
          <w:color w:val="000000"/>
        </w:rPr>
      </w:pPr>
      <w:r>
        <w:rPr>
          <w:rFonts w:ascii="Arial" w:hAnsi="Arial" w:cs="Arial"/>
          <w:color w:val="000000"/>
        </w:rPr>
        <w:t xml:space="preserve">This scepticism was further validated when a lawsuit enabling shareholders to pure legal action against the board of directors was permitted, when it usually isn’t allowed in many areas of the US. As evidenced by </w:t>
      </w:r>
      <w:r w:rsidRPr="001B7C40">
        <w:rPr>
          <w:rFonts w:ascii="Arial" w:hAnsi="Arial" w:cs="Arial"/>
        </w:rPr>
        <w:t xml:space="preserve">Bryant and </w:t>
      </w:r>
      <w:proofErr w:type="spellStart"/>
      <w:r w:rsidRPr="001B7C40">
        <w:rPr>
          <w:rFonts w:ascii="Arial" w:hAnsi="Arial" w:cs="Arial"/>
        </w:rPr>
        <w:t>Sigurjonsson</w:t>
      </w:r>
      <w:proofErr w:type="spellEnd"/>
      <w:r>
        <w:rPr>
          <w:rFonts w:ascii="Arial" w:hAnsi="Arial" w:cs="Arial"/>
        </w:rPr>
        <w:t xml:space="preserve"> (</w:t>
      </w:r>
      <w:r w:rsidRPr="001B7C40">
        <w:rPr>
          <w:rFonts w:ascii="Arial" w:hAnsi="Arial" w:cs="Arial"/>
        </w:rPr>
        <w:t>2019</w:t>
      </w:r>
      <w:r>
        <w:rPr>
          <w:rFonts w:ascii="Arial" w:hAnsi="Arial" w:cs="Arial"/>
        </w:rPr>
        <w:t>), t</w:t>
      </w:r>
      <w:r>
        <w:rPr>
          <w:rFonts w:ascii="Arial" w:hAnsi="Arial" w:cs="Arial"/>
          <w:color w:val="000000"/>
        </w:rPr>
        <w:t>his decision stemmed from allegations of negligence from directors in managing federal agency proceedings against the bank for their failure to hold senior management responsible.</w:t>
      </w:r>
    </w:p>
    <w:p w14:paraId="2CF74CB2" w14:textId="77777777" w:rsidR="00BF2B42" w:rsidRDefault="00BF2B42" w:rsidP="00577EFC">
      <w:pPr>
        <w:spacing w:line="276" w:lineRule="auto"/>
        <w:rPr>
          <w:rFonts w:ascii="Arial" w:hAnsi="Arial" w:cs="Arial"/>
        </w:rPr>
      </w:pPr>
    </w:p>
    <w:p w14:paraId="1012399E" w14:textId="7A9854B2" w:rsidR="00CF7700" w:rsidRPr="001B7C40" w:rsidRDefault="00BF2B42" w:rsidP="00577EFC">
      <w:pPr>
        <w:spacing w:line="276" w:lineRule="auto"/>
        <w:rPr>
          <w:rFonts w:ascii="Arial" w:hAnsi="Arial" w:cs="Arial"/>
        </w:rPr>
      </w:pPr>
      <w:r>
        <w:rPr>
          <w:rFonts w:ascii="Arial" w:hAnsi="Arial" w:cs="Arial"/>
        </w:rPr>
        <w:t xml:space="preserve">Although, </w:t>
      </w:r>
      <w:r>
        <w:rPr>
          <w:rFonts w:ascii="Arial" w:hAnsi="Arial" w:cs="Arial"/>
          <w:color w:val="000000"/>
        </w:rPr>
        <w:t>t</w:t>
      </w:r>
      <w:r w:rsidR="00CF7700" w:rsidRPr="001B7C40">
        <w:rPr>
          <w:rFonts w:ascii="Arial" w:hAnsi="Arial" w:cs="Arial"/>
          <w:color w:val="000000"/>
        </w:rPr>
        <w:t>o fully grasp the extent and consequences of one of the biggest corporate scandals in history, we must first gain a thorough understanding of the chain of events and circumstances that led to this crisis.</w:t>
      </w:r>
    </w:p>
    <w:p w14:paraId="12615A65" w14:textId="77777777" w:rsidR="005D18E5" w:rsidRPr="001B7C40" w:rsidRDefault="005D18E5" w:rsidP="00577EFC">
      <w:pPr>
        <w:spacing w:line="276" w:lineRule="auto"/>
        <w:rPr>
          <w:rFonts w:ascii="Arial" w:hAnsi="Arial" w:cs="Arial"/>
        </w:rPr>
      </w:pPr>
    </w:p>
    <w:p w14:paraId="4E334432" w14:textId="071A1ED8" w:rsidR="00CF7700" w:rsidRPr="001B7C40" w:rsidRDefault="00051711" w:rsidP="00577EFC">
      <w:pPr>
        <w:pStyle w:val="Heading2"/>
      </w:pPr>
      <w:bookmarkStart w:id="6" w:name="_Toc164084282"/>
      <w:r w:rsidRPr="001B7C40">
        <w:t>2.1</w:t>
      </w:r>
      <w:r w:rsidR="001D443D" w:rsidRPr="001B7C40">
        <w:t>:</w:t>
      </w:r>
      <w:r w:rsidRPr="001B7C40">
        <w:t xml:space="preserve"> </w:t>
      </w:r>
      <w:r w:rsidR="00D92AD0" w:rsidRPr="001B7C40">
        <w:t>Organisational Culture</w:t>
      </w:r>
      <w:bookmarkEnd w:id="6"/>
    </w:p>
    <w:p w14:paraId="225EF7B3" w14:textId="3051592F" w:rsidR="00D92AD0" w:rsidRPr="001B7C40" w:rsidRDefault="00D92AD0" w:rsidP="00577EFC">
      <w:pPr>
        <w:spacing w:line="276" w:lineRule="auto"/>
        <w:rPr>
          <w:rFonts w:ascii="Arial" w:hAnsi="Arial" w:cs="Arial"/>
        </w:rPr>
      </w:pPr>
    </w:p>
    <w:p w14:paraId="2760F913" w14:textId="6D60399D" w:rsidR="003505A8" w:rsidRDefault="003505A8" w:rsidP="00577EFC">
      <w:pPr>
        <w:spacing w:line="276" w:lineRule="auto"/>
        <w:rPr>
          <w:rFonts w:ascii="Arial" w:hAnsi="Arial" w:cs="Arial"/>
        </w:rPr>
      </w:pPr>
      <w:r w:rsidRPr="003505A8">
        <w:rPr>
          <w:rFonts w:ascii="Arial" w:hAnsi="Arial" w:cs="Arial"/>
        </w:rPr>
        <w:t>Wells Fargo’s sales culture permeated every aspect of the organization, constituting more than a mere incidental aspect of its operations. According to a report by Shearman &amp; Sterling LLP (2017), the company's culture revolved around relentless and aggressive up-selling tactics, prioriti</w:t>
      </w:r>
      <w:r>
        <w:rPr>
          <w:rFonts w:ascii="Arial" w:hAnsi="Arial" w:cs="Arial"/>
        </w:rPr>
        <w:t>s</w:t>
      </w:r>
      <w:r w:rsidRPr="003505A8">
        <w:rPr>
          <w:rFonts w:ascii="Arial" w:hAnsi="Arial" w:cs="Arial"/>
        </w:rPr>
        <w:t>ing maximi</w:t>
      </w:r>
      <w:r>
        <w:rPr>
          <w:rFonts w:ascii="Arial" w:hAnsi="Arial" w:cs="Arial"/>
        </w:rPr>
        <w:t>s</w:t>
      </w:r>
      <w:r w:rsidRPr="003505A8">
        <w:rPr>
          <w:rFonts w:ascii="Arial" w:hAnsi="Arial" w:cs="Arial"/>
        </w:rPr>
        <w:t>ing sales in every client interaction over providing genuine benefit. This culture was reinforced by Wells Fargo’s performance evaluation and reward system, which linked employee earnings and career advancement to sales metrics, such as the number of new accounts opened, thus perpetuating this organizational ethos.</w:t>
      </w:r>
    </w:p>
    <w:p w14:paraId="0AEBCA7F" w14:textId="77777777" w:rsidR="003505A8" w:rsidRPr="001B7C40" w:rsidRDefault="003505A8" w:rsidP="00577EFC">
      <w:pPr>
        <w:spacing w:line="276" w:lineRule="auto"/>
        <w:rPr>
          <w:rFonts w:ascii="Arial" w:hAnsi="Arial" w:cs="Arial"/>
        </w:rPr>
      </w:pPr>
    </w:p>
    <w:p w14:paraId="60840B61" w14:textId="277E7E51" w:rsidR="00D92AD0" w:rsidRPr="001B7C40" w:rsidRDefault="003505A8" w:rsidP="00577EFC">
      <w:pPr>
        <w:spacing w:line="276" w:lineRule="auto"/>
        <w:rPr>
          <w:rFonts w:ascii="Arial" w:hAnsi="Arial" w:cs="Arial"/>
        </w:rPr>
      </w:pPr>
      <w:r>
        <w:rPr>
          <w:rFonts w:ascii="Arial" w:hAnsi="Arial" w:cs="Arial"/>
          <w:color w:val="000000"/>
        </w:rPr>
        <w:t>Moreover</w:t>
      </w:r>
      <w:r w:rsidR="00D92AD0" w:rsidRPr="001B7C40">
        <w:rPr>
          <w:rFonts w:ascii="Arial" w:hAnsi="Arial" w:cs="Arial"/>
          <w:color w:val="000000"/>
        </w:rPr>
        <w:t xml:space="preserve">, the constant pressure to reach high sales targets instilled anxiety and fierce competition in the workplace, where employees knew there would be severe penalties for failing to fulfil these targets </w:t>
      </w:r>
      <w:r w:rsidR="00073E63" w:rsidRPr="001B7C40">
        <w:rPr>
          <w:rFonts w:ascii="Arial" w:hAnsi="Arial" w:cs="Arial"/>
        </w:rPr>
        <w:t>(Lilly et al., 2021)</w:t>
      </w:r>
      <w:r w:rsidR="00D92AD0" w:rsidRPr="001B7C40">
        <w:rPr>
          <w:rFonts w:ascii="Arial" w:hAnsi="Arial" w:cs="Arial"/>
          <w:color w:val="000000"/>
        </w:rPr>
        <w:t xml:space="preserve">. For example, as noted </w:t>
      </w:r>
      <w:r>
        <w:rPr>
          <w:rFonts w:ascii="Arial" w:hAnsi="Arial" w:cs="Arial"/>
          <w:color w:val="000000"/>
        </w:rPr>
        <w:t>by</w:t>
      </w:r>
      <w:r w:rsidR="00D92AD0" w:rsidRPr="001B7C40">
        <w:rPr>
          <w:rFonts w:ascii="Arial" w:hAnsi="Arial" w:cs="Arial"/>
          <w:color w:val="000000"/>
        </w:rPr>
        <w:t xml:space="preserve"> </w:t>
      </w:r>
      <w:proofErr w:type="spellStart"/>
      <w:r w:rsidR="00073E63" w:rsidRPr="001B7C40">
        <w:rPr>
          <w:rFonts w:ascii="Arial" w:hAnsi="Arial" w:cs="Arial"/>
          <w:color w:val="000000"/>
        </w:rPr>
        <w:t>Mumley</w:t>
      </w:r>
      <w:proofErr w:type="spellEnd"/>
      <w:r w:rsidR="00073E63" w:rsidRPr="001B7C40">
        <w:rPr>
          <w:rFonts w:ascii="Arial" w:hAnsi="Arial" w:cs="Arial"/>
          <w:color w:val="000000"/>
        </w:rPr>
        <w:t xml:space="preserve"> (2019)</w:t>
      </w:r>
      <w:r w:rsidR="00D92AD0" w:rsidRPr="001B7C40">
        <w:rPr>
          <w:rFonts w:ascii="Arial" w:hAnsi="Arial" w:cs="Arial"/>
          <w:color w:val="000000"/>
        </w:rPr>
        <w:t xml:space="preserve">, employees were coerced </w:t>
      </w:r>
      <w:r>
        <w:rPr>
          <w:rFonts w:ascii="Arial" w:hAnsi="Arial" w:cs="Arial"/>
          <w:color w:val="000000"/>
        </w:rPr>
        <w:t>in</w:t>
      </w:r>
      <w:r w:rsidR="00D92AD0" w:rsidRPr="001B7C40">
        <w:rPr>
          <w:rFonts w:ascii="Arial" w:hAnsi="Arial" w:cs="Arial"/>
          <w:color w:val="000000"/>
        </w:rPr>
        <w:t>to sell</w:t>
      </w:r>
      <w:r>
        <w:rPr>
          <w:rFonts w:ascii="Arial" w:hAnsi="Arial" w:cs="Arial"/>
          <w:color w:val="000000"/>
        </w:rPr>
        <w:t>ing</w:t>
      </w:r>
      <w:r w:rsidR="00D92AD0" w:rsidRPr="001B7C40">
        <w:rPr>
          <w:rFonts w:ascii="Arial" w:hAnsi="Arial" w:cs="Arial"/>
          <w:color w:val="000000"/>
        </w:rPr>
        <w:t xml:space="preserve"> at least eight banking products such as overdraft protections, credit cards and savings accounts.</w:t>
      </w:r>
    </w:p>
    <w:p w14:paraId="44B57E1A" w14:textId="77777777" w:rsidR="00D92AD0" w:rsidRPr="001B7C40" w:rsidRDefault="00D92AD0" w:rsidP="00577EFC">
      <w:pPr>
        <w:spacing w:line="276" w:lineRule="auto"/>
        <w:rPr>
          <w:rFonts w:ascii="Arial" w:hAnsi="Arial" w:cs="Arial"/>
        </w:rPr>
      </w:pPr>
    </w:p>
    <w:p w14:paraId="52287443" w14:textId="3E600031" w:rsidR="003505A8" w:rsidRDefault="00D92AD0" w:rsidP="00577EFC">
      <w:pPr>
        <w:spacing w:line="276" w:lineRule="auto"/>
        <w:rPr>
          <w:rFonts w:ascii="Arial" w:hAnsi="Arial" w:cs="Arial"/>
          <w:color w:val="000000"/>
        </w:rPr>
      </w:pPr>
      <w:r w:rsidRPr="001B7C40">
        <w:rPr>
          <w:rFonts w:ascii="Arial" w:hAnsi="Arial" w:cs="Arial"/>
          <w:color w:val="000000"/>
        </w:rPr>
        <w:t xml:space="preserve">Furthermore, </w:t>
      </w:r>
      <w:r w:rsidR="00073E63" w:rsidRPr="001B7C40">
        <w:rPr>
          <w:rFonts w:ascii="Arial" w:hAnsi="Arial" w:cs="Arial"/>
          <w:color w:val="000000"/>
        </w:rPr>
        <w:t xml:space="preserve">Corkery and Cowley (2016) </w:t>
      </w:r>
      <w:r w:rsidR="003505A8">
        <w:rPr>
          <w:rFonts w:ascii="Arial" w:hAnsi="Arial" w:cs="Arial"/>
          <w:color w:val="000000"/>
        </w:rPr>
        <w:t>observe</w:t>
      </w:r>
      <w:r w:rsidRPr="001B7C40">
        <w:rPr>
          <w:rFonts w:ascii="Arial" w:hAnsi="Arial" w:cs="Arial"/>
          <w:color w:val="000000"/>
        </w:rPr>
        <w:t xml:space="preserve"> that this culture of sales at any cost created a working environment of mistrust and hostile rivalry where employees saw one another as competitors rather than partners, who were all striving for scarce resources in the form of employee compensation. Since they were under intense strain to perform better than their colleagues in order to keep their jobs at the company, employees felt even more pressure to act unethically.</w:t>
      </w:r>
      <w:r w:rsidR="00D42F3C" w:rsidRPr="00D42F3C">
        <w:t xml:space="preserve"> </w:t>
      </w:r>
      <w:r w:rsidR="00D42F3C" w:rsidRPr="00D42F3C">
        <w:rPr>
          <w:rFonts w:ascii="Arial" w:hAnsi="Arial" w:cs="Arial"/>
          <w:color w:val="000000"/>
        </w:rPr>
        <w:t xml:space="preserve">This sentiment is </w:t>
      </w:r>
      <w:r w:rsidR="00D42F3C">
        <w:rPr>
          <w:rFonts w:ascii="Arial" w:hAnsi="Arial" w:cs="Arial"/>
          <w:color w:val="000000"/>
        </w:rPr>
        <w:t>supported</w:t>
      </w:r>
      <w:r w:rsidR="00D42F3C" w:rsidRPr="00D42F3C">
        <w:rPr>
          <w:rFonts w:ascii="Arial" w:hAnsi="Arial" w:cs="Arial"/>
          <w:color w:val="000000"/>
        </w:rPr>
        <w:t xml:space="preserve"> by </w:t>
      </w:r>
      <w:proofErr w:type="spellStart"/>
      <w:r w:rsidR="00D42F3C" w:rsidRPr="00D42F3C">
        <w:rPr>
          <w:rFonts w:ascii="Arial" w:hAnsi="Arial" w:cs="Arial"/>
          <w:color w:val="000000"/>
        </w:rPr>
        <w:t>Ragothaman</w:t>
      </w:r>
      <w:proofErr w:type="spellEnd"/>
      <w:r w:rsidR="00D42F3C" w:rsidRPr="00D42F3C">
        <w:rPr>
          <w:rFonts w:ascii="Arial" w:hAnsi="Arial" w:cs="Arial"/>
          <w:color w:val="000000"/>
        </w:rPr>
        <w:t xml:space="preserve">, Custis, and Christianson (2022), who </w:t>
      </w:r>
      <w:r w:rsidR="00D42F3C">
        <w:rPr>
          <w:rFonts w:ascii="Arial" w:hAnsi="Arial" w:cs="Arial"/>
          <w:color w:val="000000"/>
        </w:rPr>
        <w:t>explain</w:t>
      </w:r>
      <w:r w:rsidR="00D42F3C" w:rsidRPr="00D42F3C">
        <w:rPr>
          <w:rFonts w:ascii="Arial" w:hAnsi="Arial" w:cs="Arial"/>
          <w:color w:val="000000"/>
        </w:rPr>
        <w:t xml:space="preserve"> </w:t>
      </w:r>
      <w:r w:rsidR="00D42F3C">
        <w:rPr>
          <w:rFonts w:ascii="Arial" w:hAnsi="Arial" w:cs="Arial"/>
          <w:color w:val="000000"/>
        </w:rPr>
        <w:t>that</w:t>
      </w:r>
      <w:r w:rsidR="00D42F3C" w:rsidRPr="00D42F3C">
        <w:rPr>
          <w:rFonts w:ascii="Arial" w:hAnsi="Arial" w:cs="Arial"/>
          <w:color w:val="000000"/>
        </w:rPr>
        <w:t xml:space="preserve"> employees received performance reports ranking them against their peers based on sales figures, contributing to what employees described as a "toxic culture" in the workplace.</w:t>
      </w:r>
    </w:p>
    <w:p w14:paraId="362956CF" w14:textId="77777777" w:rsidR="003505A8" w:rsidRPr="001B7C40" w:rsidRDefault="003505A8" w:rsidP="00577EFC">
      <w:pPr>
        <w:spacing w:line="276" w:lineRule="auto"/>
        <w:rPr>
          <w:rFonts w:ascii="Arial" w:hAnsi="Arial" w:cs="Arial"/>
        </w:rPr>
      </w:pPr>
    </w:p>
    <w:p w14:paraId="479A9AA6" w14:textId="77777777" w:rsidR="00D92AD0" w:rsidRPr="001B7C40" w:rsidRDefault="00D92AD0" w:rsidP="00577EFC">
      <w:pPr>
        <w:spacing w:line="276" w:lineRule="auto"/>
        <w:rPr>
          <w:rFonts w:ascii="Arial" w:hAnsi="Arial" w:cs="Arial"/>
        </w:rPr>
      </w:pPr>
    </w:p>
    <w:p w14:paraId="3BD71AAB" w14:textId="483EC679" w:rsidR="00D92AD0" w:rsidRPr="001B7C40" w:rsidRDefault="00CF1315" w:rsidP="00577EFC">
      <w:pPr>
        <w:pStyle w:val="Heading2"/>
      </w:pPr>
      <w:bookmarkStart w:id="7" w:name="_Toc164084283"/>
      <w:r w:rsidRPr="001B7C40">
        <w:t>2.2</w:t>
      </w:r>
      <w:r w:rsidR="001D443D" w:rsidRPr="001B7C40">
        <w:t>:</w:t>
      </w:r>
      <w:r w:rsidRPr="001B7C40">
        <w:t xml:space="preserve"> Lack of Oversight</w:t>
      </w:r>
      <w:r w:rsidR="008551D0">
        <w:t xml:space="preserve"> and Unethical Leadership</w:t>
      </w:r>
      <w:bookmarkEnd w:id="7"/>
    </w:p>
    <w:p w14:paraId="642343DB" w14:textId="77777777" w:rsidR="00CF1315" w:rsidRPr="001B7C40" w:rsidRDefault="00CF1315" w:rsidP="00577EFC">
      <w:pPr>
        <w:spacing w:line="276" w:lineRule="auto"/>
        <w:rPr>
          <w:rFonts w:ascii="Arial" w:hAnsi="Arial" w:cs="Arial"/>
        </w:rPr>
      </w:pPr>
    </w:p>
    <w:p w14:paraId="39148B5A" w14:textId="7C4D1F44" w:rsidR="00CF1315" w:rsidRPr="001B7C40" w:rsidRDefault="00CF1315" w:rsidP="00577EFC">
      <w:pPr>
        <w:spacing w:line="276" w:lineRule="auto"/>
        <w:rPr>
          <w:rFonts w:ascii="Arial" w:hAnsi="Arial" w:cs="Arial"/>
        </w:rPr>
      </w:pPr>
      <w:r w:rsidRPr="001B7C40">
        <w:rPr>
          <w:rFonts w:ascii="Arial" w:hAnsi="Arial" w:cs="Arial"/>
          <w:color w:val="000000"/>
        </w:rPr>
        <w:t xml:space="preserve">Another one of the main factors that contributed to the crisis, </w:t>
      </w:r>
      <w:r w:rsidR="002249E3" w:rsidRPr="001B7C40">
        <w:rPr>
          <w:rFonts w:ascii="Arial" w:hAnsi="Arial" w:cs="Arial"/>
          <w:color w:val="000000"/>
        </w:rPr>
        <w:t>according to</w:t>
      </w:r>
      <w:r w:rsidRPr="001B7C40">
        <w:rPr>
          <w:rFonts w:ascii="Arial" w:hAnsi="Arial" w:cs="Arial"/>
          <w:color w:val="000000"/>
        </w:rPr>
        <w:t xml:space="preserve"> </w:t>
      </w:r>
      <w:r w:rsidR="002249E3" w:rsidRPr="001B7C40">
        <w:rPr>
          <w:rFonts w:ascii="Arial" w:hAnsi="Arial" w:cs="Arial"/>
        </w:rPr>
        <w:t xml:space="preserve">Feng, </w:t>
      </w:r>
      <w:proofErr w:type="spellStart"/>
      <w:r w:rsidR="002249E3" w:rsidRPr="001B7C40">
        <w:rPr>
          <w:rFonts w:ascii="Arial" w:hAnsi="Arial" w:cs="Arial"/>
        </w:rPr>
        <w:t>Fuerman</w:t>
      </w:r>
      <w:proofErr w:type="spellEnd"/>
      <w:r w:rsidR="002249E3" w:rsidRPr="001B7C40">
        <w:rPr>
          <w:rFonts w:ascii="Arial" w:hAnsi="Arial" w:cs="Arial"/>
        </w:rPr>
        <w:t xml:space="preserve"> and Heron (2022)</w:t>
      </w:r>
      <w:r w:rsidRPr="001B7C40">
        <w:rPr>
          <w:rFonts w:ascii="Arial" w:hAnsi="Arial" w:cs="Arial"/>
          <w:color w:val="000000"/>
        </w:rPr>
        <w:t xml:space="preserve">, was Wells Fargo’s </w:t>
      </w:r>
      <w:r w:rsidRPr="001B7C40">
        <w:rPr>
          <w:rFonts w:ascii="Arial" w:hAnsi="Arial" w:cs="Arial"/>
          <w:b/>
          <w:bCs/>
          <w:i/>
          <w:iCs/>
          <w:color w:val="000000"/>
        </w:rPr>
        <w:t xml:space="preserve">failure of internal oversight </w:t>
      </w:r>
      <w:r w:rsidRPr="001B7C40">
        <w:rPr>
          <w:rFonts w:ascii="Arial" w:hAnsi="Arial" w:cs="Arial"/>
          <w:color w:val="000000"/>
        </w:rPr>
        <w:t>which allowed fraudulent activities to proceed unchallenged. Regulators, auditors, and whistle-blowers all raised a number of red flags in their time working with the company, however, the company’s management did not act decisively to confront the misconduct that was taking place within the organisation.</w:t>
      </w:r>
    </w:p>
    <w:p w14:paraId="6432D8AE" w14:textId="77777777" w:rsidR="00CF1315" w:rsidRPr="001B7C40" w:rsidRDefault="00CF1315" w:rsidP="00577EFC">
      <w:pPr>
        <w:spacing w:line="276" w:lineRule="auto"/>
        <w:rPr>
          <w:rFonts w:ascii="Arial" w:hAnsi="Arial" w:cs="Arial"/>
        </w:rPr>
      </w:pPr>
    </w:p>
    <w:p w14:paraId="0DAF7503" w14:textId="7AFDFFA3" w:rsidR="00CF1315" w:rsidRPr="001B7C40" w:rsidRDefault="00CF1315" w:rsidP="00577EFC">
      <w:pPr>
        <w:spacing w:line="276" w:lineRule="auto"/>
        <w:rPr>
          <w:rFonts w:ascii="Arial" w:hAnsi="Arial" w:cs="Arial"/>
        </w:rPr>
      </w:pPr>
      <w:r w:rsidRPr="001B7C40">
        <w:rPr>
          <w:rFonts w:ascii="Arial" w:hAnsi="Arial" w:cs="Arial"/>
          <w:color w:val="000000"/>
        </w:rPr>
        <w:t xml:space="preserve">These insufficient oversight procedures that existed for Wells Fargo, which lacked the necessary tools to identify and stop fraudulent activity was one of the greatest deficiencies that led to the crisis. When it came to spotting warning signs and irregularities in employee conduct, the compliance procedures and monitoring systems were either insufficient or completely absent. Consequently, fraudulent activity continued to go unnoticed for a long time which allowed this behaviour to intensify and multiply over the course of time </w:t>
      </w:r>
      <w:r w:rsidR="002249E3" w:rsidRPr="001B7C40">
        <w:rPr>
          <w:rFonts w:ascii="Arial" w:hAnsi="Arial" w:cs="Arial"/>
        </w:rPr>
        <w:t>(Langton, 2023)</w:t>
      </w:r>
      <w:r w:rsidR="002249E3" w:rsidRPr="001B7C40">
        <w:rPr>
          <w:rFonts w:ascii="Arial" w:hAnsi="Arial" w:cs="Arial"/>
        </w:rPr>
        <w:t>.</w:t>
      </w:r>
    </w:p>
    <w:p w14:paraId="1F28B9DA" w14:textId="77777777" w:rsidR="00CF1315" w:rsidRPr="001B7C40" w:rsidRDefault="00CF1315" w:rsidP="00577EFC">
      <w:pPr>
        <w:spacing w:line="276" w:lineRule="auto"/>
        <w:rPr>
          <w:rFonts w:ascii="Arial" w:hAnsi="Arial" w:cs="Arial"/>
        </w:rPr>
      </w:pPr>
    </w:p>
    <w:p w14:paraId="2C59AB4C" w14:textId="7C923FED" w:rsidR="00CF1315" w:rsidRPr="001B7C40" w:rsidRDefault="00CF1315" w:rsidP="00577EFC">
      <w:pPr>
        <w:spacing w:line="276" w:lineRule="auto"/>
        <w:rPr>
          <w:rFonts w:ascii="Arial" w:hAnsi="Arial" w:cs="Arial"/>
        </w:rPr>
      </w:pPr>
      <w:r w:rsidRPr="001B7C40">
        <w:rPr>
          <w:rFonts w:ascii="Arial" w:hAnsi="Arial" w:cs="Arial"/>
          <w:color w:val="000000"/>
        </w:rPr>
        <w:t xml:space="preserve">Additionally, </w:t>
      </w:r>
      <w:r w:rsidR="00073E63" w:rsidRPr="001B7C40">
        <w:rPr>
          <w:rFonts w:ascii="Arial" w:hAnsi="Arial" w:cs="Arial"/>
          <w:color w:val="000000"/>
        </w:rPr>
        <w:t xml:space="preserve">the research </w:t>
      </w:r>
      <w:r w:rsidR="00073E63" w:rsidRPr="001B7C40">
        <w:rPr>
          <w:rFonts w:ascii="Arial" w:hAnsi="Arial" w:cs="Arial"/>
        </w:rPr>
        <w:t xml:space="preserve">(Feng, </w:t>
      </w:r>
      <w:proofErr w:type="spellStart"/>
      <w:r w:rsidR="00073E63" w:rsidRPr="001B7C40">
        <w:rPr>
          <w:rFonts w:ascii="Arial" w:hAnsi="Arial" w:cs="Arial"/>
        </w:rPr>
        <w:t>Fuerman</w:t>
      </w:r>
      <w:proofErr w:type="spellEnd"/>
      <w:r w:rsidR="00073E63" w:rsidRPr="001B7C40">
        <w:rPr>
          <w:rFonts w:ascii="Arial" w:hAnsi="Arial" w:cs="Arial"/>
        </w:rPr>
        <w:t xml:space="preserve"> and Heron, 2022)</w:t>
      </w:r>
      <w:r w:rsidR="00073E63" w:rsidRPr="001B7C40">
        <w:rPr>
          <w:rFonts w:ascii="Arial" w:hAnsi="Arial" w:cs="Arial"/>
        </w:rPr>
        <w:t xml:space="preserve"> </w:t>
      </w:r>
      <w:r w:rsidRPr="001B7C40">
        <w:rPr>
          <w:rFonts w:ascii="Arial" w:hAnsi="Arial" w:cs="Arial"/>
          <w:color w:val="000000"/>
        </w:rPr>
        <w:t>underscores the absence of accountability at the executive level, particularly evident in CEO Stumpf's initial response to the incident. Despite the termination of 5,300 employees over five years for fraudulent activities involving the opening of 2 million fake accounts, Stumpf sought to shift blame onto lower-level employees. This failure to acknowledge systemic issues within the organisation reflects a lack of strong, transparent leadership.</w:t>
      </w:r>
    </w:p>
    <w:p w14:paraId="6ADC4AF4" w14:textId="070D53E9" w:rsidR="00CF1315" w:rsidRPr="001B7C40" w:rsidRDefault="00CF1315" w:rsidP="00577EFC">
      <w:pPr>
        <w:spacing w:line="276" w:lineRule="auto"/>
        <w:rPr>
          <w:rFonts w:ascii="Arial" w:hAnsi="Arial" w:cs="Arial"/>
        </w:rPr>
      </w:pPr>
    </w:p>
    <w:p w14:paraId="3F9CACFB" w14:textId="34990B4F" w:rsidR="009E12A8" w:rsidRPr="00577EFC" w:rsidRDefault="00CF1315" w:rsidP="00577EFC">
      <w:pPr>
        <w:spacing w:line="276" w:lineRule="auto"/>
        <w:rPr>
          <w:rFonts w:ascii="Arial" w:hAnsi="Arial" w:cs="Arial"/>
        </w:rPr>
      </w:pPr>
      <w:r w:rsidRPr="001B7C40">
        <w:rPr>
          <w:rFonts w:ascii="Arial" w:hAnsi="Arial" w:cs="Arial"/>
          <w:color w:val="000000"/>
        </w:rPr>
        <w:t xml:space="preserve">Furthermore, the organisation dissuaded workers from raising concerns or exposing fraud by failing to set up sufficient whistle-blower protection procedures. As </w:t>
      </w:r>
      <w:r w:rsidR="002249E3" w:rsidRPr="001B7C40">
        <w:rPr>
          <w:rFonts w:ascii="Arial" w:hAnsi="Arial" w:cs="Arial"/>
        </w:rPr>
        <w:t>Arnold (2016)</w:t>
      </w:r>
      <w:r w:rsidRPr="001B7C40">
        <w:rPr>
          <w:rFonts w:ascii="Arial" w:hAnsi="Arial" w:cs="Arial"/>
          <w:color w:val="000000"/>
        </w:rPr>
        <w:t xml:space="preserve"> states, </w:t>
      </w:r>
      <w:r w:rsidR="009E12A8" w:rsidRPr="001B7C40">
        <w:rPr>
          <w:rFonts w:ascii="Arial" w:hAnsi="Arial" w:cs="Arial"/>
          <w:color w:val="000000"/>
        </w:rPr>
        <w:t>w</w:t>
      </w:r>
      <w:r w:rsidRPr="001B7C40">
        <w:rPr>
          <w:rFonts w:ascii="Arial" w:hAnsi="Arial" w:cs="Arial"/>
          <w:color w:val="000000"/>
        </w:rPr>
        <w:t xml:space="preserve">hen whistle-blowers did come forward, they were frequently disregarded, subjected to reprisals or even dismissed </w:t>
      </w:r>
      <w:r w:rsidR="00A30147">
        <w:rPr>
          <w:rFonts w:ascii="Arial" w:hAnsi="Arial" w:cs="Arial"/>
          <w:color w:val="000000"/>
        </w:rPr>
        <w:t>from</w:t>
      </w:r>
      <w:r w:rsidRPr="001B7C40">
        <w:rPr>
          <w:rFonts w:ascii="Arial" w:hAnsi="Arial" w:cs="Arial"/>
          <w:color w:val="000000"/>
        </w:rPr>
        <w:t xml:space="preserve"> their employment, which made other staff far less likely to sound the alarm about the unethical and illicit activity taking place. The organisation’s culture of impunity was encouraged by this lack of accountability, not only giving employees the confidence to act unethically without worrying about any repercussions, but also being incentivised to do so.</w:t>
      </w:r>
    </w:p>
    <w:p w14:paraId="1278474C" w14:textId="50AC2A2F" w:rsidR="00CF7700" w:rsidRPr="001B7C40" w:rsidRDefault="00CF7700" w:rsidP="00577EFC">
      <w:pPr>
        <w:spacing w:line="276" w:lineRule="auto"/>
        <w:rPr>
          <w:rFonts w:ascii="Arial" w:hAnsi="Arial" w:cs="Arial"/>
        </w:rPr>
      </w:pPr>
    </w:p>
    <w:p w14:paraId="32088E58" w14:textId="4CB842E2" w:rsidR="0058023D" w:rsidRDefault="0058023D" w:rsidP="00577EFC">
      <w:pPr>
        <w:spacing w:line="276" w:lineRule="auto"/>
        <w:rPr>
          <w:rFonts w:ascii="Arial" w:hAnsi="Arial" w:cs="Arial"/>
          <w:color w:val="000000"/>
        </w:rPr>
      </w:pPr>
      <w:r w:rsidRPr="0058023D">
        <w:rPr>
          <w:rFonts w:ascii="Arial" w:hAnsi="Arial" w:cs="Arial"/>
        </w:rPr>
        <w:t>The severity of the issue at Wells Fargo was notably aggravated by the unethical leadership, particularly evident at the upper echelons of the organi</w:t>
      </w:r>
      <w:r>
        <w:rPr>
          <w:rFonts w:ascii="Arial" w:hAnsi="Arial" w:cs="Arial"/>
        </w:rPr>
        <w:t>s</w:t>
      </w:r>
      <w:r w:rsidRPr="0058023D">
        <w:rPr>
          <w:rFonts w:ascii="Arial" w:hAnsi="Arial" w:cs="Arial"/>
        </w:rPr>
        <w:t>ation.</w:t>
      </w:r>
      <w:r w:rsidRPr="0058023D">
        <w:rPr>
          <w:rFonts w:ascii="Arial" w:hAnsi="Arial" w:cs="Arial"/>
          <w:color w:val="000000"/>
        </w:rPr>
        <w:t xml:space="preserve"> </w:t>
      </w:r>
      <w:r w:rsidRPr="001B7C40">
        <w:rPr>
          <w:rFonts w:ascii="Arial" w:hAnsi="Arial" w:cs="Arial"/>
          <w:color w:val="000000"/>
        </w:rPr>
        <w:t xml:space="preserve">As explained by </w:t>
      </w:r>
      <w:r w:rsidRPr="001B7C40">
        <w:rPr>
          <w:rFonts w:ascii="Arial" w:hAnsi="Arial" w:cs="Arial"/>
        </w:rPr>
        <w:t>Ochs (2016)</w:t>
      </w:r>
      <w:r w:rsidRPr="001B7C40">
        <w:rPr>
          <w:rFonts w:ascii="Arial" w:hAnsi="Arial" w:cs="Arial"/>
          <w:color w:val="000000"/>
        </w:rPr>
        <w:t xml:space="preserve">, the organisation’s culture was defined by </w:t>
      </w:r>
      <w:r>
        <w:rPr>
          <w:rFonts w:ascii="Arial" w:hAnsi="Arial" w:cs="Arial"/>
          <w:color w:val="000000"/>
        </w:rPr>
        <w:t xml:space="preserve">an </w:t>
      </w:r>
      <w:r w:rsidRPr="001B7C40">
        <w:rPr>
          <w:rFonts w:ascii="Arial" w:hAnsi="Arial" w:cs="Arial"/>
          <w:color w:val="000000"/>
        </w:rPr>
        <w:t>unwavering focus on short-term financial goals,</w:t>
      </w:r>
      <w:r>
        <w:rPr>
          <w:rFonts w:ascii="Arial" w:hAnsi="Arial" w:cs="Arial"/>
          <w:color w:val="000000"/>
        </w:rPr>
        <w:t xml:space="preserve"> often to the detriment of ethical principles and the interests of clients. </w:t>
      </w:r>
      <w:r w:rsidRPr="0058023D">
        <w:rPr>
          <w:rFonts w:ascii="Arial" w:hAnsi="Arial" w:cs="Arial"/>
          <w:color w:val="000000"/>
        </w:rPr>
        <w:t>Leaders and managers, entrusted with setting the tone at the top of the organi</w:t>
      </w:r>
      <w:r>
        <w:rPr>
          <w:rFonts w:ascii="Arial" w:hAnsi="Arial" w:cs="Arial"/>
          <w:color w:val="000000"/>
        </w:rPr>
        <w:t>s</w:t>
      </w:r>
      <w:r w:rsidRPr="0058023D">
        <w:rPr>
          <w:rFonts w:ascii="Arial" w:hAnsi="Arial" w:cs="Arial"/>
          <w:color w:val="000000"/>
        </w:rPr>
        <w:t>ation, neglected to prioriti</w:t>
      </w:r>
      <w:r>
        <w:rPr>
          <w:rFonts w:ascii="Arial" w:hAnsi="Arial" w:cs="Arial"/>
          <w:color w:val="000000"/>
        </w:rPr>
        <w:t>s</w:t>
      </w:r>
      <w:r w:rsidRPr="0058023D">
        <w:rPr>
          <w:rFonts w:ascii="Arial" w:hAnsi="Arial" w:cs="Arial"/>
          <w:color w:val="000000"/>
        </w:rPr>
        <w:t>e moral behavio</w:t>
      </w:r>
      <w:r>
        <w:rPr>
          <w:rFonts w:ascii="Arial" w:hAnsi="Arial" w:cs="Arial"/>
          <w:color w:val="000000"/>
        </w:rPr>
        <w:t>u</w:t>
      </w:r>
      <w:r w:rsidRPr="0058023D">
        <w:rPr>
          <w:rFonts w:ascii="Arial" w:hAnsi="Arial" w:cs="Arial"/>
          <w:color w:val="000000"/>
        </w:rPr>
        <w:t xml:space="preserve">r and turned a blind eye to </w:t>
      </w:r>
      <w:r>
        <w:rPr>
          <w:rFonts w:ascii="Arial" w:hAnsi="Arial" w:cs="Arial"/>
          <w:color w:val="000000"/>
        </w:rPr>
        <w:t xml:space="preserve">the </w:t>
      </w:r>
      <w:r w:rsidRPr="0058023D">
        <w:rPr>
          <w:rFonts w:ascii="Arial" w:hAnsi="Arial" w:cs="Arial"/>
          <w:color w:val="000000"/>
        </w:rPr>
        <w:t xml:space="preserve">unlawful conduct </w:t>
      </w:r>
      <w:r w:rsidR="00FE08B6">
        <w:rPr>
          <w:rFonts w:ascii="Arial" w:hAnsi="Arial" w:cs="Arial"/>
          <w:color w:val="000000"/>
        </w:rPr>
        <w:t>occurring</w:t>
      </w:r>
      <w:r w:rsidRPr="0058023D">
        <w:rPr>
          <w:rFonts w:ascii="Arial" w:hAnsi="Arial" w:cs="Arial"/>
          <w:color w:val="000000"/>
        </w:rPr>
        <w:t xml:space="preserve"> within the company. This failure to emphasi</w:t>
      </w:r>
      <w:r>
        <w:rPr>
          <w:rFonts w:ascii="Arial" w:hAnsi="Arial" w:cs="Arial"/>
          <w:color w:val="000000"/>
        </w:rPr>
        <w:t>s</w:t>
      </w:r>
      <w:r w:rsidRPr="0058023D">
        <w:rPr>
          <w:rFonts w:ascii="Arial" w:hAnsi="Arial" w:cs="Arial"/>
          <w:color w:val="000000"/>
        </w:rPr>
        <w:t xml:space="preserve">e the </w:t>
      </w:r>
      <w:r w:rsidRPr="0058023D">
        <w:rPr>
          <w:rFonts w:ascii="Arial" w:hAnsi="Arial" w:cs="Arial"/>
          <w:color w:val="000000"/>
        </w:rPr>
        <w:lastRenderedPageBreak/>
        <w:t>importance of ethical behavio</w:t>
      </w:r>
      <w:r>
        <w:rPr>
          <w:rFonts w:ascii="Arial" w:hAnsi="Arial" w:cs="Arial"/>
          <w:color w:val="000000"/>
        </w:rPr>
        <w:t>u</w:t>
      </w:r>
      <w:r w:rsidRPr="0058023D">
        <w:rPr>
          <w:rFonts w:ascii="Arial" w:hAnsi="Arial" w:cs="Arial"/>
          <w:color w:val="000000"/>
        </w:rPr>
        <w:t>r and address misconduct allowed unethical practices to persist unchecked, contributing significantly to the escalation of the problem.</w:t>
      </w:r>
    </w:p>
    <w:p w14:paraId="5E958BB9" w14:textId="206275A7" w:rsidR="0030781E" w:rsidRPr="001B7C40" w:rsidRDefault="0030781E" w:rsidP="00577EFC">
      <w:pPr>
        <w:spacing w:line="276" w:lineRule="auto"/>
        <w:rPr>
          <w:rFonts w:ascii="Arial" w:hAnsi="Arial" w:cs="Arial"/>
        </w:rPr>
      </w:pPr>
    </w:p>
    <w:p w14:paraId="6DCA4E78" w14:textId="19010FA6" w:rsidR="00FE08B6" w:rsidRDefault="00DF51C4" w:rsidP="00577EFC">
      <w:pPr>
        <w:spacing w:line="276" w:lineRule="auto"/>
        <w:rPr>
          <w:rFonts w:ascii="Arial" w:hAnsi="Arial" w:cs="Arial"/>
          <w:color w:val="000000"/>
        </w:rPr>
      </w:pPr>
      <w:r w:rsidRPr="001B7C40">
        <w:rPr>
          <w:rFonts w:ascii="Arial" w:hAnsi="Arial" w:cs="Arial"/>
          <w:color w:val="000000"/>
        </w:rPr>
        <w:t xml:space="preserve">The problem was further exacerbated by the </w:t>
      </w:r>
      <w:r w:rsidR="00FE08B6">
        <w:rPr>
          <w:rFonts w:ascii="Arial" w:hAnsi="Arial" w:cs="Arial"/>
          <w:color w:val="000000"/>
        </w:rPr>
        <w:t xml:space="preserve">inability of senior executives and the </w:t>
      </w:r>
      <w:r w:rsidRPr="001B7C40">
        <w:rPr>
          <w:rFonts w:ascii="Arial" w:hAnsi="Arial" w:cs="Arial"/>
          <w:color w:val="000000"/>
        </w:rPr>
        <w:t>board of directors</w:t>
      </w:r>
      <w:r w:rsidR="00FE08B6">
        <w:rPr>
          <w:rFonts w:ascii="Arial" w:hAnsi="Arial" w:cs="Arial"/>
          <w:color w:val="000000"/>
        </w:rPr>
        <w:t>,</w:t>
      </w:r>
      <w:r w:rsidRPr="001B7C40">
        <w:rPr>
          <w:rFonts w:ascii="Arial" w:hAnsi="Arial" w:cs="Arial"/>
          <w:color w:val="000000"/>
        </w:rPr>
        <w:t xml:space="preserve"> </w:t>
      </w:r>
      <w:r w:rsidR="00FE08B6">
        <w:rPr>
          <w:rFonts w:ascii="Arial" w:hAnsi="Arial" w:cs="Arial"/>
          <w:color w:val="000000"/>
        </w:rPr>
        <w:t xml:space="preserve">to </w:t>
      </w:r>
      <w:r w:rsidRPr="001B7C40">
        <w:rPr>
          <w:rFonts w:ascii="Arial" w:hAnsi="Arial" w:cs="Arial"/>
          <w:color w:val="000000"/>
        </w:rPr>
        <w:t>provide adequate supervision and governance.</w:t>
      </w:r>
      <w:r w:rsidR="00FE08B6">
        <w:rPr>
          <w:rFonts w:ascii="Arial" w:hAnsi="Arial" w:cs="Arial"/>
          <w:color w:val="000000"/>
        </w:rPr>
        <w:t xml:space="preserve"> </w:t>
      </w:r>
      <w:r w:rsidR="00FE08B6" w:rsidRPr="00FE08B6">
        <w:rPr>
          <w:rFonts w:ascii="Arial" w:hAnsi="Arial" w:cs="Arial"/>
          <w:color w:val="000000"/>
        </w:rPr>
        <w:t xml:space="preserve">Despite being alerted to warning signs as early as 2002, the board neglected to take decisive action. An independent investigation commissioned by the board revealed that the Audit and Examination </w:t>
      </w:r>
      <w:r w:rsidR="00A30147">
        <w:rPr>
          <w:rFonts w:ascii="Arial" w:hAnsi="Arial" w:cs="Arial"/>
          <w:color w:val="000000"/>
        </w:rPr>
        <w:t>C</w:t>
      </w:r>
      <w:r w:rsidR="00FE08B6" w:rsidRPr="00FE08B6">
        <w:rPr>
          <w:rFonts w:ascii="Arial" w:hAnsi="Arial" w:cs="Arial"/>
          <w:color w:val="000000"/>
        </w:rPr>
        <w:t>ommittee regularly received reports flagging suspicious activities related to sales, employee misconduct, and ethics hotline complaints. However, as highlighted by Bloxham (2017), the board failed to act effectively on this information.</w:t>
      </w:r>
    </w:p>
    <w:p w14:paraId="55340017" w14:textId="77777777" w:rsidR="00FE08B6" w:rsidRPr="001B7C40" w:rsidRDefault="00FE08B6" w:rsidP="00577EFC">
      <w:pPr>
        <w:spacing w:line="276" w:lineRule="auto"/>
        <w:rPr>
          <w:rFonts w:ascii="Arial" w:hAnsi="Arial" w:cs="Arial"/>
          <w:color w:val="000000"/>
        </w:rPr>
      </w:pPr>
    </w:p>
    <w:p w14:paraId="562B72E3" w14:textId="4EAF8BC4" w:rsidR="00FE08B6" w:rsidRDefault="00E01992" w:rsidP="00577EFC">
      <w:pPr>
        <w:spacing w:line="276" w:lineRule="auto"/>
        <w:rPr>
          <w:rFonts w:ascii="Arial" w:hAnsi="Arial" w:cs="Arial"/>
        </w:rPr>
      </w:pPr>
      <w:r w:rsidRPr="00E01992">
        <w:rPr>
          <w:rFonts w:ascii="Arial" w:hAnsi="Arial" w:cs="Arial"/>
        </w:rPr>
        <w:t xml:space="preserve">Moreover, as highlighted by Glazer (2018), senior-level employees at Wells Fargo received significantly higher </w:t>
      </w:r>
      <w:r w:rsidRPr="00E01992">
        <w:rPr>
          <w:rFonts w:ascii="Arial" w:hAnsi="Arial" w:cs="Arial"/>
        </w:rPr>
        <w:t>pay-outs</w:t>
      </w:r>
      <w:r w:rsidRPr="00E01992">
        <w:rPr>
          <w:rFonts w:ascii="Arial" w:hAnsi="Arial" w:cs="Arial"/>
        </w:rPr>
        <w:t xml:space="preserve"> compared to their counterparts in other firms within the industry. This compensation structure likely played a role in incentivizing higher-ups to overlook unethical behavio</w:t>
      </w:r>
      <w:r>
        <w:rPr>
          <w:rFonts w:ascii="Arial" w:hAnsi="Arial" w:cs="Arial"/>
        </w:rPr>
        <w:t>u</w:t>
      </w:r>
      <w:r w:rsidRPr="00E01992">
        <w:rPr>
          <w:rFonts w:ascii="Arial" w:hAnsi="Arial" w:cs="Arial"/>
        </w:rPr>
        <w:t>r that boosted sales. For instance, advisors stood to gain a 15% bonus for achieving a 15% increase in revenue. Consequently, by implicitly condoning such misconduct, leadership may have inadvertently communicated to employees that engaging in such activities was acceptable as long as they contributed to profit growth.</w:t>
      </w:r>
    </w:p>
    <w:p w14:paraId="17233BF6" w14:textId="77777777" w:rsidR="00FE08B6" w:rsidRPr="001B7C40" w:rsidRDefault="00FE08B6" w:rsidP="00577EFC">
      <w:pPr>
        <w:spacing w:line="276" w:lineRule="auto"/>
        <w:rPr>
          <w:rFonts w:ascii="Arial" w:hAnsi="Arial" w:cs="Arial"/>
        </w:rPr>
      </w:pPr>
    </w:p>
    <w:p w14:paraId="0959B024" w14:textId="06EA7ED1" w:rsidR="0030781E" w:rsidRPr="001B7C40" w:rsidRDefault="0030781E" w:rsidP="00577EFC">
      <w:pPr>
        <w:pStyle w:val="Heading2"/>
      </w:pPr>
      <w:bookmarkStart w:id="8" w:name="_Toc164084284"/>
      <w:r w:rsidRPr="001B7C40">
        <w:t>2.4: Regulatory Issues</w:t>
      </w:r>
      <w:bookmarkEnd w:id="8"/>
      <w:r w:rsidRPr="001B7C40">
        <w:t xml:space="preserve"> </w:t>
      </w:r>
    </w:p>
    <w:p w14:paraId="582DA1B6" w14:textId="01F7DE78" w:rsidR="0030781E" w:rsidRDefault="0030781E" w:rsidP="00577EFC">
      <w:pPr>
        <w:spacing w:line="276" w:lineRule="auto"/>
        <w:rPr>
          <w:rFonts w:ascii="Arial" w:hAnsi="Arial" w:cs="Arial"/>
        </w:rPr>
      </w:pPr>
    </w:p>
    <w:p w14:paraId="182414B0" w14:textId="093F941C" w:rsidR="00E01992" w:rsidRPr="001B7C40" w:rsidRDefault="00E01992" w:rsidP="00577EFC">
      <w:pPr>
        <w:spacing w:line="276" w:lineRule="auto"/>
        <w:rPr>
          <w:rFonts w:ascii="Arial" w:hAnsi="Arial" w:cs="Arial"/>
        </w:rPr>
      </w:pPr>
      <w:r w:rsidRPr="00E01992">
        <w:rPr>
          <w:rFonts w:ascii="Arial" w:hAnsi="Arial" w:cs="Arial"/>
        </w:rPr>
        <w:t>Regulatory bodies play a crucial role in ensuring that financial institutions uphold their legal obligations and provide fair and transparent services to their clients. As an American bank, Wells Fargo is obligated to closely collaborate with regulatory bodies to ensure adherence to a broad spectrum of laws and standards (</w:t>
      </w:r>
      <w:proofErr w:type="spellStart"/>
      <w:r w:rsidRPr="00E01992">
        <w:rPr>
          <w:rFonts w:ascii="Arial" w:hAnsi="Arial" w:cs="Arial"/>
        </w:rPr>
        <w:t>IDnow</w:t>
      </w:r>
      <w:proofErr w:type="spellEnd"/>
      <w:r w:rsidRPr="00E01992">
        <w:rPr>
          <w:rFonts w:ascii="Arial" w:hAnsi="Arial" w:cs="Arial"/>
        </w:rPr>
        <w:t>, 2024).</w:t>
      </w:r>
    </w:p>
    <w:p w14:paraId="221EB6D2" w14:textId="425007FF" w:rsidR="0030781E" w:rsidRDefault="0030781E" w:rsidP="00577EFC">
      <w:pPr>
        <w:spacing w:line="276" w:lineRule="auto"/>
        <w:rPr>
          <w:rFonts w:ascii="Arial" w:hAnsi="Arial" w:cs="Arial"/>
        </w:rPr>
      </w:pPr>
    </w:p>
    <w:p w14:paraId="23767817" w14:textId="3DFD5E12" w:rsidR="00E01992" w:rsidRPr="001B7C40" w:rsidRDefault="00E01992" w:rsidP="00577EFC">
      <w:pPr>
        <w:spacing w:line="276" w:lineRule="auto"/>
        <w:rPr>
          <w:rFonts w:ascii="Arial" w:hAnsi="Arial" w:cs="Arial"/>
        </w:rPr>
      </w:pPr>
      <w:r w:rsidRPr="00E01992">
        <w:rPr>
          <w:rFonts w:ascii="Arial" w:hAnsi="Arial" w:cs="Arial"/>
        </w:rPr>
        <w:t>Among the key regulatory agencies with which Wells Fargo must engage are the Consumer Financial Protection Bureau (CFPB) and the Office of the Comptroller of the Currency (OCC). The CFPB safeguards consumers in the financial sector by enforcing laws against abusive practices, while the OCC regulates national banks like Wells Fargo to ensure their operations are conducted safely and soundly (CFPB, 2023; OCC, 2019).</w:t>
      </w:r>
    </w:p>
    <w:p w14:paraId="32CCA921" w14:textId="77777777" w:rsidR="00D83D16" w:rsidRPr="001B7C40" w:rsidRDefault="00D83D16" w:rsidP="00577EFC">
      <w:pPr>
        <w:spacing w:line="276" w:lineRule="auto"/>
        <w:rPr>
          <w:rFonts w:ascii="Arial" w:hAnsi="Arial" w:cs="Arial"/>
          <w:color w:val="000000"/>
        </w:rPr>
      </w:pPr>
    </w:p>
    <w:p w14:paraId="10A93ED4" w14:textId="384149C8" w:rsidR="00E05288" w:rsidRDefault="00E05288" w:rsidP="00577EFC">
      <w:pPr>
        <w:spacing w:line="276" w:lineRule="auto"/>
        <w:rPr>
          <w:rFonts w:ascii="Arial" w:hAnsi="Arial" w:cs="Arial"/>
          <w:color w:val="000000"/>
        </w:rPr>
      </w:pPr>
      <w:r w:rsidRPr="001B7C40">
        <w:rPr>
          <w:rFonts w:ascii="Arial" w:hAnsi="Arial" w:cs="Arial"/>
          <w:color w:val="000000"/>
        </w:rPr>
        <w:t>In the years preceding the crisis</w:t>
      </w:r>
      <w:r>
        <w:rPr>
          <w:rFonts w:ascii="Arial" w:hAnsi="Arial" w:cs="Arial"/>
          <w:color w:val="000000"/>
        </w:rPr>
        <w:t xml:space="preserve">, </w:t>
      </w:r>
      <w:r w:rsidRPr="00E05288">
        <w:rPr>
          <w:rFonts w:ascii="Arial" w:hAnsi="Arial" w:cs="Arial"/>
          <w:color w:val="000000"/>
        </w:rPr>
        <w:t>Wells Fargo employees had raised concerns about the bank's unethical sales practices, particularly the unauthori</w:t>
      </w:r>
      <w:r>
        <w:rPr>
          <w:rFonts w:ascii="Arial" w:hAnsi="Arial" w:cs="Arial"/>
          <w:color w:val="000000"/>
        </w:rPr>
        <w:t>s</w:t>
      </w:r>
      <w:r w:rsidRPr="00E05288">
        <w:rPr>
          <w:rFonts w:ascii="Arial" w:hAnsi="Arial" w:cs="Arial"/>
          <w:color w:val="000000"/>
        </w:rPr>
        <w:t>ed creation of millions of accounts and</w:t>
      </w:r>
      <w:r w:rsidR="00A30147">
        <w:rPr>
          <w:rFonts w:ascii="Arial" w:hAnsi="Arial" w:cs="Arial"/>
          <w:color w:val="000000"/>
        </w:rPr>
        <w:t xml:space="preserve"> the</w:t>
      </w:r>
      <w:r w:rsidRPr="00E05288">
        <w:rPr>
          <w:rFonts w:ascii="Arial" w:hAnsi="Arial" w:cs="Arial"/>
          <w:color w:val="000000"/>
        </w:rPr>
        <w:t xml:space="preserve"> </w:t>
      </w:r>
      <w:r>
        <w:rPr>
          <w:rFonts w:ascii="Arial" w:hAnsi="Arial" w:cs="Arial"/>
          <w:color w:val="000000"/>
        </w:rPr>
        <w:t>charging</w:t>
      </w:r>
      <w:r w:rsidRPr="00E05288">
        <w:rPr>
          <w:rFonts w:ascii="Arial" w:hAnsi="Arial" w:cs="Arial"/>
          <w:color w:val="000000"/>
        </w:rPr>
        <w:t xml:space="preserve"> of unnecessary fees. However, despite these warnings, a report from the US House of Representatives (US H.R., 2020) revealed that the OCC had been aware of the bank's </w:t>
      </w:r>
      <w:r>
        <w:rPr>
          <w:rFonts w:ascii="Arial" w:hAnsi="Arial" w:cs="Arial"/>
          <w:color w:val="000000"/>
        </w:rPr>
        <w:t>insufficient</w:t>
      </w:r>
      <w:r w:rsidRPr="00E05288">
        <w:rPr>
          <w:rFonts w:ascii="Arial" w:hAnsi="Arial" w:cs="Arial"/>
          <w:color w:val="000000"/>
        </w:rPr>
        <w:t xml:space="preserve"> compliance controls as early as 2009 but failed to </w:t>
      </w:r>
      <w:proofErr w:type="gramStart"/>
      <w:r w:rsidRPr="00E05288">
        <w:rPr>
          <w:rFonts w:ascii="Arial" w:hAnsi="Arial" w:cs="Arial"/>
          <w:color w:val="000000"/>
        </w:rPr>
        <w:t>take action</w:t>
      </w:r>
      <w:proofErr w:type="gramEnd"/>
      <w:r w:rsidRPr="00E05288">
        <w:rPr>
          <w:rFonts w:ascii="Arial" w:hAnsi="Arial" w:cs="Arial"/>
          <w:color w:val="000000"/>
        </w:rPr>
        <w:t xml:space="preserve">. This lack of response allowed Wells Fargo to continue its </w:t>
      </w:r>
      <w:r>
        <w:rPr>
          <w:rFonts w:ascii="Arial" w:hAnsi="Arial" w:cs="Arial"/>
          <w:color w:val="000000"/>
        </w:rPr>
        <w:t>malicious</w:t>
      </w:r>
      <w:r w:rsidRPr="00E05288">
        <w:rPr>
          <w:rFonts w:ascii="Arial" w:hAnsi="Arial" w:cs="Arial"/>
          <w:color w:val="000000"/>
        </w:rPr>
        <w:t xml:space="preserve"> practices unchecked, leading to a worsening of the situation </w:t>
      </w:r>
      <w:r w:rsidRPr="00E05288">
        <w:rPr>
          <w:rFonts w:ascii="Arial" w:hAnsi="Arial" w:cs="Arial"/>
          <w:color w:val="000000"/>
        </w:rPr>
        <w:lastRenderedPageBreak/>
        <w:t>over time. Consequently, the prolonged duration of the crisis and its adverse effects on shareholders and customers were likely significantly exacerbated.</w:t>
      </w:r>
    </w:p>
    <w:p w14:paraId="2403DACA" w14:textId="50ACF133" w:rsidR="00CF7700" w:rsidRPr="001B7C40" w:rsidRDefault="00CF7700" w:rsidP="00577EFC">
      <w:pPr>
        <w:spacing w:line="276" w:lineRule="auto"/>
        <w:rPr>
          <w:rFonts w:ascii="Arial" w:hAnsi="Arial" w:cs="Arial"/>
        </w:rPr>
      </w:pPr>
    </w:p>
    <w:p w14:paraId="4BC6FFCB" w14:textId="0652ED39" w:rsidR="00F11134" w:rsidRPr="001B7C40" w:rsidRDefault="00F11134" w:rsidP="00577EFC">
      <w:pPr>
        <w:spacing w:line="276" w:lineRule="auto"/>
        <w:rPr>
          <w:rFonts w:ascii="Arial" w:hAnsi="Arial" w:cs="Arial"/>
        </w:rPr>
      </w:pPr>
      <w:r w:rsidRPr="001B7C40">
        <w:rPr>
          <w:rFonts w:ascii="Arial" w:hAnsi="Arial" w:cs="Arial"/>
          <w:color w:val="000000"/>
        </w:rPr>
        <w:t>The Wells Fargo crisis also highlights the significance of the Sarbanes-Oxley Act (SOX) of 2002</w:t>
      </w:r>
      <w:r w:rsidR="00E05288">
        <w:rPr>
          <w:rFonts w:ascii="Arial" w:hAnsi="Arial" w:cs="Arial"/>
          <w:color w:val="000000"/>
        </w:rPr>
        <w:t>, which</w:t>
      </w:r>
      <w:r w:rsidRPr="001B7C40">
        <w:rPr>
          <w:rFonts w:ascii="Arial" w:hAnsi="Arial" w:cs="Arial"/>
          <w:color w:val="000000"/>
        </w:rPr>
        <w:t xml:space="preserve"> was implemented in an effort to strengthen corporate governance, transparency, and accountability in the wake of corporate accounting scandals</w:t>
      </w:r>
      <w:r w:rsidR="002A1BFE" w:rsidRPr="001B7C40">
        <w:rPr>
          <w:rFonts w:ascii="Arial" w:hAnsi="Arial" w:cs="Arial"/>
          <w:color w:val="000000"/>
        </w:rPr>
        <w:t xml:space="preserve"> </w:t>
      </w:r>
      <w:r w:rsidR="002A1BFE" w:rsidRPr="001B7C40">
        <w:rPr>
          <w:rFonts w:ascii="Arial" w:hAnsi="Arial" w:cs="Arial"/>
        </w:rPr>
        <w:t>(ITgovernance, 2023)</w:t>
      </w:r>
      <w:r w:rsidRPr="001B7C40">
        <w:rPr>
          <w:rFonts w:ascii="Arial" w:hAnsi="Arial" w:cs="Arial"/>
          <w:color w:val="000000"/>
        </w:rPr>
        <w:t xml:space="preserve">. To fully comprehend the ramifications of the Wells Fargo scandal, it is important to consider </w:t>
      </w:r>
      <w:r w:rsidR="00B5398D" w:rsidRPr="001B7C40">
        <w:rPr>
          <w:rFonts w:ascii="Arial" w:hAnsi="Arial" w:cs="Arial"/>
          <w:color w:val="000000"/>
        </w:rPr>
        <w:t>some</w:t>
      </w:r>
      <w:r w:rsidRPr="001B7C40">
        <w:rPr>
          <w:rFonts w:ascii="Arial" w:hAnsi="Arial" w:cs="Arial"/>
          <w:color w:val="000000"/>
        </w:rPr>
        <w:t xml:space="preserve"> </w:t>
      </w:r>
      <w:r w:rsidR="00B5398D" w:rsidRPr="001B7C40">
        <w:rPr>
          <w:rFonts w:ascii="Arial" w:hAnsi="Arial" w:cs="Arial"/>
          <w:color w:val="000000"/>
        </w:rPr>
        <w:t>components</w:t>
      </w:r>
      <w:r w:rsidRPr="001B7C40">
        <w:rPr>
          <w:rFonts w:ascii="Arial" w:hAnsi="Arial" w:cs="Arial"/>
          <w:color w:val="000000"/>
        </w:rPr>
        <w:t xml:space="preserve"> of this act.</w:t>
      </w:r>
    </w:p>
    <w:p w14:paraId="2C4FF82C" w14:textId="77777777" w:rsidR="00F11134" w:rsidRPr="001B7C40" w:rsidRDefault="00F11134" w:rsidP="00577EFC">
      <w:pPr>
        <w:spacing w:line="276" w:lineRule="auto"/>
        <w:rPr>
          <w:rFonts w:ascii="Arial" w:hAnsi="Arial" w:cs="Arial"/>
        </w:rPr>
      </w:pPr>
    </w:p>
    <w:p w14:paraId="3024407B" w14:textId="2CAADD29" w:rsidR="00B5398D" w:rsidRPr="001B7C40" w:rsidRDefault="00F11134" w:rsidP="00577EFC">
      <w:pPr>
        <w:spacing w:line="276" w:lineRule="auto"/>
        <w:rPr>
          <w:rFonts w:ascii="Arial" w:hAnsi="Arial" w:cs="Arial"/>
        </w:rPr>
      </w:pPr>
      <w:r w:rsidRPr="001B7C40">
        <w:rPr>
          <w:rFonts w:ascii="Arial" w:hAnsi="Arial" w:cs="Arial"/>
          <w:color w:val="000000"/>
        </w:rPr>
        <w:t xml:space="preserve">In an effort to strengthen control of financial reporting procedures and reduce fraud risks, SOX enforces strict corporate governance rules, including the makeup and independence of audit committees. </w:t>
      </w:r>
      <w:r w:rsidR="00B5398D" w:rsidRPr="001B7C40">
        <w:rPr>
          <w:rFonts w:ascii="Arial" w:hAnsi="Arial" w:cs="Arial"/>
          <w:color w:val="000000"/>
        </w:rPr>
        <w:t>However,</w:t>
      </w:r>
      <w:r w:rsidRPr="001B7C40">
        <w:rPr>
          <w:rFonts w:ascii="Arial" w:hAnsi="Arial" w:cs="Arial"/>
          <w:color w:val="000000"/>
        </w:rPr>
        <w:t xml:space="preserve"> the unapproved creation of millions of Wells Fargo customer accounts points to serious governance and risk management shortcomings</w:t>
      </w:r>
      <w:r w:rsidR="002C3F72">
        <w:rPr>
          <w:rFonts w:ascii="Arial" w:hAnsi="Arial" w:cs="Arial"/>
          <w:color w:val="000000"/>
        </w:rPr>
        <w:t xml:space="preserve">. As highlighted </w:t>
      </w:r>
      <w:r w:rsidR="00B5398D" w:rsidRPr="001B7C40">
        <w:rPr>
          <w:rFonts w:ascii="Arial" w:hAnsi="Arial" w:cs="Arial"/>
          <w:color w:val="000000"/>
        </w:rPr>
        <w:t xml:space="preserve">by </w:t>
      </w:r>
      <w:r w:rsidR="00CA237D" w:rsidRPr="001B7C40">
        <w:rPr>
          <w:rFonts w:ascii="Arial" w:hAnsi="Arial" w:cs="Arial"/>
        </w:rPr>
        <w:t>Allen and Burke (2022)</w:t>
      </w:r>
      <w:r w:rsidR="00CA237D" w:rsidRPr="001B7C40">
        <w:rPr>
          <w:rFonts w:ascii="Arial" w:hAnsi="Arial" w:cs="Arial"/>
        </w:rPr>
        <w:t>,</w:t>
      </w:r>
      <w:r w:rsidRPr="001B7C40">
        <w:rPr>
          <w:rFonts w:ascii="Arial" w:hAnsi="Arial" w:cs="Arial"/>
          <w:color w:val="000000"/>
        </w:rPr>
        <w:t xml:space="preserve"> </w:t>
      </w:r>
      <w:r w:rsidR="002C3F72">
        <w:rPr>
          <w:rFonts w:ascii="Arial" w:hAnsi="Arial" w:cs="Arial"/>
          <w:color w:val="000000"/>
        </w:rPr>
        <w:t xml:space="preserve">these shortcomings </w:t>
      </w:r>
      <w:r w:rsidR="00B5398D" w:rsidRPr="001B7C40">
        <w:rPr>
          <w:rFonts w:ascii="Arial" w:hAnsi="Arial" w:cs="Arial"/>
          <w:color w:val="000000"/>
        </w:rPr>
        <w:t>violated</w:t>
      </w:r>
      <w:r w:rsidR="00B5398D" w:rsidRPr="001B7C40">
        <w:rPr>
          <w:rFonts w:ascii="Arial" w:hAnsi="Arial" w:cs="Arial"/>
          <w:b/>
          <w:bCs/>
          <w:i/>
          <w:iCs/>
          <w:color w:val="000000"/>
        </w:rPr>
        <w:t xml:space="preserve"> </w:t>
      </w:r>
      <w:r w:rsidRPr="001B7C40">
        <w:rPr>
          <w:rFonts w:ascii="Arial" w:hAnsi="Arial" w:cs="Arial"/>
          <w:color w:val="000000"/>
        </w:rPr>
        <w:t>SOX regulations</w:t>
      </w:r>
      <w:r w:rsidR="00B5398D" w:rsidRPr="001B7C40">
        <w:rPr>
          <w:rFonts w:ascii="Arial" w:hAnsi="Arial" w:cs="Arial"/>
          <w:color w:val="000000"/>
        </w:rPr>
        <w:t xml:space="preserve"> and </w:t>
      </w:r>
      <w:r w:rsidR="002C3F72">
        <w:rPr>
          <w:rFonts w:ascii="Arial" w:hAnsi="Arial" w:cs="Arial"/>
          <w:color w:val="000000"/>
        </w:rPr>
        <w:t>resulted in</w:t>
      </w:r>
      <w:r w:rsidR="00B5398D" w:rsidRPr="001B7C40">
        <w:rPr>
          <w:rFonts w:ascii="Arial" w:hAnsi="Arial" w:cs="Arial"/>
          <w:color w:val="000000"/>
        </w:rPr>
        <w:t xml:space="preserve"> the bank being ordered</w:t>
      </w:r>
      <w:r w:rsidR="00921E1F" w:rsidRPr="001B7C40">
        <w:rPr>
          <w:rFonts w:ascii="Arial" w:hAnsi="Arial" w:cs="Arial"/>
          <w:color w:val="000000"/>
        </w:rPr>
        <w:t xml:space="preserve"> by the Occupational Health and Safety Administration (OHSA)</w:t>
      </w:r>
      <w:r w:rsidR="002C3F72">
        <w:rPr>
          <w:rFonts w:ascii="Arial" w:hAnsi="Arial" w:cs="Arial"/>
          <w:color w:val="000000"/>
        </w:rPr>
        <w:t>,</w:t>
      </w:r>
      <w:r w:rsidR="00B5398D" w:rsidRPr="001B7C40">
        <w:rPr>
          <w:rFonts w:ascii="Arial" w:hAnsi="Arial" w:cs="Arial"/>
          <w:color w:val="000000"/>
        </w:rPr>
        <w:t xml:space="preserve"> to pay more than $22 million in damages to employees.</w:t>
      </w:r>
    </w:p>
    <w:p w14:paraId="1F78B6B1" w14:textId="77777777" w:rsidR="00F11134" w:rsidRPr="001B7C40" w:rsidRDefault="00F11134" w:rsidP="00577EFC">
      <w:pPr>
        <w:spacing w:line="276" w:lineRule="auto"/>
        <w:rPr>
          <w:rFonts w:ascii="Arial" w:hAnsi="Arial" w:cs="Arial"/>
        </w:rPr>
      </w:pPr>
    </w:p>
    <w:p w14:paraId="610ED16D" w14:textId="2A51F130" w:rsidR="00F11134" w:rsidRPr="001B7C40" w:rsidRDefault="00921E1F" w:rsidP="00577EFC">
      <w:pPr>
        <w:spacing w:line="276" w:lineRule="auto"/>
        <w:rPr>
          <w:rFonts w:ascii="Arial" w:hAnsi="Arial" w:cs="Arial"/>
        </w:rPr>
      </w:pPr>
      <w:r w:rsidRPr="001B7C40">
        <w:rPr>
          <w:rFonts w:ascii="Arial" w:hAnsi="Arial" w:cs="Arial"/>
          <w:color w:val="000000"/>
        </w:rPr>
        <w:t>To gain a clearer understanding of the events that led to the crisis, i</w:t>
      </w:r>
      <w:r w:rsidR="00F11134" w:rsidRPr="001B7C40">
        <w:rPr>
          <w:rFonts w:ascii="Arial" w:hAnsi="Arial" w:cs="Arial"/>
          <w:color w:val="000000"/>
        </w:rPr>
        <w:t xml:space="preserve">t is </w:t>
      </w:r>
      <w:r w:rsidRPr="001B7C40">
        <w:rPr>
          <w:rFonts w:ascii="Arial" w:hAnsi="Arial" w:cs="Arial"/>
          <w:color w:val="000000"/>
        </w:rPr>
        <w:t xml:space="preserve">also </w:t>
      </w:r>
      <w:r w:rsidR="002C3F72">
        <w:rPr>
          <w:rFonts w:ascii="Arial" w:hAnsi="Arial" w:cs="Arial"/>
          <w:color w:val="000000"/>
        </w:rPr>
        <w:t>crucial</w:t>
      </w:r>
      <w:r w:rsidR="00F11134" w:rsidRPr="001B7C40">
        <w:rPr>
          <w:rFonts w:ascii="Arial" w:hAnsi="Arial" w:cs="Arial"/>
          <w:color w:val="000000"/>
        </w:rPr>
        <w:t xml:space="preserve"> to </w:t>
      </w:r>
      <w:r w:rsidR="002C3F72">
        <w:rPr>
          <w:rFonts w:ascii="Arial" w:hAnsi="Arial" w:cs="Arial"/>
          <w:color w:val="000000"/>
        </w:rPr>
        <w:t>examine</w:t>
      </w:r>
      <w:r w:rsidR="00F11134" w:rsidRPr="001B7C40">
        <w:rPr>
          <w:rFonts w:ascii="Arial" w:hAnsi="Arial" w:cs="Arial"/>
          <w:color w:val="000000"/>
        </w:rPr>
        <w:t xml:space="preserve"> the structure of the board of </w:t>
      </w:r>
      <w:r w:rsidRPr="001B7C40">
        <w:rPr>
          <w:rFonts w:ascii="Arial" w:hAnsi="Arial" w:cs="Arial"/>
          <w:color w:val="000000"/>
        </w:rPr>
        <w:t xml:space="preserve">Wells Fargo </w:t>
      </w:r>
      <w:r w:rsidR="00F11134" w:rsidRPr="001B7C40">
        <w:rPr>
          <w:rFonts w:ascii="Arial" w:hAnsi="Arial" w:cs="Arial"/>
          <w:color w:val="000000"/>
        </w:rPr>
        <w:t xml:space="preserve">and how it may have contributed to the crisis. </w:t>
      </w:r>
      <w:r w:rsidR="002C3F72" w:rsidRPr="001B7C40">
        <w:rPr>
          <w:rFonts w:ascii="Arial" w:hAnsi="Arial" w:cs="Arial"/>
        </w:rPr>
        <w:t xml:space="preserve">Sridharan and Hadley, </w:t>
      </w:r>
      <w:r w:rsidR="00E72E91">
        <w:rPr>
          <w:rFonts w:ascii="Arial" w:hAnsi="Arial" w:cs="Arial"/>
        </w:rPr>
        <w:t>(</w:t>
      </w:r>
      <w:r w:rsidR="002C3F72" w:rsidRPr="001B7C40">
        <w:rPr>
          <w:rFonts w:ascii="Arial" w:hAnsi="Arial" w:cs="Arial"/>
        </w:rPr>
        <w:t>2018</w:t>
      </w:r>
      <w:r w:rsidR="002C3F72">
        <w:rPr>
          <w:rFonts w:ascii="Arial" w:hAnsi="Arial" w:cs="Arial"/>
        </w:rPr>
        <w:t xml:space="preserve">) argue that </w:t>
      </w:r>
      <w:r w:rsidR="00F11134" w:rsidRPr="001B7C40">
        <w:rPr>
          <w:rFonts w:ascii="Arial" w:hAnsi="Arial" w:cs="Arial"/>
          <w:color w:val="000000"/>
        </w:rPr>
        <w:t xml:space="preserve">Wells Fargo’s board structure, </w:t>
      </w:r>
      <w:r w:rsidR="00E72E91">
        <w:rPr>
          <w:rFonts w:ascii="Arial" w:hAnsi="Arial" w:cs="Arial"/>
          <w:color w:val="000000"/>
        </w:rPr>
        <w:t xml:space="preserve">and </w:t>
      </w:r>
      <w:r w:rsidR="00F11134" w:rsidRPr="001B7C40">
        <w:rPr>
          <w:rFonts w:ascii="Arial" w:hAnsi="Arial" w:cs="Arial"/>
          <w:color w:val="000000"/>
        </w:rPr>
        <w:t xml:space="preserve">particularly its </w:t>
      </w:r>
      <w:r w:rsidRPr="001B7C40">
        <w:rPr>
          <w:rFonts w:ascii="Arial" w:hAnsi="Arial" w:cs="Arial"/>
          <w:color w:val="000000"/>
        </w:rPr>
        <w:t>practice</w:t>
      </w:r>
      <w:r w:rsidR="00F11134" w:rsidRPr="001B7C40">
        <w:rPr>
          <w:rFonts w:ascii="Arial" w:hAnsi="Arial" w:cs="Arial"/>
          <w:color w:val="000000"/>
        </w:rPr>
        <w:t xml:space="preserve"> </w:t>
      </w:r>
      <w:r w:rsidRPr="001B7C40">
        <w:rPr>
          <w:rFonts w:ascii="Arial" w:hAnsi="Arial" w:cs="Arial"/>
          <w:color w:val="000000"/>
        </w:rPr>
        <w:t>of</w:t>
      </w:r>
      <w:r w:rsidR="00F11134" w:rsidRPr="001B7C40">
        <w:rPr>
          <w:rFonts w:ascii="Arial" w:hAnsi="Arial" w:cs="Arial"/>
          <w:color w:val="000000"/>
        </w:rPr>
        <w:t xml:space="preserve"> CEO duality, in which the CEO John Stumpf also served as Chairman of the </w:t>
      </w:r>
      <w:r w:rsidR="00A30147">
        <w:rPr>
          <w:rFonts w:ascii="Arial" w:hAnsi="Arial" w:cs="Arial"/>
          <w:color w:val="000000"/>
        </w:rPr>
        <w:t>B</w:t>
      </w:r>
      <w:r w:rsidR="00F11134" w:rsidRPr="001B7C40">
        <w:rPr>
          <w:rFonts w:ascii="Arial" w:hAnsi="Arial" w:cs="Arial"/>
          <w:color w:val="000000"/>
        </w:rPr>
        <w:t>oard, is likely to have played a role in the bank’s crisis</w:t>
      </w:r>
      <w:r w:rsidR="00E72E91">
        <w:rPr>
          <w:rFonts w:ascii="Arial" w:hAnsi="Arial" w:cs="Arial"/>
          <w:color w:val="000000"/>
        </w:rPr>
        <w:t>.</w:t>
      </w:r>
    </w:p>
    <w:p w14:paraId="1C386B9B" w14:textId="77777777" w:rsidR="00921E1F" w:rsidRPr="001B7C40" w:rsidRDefault="00921E1F" w:rsidP="00577EFC">
      <w:pPr>
        <w:spacing w:line="276" w:lineRule="auto"/>
        <w:rPr>
          <w:rFonts w:ascii="Arial" w:hAnsi="Arial" w:cs="Arial"/>
        </w:rPr>
      </w:pPr>
    </w:p>
    <w:p w14:paraId="346907D7" w14:textId="249E9787" w:rsidR="00F11134" w:rsidRPr="001B7C40" w:rsidRDefault="00E72E91" w:rsidP="00577EFC">
      <w:pPr>
        <w:spacing w:line="276" w:lineRule="auto"/>
        <w:rPr>
          <w:rFonts w:ascii="Arial" w:hAnsi="Arial" w:cs="Arial"/>
        </w:rPr>
      </w:pPr>
      <w:r>
        <w:rPr>
          <w:rFonts w:ascii="Arial" w:hAnsi="Arial" w:cs="Arial"/>
          <w:color w:val="000000"/>
        </w:rPr>
        <w:t>This point is supported by the research (</w:t>
      </w:r>
      <w:proofErr w:type="spellStart"/>
      <w:r w:rsidR="00C21354" w:rsidRPr="001B7C40">
        <w:rPr>
          <w:rFonts w:ascii="Arial" w:hAnsi="Arial" w:cs="Arial"/>
        </w:rPr>
        <w:t>Zamry</w:t>
      </w:r>
      <w:proofErr w:type="spellEnd"/>
      <w:r w:rsidR="00C21354" w:rsidRPr="001B7C40">
        <w:rPr>
          <w:rFonts w:ascii="Arial" w:hAnsi="Arial" w:cs="Arial"/>
        </w:rPr>
        <w:t xml:space="preserve"> and </w:t>
      </w:r>
      <w:proofErr w:type="spellStart"/>
      <w:r w:rsidR="00C21354" w:rsidRPr="001B7C40">
        <w:rPr>
          <w:rFonts w:ascii="Arial" w:hAnsi="Arial" w:cs="Arial"/>
        </w:rPr>
        <w:t>Syafinaz</w:t>
      </w:r>
      <w:proofErr w:type="spellEnd"/>
      <w:r>
        <w:rPr>
          <w:rFonts w:ascii="Arial" w:hAnsi="Arial" w:cs="Arial"/>
        </w:rPr>
        <w:t xml:space="preserve">, </w:t>
      </w:r>
      <w:r w:rsidR="00C21354" w:rsidRPr="001B7C40">
        <w:rPr>
          <w:rFonts w:ascii="Arial" w:hAnsi="Arial" w:cs="Arial"/>
        </w:rPr>
        <w:t>2019)</w:t>
      </w:r>
      <w:r w:rsidR="00B61A0D" w:rsidRPr="001B7C40">
        <w:rPr>
          <w:rFonts w:ascii="Arial" w:hAnsi="Arial" w:cs="Arial"/>
          <w:color w:val="000000"/>
        </w:rPr>
        <w:t xml:space="preserve">, </w:t>
      </w:r>
      <w:r>
        <w:rPr>
          <w:rFonts w:ascii="Arial" w:hAnsi="Arial" w:cs="Arial"/>
          <w:color w:val="000000"/>
        </w:rPr>
        <w:t xml:space="preserve">which states that </w:t>
      </w:r>
      <w:r w:rsidR="00B61A0D" w:rsidRPr="001B7C40">
        <w:rPr>
          <w:rFonts w:ascii="Arial" w:hAnsi="Arial" w:cs="Arial"/>
          <w:color w:val="000000"/>
        </w:rPr>
        <w:t>t</w:t>
      </w:r>
      <w:r w:rsidR="00F11134" w:rsidRPr="001B7C40">
        <w:rPr>
          <w:rFonts w:ascii="Arial" w:hAnsi="Arial" w:cs="Arial"/>
          <w:color w:val="000000"/>
        </w:rPr>
        <w:t xml:space="preserve">his type of board structure </w:t>
      </w:r>
      <w:r w:rsidR="00B61A0D" w:rsidRPr="001B7C40">
        <w:rPr>
          <w:rFonts w:ascii="Arial" w:hAnsi="Arial" w:cs="Arial"/>
          <w:color w:val="000000"/>
        </w:rPr>
        <w:t>meant</w:t>
      </w:r>
      <w:r w:rsidR="00F11134" w:rsidRPr="001B7C40">
        <w:rPr>
          <w:rFonts w:ascii="Arial" w:hAnsi="Arial" w:cs="Arial"/>
          <w:color w:val="000000"/>
        </w:rPr>
        <w:t xml:space="preserve"> that decision-making power was concentrated in the hands of one individual</w:t>
      </w:r>
      <w:r w:rsidR="00B61A0D" w:rsidRPr="001B7C40">
        <w:rPr>
          <w:rFonts w:ascii="Arial" w:hAnsi="Arial" w:cs="Arial"/>
          <w:color w:val="000000"/>
        </w:rPr>
        <w:t>.</w:t>
      </w:r>
      <w:r w:rsidR="00F11134" w:rsidRPr="001B7C40">
        <w:rPr>
          <w:rFonts w:ascii="Arial" w:hAnsi="Arial" w:cs="Arial"/>
          <w:color w:val="000000"/>
        </w:rPr>
        <w:t xml:space="preserve"> </w:t>
      </w:r>
      <w:r w:rsidR="00B61A0D" w:rsidRPr="001B7C40">
        <w:rPr>
          <w:rFonts w:ascii="Arial" w:hAnsi="Arial" w:cs="Arial"/>
          <w:color w:val="000000"/>
        </w:rPr>
        <w:t>This</w:t>
      </w:r>
      <w:r w:rsidR="00F11134" w:rsidRPr="001B7C40">
        <w:rPr>
          <w:rFonts w:ascii="Arial" w:hAnsi="Arial" w:cs="Arial"/>
          <w:color w:val="000000"/>
        </w:rPr>
        <w:t xml:space="preserve"> </w:t>
      </w:r>
      <w:r w:rsidR="00B61A0D" w:rsidRPr="001B7C40">
        <w:rPr>
          <w:rFonts w:ascii="Arial" w:hAnsi="Arial" w:cs="Arial"/>
          <w:color w:val="000000"/>
        </w:rPr>
        <w:t>likely would</w:t>
      </w:r>
      <w:r w:rsidR="00F11134" w:rsidRPr="001B7C40">
        <w:rPr>
          <w:rFonts w:ascii="Arial" w:hAnsi="Arial" w:cs="Arial"/>
          <w:color w:val="000000"/>
        </w:rPr>
        <w:t xml:space="preserve"> have compromised the board’s independence and ability to object to management choices or swiftly resolve emerging issues</w:t>
      </w:r>
      <w:r>
        <w:rPr>
          <w:rFonts w:ascii="Arial" w:hAnsi="Arial" w:cs="Arial"/>
          <w:color w:val="000000"/>
        </w:rPr>
        <w:t>,</w:t>
      </w:r>
      <w:r w:rsidR="00F11134" w:rsidRPr="001B7C40">
        <w:rPr>
          <w:rFonts w:ascii="Arial" w:hAnsi="Arial" w:cs="Arial"/>
          <w:color w:val="000000"/>
        </w:rPr>
        <w:t xml:space="preserve"> </w:t>
      </w:r>
      <w:r w:rsidR="00B61A0D" w:rsidRPr="001B7C40">
        <w:rPr>
          <w:rFonts w:ascii="Arial" w:hAnsi="Arial" w:cs="Arial"/>
          <w:color w:val="000000"/>
        </w:rPr>
        <w:t xml:space="preserve">despite </w:t>
      </w:r>
      <w:r>
        <w:rPr>
          <w:rFonts w:ascii="Arial" w:hAnsi="Arial" w:cs="Arial"/>
          <w:color w:val="000000"/>
        </w:rPr>
        <w:t>Wells Fargo’s</w:t>
      </w:r>
      <w:r w:rsidR="00B61A0D" w:rsidRPr="001B7C40">
        <w:rPr>
          <w:rFonts w:ascii="Arial" w:hAnsi="Arial" w:cs="Arial"/>
          <w:color w:val="000000"/>
        </w:rPr>
        <w:t xml:space="preserve"> “</w:t>
      </w:r>
      <w:r w:rsidR="00B61A0D" w:rsidRPr="00E72E91">
        <w:rPr>
          <w:rFonts w:ascii="Arial" w:hAnsi="Arial" w:cs="Arial"/>
          <w:color w:val="000000"/>
        </w:rPr>
        <w:t>perfect board structure</w:t>
      </w:r>
      <w:r w:rsidR="00B61A0D" w:rsidRPr="001B7C40">
        <w:rPr>
          <w:rFonts w:ascii="Arial" w:hAnsi="Arial" w:cs="Arial"/>
          <w:color w:val="000000"/>
        </w:rPr>
        <w:t xml:space="preserve">” </w:t>
      </w:r>
      <w:r>
        <w:rPr>
          <w:rFonts w:ascii="Arial" w:hAnsi="Arial" w:cs="Arial"/>
          <w:color w:val="000000"/>
        </w:rPr>
        <w:t>(p.</w:t>
      </w:r>
      <w:r w:rsidR="00A30147">
        <w:rPr>
          <w:rFonts w:ascii="Arial" w:hAnsi="Arial" w:cs="Arial"/>
          <w:color w:val="000000"/>
        </w:rPr>
        <w:t xml:space="preserve"> </w:t>
      </w:r>
      <w:r>
        <w:rPr>
          <w:rFonts w:ascii="Arial" w:hAnsi="Arial" w:cs="Arial"/>
          <w:color w:val="000000"/>
        </w:rPr>
        <w:t>22)</w:t>
      </w:r>
      <w:r w:rsidR="00F11134" w:rsidRPr="001B7C40">
        <w:rPr>
          <w:rFonts w:ascii="Arial" w:hAnsi="Arial" w:cs="Arial"/>
          <w:color w:val="000000"/>
        </w:rPr>
        <w:t>. As a result, the lack of separation between the roles of CEO and Chairman at Wells Fargo likely exacerbated the weakness in corporate governance and contributed to the severity of the crisis the bank faced.</w:t>
      </w:r>
    </w:p>
    <w:p w14:paraId="7F41C087" w14:textId="77777777" w:rsidR="00C7359A" w:rsidRPr="001B7C40" w:rsidRDefault="00C7359A" w:rsidP="00577EFC">
      <w:pPr>
        <w:spacing w:line="276" w:lineRule="auto"/>
        <w:rPr>
          <w:rFonts w:ascii="Arial" w:hAnsi="Arial" w:cs="Arial"/>
          <w:b/>
          <w:bCs/>
        </w:rPr>
      </w:pPr>
    </w:p>
    <w:p w14:paraId="5DDDC286" w14:textId="4500D426" w:rsidR="00A24C66" w:rsidRPr="00577EFC" w:rsidRDefault="007A17F6" w:rsidP="00577EFC">
      <w:pPr>
        <w:pStyle w:val="Heading1"/>
        <w:spacing w:line="276" w:lineRule="auto"/>
      </w:pPr>
      <w:bookmarkStart w:id="9" w:name="_Toc164084285"/>
      <w:r w:rsidRPr="001B7C40">
        <w:t>3</w:t>
      </w:r>
      <w:r w:rsidR="000749F2" w:rsidRPr="001B7C40">
        <w:t>.</w:t>
      </w:r>
      <w:r w:rsidR="00F11134" w:rsidRPr="001B7C40">
        <w:t xml:space="preserve"> Ethical Frameworks Application</w:t>
      </w:r>
      <w:bookmarkEnd w:id="9"/>
    </w:p>
    <w:p w14:paraId="1773326E" w14:textId="36248D14" w:rsidR="00C7359A" w:rsidRPr="001B7C40" w:rsidRDefault="007A17F6" w:rsidP="00577EFC">
      <w:pPr>
        <w:pStyle w:val="Heading2"/>
      </w:pPr>
      <w:bookmarkStart w:id="10" w:name="_Toc164084286"/>
      <w:r w:rsidRPr="001B7C40">
        <w:t>3</w:t>
      </w:r>
      <w:r w:rsidR="00C7359A" w:rsidRPr="001B7C40">
        <w:t>.1</w:t>
      </w:r>
      <w:r w:rsidR="001D443D" w:rsidRPr="001B7C40">
        <w:t>:</w:t>
      </w:r>
      <w:r w:rsidR="00C7359A" w:rsidRPr="001B7C40">
        <w:t xml:space="preserve"> Stakeholder Theory</w:t>
      </w:r>
      <w:bookmarkEnd w:id="10"/>
    </w:p>
    <w:p w14:paraId="1FDCC83C" w14:textId="66724E98" w:rsidR="00CF7700" w:rsidRPr="001B7C40" w:rsidRDefault="00CF7700" w:rsidP="00577EFC">
      <w:pPr>
        <w:spacing w:line="276" w:lineRule="auto"/>
        <w:rPr>
          <w:rFonts w:ascii="Arial" w:hAnsi="Arial" w:cs="Arial"/>
        </w:rPr>
      </w:pPr>
    </w:p>
    <w:p w14:paraId="50D93928" w14:textId="04E6B9E6" w:rsidR="00C7359A" w:rsidRDefault="00C7359A" w:rsidP="00577EFC">
      <w:pPr>
        <w:spacing w:line="276" w:lineRule="auto"/>
        <w:rPr>
          <w:rFonts w:ascii="Arial" w:hAnsi="Arial" w:cs="Arial"/>
        </w:rPr>
      </w:pPr>
      <w:r w:rsidRPr="001B7C40">
        <w:rPr>
          <w:rFonts w:ascii="Arial" w:hAnsi="Arial" w:cs="Arial"/>
          <w:color w:val="000000"/>
        </w:rPr>
        <w:t xml:space="preserve">Stakeholder theory is a theory of management </w:t>
      </w:r>
      <w:r w:rsidR="002A35FB">
        <w:rPr>
          <w:rFonts w:ascii="Arial" w:hAnsi="Arial" w:cs="Arial"/>
          <w:color w:val="000000"/>
        </w:rPr>
        <w:t>which</w:t>
      </w:r>
      <w:r w:rsidRPr="001B7C40">
        <w:rPr>
          <w:rFonts w:ascii="Arial" w:hAnsi="Arial" w:cs="Arial"/>
          <w:color w:val="000000"/>
        </w:rPr>
        <w:t xml:space="preserve"> asserts that</w:t>
      </w:r>
      <w:r w:rsidR="002A35FB">
        <w:rPr>
          <w:rFonts w:ascii="Arial" w:hAnsi="Arial" w:cs="Arial"/>
          <w:color w:val="000000"/>
        </w:rPr>
        <w:t>,</w:t>
      </w:r>
      <w:r w:rsidRPr="001B7C40">
        <w:rPr>
          <w:rFonts w:ascii="Arial" w:hAnsi="Arial" w:cs="Arial"/>
          <w:color w:val="000000"/>
        </w:rPr>
        <w:t xml:space="preserve"> while making choices, businesses should </w:t>
      </w:r>
      <w:proofErr w:type="gramStart"/>
      <w:r w:rsidRPr="001B7C40">
        <w:rPr>
          <w:rFonts w:ascii="Arial" w:hAnsi="Arial" w:cs="Arial"/>
          <w:color w:val="000000"/>
        </w:rPr>
        <w:t>take into account</w:t>
      </w:r>
      <w:proofErr w:type="gramEnd"/>
      <w:r w:rsidRPr="001B7C40">
        <w:rPr>
          <w:rFonts w:ascii="Arial" w:hAnsi="Arial" w:cs="Arial"/>
          <w:color w:val="000000"/>
        </w:rPr>
        <w:t xml:space="preserve"> the interests of all parties involved</w:t>
      </w:r>
      <w:r w:rsidR="002A35FB">
        <w:rPr>
          <w:rFonts w:ascii="Arial" w:hAnsi="Arial" w:cs="Arial"/>
          <w:color w:val="000000"/>
        </w:rPr>
        <w:t>. For example,</w:t>
      </w:r>
      <w:r w:rsidRPr="001B7C40">
        <w:rPr>
          <w:rFonts w:ascii="Arial" w:hAnsi="Arial" w:cs="Arial"/>
          <w:color w:val="000000"/>
        </w:rPr>
        <w:t xml:space="preserve"> </w:t>
      </w:r>
      <w:r w:rsidR="00A30147">
        <w:rPr>
          <w:rFonts w:ascii="Arial" w:hAnsi="Arial" w:cs="Arial"/>
          <w:color w:val="000000"/>
        </w:rPr>
        <w:t xml:space="preserve">organisations should be </w:t>
      </w:r>
      <w:r w:rsidR="002A35FB">
        <w:rPr>
          <w:rFonts w:ascii="Arial" w:hAnsi="Arial" w:cs="Arial"/>
          <w:color w:val="000000"/>
        </w:rPr>
        <w:t xml:space="preserve">considering </w:t>
      </w:r>
      <w:r w:rsidRPr="001B7C40">
        <w:rPr>
          <w:rFonts w:ascii="Arial" w:hAnsi="Arial" w:cs="Arial"/>
          <w:color w:val="000000"/>
        </w:rPr>
        <w:t>not only their customers, suppliers, employees and shareholders</w:t>
      </w:r>
      <w:r w:rsidR="002A35FB">
        <w:rPr>
          <w:rFonts w:ascii="Arial" w:hAnsi="Arial" w:cs="Arial"/>
          <w:color w:val="000000"/>
        </w:rPr>
        <w:t xml:space="preserve">, </w:t>
      </w:r>
      <w:r w:rsidRPr="001B7C40">
        <w:rPr>
          <w:rFonts w:ascii="Arial" w:hAnsi="Arial" w:cs="Arial"/>
          <w:color w:val="000000"/>
        </w:rPr>
        <w:t>but also the local communities where they operate</w:t>
      </w:r>
      <w:r w:rsidR="00A30147">
        <w:rPr>
          <w:rFonts w:ascii="Arial" w:hAnsi="Arial" w:cs="Arial"/>
          <w:color w:val="000000"/>
        </w:rPr>
        <w:t>,</w:t>
      </w:r>
      <w:r w:rsidRPr="001B7C40">
        <w:rPr>
          <w:rFonts w:ascii="Arial" w:hAnsi="Arial" w:cs="Arial"/>
        </w:rPr>
        <w:t xml:space="preserve"> as well as </w:t>
      </w:r>
      <w:r w:rsidRPr="001B7C40">
        <w:rPr>
          <w:rFonts w:ascii="Arial" w:hAnsi="Arial" w:cs="Arial"/>
          <w:color w:val="000000"/>
        </w:rPr>
        <w:t xml:space="preserve">political action groups and governmental institutions </w:t>
      </w:r>
      <w:r w:rsidR="00BC69DF" w:rsidRPr="001B7C40">
        <w:rPr>
          <w:rFonts w:ascii="Arial" w:hAnsi="Arial" w:cs="Arial"/>
        </w:rPr>
        <w:t>(Mahajan et al., 2023)</w:t>
      </w:r>
      <w:r w:rsidR="00BC69DF" w:rsidRPr="001B7C40">
        <w:rPr>
          <w:rFonts w:ascii="Arial" w:hAnsi="Arial" w:cs="Arial"/>
        </w:rPr>
        <w:t>.</w:t>
      </w:r>
    </w:p>
    <w:p w14:paraId="711E56C2" w14:textId="77777777" w:rsidR="001A33CD" w:rsidRPr="001B7C40" w:rsidRDefault="001A33CD" w:rsidP="00577EFC">
      <w:pPr>
        <w:spacing w:line="276" w:lineRule="auto"/>
        <w:rPr>
          <w:rFonts w:ascii="Arial" w:hAnsi="Arial" w:cs="Arial"/>
        </w:rPr>
      </w:pPr>
    </w:p>
    <w:p w14:paraId="36196FDB" w14:textId="150BE042" w:rsidR="00C7359A" w:rsidRPr="001B7C40" w:rsidRDefault="00C7359A" w:rsidP="00577EFC">
      <w:pPr>
        <w:spacing w:line="276" w:lineRule="auto"/>
        <w:rPr>
          <w:rFonts w:ascii="Arial" w:hAnsi="Arial" w:cs="Arial"/>
        </w:rPr>
      </w:pPr>
      <w:r w:rsidRPr="001B7C40">
        <w:rPr>
          <w:rFonts w:ascii="Arial" w:hAnsi="Arial" w:cs="Arial"/>
          <w:color w:val="000000"/>
        </w:rPr>
        <w:t xml:space="preserve">According to this theory, decision-making procedures should take all of their stakeholders’ interests into account, as they too have an interest in the organisation's success </w:t>
      </w:r>
      <w:r w:rsidR="00BC69DF" w:rsidRPr="001B7C40">
        <w:rPr>
          <w:rFonts w:ascii="Arial" w:hAnsi="Arial" w:cs="Arial"/>
        </w:rPr>
        <w:t>(Harrison and Wicks, 2013)</w:t>
      </w:r>
      <w:r w:rsidRPr="001B7C40">
        <w:rPr>
          <w:rFonts w:ascii="Arial" w:hAnsi="Arial" w:cs="Arial"/>
          <w:color w:val="000000"/>
        </w:rPr>
        <w:t xml:space="preserve">. In order to produce long-term value for the organisation, stakeholder theory highlights how important it is to cultivate good relationships with every stakeholder involved and strike a balance between their conflicting interests </w:t>
      </w:r>
      <w:r w:rsidR="00DD53D5" w:rsidRPr="001B7C40">
        <w:rPr>
          <w:rFonts w:ascii="Arial" w:hAnsi="Arial" w:cs="Arial"/>
        </w:rPr>
        <w:t>(</w:t>
      </w:r>
      <w:proofErr w:type="spellStart"/>
      <w:r w:rsidR="00DD53D5" w:rsidRPr="001B7C40">
        <w:rPr>
          <w:rFonts w:ascii="Arial" w:hAnsi="Arial" w:cs="Arial"/>
        </w:rPr>
        <w:t>Freudenreich</w:t>
      </w:r>
      <w:proofErr w:type="spellEnd"/>
      <w:r w:rsidR="00DD53D5" w:rsidRPr="001B7C40">
        <w:rPr>
          <w:rFonts w:ascii="Arial" w:hAnsi="Arial" w:cs="Arial"/>
        </w:rPr>
        <w:t xml:space="preserve">, </w:t>
      </w:r>
      <w:proofErr w:type="spellStart"/>
      <w:r w:rsidR="00DD53D5" w:rsidRPr="001B7C40">
        <w:rPr>
          <w:rFonts w:ascii="Arial" w:hAnsi="Arial" w:cs="Arial"/>
        </w:rPr>
        <w:t>Lüdeke</w:t>
      </w:r>
      <w:proofErr w:type="spellEnd"/>
      <w:r w:rsidR="00DD53D5" w:rsidRPr="001B7C40">
        <w:rPr>
          <w:rFonts w:ascii="Arial" w:hAnsi="Arial" w:cs="Arial"/>
        </w:rPr>
        <w:t xml:space="preserve">-Freund and </w:t>
      </w:r>
      <w:proofErr w:type="spellStart"/>
      <w:r w:rsidR="00DD53D5" w:rsidRPr="001B7C40">
        <w:rPr>
          <w:rFonts w:ascii="Arial" w:hAnsi="Arial" w:cs="Arial"/>
        </w:rPr>
        <w:t>Schaltegger</w:t>
      </w:r>
      <w:proofErr w:type="spellEnd"/>
      <w:r w:rsidR="00DD53D5" w:rsidRPr="001B7C40">
        <w:rPr>
          <w:rFonts w:ascii="Arial" w:hAnsi="Arial" w:cs="Arial"/>
        </w:rPr>
        <w:t>, 2020)</w:t>
      </w:r>
      <w:r w:rsidR="00DD53D5" w:rsidRPr="001B7C40">
        <w:rPr>
          <w:rFonts w:ascii="Arial" w:hAnsi="Arial" w:cs="Arial"/>
        </w:rPr>
        <w:t>.</w:t>
      </w:r>
    </w:p>
    <w:p w14:paraId="08E50213" w14:textId="77777777" w:rsidR="00C7359A" w:rsidRPr="001B7C40" w:rsidRDefault="00C7359A" w:rsidP="00577EFC">
      <w:pPr>
        <w:spacing w:line="276" w:lineRule="auto"/>
        <w:rPr>
          <w:rFonts w:ascii="Arial" w:hAnsi="Arial" w:cs="Arial"/>
        </w:rPr>
      </w:pPr>
    </w:p>
    <w:p w14:paraId="10A26EB2" w14:textId="0F102F79" w:rsidR="00D150DA" w:rsidRPr="001B7C40" w:rsidRDefault="00D150DA" w:rsidP="00577EFC">
      <w:pPr>
        <w:pStyle w:val="NormalWeb"/>
        <w:spacing w:before="0" w:beforeAutospacing="0" w:after="0" w:afterAutospacing="0" w:line="276" w:lineRule="auto"/>
        <w:rPr>
          <w:rFonts w:ascii="Arial" w:hAnsi="Arial" w:cs="Arial"/>
        </w:rPr>
      </w:pPr>
      <w:r w:rsidRPr="001B7C40">
        <w:rPr>
          <w:rFonts w:ascii="Arial" w:hAnsi="Arial" w:cs="Arial"/>
          <w:color w:val="000000"/>
        </w:rPr>
        <w:t xml:space="preserve">Stakeholder theory is relevant to the case of the Wells Fargo crisis because it illustrates what happens when a business puts the interests of its stakeholders beneath its short-term profit goals. As explained previously, the bank became </w:t>
      </w:r>
      <w:r w:rsidR="00DB41FD" w:rsidRPr="001B7C40">
        <w:rPr>
          <w:rFonts w:ascii="Arial" w:hAnsi="Arial" w:cs="Arial"/>
          <w:color w:val="000000"/>
        </w:rPr>
        <w:t>entangled</w:t>
      </w:r>
      <w:r w:rsidRPr="001B7C40">
        <w:rPr>
          <w:rFonts w:ascii="Arial" w:hAnsi="Arial" w:cs="Arial"/>
          <w:color w:val="000000"/>
        </w:rPr>
        <w:t xml:space="preserve"> in a </w:t>
      </w:r>
      <w:r w:rsidR="00DB41FD" w:rsidRPr="001B7C40">
        <w:rPr>
          <w:rFonts w:ascii="Arial" w:hAnsi="Arial" w:cs="Arial"/>
          <w:color w:val="000000"/>
        </w:rPr>
        <w:t>crisis</w:t>
      </w:r>
      <w:r w:rsidRPr="001B7C40">
        <w:rPr>
          <w:rFonts w:ascii="Arial" w:hAnsi="Arial" w:cs="Arial"/>
          <w:color w:val="000000"/>
        </w:rPr>
        <w:t xml:space="preserve"> in which employees opened millions of accounts </w:t>
      </w:r>
      <w:r w:rsidR="00DB41FD" w:rsidRPr="001B7C40">
        <w:rPr>
          <w:rFonts w:ascii="Arial" w:hAnsi="Arial" w:cs="Arial"/>
          <w:color w:val="000000"/>
        </w:rPr>
        <w:t xml:space="preserve">fraudulently </w:t>
      </w:r>
      <w:r w:rsidRPr="001B7C40">
        <w:rPr>
          <w:rFonts w:ascii="Arial" w:hAnsi="Arial" w:cs="Arial"/>
          <w:color w:val="000000"/>
        </w:rPr>
        <w:t>in order to meet sales targets. In this instance, Wells Fargo’s obsession with hitting high sales targets resulted in unethical behaviour that harmed their own customers, shareholders and employees.</w:t>
      </w:r>
    </w:p>
    <w:p w14:paraId="427D6A25" w14:textId="77777777" w:rsidR="00D150DA" w:rsidRPr="001B7C40" w:rsidRDefault="00D150DA" w:rsidP="00577EFC">
      <w:pPr>
        <w:spacing w:line="276" w:lineRule="auto"/>
        <w:rPr>
          <w:rFonts w:ascii="Arial" w:hAnsi="Arial" w:cs="Arial"/>
        </w:rPr>
      </w:pPr>
    </w:p>
    <w:p w14:paraId="741F852B" w14:textId="77777777" w:rsidR="00D150DA" w:rsidRPr="001B7C40" w:rsidRDefault="00D150DA" w:rsidP="00577EFC">
      <w:pPr>
        <w:pStyle w:val="NormalWeb"/>
        <w:spacing w:before="0" w:beforeAutospacing="0" w:after="0" w:afterAutospacing="0" w:line="276" w:lineRule="auto"/>
        <w:rPr>
          <w:rFonts w:ascii="Arial" w:hAnsi="Arial" w:cs="Arial"/>
        </w:rPr>
      </w:pPr>
      <w:r w:rsidRPr="001B7C40">
        <w:rPr>
          <w:rFonts w:ascii="Arial" w:hAnsi="Arial" w:cs="Arial"/>
          <w:color w:val="000000"/>
        </w:rPr>
        <w:t xml:space="preserve">Wells Fargo might have been able to avoid this problem, or significantly reduce the impact and harm caused, by applying the concepts of stakeholder theory and adopting a more comprehensive approach to their decision-making process that </w:t>
      </w:r>
      <w:proofErr w:type="gramStart"/>
      <w:r w:rsidRPr="001B7C40">
        <w:rPr>
          <w:rFonts w:ascii="Arial" w:hAnsi="Arial" w:cs="Arial"/>
          <w:color w:val="000000"/>
        </w:rPr>
        <w:t>took into account</w:t>
      </w:r>
      <w:proofErr w:type="gramEnd"/>
      <w:r w:rsidRPr="001B7C40">
        <w:rPr>
          <w:rFonts w:ascii="Arial" w:hAnsi="Arial" w:cs="Arial"/>
          <w:color w:val="000000"/>
        </w:rPr>
        <w:t xml:space="preserve"> the interests of all their stakeholders rather than just concentrating on maximising short-term profits for shareholders. </w:t>
      </w:r>
    </w:p>
    <w:p w14:paraId="7844B93B" w14:textId="77777777" w:rsidR="00D150DA" w:rsidRPr="001B7C40" w:rsidRDefault="00D150DA" w:rsidP="00577EFC">
      <w:pPr>
        <w:spacing w:line="276" w:lineRule="auto"/>
        <w:rPr>
          <w:rFonts w:ascii="Arial" w:hAnsi="Arial" w:cs="Arial"/>
        </w:rPr>
      </w:pPr>
    </w:p>
    <w:p w14:paraId="6C892D07" w14:textId="3B176322" w:rsidR="00D150DA" w:rsidRPr="001B7C40" w:rsidRDefault="00DB41FD" w:rsidP="00577EFC">
      <w:pPr>
        <w:spacing w:line="276" w:lineRule="auto"/>
        <w:rPr>
          <w:rFonts w:ascii="Arial" w:hAnsi="Arial" w:cs="Arial"/>
        </w:rPr>
      </w:pPr>
      <w:r w:rsidRPr="001B7C40">
        <w:rPr>
          <w:rFonts w:ascii="Arial" w:hAnsi="Arial" w:cs="Arial"/>
          <w:color w:val="000000"/>
        </w:rPr>
        <w:t>In</w:t>
      </w:r>
      <w:r w:rsidR="00D150DA" w:rsidRPr="001B7C40">
        <w:rPr>
          <w:rFonts w:ascii="Arial" w:hAnsi="Arial" w:cs="Arial"/>
          <w:color w:val="000000"/>
        </w:rPr>
        <w:t xml:space="preserve"> order to learn about the opinions and concerns of a wider variety of stakeholders, Wells Fargo could have initiated additional discussions with staff, customers and regulators. Through this proactive engagement in asking for input from these groups, the company may have detected the emerging problems and their severity prior to their development into a major crisis.</w:t>
      </w:r>
    </w:p>
    <w:p w14:paraId="5EE2397B" w14:textId="77777777" w:rsidR="00D150DA" w:rsidRPr="001B7C40" w:rsidRDefault="00D150DA" w:rsidP="00577EFC">
      <w:pPr>
        <w:spacing w:line="276" w:lineRule="auto"/>
        <w:rPr>
          <w:rFonts w:ascii="Arial" w:hAnsi="Arial" w:cs="Arial"/>
        </w:rPr>
      </w:pPr>
    </w:p>
    <w:p w14:paraId="27C4119B" w14:textId="5B5EC5AE" w:rsidR="00D150DA" w:rsidRPr="001B7C40" w:rsidRDefault="00D150DA" w:rsidP="00577EFC">
      <w:pPr>
        <w:spacing w:line="276" w:lineRule="auto"/>
        <w:rPr>
          <w:rFonts w:ascii="Arial" w:hAnsi="Arial" w:cs="Arial"/>
        </w:rPr>
      </w:pPr>
      <w:r w:rsidRPr="001B7C40">
        <w:rPr>
          <w:rFonts w:ascii="Arial" w:hAnsi="Arial" w:cs="Arial"/>
          <w:color w:val="000000"/>
        </w:rPr>
        <w:t>Similarly, Wells Fargo might have gained stakeholders’ confidence and credibility by implementing a more open and honest communication strategy. This might have shown their dedication to accountability and openness by giving frequent updates on their activities and their remedy of the issues with fraud. This would have given stakeholders peace of mind that the company was paying close attention to their issues and was taking swift action to resolve them.</w:t>
      </w:r>
    </w:p>
    <w:p w14:paraId="27E42CB2" w14:textId="77777777" w:rsidR="00D150DA" w:rsidRPr="001B7C40" w:rsidRDefault="00D150DA" w:rsidP="00577EFC">
      <w:pPr>
        <w:spacing w:line="276" w:lineRule="auto"/>
        <w:rPr>
          <w:rFonts w:ascii="Arial" w:hAnsi="Arial" w:cs="Arial"/>
        </w:rPr>
      </w:pPr>
    </w:p>
    <w:p w14:paraId="0C549752" w14:textId="1B71B90C" w:rsidR="00EC5F01" w:rsidRPr="001B7C40" w:rsidRDefault="00D150DA" w:rsidP="00577EFC">
      <w:pPr>
        <w:spacing w:line="276" w:lineRule="auto"/>
        <w:rPr>
          <w:rFonts w:ascii="Arial" w:hAnsi="Arial" w:cs="Arial"/>
        </w:rPr>
      </w:pPr>
      <w:r w:rsidRPr="001B7C40">
        <w:rPr>
          <w:rFonts w:ascii="Arial" w:hAnsi="Arial" w:cs="Arial"/>
          <w:color w:val="000000"/>
        </w:rPr>
        <w:t>Wells Fargo might have been able to avoid some of the mistakes that resulted in the issues it faced if stakeholders had been included in the decision-making process, especially those that were directly affected. Wells Fargo might have avoided these issues by anticipating and resolving stakeholder issues and demands early on through proactive stakeholder engagement</w:t>
      </w:r>
      <w:r w:rsidR="00EC5F01" w:rsidRPr="001B7C40">
        <w:rPr>
          <w:rFonts w:ascii="Arial" w:hAnsi="Arial" w:cs="Arial"/>
          <w:color w:val="000000"/>
        </w:rPr>
        <w:t xml:space="preserve"> </w:t>
      </w:r>
      <w:r w:rsidR="00DD53D5" w:rsidRPr="001B7C40">
        <w:rPr>
          <w:rFonts w:ascii="Arial" w:hAnsi="Arial" w:cs="Arial"/>
        </w:rPr>
        <w:t>(</w:t>
      </w:r>
      <w:proofErr w:type="spellStart"/>
      <w:r w:rsidR="00DD53D5" w:rsidRPr="001B7C40">
        <w:rPr>
          <w:rFonts w:ascii="Arial" w:hAnsi="Arial" w:cs="Arial"/>
        </w:rPr>
        <w:t>Gutterman</w:t>
      </w:r>
      <w:proofErr w:type="spellEnd"/>
      <w:r w:rsidR="00DD53D5" w:rsidRPr="001B7C40">
        <w:rPr>
          <w:rFonts w:ascii="Arial" w:hAnsi="Arial" w:cs="Arial"/>
        </w:rPr>
        <w:t>, 2023)</w:t>
      </w:r>
      <w:r w:rsidR="00DD53D5" w:rsidRPr="001B7C40">
        <w:rPr>
          <w:rFonts w:ascii="Arial" w:hAnsi="Arial" w:cs="Arial"/>
        </w:rPr>
        <w:t>.</w:t>
      </w:r>
    </w:p>
    <w:p w14:paraId="752EDE85" w14:textId="77777777" w:rsidR="00DD53D5" w:rsidRPr="001B7C40" w:rsidRDefault="00DD53D5" w:rsidP="00577EFC">
      <w:pPr>
        <w:spacing w:line="276" w:lineRule="auto"/>
        <w:rPr>
          <w:rFonts w:ascii="Arial" w:hAnsi="Arial" w:cs="Arial"/>
          <w:color w:val="000000"/>
        </w:rPr>
      </w:pPr>
    </w:p>
    <w:p w14:paraId="3450E3E2" w14:textId="4BD78FF1" w:rsidR="00D150DA" w:rsidRDefault="00EC5F01" w:rsidP="00577EFC">
      <w:pPr>
        <w:spacing w:line="276" w:lineRule="auto"/>
        <w:rPr>
          <w:rFonts w:ascii="Arial" w:hAnsi="Arial" w:cs="Arial"/>
        </w:rPr>
      </w:pPr>
      <w:r w:rsidRPr="001B7C40">
        <w:rPr>
          <w:rFonts w:ascii="Arial" w:hAnsi="Arial" w:cs="Arial"/>
          <w:color w:val="000000"/>
        </w:rPr>
        <w:t xml:space="preserve">Additionally, </w:t>
      </w:r>
      <w:r w:rsidR="00DD53D5" w:rsidRPr="001B7C40">
        <w:rPr>
          <w:rFonts w:ascii="Arial" w:hAnsi="Arial" w:cs="Arial"/>
        </w:rPr>
        <w:t>Freeman et al. (2010)</w:t>
      </w:r>
      <w:r w:rsidRPr="001B7C40">
        <w:rPr>
          <w:rFonts w:ascii="Arial" w:hAnsi="Arial" w:cs="Arial"/>
          <w:color w:val="000000"/>
        </w:rPr>
        <w:t xml:space="preserve"> explain that b</w:t>
      </w:r>
      <w:r w:rsidRPr="001B7C40">
        <w:rPr>
          <w:rFonts w:ascii="Arial" w:hAnsi="Arial" w:cs="Arial"/>
          <w:color w:val="000000"/>
        </w:rPr>
        <w:t xml:space="preserve">usinesses that apply stakeholder theory are more likely to foster positive connections with stakeholders, develop trust </w:t>
      </w:r>
      <w:r w:rsidRPr="001B7C40">
        <w:rPr>
          <w:rFonts w:ascii="Arial" w:hAnsi="Arial" w:cs="Arial"/>
          <w:color w:val="000000"/>
        </w:rPr>
        <w:lastRenderedPageBreak/>
        <w:t>and provide long-term value that benefits all parties.</w:t>
      </w:r>
      <w:r w:rsidRPr="001B7C40">
        <w:rPr>
          <w:rFonts w:ascii="Arial" w:hAnsi="Arial" w:cs="Arial"/>
          <w:color w:val="000000"/>
        </w:rPr>
        <w:t xml:space="preserve"> Therefore, it could be said that</w:t>
      </w:r>
      <w:r w:rsidRPr="001B7C40">
        <w:rPr>
          <w:rFonts w:ascii="Arial" w:hAnsi="Arial" w:cs="Arial"/>
        </w:rPr>
        <w:t xml:space="preserve"> </w:t>
      </w:r>
      <w:r w:rsidRPr="001B7C40">
        <w:rPr>
          <w:rFonts w:ascii="Arial" w:hAnsi="Arial" w:cs="Arial"/>
          <w:color w:val="000000"/>
        </w:rPr>
        <w:t>t</w:t>
      </w:r>
      <w:r w:rsidR="00D150DA" w:rsidRPr="001B7C40">
        <w:rPr>
          <w:rFonts w:ascii="Arial" w:hAnsi="Arial" w:cs="Arial"/>
          <w:color w:val="000000"/>
        </w:rPr>
        <w:t>he bad press and severe reputational harm that engulfed the company following the crisis could have been prevented by carefully managing relationships with important stakeholders and acting to resolve problems before they spiralled.</w:t>
      </w:r>
    </w:p>
    <w:p w14:paraId="08519CC1" w14:textId="77777777" w:rsidR="005D18E5" w:rsidRPr="001B7C40" w:rsidRDefault="005D18E5" w:rsidP="00577EFC">
      <w:pPr>
        <w:spacing w:line="276" w:lineRule="auto"/>
        <w:rPr>
          <w:rFonts w:ascii="Arial" w:hAnsi="Arial" w:cs="Arial"/>
        </w:rPr>
      </w:pPr>
    </w:p>
    <w:p w14:paraId="02160FC0" w14:textId="33451B52" w:rsidR="00A24C66" w:rsidRPr="001B7C40" w:rsidRDefault="007A17F6" w:rsidP="00577EFC">
      <w:pPr>
        <w:pStyle w:val="Heading2"/>
      </w:pPr>
      <w:bookmarkStart w:id="11" w:name="_Toc164084287"/>
      <w:r w:rsidRPr="001B7C40">
        <w:t>3.</w:t>
      </w:r>
      <w:r w:rsidR="00D150DA" w:rsidRPr="001B7C40">
        <w:t>2</w:t>
      </w:r>
      <w:r w:rsidR="001D443D" w:rsidRPr="001B7C40">
        <w:t>:</w:t>
      </w:r>
      <w:r w:rsidR="00D150DA" w:rsidRPr="001B7C40">
        <w:t xml:space="preserve"> Agency Theory</w:t>
      </w:r>
      <w:bookmarkEnd w:id="11"/>
    </w:p>
    <w:p w14:paraId="184B5FD9" w14:textId="77777777" w:rsidR="00D150DA" w:rsidRPr="001B7C40" w:rsidRDefault="00D150DA" w:rsidP="00577EFC">
      <w:pPr>
        <w:pStyle w:val="NormalWeb"/>
        <w:spacing w:before="0" w:beforeAutospacing="0" w:after="0" w:afterAutospacing="0" w:line="276" w:lineRule="auto"/>
        <w:rPr>
          <w:rFonts w:ascii="Arial" w:hAnsi="Arial" w:cs="Arial"/>
          <w:color w:val="000000"/>
        </w:rPr>
      </w:pPr>
    </w:p>
    <w:p w14:paraId="2C8E977F" w14:textId="4E98D91B" w:rsidR="00D150DA" w:rsidRPr="001B7C40" w:rsidRDefault="00D150DA" w:rsidP="00577EFC">
      <w:pPr>
        <w:spacing w:line="276" w:lineRule="auto"/>
        <w:rPr>
          <w:rFonts w:ascii="Arial" w:hAnsi="Arial" w:cs="Arial"/>
        </w:rPr>
      </w:pPr>
      <w:r w:rsidRPr="001B7C40">
        <w:rPr>
          <w:rFonts w:ascii="Arial" w:hAnsi="Arial" w:cs="Arial"/>
          <w:color w:val="000000"/>
        </w:rPr>
        <w:t>Agency theory is a theoretical framework that looks at the interaction between principals (such as shareholders and owners) and agents (such as managers and employees)​​ under circumstances where the agent’s actions could have an impact on the principal’s interests. The idea focuses on the potential conflict of interest that could develop in these kinds of relationships and the strategies that can be used to align the interests of the principal and the agent</w:t>
      </w:r>
      <w:r w:rsidR="007856F2" w:rsidRPr="001B7C40">
        <w:rPr>
          <w:rFonts w:ascii="Arial" w:hAnsi="Arial" w:cs="Arial"/>
          <w:color w:val="000000"/>
        </w:rPr>
        <w:t xml:space="preserve"> </w:t>
      </w:r>
      <w:r w:rsidR="007C6F40" w:rsidRPr="001B7C40">
        <w:rPr>
          <w:rFonts w:ascii="Arial" w:hAnsi="Arial" w:cs="Arial"/>
        </w:rPr>
        <w:t>(Linder and Foss, 2015)</w:t>
      </w:r>
      <w:r w:rsidR="007C6F40" w:rsidRPr="001B7C40">
        <w:rPr>
          <w:rFonts w:ascii="Arial" w:hAnsi="Arial" w:cs="Arial"/>
        </w:rPr>
        <w:t>.</w:t>
      </w:r>
    </w:p>
    <w:p w14:paraId="7556B5B4" w14:textId="77777777" w:rsidR="00D150DA" w:rsidRPr="001B7C40" w:rsidRDefault="00D150DA" w:rsidP="00577EFC">
      <w:pPr>
        <w:spacing w:line="276" w:lineRule="auto"/>
        <w:rPr>
          <w:rFonts w:ascii="Arial" w:hAnsi="Arial" w:cs="Arial"/>
        </w:rPr>
      </w:pPr>
    </w:p>
    <w:p w14:paraId="3055BBDD" w14:textId="227658B1" w:rsidR="00D150DA" w:rsidRPr="001B7C40" w:rsidRDefault="00D150DA" w:rsidP="00577EFC">
      <w:pPr>
        <w:pStyle w:val="NormalWeb"/>
        <w:spacing w:before="0" w:beforeAutospacing="0" w:after="0" w:afterAutospacing="0" w:line="276" w:lineRule="auto"/>
        <w:rPr>
          <w:rFonts w:ascii="Arial" w:hAnsi="Arial" w:cs="Arial"/>
        </w:rPr>
      </w:pPr>
      <w:r w:rsidRPr="001B7C40">
        <w:rPr>
          <w:rFonts w:ascii="Arial" w:hAnsi="Arial" w:cs="Arial"/>
          <w:color w:val="000000"/>
        </w:rPr>
        <w:t>In the case of the crisis that enveloped Wells Fargo, agency theory could be extremely relevant, since it could clarify how the company’s workers committed fraud and, thus, harmed their customers. Also, by applying agency theory, we can better understand how the Wells Fargo management failed to sufficiently monitor and regulate the acts of their employees, which resulted in the widespread fraudulent conduct</w:t>
      </w:r>
      <w:r w:rsidR="00A30147">
        <w:rPr>
          <w:rFonts w:ascii="Arial" w:hAnsi="Arial" w:cs="Arial"/>
          <w:color w:val="000000"/>
        </w:rPr>
        <w:t>.</w:t>
      </w:r>
    </w:p>
    <w:p w14:paraId="6414C8ED" w14:textId="77777777" w:rsidR="00D150DA" w:rsidRPr="001B7C40" w:rsidRDefault="00D150DA" w:rsidP="00577EFC">
      <w:pPr>
        <w:spacing w:line="276" w:lineRule="auto"/>
        <w:rPr>
          <w:rFonts w:ascii="Arial" w:hAnsi="Arial" w:cs="Arial"/>
        </w:rPr>
      </w:pPr>
    </w:p>
    <w:p w14:paraId="0ADAE876" w14:textId="744876EB" w:rsidR="000D23D9" w:rsidRPr="001B7C40" w:rsidRDefault="000D23D9" w:rsidP="00577EFC">
      <w:pPr>
        <w:spacing w:line="276" w:lineRule="auto"/>
        <w:rPr>
          <w:rFonts w:ascii="Arial" w:hAnsi="Arial" w:cs="Arial"/>
        </w:rPr>
      </w:pPr>
      <w:r w:rsidRPr="001B7C40">
        <w:rPr>
          <w:rFonts w:ascii="Arial" w:hAnsi="Arial" w:cs="Arial"/>
          <w:color w:val="000000"/>
        </w:rPr>
        <w:t>Agency theory emphasises the necessity of precisely outlining the functions and duties of agents within an organisation.</w:t>
      </w:r>
      <w:r w:rsidRPr="001B7C40">
        <w:rPr>
          <w:rFonts w:ascii="Arial" w:hAnsi="Arial" w:cs="Arial"/>
          <w:color w:val="000000"/>
        </w:rPr>
        <w:t xml:space="preserve"> However, t</w:t>
      </w:r>
      <w:r w:rsidRPr="001B7C40">
        <w:rPr>
          <w:rFonts w:ascii="Arial" w:hAnsi="Arial" w:cs="Arial"/>
          <w:color w:val="000000"/>
        </w:rPr>
        <w:t>here didn’t seem to be enough effective oversight and responsibility at Wells Fargo preceding the crisis</w:t>
      </w:r>
      <w:r w:rsidRPr="001B7C40">
        <w:rPr>
          <w:rFonts w:ascii="Arial" w:hAnsi="Arial" w:cs="Arial"/>
          <w:color w:val="000000"/>
        </w:rPr>
        <w:t xml:space="preserve">, as noted by </w:t>
      </w:r>
      <w:r w:rsidR="007C6F40" w:rsidRPr="001B7C40">
        <w:rPr>
          <w:rFonts w:ascii="Arial" w:hAnsi="Arial" w:cs="Arial"/>
        </w:rPr>
        <w:t>Oxford (2017)</w:t>
      </w:r>
      <w:r w:rsidR="007C6F40" w:rsidRPr="001B7C40">
        <w:rPr>
          <w:rFonts w:ascii="Arial" w:hAnsi="Arial" w:cs="Arial"/>
        </w:rPr>
        <w:t>,</w:t>
      </w:r>
      <w:r w:rsidRPr="001B7C40">
        <w:rPr>
          <w:rFonts w:ascii="Arial" w:hAnsi="Arial" w:cs="Arial"/>
          <w:color w:val="000000"/>
        </w:rPr>
        <w:t xml:space="preserve"> due to the bank’s “decentralised” structure, which </w:t>
      </w:r>
      <w:r w:rsidR="001728E2" w:rsidRPr="001B7C40">
        <w:rPr>
          <w:rFonts w:ascii="Arial" w:hAnsi="Arial" w:cs="Arial"/>
          <w:color w:val="000000"/>
        </w:rPr>
        <w:t xml:space="preserve">then evidently </w:t>
      </w:r>
      <w:r w:rsidRPr="001B7C40">
        <w:rPr>
          <w:rFonts w:ascii="Arial" w:hAnsi="Arial" w:cs="Arial"/>
          <w:color w:val="000000"/>
        </w:rPr>
        <w:t xml:space="preserve">allowed </w:t>
      </w:r>
      <w:r w:rsidRPr="001B7C40">
        <w:rPr>
          <w:rFonts w:ascii="Arial" w:hAnsi="Arial" w:cs="Arial"/>
          <w:color w:val="000000"/>
        </w:rPr>
        <w:t>workers to act unethically without facing appropriate consequences. Thus, a clear definition and enforcement of responsibilities would have likely deterred such unethical behaviour from recurring. </w:t>
      </w:r>
    </w:p>
    <w:p w14:paraId="52A12F3F" w14:textId="77777777" w:rsidR="00D150DA" w:rsidRPr="001B7C40" w:rsidRDefault="00D150DA" w:rsidP="00577EFC">
      <w:pPr>
        <w:spacing w:line="276" w:lineRule="auto"/>
        <w:rPr>
          <w:rFonts w:ascii="Arial" w:hAnsi="Arial" w:cs="Arial"/>
        </w:rPr>
      </w:pPr>
    </w:p>
    <w:p w14:paraId="46D51D02" w14:textId="77777777" w:rsidR="00D150DA" w:rsidRPr="001B7C40" w:rsidRDefault="00D150DA" w:rsidP="00577EFC">
      <w:pPr>
        <w:pStyle w:val="NormalWeb"/>
        <w:spacing w:before="0" w:beforeAutospacing="0" w:after="0" w:afterAutospacing="0" w:line="276" w:lineRule="auto"/>
        <w:rPr>
          <w:rFonts w:ascii="Arial" w:hAnsi="Arial" w:cs="Arial"/>
        </w:rPr>
      </w:pPr>
      <w:r w:rsidRPr="001B7C40">
        <w:rPr>
          <w:rFonts w:ascii="Arial" w:hAnsi="Arial" w:cs="Arial"/>
          <w:color w:val="000000"/>
        </w:rPr>
        <w:t>Also, as previously explained, it seems possible that Wells Fargo’s employee incentive programme had motivated staff members to commit fraud in order to hit sales goals and earn those incentives. Such actions could have been prevented by reassessing and modifying the incentive structure to promote ethical behaviour. </w:t>
      </w:r>
    </w:p>
    <w:p w14:paraId="78C6BB8D" w14:textId="77777777" w:rsidR="00D150DA" w:rsidRPr="001B7C40" w:rsidRDefault="00D150DA" w:rsidP="00577EFC">
      <w:pPr>
        <w:spacing w:line="276" w:lineRule="auto"/>
        <w:rPr>
          <w:rFonts w:ascii="Arial" w:hAnsi="Arial" w:cs="Arial"/>
        </w:rPr>
      </w:pPr>
    </w:p>
    <w:p w14:paraId="7B160AA7" w14:textId="26A1A327" w:rsidR="00D150DA" w:rsidRPr="001B7C40" w:rsidRDefault="00D150DA" w:rsidP="00577EFC">
      <w:pPr>
        <w:spacing w:line="276" w:lineRule="auto"/>
        <w:rPr>
          <w:rFonts w:ascii="Arial" w:hAnsi="Arial" w:cs="Arial"/>
        </w:rPr>
      </w:pPr>
      <w:r w:rsidRPr="001B7C40">
        <w:rPr>
          <w:rFonts w:ascii="Arial" w:hAnsi="Arial" w:cs="Arial"/>
          <w:color w:val="000000"/>
        </w:rPr>
        <w:t xml:space="preserve">Agency theory suggests introducing procedures such as (sufficient) monitoring and oversight as well as incentives to align the agents’ interests with those of the principals </w:t>
      </w:r>
      <w:r w:rsidR="007C6F40" w:rsidRPr="001B7C40">
        <w:rPr>
          <w:rFonts w:ascii="Arial" w:hAnsi="Arial" w:cs="Arial"/>
        </w:rPr>
        <w:t xml:space="preserve">(Panda and </w:t>
      </w:r>
      <w:proofErr w:type="spellStart"/>
      <w:r w:rsidR="007C6F40" w:rsidRPr="001B7C40">
        <w:rPr>
          <w:rFonts w:ascii="Arial" w:hAnsi="Arial" w:cs="Arial"/>
        </w:rPr>
        <w:t>Leepsa</w:t>
      </w:r>
      <w:proofErr w:type="spellEnd"/>
      <w:r w:rsidR="007C6F40" w:rsidRPr="001B7C40">
        <w:rPr>
          <w:rFonts w:ascii="Arial" w:hAnsi="Arial" w:cs="Arial"/>
        </w:rPr>
        <w:t>, 2017)</w:t>
      </w:r>
      <w:r w:rsidRPr="001B7C40">
        <w:rPr>
          <w:rFonts w:ascii="Arial" w:hAnsi="Arial" w:cs="Arial"/>
          <w:color w:val="000000"/>
        </w:rPr>
        <w:t>. In the case of Wells Fargo, a restructuring of their operations and incentives to better align agents’ interests could have prevented the scandal. </w:t>
      </w:r>
    </w:p>
    <w:p w14:paraId="17A3A161" w14:textId="77777777" w:rsidR="00D150DA" w:rsidRPr="001B7C40" w:rsidRDefault="00D150DA" w:rsidP="00577EFC">
      <w:pPr>
        <w:spacing w:line="276" w:lineRule="auto"/>
        <w:rPr>
          <w:rFonts w:ascii="Arial" w:hAnsi="Arial" w:cs="Arial"/>
        </w:rPr>
      </w:pPr>
    </w:p>
    <w:p w14:paraId="7B72D1B0" w14:textId="5C0DEAEB" w:rsidR="00D150DA" w:rsidRPr="001B7C40" w:rsidRDefault="00D150DA" w:rsidP="00577EFC">
      <w:pPr>
        <w:pStyle w:val="NormalWeb"/>
        <w:spacing w:before="0" w:beforeAutospacing="0" w:after="0" w:afterAutospacing="0" w:line="276" w:lineRule="auto"/>
        <w:rPr>
          <w:rFonts w:ascii="Arial" w:hAnsi="Arial" w:cs="Arial"/>
        </w:rPr>
      </w:pPr>
      <w:r w:rsidRPr="001B7C40">
        <w:rPr>
          <w:rFonts w:ascii="Arial" w:hAnsi="Arial" w:cs="Arial"/>
          <w:color w:val="000000"/>
        </w:rPr>
        <w:t xml:space="preserve">For example, instead of concentrating only on sales targets, Wells Fargo could have established a more equitable incentive programme that compensates staff for performance that concerns customer retention and satisfaction. Alongside this, if </w:t>
      </w:r>
      <w:r w:rsidRPr="001B7C40">
        <w:rPr>
          <w:rFonts w:ascii="Arial" w:hAnsi="Arial" w:cs="Arial"/>
          <w:color w:val="000000"/>
        </w:rPr>
        <w:lastRenderedPageBreak/>
        <w:t>regular training on ethical standards and compliance had been given to employees, they might have been more well-informed about the repercussions of their misconduct and the value of transparency in their working environment. </w:t>
      </w:r>
    </w:p>
    <w:p w14:paraId="7EE349C4" w14:textId="77777777" w:rsidR="00D150DA" w:rsidRPr="001B7C40" w:rsidRDefault="00D150DA" w:rsidP="00577EFC">
      <w:pPr>
        <w:spacing w:line="276" w:lineRule="auto"/>
        <w:rPr>
          <w:rFonts w:ascii="Arial" w:hAnsi="Arial" w:cs="Arial"/>
        </w:rPr>
      </w:pPr>
    </w:p>
    <w:p w14:paraId="7091D5B8" w14:textId="645D6B4D" w:rsidR="00D150DA" w:rsidRPr="001B7C40" w:rsidRDefault="00D150DA" w:rsidP="00577EFC">
      <w:pPr>
        <w:pStyle w:val="NormalWeb"/>
        <w:spacing w:before="0" w:beforeAutospacing="0" w:after="0" w:afterAutospacing="0" w:line="276" w:lineRule="auto"/>
        <w:rPr>
          <w:rFonts w:ascii="Arial" w:hAnsi="Arial" w:cs="Arial"/>
        </w:rPr>
      </w:pPr>
      <w:r w:rsidRPr="001B7C40">
        <w:rPr>
          <w:rFonts w:ascii="Arial" w:hAnsi="Arial" w:cs="Arial"/>
          <w:color w:val="000000"/>
        </w:rPr>
        <w:t xml:space="preserve">Additionally, as employees had described the workplace environment as toxic, it seems Wells Fargo would have benefitted from encouraging a transparent and accountable culture. To achieve this, staff members could have been encouraged to report any misconduct they might have encountered and given the support and protection they would have needed to do so. </w:t>
      </w:r>
    </w:p>
    <w:p w14:paraId="3E2E442B" w14:textId="77777777" w:rsidR="00B613E8" w:rsidRPr="001B7C40" w:rsidRDefault="00B613E8" w:rsidP="00577EFC">
      <w:pPr>
        <w:spacing w:line="276" w:lineRule="auto"/>
        <w:rPr>
          <w:rFonts w:ascii="Arial" w:hAnsi="Arial" w:cs="Arial"/>
          <w:b/>
          <w:bCs/>
        </w:rPr>
      </w:pPr>
    </w:p>
    <w:p w14:paraId="0D1B7978" w14:textId="4F31E0A0" w:rsidR="00D150DA" w:rsidRPr="005D18E5" w:rsidRDefault="007A17F6" w:rsidP="00577EFC">
      <w:pPr>
        <w:pStyle w:val="Heading1"/>
        <w:spacing w:line="276" w:lineRule="auto"/>
      </w:pPr>
      <w:bookmarkStart w:id="12" w:name="_Toc164084288"/>
      <w:r w:rsidRPr="001B7C40">
        <w:t>4</w:t>
      </w:r>
      <w:r w:rsidR="000749F2" w:rsidRPr="001B7C40">
        <w:t>.</w:t>
      </w:r>
      <w:r w:rsidR="00D150DA" w:rsidRPr="001B7C40">
        <w:t xml:space="preserve"> Impact on Stakeholders</w:t>
      </w:r>
      <w:bookmarkEnd w:id="12"/>
    </w:p>
    <w:p w14:paraId="5E1E8C50" w14:textId="27B9FE19" w:rsidR="00D150DA" w:rsidRDefault="00B613E8" w:rsidP="00577EFC">
      <w:pPr>
        <w:spacing w:line="276" w:lineRule="auto"/>
        <w:rPr>
          <w:rFonts w:ascii="Arial" w:hAnsi="Arial" w:cs="Arial"/>
        </w:rPr>
      </w:pPr>
      <w:r w:rsidRPr="001B7C40">
        <w:rPr>
          <w:rFonts w:ascii="Arial" w:hAnsi="Arial" w:cs="Arial"/>
          <w:color w:val="000000"/>
        </w:rPr>
        <w:t>When examining the outcome of the Wells Fargo crisis, we must consider the enormous impact it had on the institution’s diverse range of stakeholders. Customers and employees, as well as shareholders and the broader community, were all affected by the scandal in various and significant ways. This section of the essay explores the multitude of repercussions that were triggered by unethical conduct and how those effects spread throughout the organisation and beyond. By scrutinising the opinions and experiences of these stakeholders, we can obtain an essential insight into the crisis’s broader implications and the long-term lessons it teaches about effective corporate governance.</w:t>
      </w:r>
    </w:p>
    <w:p w14:paraId="55ED3111" w14:textId="77777777" w:rsidR="005D18E5" w:rsidRPr="001B7C40" w:rsidRDefault="005D18E5" w:rsidP="00577EFC">
      <w:pPr>
        <w:spacing w:line="276" w:lineRule="auto"/>
        <w:rPr>
          <w:rFonts w:ascii="Arial" w:hAnsi="Arial" w:cs="Arial"/>
        </w:rPr>
      </w:pPr>
    </w:p>
    <w:p w14:paraId="7704DB34" w14:textId="12973712" w:rsidR="00B613E8" w:rsidRPr="001B7C40" w:rsidRDefault="007A17F6" w:rsidP="00577EFC">
      <w:pPr>
        <w:pStyle w:val="Heading2"/>
      </w:pPr>
      <w:bookmarkStart w:id="13" w:name="_Toc164084289"/>
      <w:r w:rsidRPr="001B7C40">
        <w:t>4</w:t>
      </w:r>
      <w:r w:rsidR="00B613E8" w:rsidRPr="001B7C40">
        <w:t>.1</w:t>
      </w:r>
      <w:r w:rsidR="001D443D" w:rsidRPr="001B7C40">
        <w:t>:</w:t>
      </w:r>
      <w:r w:rsidR="00B613E8" w:rsidRPr="001B7C40">
        <w:t xml:space="preserve"> Shareholders</w:t>
      </w:r>
      <w:bookmarkEnd w:id="13"/>
    </w:p>
    <w:p w14:paraId="53155662" w14:textId="749FD2C0" w:rsidR="00B613E8" w:rsidRPr="001B7C40" w:rsidRDefault="00B613E8" w:rsidP="00577EFC">
      <w:pPr>
        <w:spacing w:line="276" w:lineRule="auto"/>
        <w:rPr>
          <w:rFonts w:ascii="Arial" w:hAnsi="Arial" w:cs="Arial"/>
        </w:rPr>
      </w:pPr>
    </w:p>
    <w:p w14:paraId="5574466B" w14:textId="2FFCBD62" w:rsidR="00191867" w:rsidRPr="001B7C40" w:rsidRDefault="00B613E8" w:rsidP="00577EFC">
      <w:pPr>
        <w:spacing w:line="276" w:lineRule="auto"/>
        <w:rPr>
          <w:rFonts w:ascii="Arial" w:hAnsi="Arial" w:cs="Arial"/>
        </w:rPr>
      </w:pPr>
      <w:r w:rsidRPr="001B7C40">
        <w:rPr>
          <w:rFonts w:ascii="Arial" w:hAnsi="Arial" w:cs="Arial"/>
          <w:color w:val="000000"/>
        </w:rPr>
        <w:t xml:space="preserve">Shareholders suffered direct financial losses as a result of the incident. Following the disclosure of the unauthorised account openings, </w:t>
      </w:r>
      <w:r w:rsidR="00A30147">
        <w:rPr>
          <w:rFonts w:ascii="Arial" w:hAnsi="Arial" w:cs="Arial"/>
          <w:color w:val="000000"/>
        </w:rPr>
        <w:t xml:space="preserve">the </w:t>
      </w:r>
      <w:r w:rsidRPr="001B7C40">
        <w:rPr>
          <w:rFonts w:ascii="Arial" w:hAnsi="Arial" w:cs="Arial"/>
          <w:color w:val="000000"/>
        </w:rPr>
        <w:t xml:space="preserve">stock price </w:t>
      </w:r>
      <w:r w:rsidR="00A30147">
        <w:rPr>
          <w:rFonts w:ascii="Arial" w:hAnsi="Arial" w:cs="Arial"/>
          <w:color w:val="000000"/>
        </w:rPr>
        <w:t xml:space="preserve">of Wells Fargo </w:t>
      </w:r>
      <w:r w:rsidRPr="001B7C40">
        <w:rPr>
          <w:rFonts w:ascii="Arial" w:hAnsi="Arial" w:cs="Arial"/>
          <w:color w:val="000000"/>
        </w:rPr>
        <w:t>sank by more than 10%, significantly reducing shareholder value</w:t>
      </w:r>
      <w:r w:rsidR="00191867" w:rsidRPr="001B7C40">
        <w:rPr>
          <w:rFonts w:ascii="Arial" w:hAnsi="Arial" w:cs="Arial"/>
          <w:color w:val="000000"/>
        </w:rPr>
        <w:t xml:space="preserve"> </w:t>
      </w:r>
      <w:r w:rsidR="00191867" w:rsidRPr="001B7C40">
        <w:rPr>
          <w:rFonts w:ascii="Arial" w:hAnsi="Arial" w:cs="Arial"/>
        </w:rPr>
        <w:t>(Schaefer, 2016)</w:t>
      </w:r>
      <w:r w:rsidR="00191867" w:rsidRPr="001B7C40">
        <w:rPr>
          <w:rFonts w:ascii="Arial" w:hAnsi="Arial" w:cs="Arial"/>
        </w:rPr>
        <w:t>.</w:t>
      </w:r>
      <w:r w:rsidR="00A30147">
        <w:rPr>
          <w:rFonts w:ascii="Arial" w:hAnsi="Arial" w:cs="Arial"/>
        </w:rPr>
        <w:t xml:space="preserve"> </w:t>
      </w:r>
      <w:r w:rsidRPr="001B7C40">
        <w:rPr>
          <w:rFonts w:ascii="Arial" w:hAnsi="Arial" w:cs="Arial"/>
          <w:color w:val="000000"/>
        </w:rPr>
        <w:t>Shareholders also bore the brunt of the legal penalties that were imposed on Wells Fargo as a consequence of the crisis. The organisation was forced to pay billions of dollars in fines and settlements to end the regulatory investigations by the Securities and Exchange Commission (SEC)</w:t>
      </w:r>
      <w:r w:rsidR="001728E2" w:rsidRPr="001B7C40">
        <w:rPr>
          <w:rFonts w:ascii="Arial" w:hAnsi="Arial" w:cs="Arial"/>
          <w:color w:val="000000"/>
        </w:rPr>
        <w:t xml:space="preserve"> </w:t>
      </w:r>
      <w:r w:rsidR="00896284" w:rsidRPr="001B7C40">
        <w:rPr>
          <w:rFonts w:ascii="Arial" w:hAnsi="Arial" w:cs="Arial"/>
          <w:color w:val="000000"/>
        </w:rPr>
        <w:t xml:space="preserve">and the U.S. Department of Justice (DOJ). </w:t>
      </w:r>
      <w:r w:rsidR="00896284" w:rsidRPr="001B7C40">
        <w:rPr>
          <w:rFonts w:ascii="Arial" w:hAnsi="Arial" w:cs="Arial"/>
          <w:color w:val="000000"/>
        </w:rPr>
        <w:t>The financial success of the company and, as a result, shareholder returns were heavily impacted by these sanctions</w:t>
      </w:r>
      <w:r w:rsidR="00191867" w:rsidRPr="001B7C40">
        <w:rPr>
          <w:rFonts w:ascii="Arial" w:hAnsi="Arial" w:cs="Arial"/>
          <w:color w:val="000000"/>
        </w:rPr>
        <w:t xml:space="preserve"> (</w:t>
      </w:r>
      <w:r w:rsidR="00191867" w:rsidRPr="001B7C40">
        <w:rPr>
          <w:rFonts w:ascii="Arial" w:hAnsi="Arial" w:cs="Arial"/>
        </w:rPr>
        <w:t>Kelly, 2020)</w:t>
      </w:r>
      <w:r w:rsidR="00191867" w:rsidRPr="001B7C40">
        <w:rPr>
          <w:rFonts w:ascii="Arial" w:hAnsi="Arial" w:cs="Arial"/>
        </w:rPr>
        <w:t>.</w:t>
      </w:r>
    </w:p>
    <w:p w14:paraId="39C35AED" w14:textId="5F855147" w:rsidR="009658CE" w:rsidRPr="001B7C40" w:rsidRDefault="009658CE" w:rsidP="00577EFC">
      <w:pPr>
        <w:spacing w:line="276" w:lineRule="auto"/>
        <w:rPr>
          <w:rFonts w:ascii="Arial" w:hAnsi="Arial" w:cs="Arial"/>
        </w:rPr>
      </w:pPr>
    </w:p>
    <w:p w14:paraId="79360C31" w14:textId="56FB929A" w:rsidR="009658CE" w:rsidRPr="001B7C40" w:rsidRDefault="009658CE" w:rsidP="00577EFC">
      <w:pPr>
        <w:spacing w:line="276" w:lineRule="auto"/>
        <w:rPr>
          <w:rFonts w:ascii="Arial" w:hAnsi="Arial" w:cs="Arial"/>
        </w:rPr>
      </w:pPr>
      <w:r w:rsidRPr="001B7C40">
        <w:rPr>
          <w:rFonts w:ascii="Arial" w:hAnsi="Arial" w:cs="Arial"/>
          <w:color w:val="000000"/>
        </w:rPr>
        <w:t xml:space="preserve">Furthermore, </w:t>
      </w:r>
      <w:r w:rsidR="00CB29DB" w:rsidRPr="001B7C40">
        <w:rPr>
          <w:rFonts w:ascii="Arial" w:hAnsi="Arial" w:cs="Arial"/>
        </w:rPr>
        <w:t>Restrepo (2019)</w:t>
      </w:r>
      <w:r w:rsidRPr="001B7C40">
        <w:rPr>
          <w:rFonts w:ascii="Arial" w:hAnsi="Arial" w:cs="Arial"/>
          <w:color w:val="000000"/>
        </w:rPr>
        <w:t xml:space="preserve"> states that shareholders became increasingly concerned about the effectiveness of Wells Fargo’s management and corporate governance policies following the crisis and filed a shareholder derivative lawsuit. The controversy showed severe failings in monitoring and responsibility within the organisation, raising concerns about the board of directors’ ability to provide proper supervision and direction</w:t>
      </w:r>
      <w:r w:rsidR="00A30147">
        <w:rPr>
          <w:rFonts w:ascii="Arial" w:hAnsi="Arial" w:cs="Arial"/>
          <w:color w:val="000000"/>
        </w:rPr>
        <w:t xml:space="preserve"> and</w:t>
      </w:r>
      <w:r w:rsidRPr="001B7C40">
        <w:rPr>
          <w:rFonts w:ascii="Arial" w:hAnsi="Arial" w:cs="Arial"/>
          <w:color w:val="000000"/>
        </w:rPr>
        <w:t>, thus, the company’s long-term sustainability</w:t>
      </w:r>
      <w:r w:rsidR="00A30147">
        <w:rPr>
          <w:rFonts w:ascii="Arial" w:hAnsi="Arial" w:cs="Arial"/>
          <w:color w:val="000000"/>
        </w:rPr>
        <w:t>.</w:t>
      </w:r>
    </w:p>
    <w:p w14:paraId="188BE7CA" w14:textId="33552330" w:rsidR="009658CE" w:rsidRPr="001B7C40" w:rsidRDefault="009658CE" w:rsidP="00577EFC">
      <w:pPr>
        <w:spacing w:line="276" w:lineRule="auto"/>
        <w:rPr>
          <w:rFonts w:ascii="Arial" w:hAnsi="Arial" w:cs="Arial"/>
        </w:rPr>
      </w:pPr>
    </w:p>
    <w:p w14:paraId="6433BFBA" w14:textId="4E286E20" w:rsidR="009658CE" w:rsidRPr="001B7C40" w:rsidRDefault="007A17F6" w:rsidP="00577EFC">
      <w:pPr>
        <w:pStyle w:val="Heading2"/>
      </w:pPr>
      <w:bookmarkStart w:id="14" w:name="_Toc164084290"/>
      <w:r w:rsidRPr="001B7C40">
        <w:lastRenderedPageBreak/>
        <w:t>4</w:t>
      </w:r>
      <w:r w:rsidR="009658CE" w:rsidRPr="001B7C40">
        <w:t>.2</w:t>
      </w:r>
      <w:r w:rsidR="00410664" w:rsidRPr="001B7C40">
        <w:t>:</w:t>
      </w:r>
      <w:r w:rsidR="009658CE" w:rsidRPr="001B7C40">
        <w:t xml:space="preserve"> Employees</w:t>
      </w:r>
      <w:bookmarkEnd w:id="14"/>
    </w:p>
    <w:p w14:paraId="66504BD2" w14:textId="0F5F03A2" w:rsidR="009658CE" w:rsidRPr="001B7C40" w:rsidRDefault="009658CE" w:rsidP="00577EFC">
      <w:pPr>
        <w:spacing w:line="276" w:lineRule="auto"/>
        <w:rPr>
          <w:rFonts w:ascii="Arial" w:hAnsi="Arial" w:cs="Arial"/>
          <w:color w:val="000000"/>
        </w:rPr>
      </w:pPr>
    </w:p>
    <w:p w14:paraId="5FA873C2" w14:textId="625094F8" w:rsidR="00F226C7" w:rsidRPr="00F226C7" w:rsidRDefault="00F226C7" w:rsidP="00577EFC">
      <w:pPr>
        <w:spacing w:line="276" w:lineRule="auto"/>
        <w:rPr>
          <w:rFonts w:ascii="Arial" w:hAnsi="Arial" w:cs="Arial"/>
          <w:color w:val="000000"/>
        </w:rPr>
      </w:pPr>
      <w:r w:rsidRPr="00F226C7">
        <w:rPr>
          <w:rFonts w:ascii="Arial" w:hAnsi="Arial" w:cs="Arial"/>
          <w:color w:val="000000"/>
        </w:rPr>
        <w:t xml:space="preserve">Amidst the chaos of the crisis, it was the employees who found themselves on the frontline, bearing the weight of the fallout. As elucidated by Egan (2016), in the wake of the scandal's eruption and the ensuing probes, Wells Fargo found itself compelled to enact substantial layoffs, with over 5,000 individuals losing their livelihoods. These cuts weren't mere statistics; they reverberated deeply through the lives of those directly affected and their families. Moreover, </w:t>
      </w:r>
      <w:r>
        <w:rPr>
          <w:rFonts w:ascii="Arial" w:hAnsi="Arial" w:cs="Arial"/>
          <w:color w:val="000000"/>
        </w:rPr>
        <w:t xml:space="preserve">it is very likely that </w:t>
      </w:r>
      <w:r w:rsidRPr="00F226C7">
        <w:rPr>
          <w:rFonts w:ascii="Arial" w:hAnsi="Arial" w:cs="Arial"/>
          <w:color w:val="000000"/>
        </w:rPr>
        <w:t xml:space="preserve">the </w:t>
      </w:r>
      <w:r>
        <w:rPr>
          <w:rFonts w:ascii="Arial" w:hAnsi="Arial" w:cs="Arial"/>
          <w:color w:val="000000"/>
        </w:rPr>
        <w:t>possibility</w:t>
      </w:r>
      <w:r w:rsidRPr="00F226C7">
        <w:rPr>
          <w:rFonts w:ascii="Arial" w:hAnsi="Arial" w:cs="Arial"/>
          <w:color w:val="000000"/>
        </w:rPr>
        <w:t xml:space="preserve"> of further layoffs </w:t>
      </w:r>
      <w:r>
        <w:rPr>
          <w:rFonts w:ascii="Arial" w:hAnsi="Arial" w:cs="Arial"/>
          <w:color w:val="000000"/>
        </w:rPr>
        <w:t>casted</w:t>
      </w:r>
      <w:r w:rsidRPr="00F226C7">
        <w:rPr>
          <w:rFonts w:ascii="Arial" w:hAnsi="Arial" w:cs="Arial"/>
          <w:color w:val="000000"/>
        </w:rPr>
        <w:t xml:space="preserve"> a shadow of uncertainty over the remaining workforce, who now fear</w:t>
      </w:r>
      <w:r>
        <w:rPr>
          <w:rFonts w:ascii="Arial" w:hAnsi="Arial" w:cs="Arial"/>
          <w:color w:val="000000"/>
        </w:rPr>
        <w:t>ed</w:t>
      </w:r>
      <w:r w:rsidRPr="00F226C7">
        <w:rPr>
          <w:rFonts w:ascii="Arial" w:hAnsi="Arial" w:cs="Arial"/>
          <w:color w:val="000000"/>
        </w:rPr>
        <w:t xml:space="preserve"> being next in line.</w:t>
      </w:r>
    </w:p>
    <w:p w14:paraId="4B1B19A5" w14:textId="69B3A6D4" w:rsidR="009658CE" w:rsidRPr="001B7C40" w:rsidRDefault="009658CE" w:rsidP="00577EFC">
      <w:pPr>
        <w:spacing w:line="276" w:lineRule="auto"/>
        <w:rPr>
          <w:rFonts w:ascii="Arial" w:hAnsi="Arial" w:cs="Arial"/>
          <w:color w:val="000000"/>
        </w:rPr>
      </w:pPr>
    </w:p>
    <w:p w14:paraId="2C97768E" w14:textId="4DF0655D" w:rsidR="009658CE" w:rsidRPr="001B7C40" w:rsidRDefault="009658CE" w:rsidP="00577EFC">
      <w:pPr>
        <w:spacing w:line="276" w:lineRule="auto"/>
        <w:rPr>
          <w:rFonts w:ascii="Arial" w:hAnsi="Arial" w:cs="Arial"/>
        </w:rPr>
      </w:pPr>
      <w:r w:rsidRPr="001B7C40">
        <w:rPr>
          <w:rFonts w:ascii="Arial" w:hAnsi="Arial" w:cs="Arial"/>
          <w:color w:val="000000"/>
        </w:rPr>
        <w:t xml:space="preserve">The scandal caused a great deal of psychological stress for many of the workers. Many staff members expressed feeling under pressure to fulfil unrealistic sales goals and act unethically in order to stay employed. The harmful workplace </w:t>
      </w:r>
      <w:r w:rsidR="00F73889">
        <w:rPr>
          <w:rFonts w:ascii="Arial" w:hAnsi="Arial" w:cs="Arial"/>
          <w:color w:val="000000"/>
        </w:rPr>
        <w:t>environment</w:t>
      </w:r>
      <w:r w:rsidRPr="001B7C40">
        <w:rPr>
          <w:rFonts w:ascii="Arial" w:hAnsi="Arial" w:cs="Arial"/>
          <w:color w:val="000000"/>
        </w:rPr>
        <w:t xml:space="preserve">, marked by mistrust, intimidation, and fear, </w:t>
      </w:r>
      <w:r w:rsidR="00F73889">
        <w:rPr>
          <w:rFonts w:ascii="Arial" w:hAnsi="Arial" w:cs="Arial"/>
          <w:color w:val="000000"/>
        </w:rPr>
        <w:t xml:space="preserve">undoubtedly </w:t>
      </w:r>
      <w:r w:rsidRPr="001B7C40">
        <w:rPr>
          <w:rFonts w:ascii="Arial" w:hAnsi="Arial" w:cs="Arial"/>
          <w:color w:val="000000"/>
        </w:rPr>
        <w:t xml:space="preserve">had a negative impact on the mental health and general well-being of those involved </w:t>
      </w:r>
      <w:r w:rsidR="00F73889">
        <w:rPr>
          <w:rFonts w:ascii="Arial" w:hAnsi="Arial" w:cs="Arial"/>
          <w:color w:val="000000"/>
        </w:rPr>
        <w:t>prior to the exposure of the scandal</w:t>
      </w:r>
      <w:r w:rsidR="003C7CF0" w:rsidRPr="001B7C40">
        <w:rPr>
          <w:rFonts w:ascii="Arial" w:hAnsi="Arial" w:cs="Arial"/>
          <w:color w:val="000000"/>
        </w:rPr>
        <w:t xml:space="preserve"> </w:t>
      </w:r>
      <w:r w:rsidR="00B24BB5" w:rsidRPr="001B7C40">
        <w:rPr>
          <w:rFonts w:ascii="Arial" w:hAnsi="Arial" w:cs="Arial"/>
        </w:rPr>
        <w:t>(Bishop, 2018)</w:t>
      </w:r>
      <w:r w:rsidR="00B24BB5" w:rsidRPr="001B7C40">
        <w:rPr>
          <w:rFonts w:ascii="Arial" w:hAnsi="Arial" w:cs="Arial"/>
        </w:rPr>
        <w:t>.</w:t>
      </w:r>
    </w:p>
    <w:p w14:paraId="56F52CFF" w14:textId="4E0B1A9E" w:rsidR="00B613E8" w:rsidRPr="001B7C40" w:rsidRDefault="00B613E8" w:rsidP="00577EFC">
      <w:pPr>
        <w:spacing w:line="276" w:lineRule="auto"/>
        <w:rPr>
          <w:rFonts w:ascii="Arial" w:hAnsi="Arial" w:cs="Arial"/>
        </w:rPr>
      </w:pPr>
    </w:p>
    <w:p w14:paraId="1B08ECA7" w14:textId="3371FFA6" w:rsidR="00410664" w:rsidRDefault="00410664" w:rsidP="00577EFC">
      <w:pPr>
        <w:spacing w:line="276" w:lineRule="auto"/>
        <w:rPr>
          <w:rFonts w:ascii="Arial" w:hAnsi="Arial" w:cs="Arial"/>
        </w:rPr>
      </w:pPr>
      <w:r w:rsidRPr="001B7C40">
        <w:rPr>
          <w:rFonts w:ascii="Arial" w:hAnsi="Arial" w:cs="Arial"/>
          <w:color w:val="000000"/>
        </w:rPr>
        <w:t xml:space="preserve">Additionally, the controversy harmed the reputations of the workers both individually and </w:t>
      </w:r>
      <w:r w:rsidR="006E31F4">
        <w:rPr>
          <w:rFonts w:ascii="Arial" w:hAnsi="Arial" w:cs="Arial"/>
          <w:color w:val="000000"/>
        </w:rPr>
        <w:t>collectively</w:t>
      </w:r>
      <w:r w:rsidRPr="001B7C40">
        <w:rPr>
          <w:rFonts w:ascii="Arial" w:hAnsi="Arial" w:cs="Arial"/>
          <w:color w:val="000000"/>
        </w:rPr>
        <w:t xml:space="preserve">. Customers, regulators, and the general public had lost faith in Wells Fargo, and by extension their staff as a result of the unethical practices that were revealed. Due to this, as </w:t>
      </w:r>
      <w:r w:rsidR="006E31F4">
        <w:rPr>
          <w:rFonts w:ascii="Arial" w:hAnsi="Arial" w:cs="Arial"/>
          <w:color w:val="000000"/>
        </w:rPr>
        <w:t>highlighted</w:t>
      </w:r>
      <w:r w:rsidR="00CB29DB" w:rsidRPr="001B7C40">
        <w:rPr>
          <w:rFonts w:ascii="Arial" w:hAnsi="Arial" w:cs="Arial"/>
          <w:color w:val="000000"/>
        </w:rPr>
        <w:t xml:space="preserve"> by </w:t>
      </w:r>
      <w:r w:rsidR="00CB29DB" w:rsidRPr="001B7C40">
        <w:rPr>
          <w:rFonts w:ascii="Arial" w:hAnsi="Arial" w:cs="Arial"/>
        </w:rPr>
        <w:t>Patel (2017)</w:t>
      </w:r>
      <w:r w:rsidR="006E31F4">
        <w:rPr>
          <w:rFonts w:ascii="Arial" w:hAnsi="Arial" w:cs="Arial"/>
        </w:rPr>
        <w:t>,</w:t>
      </w:r>
      <w:r w:rsidRPr="001B7C40">
        <w:rPr>
          <w:rFonts w:ascii="Arial" w:hAnsi="Arial" w:cs="Arial"/>
          <w:color w:val="000000"/>
        </w:rPr>
        <w:t xml:space="preserve"> employees of Wells Fargo may experience stigma and unfavourable opinions related to their employment which could jeopardise future employment opportunities.</w:t>
      </w:r>
    </w:p>
    <w:p w14:paraId="0AB56D51" w14:textId="77777777" w:rsidR="005D18E5" w:rsidRPr="001B7C40" w:rsidRDefault="005D18E5" w:rsidP="00577EFC">
      <w:pPr>
        <w:spacing w:line="276" w:lineRule="auto"/>
        <w:rPr>
          <w:rFonts w:ascii="Arial" w:hAnsi="Arial" w:cs="Arial"/>
        </w:rPr>
      </w:pPr>
    </w:p>
    <w:p w14:paraId="11D9918D" w14:textId="0015B17F" w:rsidR="009658CE" w:rsidRPr="001B7C40" w:rsidRDefault="007A17F6" w:rsidP="00577EFC">
      <w:pPr>
        <w:pStyle w:val="Heading2"/>
      </w:pPr>
      <w:bookmarkStart w:id="15" w:name="_Toc164084291"/>
      <w:r w:rsidRPr="001B7C40">
        <w:t>4</w:t>
      </w:r>
      <w:r w:rsidR="00410664" w:rsidRPr="001B7C40">
        <w:t>.3: Customers</w:t>
      </w:r>
      <w:bookmarkEnd w:id="15"/>
    </w:p>
    <w:p w14:paraId="4608B00D" w14:textId="590A0D89" w:rsidR="00CF7700" w:rsidRPr="001B7C40" w:rsidRDefault="00CF7700" w:rsidP="00577EFC">
      <w:pPr>
        <w:spacing w:line="276" w:lineRule="auto"/>
        <w:rPr>
          <w:rFonts w:ascii="Arial" w:hAnsi="Arial" w:cs="Arial"/>
        </w:rPr>
      </w:pPr>
    </w:p>
    <w:p w14:paraId="07A65DB6" w14:textId="7A62269E" w:rsidR="00410664" w:rsidRPr="001B7C40" w:rsidRDefault="00410664" w:rsidP="00577EFC">
      <w:pPr>
        <w:spacing w:line="276" w:lineRule="auto"/>
        <w:rPr>
          <w:rFonts w:ascii="Arial" w:hAnsi="Arial" w:cs="Arial"/>
        </w:rPr>
      </w:pPr>
      <w:r w:rsidRPr="001B7C40">
        <w:rPr>
          <w:rFonts w:ascii="Arial" w:hAnsi="Arial" w:cs="Arial"/>
          <w:color w:val="000000"/>
        </w:rPr>
        <w:t>The unauthorised accounts and services that were opened in their names</w:t>
      </w:r>
      <w:r w:rsidR="00131C12" w:rsidRPr="001B7C40">
        <w:rPr>
          <w:rFonts w:ascii="Arial" w:hAnsi="Arial" w:cs="Arial"/>
          <w:color w:val="000000"/>
        </w:rPr>
        <w:t>, of course,</w:t>
      </w:r>
      <w:r w:rsidRPr="001B7C40">
        <w:rPr>
          <w:rFonts w:ascii="Arial" w:hAnsi="Arial" w:cs="Arial"/>
          <w:color w:val="000000"/>
        </w:rPr>
        <w:t xml:space="preserve"> had the biggest immediate effect on Wells Fargo’s customers. It was discovered by many clients that Wells Fargo had opened accounts, credit cards, and other financial service products without their knowledge or approval. </w:t>
      </w:r>
      <w:r w:rsidR="00131C12" w:rsidRPr="001B7C40">
        <w:rPr>
          <w:rFonts w:ascii="Arial" w:hAnsi="Arial" w:cs="Arial"/>
        </w:rPr>
        <w:t>Not only did this cause them confusion and inconvenience for customers but also</w:t>
      </w:r>
      <w:r w:rsidR="00131C12" w:rsidRPr="001B7C40">
        <w:rPr>
          <w:rFonts w:ascii="Arial" w:hAnsi="Arial" w:cs="Arial"/>
        </w:rPr>
        <w:t xml:space="preserve"> </w:t>
      </w:r>
      <w:r w:rsidRPr="001B7C40">
        <w:rPr>
          <w:rFonts w:ascii="Arial" w:hAnsi="Arial" w:cs="Arial"/>
          <w:color w:val="000000"/>
        </w:rPr>
        <w:t xml:space="preserve">led them to be charged for accounts they </w:t>
      </w:r>
      <w:r w:rsidR="006E31F4">
        <w:rPr>
          <w:rFonts w:ascii="Arial" w:hAnsi="Arial" w:cs="Arial"/>
          <w:color w:val="000000"/>
        </w:rPr>
        <w:t>never</w:t>
      </w:r>
      <w:r w:rsidRPr="001B7C40">
        <w:rPr>
          <w:rFonts w:ascii="Arial" w:hAnsi="Arial" w:cs="Arial"/>
          <w:color w:val="000000"/>
        </w:rPr>
        <w:t xml:space="preserve"> want</w:t>
      </w:r>
      <w:r w:rsidR="006E31F4">
        <w:rPr>
          <w:rFonts w:ascii="Arial" w:hAnsi="Arial" w:cs="Arial"/>
          <w:color w:val="000000"/>
        </w:rPr>
        <w:t>ed</w:t>
      </w:r>
      <w:r w:rsidRPr="001B7C40">
        <w:rPr>
          <w:rFonts w:ascii="Arial" w:hAnsi="Arial" w:cs="Arial"/>
          <w:color w:val="000000"/>
        </w:rPr>
        <w:t xml:space="preserve"> in the first place </w:t>
      </w:r>
      <w:r w:rsidR="00326269" w:rsidRPr="001B7C40">
        <w:rPr>
          <w:rFonts w:ascii="Arial" w:hAnsi="Arial" w:cs="Arial"/>
        </w:rPr>
        <w:t>(Elson and Ingram, 2018)</w:t>
      </w:r>
      <w:r w:rsidR="00326269" w:rsidRPr="001B7C40">
        <w:rPr>
          <w:rFonts w:ascii="Arial" w:hAnsi="Arial" w:cs="Arial"/>
        </w:rPr>
        <w:t>.</w:t>
      </w:r>
    </w:p>
    <w:p w14:paraId="12CE75E7" w14:textId="77777777" w:rsidR="00131C12" w:rsidRPr="001B7C40" w:rsidRDefault="00131C12" w:rsidP="00577EFC">
      <w:pPr>
        <w:spacing w:line="276" w:lineRule="auto"/>
        <w:rPr>
          <w:rFonts w:ascii="Arial" w:hAnsi="Arial" w:cs="Arial"/>
        </w:rPr>
      </w:pPr>
    </w:p>
    <w:p w14:paraId="5EBBA483" w14:textId="5D8C4F54" w:rsidR="00410664" w:rsidRPr="001B7C40" w:rsidRDefault="00410664" w:rsidP="00577EFC">
      <w:pPr>
        <w:spacing w:line="276" w:lineRule="auto"/>
        <w:rPr>
          <w:rFonts w:ascii="Arial" w:hAnsi="Arial" w:cs="Arial"/>
        </w:rPr>
      </w:pPr>
      <w:r w:rsidRPr="001B7C40">
        <w:rPr>
          <w:rFonts w:ascii="Arial" w:hAnsi="Arial" w:cs="Arial"/>
          <w:color w:val="000000"/>
        </w:rPr>
        <w:t>A report released by</w:t>
      </w:r>
      <w:r w:rsidR="00326269" w:rsidRPr="001B7C40">
        <w:rPr>
          <w:rFonts w:ascii="Arial" w:hAnsi="Arial" w:cs="Arial"/>
          <w:color w:val="000000"/>
        </w:rPr>
        <w:t xml:space="preserve"> the US Consumer Financial Protection Bureau</w:t>
      </w:r>
      <w:r w:rsidRPr="001B7C40">
        <w:rPr>
          <w:rFonts w:ascii="Arial" w:hAnsi="Arial" w:cs="Arial"/>
          <w:color w:val="000000"/>
        </w:rPr>
        <w:t xml:space="preserve"> </w:t>
      </w:r>
      <w:r w:rsidR="00326269" w:rsidRPr="001B7C40">
        <w:rPr>
          <w:rFonts w:ascii="Arial" w:hAnsi="Arial" w:cs="Arial"/>
        </w:rPr>
        <w:t>(CFPB, 2016)</w:t>
      </w:r>
      <w:r w:rsidRPr="001B7C40">
        <w:rPr>
          <w:rFonts w:ascii="Arial" w:hAnsi="Arial" w:cs="Arial"/>
          <w:color w:val="000000"/>
        </w:rPr>
        <w:t xml:space="preserve"> revealed that the fees levied on some of the accounts that were opened fraudulently reached approximately $2 million. These fines had the potential to adversely impact the credit scores of affected individuals, thereby jeopardising their personal financial stability and </w:t>
      </w:r>
      <w:r w:rsidR="006E31F4">
        <w:rPr>
          <w:rFonts w:ascii="Arial" w:hAnsi="Arial" w:cs="Arial"/>
          <w:color w:val="000000"/>
        </w:rPr>
        <w:t>limiting</w:t>
      </w:r>
      <w:r w:rsidRPr="001B7C40">
        <w:rPr>
          <w:rFonts w:ascii="Arial" w:hAnsi="Arial" w:cs="Arial"/>
          <w:color w:val="000000"/>
        </w:rPr>
        <w:t xml:space="preserve"> their ability to access credit or loans. </w:t>
      </w:r>
      <w:r w:rsidR="006E31F4" w:rsidRPr="006E31F4">
        <w:rPr>
          <w:rFonts w:ascii="Arial" w:hAnsi="Arial" w:cs="Arial"/>
          <w:color w:val="000000"/>
        </w:rPr>
        <w:t xml:space="preserve">Consequently, the scandal likely eroded customers' trust in their financial security, </w:t>
      </w:r>
      <w:r w:rsidR="006E31F4">
        <w:rPr>
          <w:rFonts w:ascii="Arial" w:hAnsi="Arial" w:cs="Arial"/>
          <w:color w:val="000000"/>
        </w:rPr>
        <w:t>exacerbating</w:t>
      </w:r>
      <w:r w:rsidR="006E31F4" w:rsidRPr="006E31F4">
        <w:rPr>
          <w:rFonts w:ascii="Arial" w:hAnsi="Arial" w:cs="Arial"/>
          <w:color w:val="000000"/>
        </w:rPr>
        <w:t xml:space="preserve"> their emotional distress.</w:t>
      </w:r>
    </w:p>
    <w:p w14:paraId="5FA3278E" w14:textId="77777777" w:rsidR="00410664" w:rsidRPr="001B7C40" w:rsidRDefault="00410664" w:rsidP="00577EFC">
      <w:pPr>
        <w:spacing w:line="276" w:lineRule="auto"/>
        <w:rPr>
          <w:rFonts w:ascii="Arial" w:hAnsi="Arial" w:cs="Arial"/>
        </w:rPr>
      </w:pPr>
    </w:p>
    <w:p w14:paraId="113156FE" w14:textId="5DF89D88" w:rsidR="00410664" w:rsidRPr="001B7C40" w:rsidRDefault="00410664" w:rsidP="00577EFC">
      <w:pPr>
        <w:spacing w:line="276" w:lineRule="auto"/>
        <w:rPr>
          <w:rFonts w:ascii="Arial" w:hAnsi="Arial" w:cs="Arial"/>
        </w:rPr>
      </w:pPr>
      <w:r w:rsidRPr="001B7C40">
        <w:rPr>
          <w:rFonts w:ascii="Arial" w:hAnsi="Arial" w:cs="Arial"/>
          <w:color w:val="000000"/>
        </w:rPr>
        <w:lastRenderedPageBreak/>
        <w:t xml:space="preserve">Furthermore, </w:t>
      </w:r>
      <w:r w:rsidR="006E31F4">
        <w:rPr>
          <w:rFonts w:ascii="Arial" w:hAnsi="Arial" w:cs="Arial"/>
          <w:color w:val="000000"/>
        </w:rPr>
        <w:t xml:space="preserve">as noted by </w:t>
      </w:r>
      <w:proofErr w:type="spellStart"/>
      <w:r w:rsidR="008F5A2E" w:rsidRPr="001B7C40">
        <w:rPr>
          <w:rFonts w:ascii="Arial" w:hAnsi="Arial" w:cs="Arial"/>
        </w:rPr>
        <w:t>Cavico</w:t>
      </w:r>
      <w:proofErr w:type="spellEnd"/>
      <w:r w:rsidR="008F5A2E" w:rsidRPr="001B7C40">
        <w:rPr>
          <w:rFonts w:ascii="Arial" w:hAnsi="Arial" w:cs="Arial"/>
        </w:rPr>
        <w:t xml:space="preserve"> and Mujtaba (2017)</w:t>
      </w:r>
      <w:r w:rsidRPr="001B7C40">
        <w:rPr>
          <w:rFonts w:ascii="Arial" w:hAnsi="Arial" w:cs="Arial"/>
          <w:color w:val="000000"/>
        </w:rPr>
        <w:t xml:space="preserve"> a class action </w:t>
      </w:r>
      <w:r w:rsidR="006E31F4">
        <w:rPr>
          <w:rFonts w:ascii="Arial" w:hAnsi="Arial" w:cs="Arial"/>
          <w:color w:val="000000"/>
        </w:rPr>
        <w:t>law</w:t>
      </w:r>
      <w:r w:rsidRPr="001B7C40">
        <w:rPr>
          <w:rFonts w:ascii="Arial" w:hAnsi="Arial" w:cs="Arial"/>
          <w:color w:val="000000"/>
        </w:rPr>
        <w:t xml:space="preserve">suit was filed by customers </w:t>
      </w:r>
      <w:r w:rsidRPr="006E31F4">
        <w:rPr>
          <w:rFonts w:ascii="Arial" w:hAnsi="Arial" w:cs="Arial"/>
          <w:color w:val="000000"/>
        </w:rPr>
        <w:t>citing</w:t>
      </w:r>
      <w:r w:rsidRPr="001B7C40">
        <w:rPr>
          <w:rFonts w:ascii="Arial" w:hAnsi="Arial" w:cs="Arial"/>
          <w:color w:val="000000"/>
        </w:rPr>
        <w:t> “anxiety and emotional distress”</w:t>
      </w:r>
      <w:r w:rsidR="008F5A2E" w:rsidRPr="001B7C40">
        <w:rPr>
          <w:rFonts w:ascii="Arial" w:hAnsi="Arial" w:cs="Arial"/>
          <w:color w:val="000000"/>
        </w:rPr>
        <w:t xml:space="preserve"> (p.5)</w:t>
      </w:r>
      <w:r w:rsidRPr="001B7C40">
        <w:rPr>
          <w:rFonts w:ascii="Arial" w:hAnsi="Arial" w:cs="Arial"/>
          <w:color w:val="000000"/>
        </w:rPr>
        <w:t xml:space="preserve">. For many customers, </w:t>
      </w:r>
      <w:r w:rsidR="006E31F4">
        <w:rPr>
          <w:rFonts w:ascii="Arial" w:hAnsi="Arial" w:cs="Arial"/>
          <w:color w:val="000000"/>
        </w:rPr>
        <w:t>discovering</w:t>
      </w:r>
      <w:r w:rsidRPr="001B7C40">
        <w:rPr>
          <w:rFonts w:ascii="Arial" w:hAnsi="Arial" w:cs="Arial"/>
          <w:color w:val="000000"/>
        </w:rPr>
        <w:t xml:space="preserve"> that they were victims of fraud </w:t>
      </w:r>
      <w:r w:rsidR="006E31F4">
        <w:rPr>
          <w:rFonts w:ascii="Arial" w:hAnsi="Arial" w:cs="Arial"/>
          <w:color w:val="000000"/>
        </w:rPr>
        <w:t>perpetrated by their own bank</w:t>
      </w:r>
      <w:r w:rsidRPr="001B7C40">
        <w:rPr>
          <w:rFonts w:ascii="Arial" w:hAnsi="Arial" w:cs="Arial"/>
          <w:color w:val="000000"/>
        </w:rPr>
        <w:t xml:space="preserve"> would have undoubtedly caused worry and emotional distress. Feelings of betrayal, frustration, and anger </w:t>
      </w:r>
      <w:r w:rsidR="007646E3">
        <w:rPr>
          <w:rFonts w:ascii="Arial" w:hAnsi="Arial" w:cs="Arial"/>
          <w:color w:val="000000"/>
        </w:rPr>
        <w:t>likely surfaced</w:t>
      </w:r>
      <w:r w:rsidRPr="001B7C40">
        <w:rPr>
          <w:rFonts w:ascii="Arial" w:hAnsi="Arial" w:cs="Arial"/>
          <w:color w:val="000000"/>
        </w:rPr>
        <w:t xml:space="preserve"> when they realised their bank had acted unethically at their expense which would have added to concerns and doubts regarding the safety of their bank accounts and private information.</w:t>
      </w:r>
    </w:p>
    <w:p w14:paraId="2CE31109" w14:textId="77777777" w:rsidR="00410664" w:rsidRPr="001B7C40" w:rsidRDefault="00410664" w:rsidP="00577EFC">
      <w:pPr>
        <w:spacing w:line="276" w:lineRule="auto"/>
        <w:rPr>
          <w:rFonts w:ascii="Arial" w:hAnsi="Arial" w:cs="Arial"/>
        </w:rPr>
      </w:pPr>
    </w:p>
    <w:p w14:paraId="1E115A0B" w14:textId="0F715EB6" w:rsidR="00410664" w:rsidRPr="001B7C40" w:rsidRDefault="007646E3" w:rsidP="00577EFC">
      <w:pPr>
        <w:spacing w:line="276" w:lineRule="auto"/>
        <w:rPr>
          <w:rFonts w:ascii="Arial" w:hAnsi="Arial" w:cs="Arial"/>
        </w:rPr>
      </w:pPr>
      <w:r>
        <w:rPr>
          <w:rFonts w:ascii="Arial" w:hAnsi="Arial" w:cs="Arial"/>
          <w:color w:val="000000"/>
        </w:rPr>
        <w:t>In the aftermath of the crisis</w:t>
      </w:r>
      <w:r w:rsidR="00410664" w:rsidRPr="001B7C40">
        <w:rPr>
          <w:rFonts w:ascii="Arial" w:hAnsi="Arial" w:cs="Arial"/>
          <w:color w:val="000000"/>
        </w:rPr>
        <w:t xml:space="preserve">, the bank was </w:t>
      </w:r>
      <w:r>
        <w:rPr>
          <w:rFonts w:ascii="Arial" w:hAnsi="Arial" w:cs="Arial"/>
          <w:color w:val="000000"/>
        </w:rPr>
        <w:t xml:space="preserve">also </w:t>
      </w:r>
      <w:r w:rsidR="00410664" w:rsidRPr="001B7C40">
        <w:rPr>
          <w:rFonts w:ascii="Arial" w:hAnsi="Arial" w:cs="Arial"/>
          <w:color w:val="000000"/>
        </w:rPr>
        <w:t xml:space="preserve">hit with many </w:t>
      </w:r>
      <w:r>
        <w:rPr>
          <w:rFonts w:ascii="Arial" w:hAnsi="Arial" w:cs="Arial"/>
          <w:color w:val="000000"/>
        </w:rPr>
        <w:t xml:space="preserve">other </w:t>
      </w:r>
      <w:r w:rsidR="00410664" w:rsidRPr="001B7C40">
        <w:rPr>
          <w:rFonts w:ascii="Arial" w:hAnsi="Arial" w:cs="Arial"/>
          <w:color w:val="000000"/>
        </w:rPr>
        <w:t>lawsuits and legal challenges from afflicted customers who sought for damages to be paid. Wells Fargo was, therefore, required to provide compensation to customers who were affected by the unauthorised accounts, harm to credit ratings and reimbursements for any fees they had to pay</w:t>
      </w:r>
      <w:r w:rsidR="00CA7CB2" w:rsidRPr="001B7C40">
        <w:rPr>
          <w:rFonts w:ascii="Arial" w:hAnsi="Arial" w:cs="Arial"/>
          <w:color w:val="000000"/>
        </w:rPr>
        <w:t xml:space="preserve"> </w:t>
      </w:r>
      <w:r w:rsidR="008F5A2E" w:rsidRPr="001B7C40">
        <w:rPr>
          <w:rFonts w:ascii="Arial" w:hAnsi="Arial" w:cs="Arial"/>
        </w:rPr>
        <w:t>(DOJ, 2020)</w:t>
      </w:r>
      <w:r w:rsidR="00410664" w:rsidRPr="001B7C40">
        <w:rPr>
          <w:rFonts w:ascii="Arial" w:hAnsi="Arial" w:cs="Arial"/>
          <w:color w:val="000000"/>
        </w:rPr>
        <w:t>. For clients, however, the procedure of attaining compensation and settling disputes with the bank was likely stressful and time-consuming, only adding to their emotional distress.</w:t>
      </w:r>
    </w:p>
    <w:p w14:paraId="7D01409A" w14:textId="77777777" w:rsidR="005D18E5" w:rsidRPr="001B7C40" w:rsidRDefault="005D18E5" w:rsidP="00577EFC">
      <w:pPr>
        <w:spacing w:line="276" w:lineRule="auto"/>
        <w:rPr>
          <w:rFonts w:ascii="Arial" w:hAnsi="Arial" w:cs="Arial"/>
        </w:rPr>
      </w:pPr>
    </w:p>
    <w:p w14:paraId="6470BC0D" w14:textId="5B470FE1" w:rsidR="00410664" w:rsidRPr="00577EFC" w:rsidRDefault="007A17F6" w:rsidP="00577EFC">
      <w:pPr>
        <w:pStyle w:val="Heading2"/>
      </w:pPr>
      <w:bookmarkStart w:id="16" w:name="_Toc164084292"/>
      <w:r w:rsidRPr="00577EFC">
        <w:t>4</w:t>
      </w:r>
      <w:r w:rsidR="0082387A" w:rsidRPr="00577EFC">
        <w:t>.4</w:t>
      </w:r>
      <w:r w:rsidR="001D443D" w:rsidRPr="00577EFC">
        <w:t>:</w:t>
      </w:r>
      <w:r w:rsidR="0082387A" w:rsidRPr="00577EFC">
        <w:t xml:space="preserve"> Other Stakeholders</w:t>
      </w:r>
      <w:bookmarkEnd w:id="16"/>
    </w:p>
    <w:p w14:paraId="225AB2DF" w14:textId="77777777" w:rsidR="0082387A" w:rsidRPr="001B7C40" w:rsidRDefault="0082387A" w:rsidP="00577EFC">
      <w:pPr>
        <w:spacing w:line="276" w:lineRule="auto"/>
        <w:rPr>
          <w:rFonts w:ascii="Arial" w:hAnsi="Arial" w:cs="Arial"/>
        </w:rPr>
      </w:pPr>
    </w:p>
    <w:p w14:paraId="26873C5C" w14:textId="77777777" w:rsidR="0082387A" w:rsidRPr="001B7C40" w:rsidRDefault="0082387A" w:rsidP="00577EFC">
      <w:pPr>
        <w:pStyle w:val="NormalWeb"/>
        <w:spacing w:before="0" w:beforeAutospacing="0" w:after="0" w:afterAutospacing="0" w:line="276" w:lineRule="auto"/>
        <w:rPr>
          <w:rFonts w:ascii="Arial" w:hAnsi="Arial" w:cs="Arial"/>
        </w:rPr>
      </w:pPr>
      <w:r w:rsidRPr="001B7C40">
        <w:rPr>
          <w:rFonts w:ascii="Arial" w:hAnsi="Arial" w:cs="Arial"/>
          <w:color w:val="000000"/>
        </w:rPr>
        <w:t>Beyond these primary groups, the ripple effects of the crisis extended further into the broader community, including local communities, regulators, suppliers, competitors, and even the financial industry as a whole.</w:t>
      </w:r>
    </w:p>
    <w:p w14:paraId="2D235736" w14:textId="77777777" w:rsidR="0082387A" w:rsidRPr="001B7C40" w:rsidRDefault="0082387A" w:rsidP="00577EFC">
      <w:pPr>
        <w:spacing w:line="276" w:lineRule="auto"/>
        <w:rPr>
          <w:rFonts w:ascii="Arial" w:hAnsi="Arial" w:cs="Arial"/>
        </w:rPr>
      </w:pPr>
    </w:p>
    <w:p w14:paraId="1F991D33" w14:textId="14E12172" w:rsidR="0082387A" w:rsidRPr="001B7C40" w:rsidRDefault="0082387A" w:rsidP="00577EFC">
      <w:pPr>
        <w:spacing w:line="276" w:lineRule="auto"/>
        <w:rPr>
          <w:rFonts w:ascii="Arial" w:hAnsi="Arial" w:cs="Arial"/>
        </w:rPr>
      </w:pPr>
      <w:r w:rsidRPr="001B7C40">
        <w:rPr>
          <w:rFonts w:ascii="Arial" w:hAnsi="Arial" w:cs="Arial"/>
          <w:color w:val="000000"/>
        </w:rPr>
        <w:t xml:space="preserve">The unapproved account openings and the following disclosure of unethical activity eroded the trust in financial institutions’ dependability and integrity. As a result, it’s possible that consumers </w:t>
      </w:r>
      <w:r w:rsidR="00AF54E5" w:rsidRPr="001B7C40">
        <w:rPr>
          <w:rFonts w:ascii="Arial" w:hAnsi="Arial" w:cs="Arial"/>
          <w:color w:val="000000"/>
        </w:rPr>
        <w:t>would be</w:t>
      </w:r>
      <w:r w:rsidRPr="001B7C40">
        <w:rPr>
          <w:rFonts w:ascii="Arial" w:hAnsi="Arial" w:cs="Arial"/>
          <w:color w:val="000000"/>
        </w:rPr>
        <w:t xml:space="preserve"> less likely to trust banks with their money and financial transactions</w:t>
      </w:r>
      <w:r w:rsidR="007646E3">
        <w:rPr>
          <w:rFonts w:ascii="Arial" w:hAnsi="Arial" w:cs="Arial"/>
          <w:color w:val="000000"/>
        </w:rPr>
        <w:t>,</w:t>
      </w:r>
      <w:r w:rsidRPr="001B7C40">
        <w:rPr>
          <w:rFonts w:ascii="Arial" w:hAnsi="Arial" w:cs="Arial"/>
          <w:color w:val="000000"/>
        </w:rPr>
        <w:t xml:space="preserve"> which leads to problems of its own as consumers may be less willing to deposit into these institutions. This </w:t>
      </w:r>
      <w:r w:rsidR="007646E3">
        <w:rPr>
          <w:rFonts w:ascii="Arial" w:hAnsi="Arial" w:cs="Arial"/>
          <w:color w:val="000000"/>
        </w:rPr>
        <w:t>presents a challenge to</w:t>
      </w:r>
      <w:r w:rsidRPr="001B7C40">
        <w:rPr>
          <w:rFonts w:ascii="Arial" w:hAnsi="Arial" w:cs="Arial"/>
          <w:color w:val="000000"/>
        </w:rPr>
        <w:t xml:space="preserve"> many banks as they rely heavily on consumer deposits to fund their lending activities and maintain liquidity</w:t>
      </w:r>
      <w:r w:rsidR="008F5A2E" w:rsidRPr="001B7C40">
        <w:rPr>
          <w:rFonts w:ascii="Arial" w:hAnsi="Arial" w:cs="Arial"/>
          <w:color w:val="000000"/>
        </w:rPr>
        <w:t xml:space="preserve"> </w:t>
      </w:r>
      <w:r w:rsidR="008F5A2E" w:rsidRPr="001B7C40">
        <w:rPr>
          <w:rFonts w:ascii="Arial" w:hAnsi="Arial" w:cs="Arial"/>
        </w:rPr>
        <w:t>(Hill, 2019)</w:t>
      </w:r>
      <w:r w:rsidR="008F5A2E" w:rsidRPr="001B7C40">
        <w:rPr>
          <w:rFonts w:ascii="Arial" w:hAnsi="Arial" w:cs="Arial"/>
        </w:rPr>
        <w:t>.</w:t>
      </w:r>
    </w:p>
    <w:p w14:paraId="74A165A2" w14:textId="77777777" w:rsidR="0082387A" w:rsidRPr="001B7C40" w:rsidRDefault="0082387A" w:rsidP="00577EFC">
      <w:pPr>
        <w:spacing w:line="276" w:lineRule="auto"/>
        <w:rPr>
          <w:rFonts w:ascii="Arial" w:hAnsi="Arial" w:cs="Arial"/>
        </w:rPr>
      </w:pPr>
    </w:p>
    <w:p w14:paraId="6EC4F8F3" w14:textId="4BE335B0" w:rsidR="0082387A" w:rsidRPr="001B7C40" w:rsidRDefault="007646E3" w:rsidP="00577EFC">
      <w:pPr>
        <w:spacing w:line="276" w:lineRule="auto"/>
        <w:rPr>
          <w:rFonts w:ascii="Arial" w:hAnsi="Arial" w:cs="Arial"/>
        </w:rPr>
      </w:pPr>
      <w:r>
        <w:rPr>
          <w:rFonts w:ascii="Arial" w:hAnsi="Arial" w:cs="Arial"/>
          <w:color w:val="000000"/>
        </w:rPr>
        <w:t>Moreover, the</w:t>
      </w:r>
      <w:r w:rsidR="0082387A" w:rsidRPr="001B7C40">
        <w:rPr>
          <w:rFonts w:ascii="Arial" w:hAnsi="Arial" w:cs="Arial"/>
          <w:color w:val="000000"/>
        </w:rPr>
        <w:t xml:space="preserve"> crisis </w:t>
      </w:r>
      <w:r>
        <w:rPr>
          <w:rFonts w:ascii="Arial" w:hAnsi="Arial" w:cs="Arial"/>
          <w:color w:val="000000"/>
        </w:rPr>
        <w:t>also prompted</w:t>
      </w:r>
      <w:r w:rsidR="0082387A" w:rsidRPr="001B7C40">
        <w:rPr>
          <w:rFonts w:ascii="Arial" w:hAnsi="Arial" w:cs="Arial"/>
          <w:color w:val="000000"/>
        </w:rPr>
        <w:t xml:space="preserve"> calls for increased oversight of the banking industry and regulatory reform. As concerns were expressed over the efficacy of regulatory bodies in overseeing and controlling financial institutions, lawmakers and the general public pushed for stricter regulations to stop future instances of this kind of unethical and fraudulent behavio</w:t>
      </w:r>
      <w:r w:rsidR="00027805" w:rsidRPr="001B7C40">
        <w:rPr>
          <w:rFonts w:ascii="Arial" w:hAnsi="Arial" w:cs="Arial"/>
          <w:color w:val="000000"/>
        </w:rPr>
        <w:t>u</w:t>
      </w:r>
      <w:r w:rsidR="0082387A" w:rsidRPr="001B7C40">
        <w:rPr>
          <w:rFonts w:ascii="Arial" w:hAnsi="Arial" w:cs="Arial"/>
          <w:color w:val="000000"/>
        </w:rPr>
        <w:t>r, and to hold institutions responsible for these unethical actions</w:t>
      </w:r>
      <w:r w:rsidR="006E0CFF" w:rsidRPr="001B7C40">
        <w:rPr>
          <w:rFonts w:ascii="Arial" w:hAnsi="Arial" w:cs="Arial"/>
          <w:color w:val="000000"/>
        </w:rPr>
        <w:t xml:space="preserve"> </w:t>
      </w:r>
      <w:r w:rsidR="006E0CFF" w:rsidRPr="001B7C40">
        <w:rPr>
          <w:rFonts w:ascii="Arial" w:hAnsi="Arial" w:cs="Arial"/>
        </w:rPr>
        <w:t>(Mims, 2017)</w:t>
      </w:r>
      <w:r w:rsidR="006E0CFF" w:rsidRPr="001B7C40">
        <w:rPr>
          <w:rFonts w:ascii="Arial" w:hAnsi="Arial" w:cs="Arial"/>
        </w:rPr>
        <w:t>.</w:t>
      </w:r>
    </w:p>
    <w:p w14:paraId="158F8149" w14:textId="77777777" w:rsidR="0082387A" w:rsidRPr="001B7C40" w:rsidRDefault="0082387A" w:rsidP="00577EFC">
      <w:pPr>
        <w:spacing w:line="276" w:lineRule="auto"/>
        <w:rPr>
          <w:rFonts w:ascii="Arial" w:hAnsi="Arial" w:cs="Arial"/>
        </w:rPr>
      </w:pPr>
    </w:p>
    <w:p w14:paraId="68CD46A6" w14:textId="231AF525" w:rsidR="0082387A" w:rsidRPr="001B7C40" w:rsidRDefault="0082387A" w:rsidP="00577EFC">
      <w:pPr>
        <w:spacing w:line="276" w:lineRule="auto"/>
        <w:rPr>
          <w:rFonts w:ascii="Arial" w:hAnsi="Arial" w:cs="Arial"/>
        </w:rPr>
      </w:pPr>
      <w:r w:rsidRPr="001B7C40">
        <w:rPr>
          <w:rFonts w:ascii="Arial" w:hAnsi="Arial" w:cs="Arial"/>
          <w:color w:val="000000"/>
        </w:rPr>
        <w:t>Due to Wells Fargo’s involvement in the unethical practices, its reputation has suffered both nationally and locally in the areas where it operates</w:t>
      </w:r>
      <w:r w:rsidR="00D056C3" w:rsidRPr="001B7C40">
        <w:rPr>
          <w:rFonts w:ascii="Arial" w:hAnsi="Arial" w:cs="Arial"/>
          <w:color w:val="000000"/>
        </w:rPr>
        <w:t xml:space="preserve"> </w:t>
      </w:r>
      <w:r w:rsidR="006E0CFF" w:rsidRPr="001B7C40">
        <w:rPr>
          <w:rFonts w:ascii="Arial" w:hAnsi="Arial" w:cs="Arial"/>
        </w:rPr>
        <w:t>(Lesage, 2020)</w:t>
      </w:r>
      <w:r w:rsidRPr="001B7C40">
        <w:rPr>
          <w:rFonts w:ascii="Arial" w:hAnsi="Arial" w:cs="Arial"/>
          <w:color w:val="000000"/>
        </w:rPr>
        <w:t xml:space="preserve">. </w:t>
      </w:r>
      <w:r w:rsidR="00D056C3" w:rsidRPr="001B7C40">
        <w:rPr>
          <w:rFonts w:ascii="Arial" w:hAnsi="Arial" w:cs="Arial"/>
          <w:color w:val="000000"/>
        </w:rPr>
        <w:t>T</w:t>
      </w:r>
      <w:r w:rsidRPr="001B7C40">
        <w:rPr>
          <w:rFonts w:ascii="Arial" w:hAnsi="Arial" w:cs="Arial"/>
          <w:color w:val="000000"/>
        </w:rPr>
        <w:t xml:space="preserve">he harm to Wells Fargo’s reputation might have had an impact on the company’s charitable and community engagement initiatives. It’s possible that the scandal reduced public support for community projects sponsored by Wells Fargo. Moreover, </w:t>
      </w:r>
      <w:r w:rsidRPr="001B7C40">
        <w:rPr>
          <w:rFonts w:ascii="Arial" w:hAnsi="Arial" w:cs="Arial"/>
          <w:color w:val="000000"/>
        </w:rPr>
        <w:lastRenderedPageBreak/>
        <w:t>the bank might not have been able to support these projects and local organisations since it would have had to focus its resources to deal with the aftermath of the crisis.</w:t>
      </w:r>
    </w:p>
    <w:p w14:paraId="261C2C6B" w14:textId="77777777" w:rsidR="0082387A" w:rsidRPr="001B7C40" w:rsidRDefault="0082387A" w:rsidP="00577EFC">
      <w:pPr>
        <w:spacing w:line="276" w:lineRule="auto"/>
        <w:rPr>
          <w:rFonts w:ascii="Arial" w:hAnsi="Arial" w:cs="Arial"/>
        </w:rPr>
      </w:pPr>
    </w:p>
    <w:p w14:paraId="21E0BDBE" w14:textId="668F85F0" w:rsidR="0082387A" w:rsidRPr="001B7C40" w:rsidRDefault="0082387A" w:rsidP="00577EFC">
      <w:pPr>
        <w:spacing w:line="276" w:lineRule="auto"/>
        <w:rPr>
          <w:rFonts w:ascii="Arial" w:hAnsi="Arial" w:cs="Arial"/>
        </w:rPr>
      </w:pPr>
      <w:r w:rsidRPr="001B7C40">
        <w:rPr>
          <w:rFonts w:ascii="Arial" w:hAnsi="Arial" w:cs="Arial"/>
          <w:color w:val="000000"/>
        </w:rPr>
        <w:t xml:space="preserve">Furthermore, companies that provide goods and services to Wells Fargo may have also been severely impacted by the banks’ financial strains and operational difficulties. </w:t>
      </w:r>
      <w:r w:rsidR="00D47F24" w:rsidRPr="001B7C40">
        <w:rPr>
          <w:rFonts w:ascii="Arial" w:hAnsi="Arial" w:cs="Arial"/>
          <w:color w:val="000000"/>
        </w:rPr>
        <w:t xml:space="preserve">This is evidenced by </w:t>
      </w:r>
      <w:proofErr w:type="spellStart"/>
      <w:r w:rsidR="006E0CFF" w:rsidRPr="001B7C40">
        <w:rPr>
          <w:rFonts w:ascii="Arial" w:hAnsi="Arial" w:cs="Arial"/>
        </w:rPr>
        <w:t>Witman</w:t>
      </w:r>
      <w:proofErr w:type="spellEnd"/>
      <w:r w:rsidR="006E0CFF" w:rsidRPr="001B7C40">
        <w:rPr>
          <w:rFonts w:ascii="Arial" w:hAnsi="Arial" w:cs="Arial"/>
        </w:rPr>
        <w:t xml:space="preserve"> (2018</w:t>
      </w:r>
      <w:r w:rsidR="006E0CFF" w:rsidRPr="001B7C40">
        <w:rPr>
          <w:rFonts w:ascii="Arial" w:hAnsi="Arial" w:cs="Arial"/>
        </w:rPr>
        <w:t>,</w:t>
      </w:r>
      <w:r w:rsidR="006E0CFF" w:rsidRPr="001B7C40">
        <w:rPr>
          <w:rFonts w:ascii="Arial" w:hAnsi="Arial" w:cs="Arial"/>
        </w:rPr>
        <w:t>)</w:t>
      </w:r>
      <w:r w:rsidR="00D47F24" w:rsidRPr="001B7C40">
        <w:rPr>
          <w:rFonts w:ascii="Arial" w:hAnsi="Arial" w:cs="Arial"/>
          <w:color w:val="000000"/>
        </w:rPr>
        <w:t xml:space="preserve"> who states that large organisations, even including the states of Illinois and California</w:t>
      </w:r>
      <w:r w:rsidR="007646E3">
        <w:rPr>
          <w:rFonts w:ascii="Arial" w:hAnsi="Arial" w:cs="Arial"/>
          <w:color w:val="000000"/>
        </w:rPr>
        <w:t>,</w:t>
      </w:r>
      <w:r w:rsidR="00D47F24" w:rsidRPr="001B7C40">
        <w:rPr>
          <w:rFonts w:ascii="Arial" w:hAnsi="Arial" w:cs="Arial"/>
          <w:color w:val="000000"/>
        </w:rPr>
        <w:t xml:space="preserve"> had frozen their business activities with the bank. </w:t>
      </w:r>
      <w:r w:rsidRPr="001B7C40">
        <w:rPr>
          <w:rFonts w:ascii="Arial" w:hAnsi="Arial" w:cs="Arial"/>
          <w:color w:val="000000"/>
        </w:rPr>
        <w:t xml:space="preserve">The consequences </w:t>
      </w:r>
      <w:r w:rsidR="00D47F24" w:rsidRPr="001B7C40">
        <w:rPr>
          <w:rFonts w:ascii="Arial" w:hAnsi="Arial" w:cs="Arial"/>
          <w:color w:val="000000"/>
        </w:rPr>
        <w:t xml:space="preserve">of this crisis </w:t>
      </w:r>
      <w:r w:rsidRPr="001B7C40">
        <w:rPr>
          <w:rFonts w:ascii="Arial" w:hAnsi="Arial" w:cs="Arial"/>
          <w:color w:val="000000"/>
        </w:rPr>
        <w:t xml:space="preserve">likely extended </w:t>
      </w:r>
      <w:r w:rsidR="00D47F24" w:rsidRPr="001B7C40">
        <w:rPr>
          <w:rFonts w:ascii="Arial" w:hAnsi="Arial" w:cs="Arial"/>
          <w:color w:val="000000"/>
        </w:rPr>
        <w:t xml:space="preserve">far </w:t>
      </w:r>
      <w:r w:rsidRPr="001B7C40">
        <w:rPr>
          <w:rFonts w:ascii="Arial" w:hAnsi="Arial" w:cs="Arial"/>
          <w:color w:val="000000"/>
        </w:rPr>
        <w:t>into the complex network of interactions in Wells Fargo’s supply chain</w:t>
      </w:r>
      <w:r w:rsidR="00D47F24" w:rsidRPr="001B7C40">
        <w:rPr>
          <w:rFonts w:ascii="Arial" w:hAnsi="Arial" w:cs="Arial"/>
          <w:color w:val="000000"/>
        </w:rPr>
        <w:t xml:space="preserve"> with </w:t>
      </w:r>
      <w:r w:rsidRPr="001B7C40">
        <w:rPr>
          <w:rFonts w:ascii="Arial" w:hAnsi="Arial" w:cs="Arial"/>
          <w:color w:val="000000"/>
        </w:rPr>
        <w:t>the financial stress and reputational damage put</w:t>
      </w:r>
      <w:r w:rsidR="00D47F24" w:rsidRPr="001B7C40">
        <w:rPr>
          <w:rFonts w:ascii="Arial" w:hAnsi="Arial" w:cs="Arial"/>
          <w:color w:val="000000"/>
        </w:rPr>
        <w:t>ting severe</w:t>
      </w:r>
      <w:r w:rsidRPr="001B7C40">
        <w:rPr>
          <w:rFonts w:ascii="Arial" w:hAnsi="Arial" w:cs="Arial"/>
          <w:color w:val="000000"/>
        </w:rPr>
        <w:t xml:space="preserve"> pressure on its partners and suppliers to change their relationship with Wells Fargo.</w:t>
      </w:r>
      <w:r w:rsidR="00027805" w:rsidRPr="001B7C40">
        <w:rPr>
          <w:rFonts w:ascii="Arial" w:hAnsi="Arial" w:cs="Arial"/>
          <w:color w:val="000000"/>
        </w:rPr>
        <w:t xml:space="preserve"> </w:t>
      </w:r>
    </w:p>
    <w:p w14:paraId="45DBF6B1" w14:textId="77777777" w:rsidR="0082387A" w:rsidRPr="001B7C40" w:rsidRDefault="0082387A" w:rsidP="00577EFC">
      <w:pPr>
        <w:spacing w:line="276" w:lineRule="auto"/>
        <w:rPr>
          <w:rFonts w:ascii="Arial" w:hAnsi="Arial" w:cs="Arial"/>
        </w:rPr>
      </w:pPr>
    </w:p>
    <w:p w14:paraId="2293C7E2" w14:textId="77777777" w:rsidR="0082387A" w:rsidRPr="001B7C40" w:rsidRDefault="0082387A" w:rsidP="00577EFC">
      <w:pPr>
        <w:pStyle w:val="NormalWeb"/>
        <w:spacing w:before="0" w:beforeAutospacing="0" w:after="0" w:afterAutospacing="0" w:line="276" w:lineRule="auto"/>
        <w:rPr>
          <w:rFonts w:ascii="Arial" w:hAnsi="Arial" w:cs="Arial"/>
        </w:rPr>
      </w:pPr>
      <w:r w:rsidRPr="001B7C40">
        <w:rPr>
          <w:rFonts w:ascii="Arial" w:hAnsi="Arial" w:cs="Arial"/>
          <w:color w:val="000000"/>
        </w:rPr>
        <w:t>Also, apart from the individual shareholders, the fall in Wells Fargo’s stock price following the crisis would have also had an impact on pension funds and institutional investors. These investors’ portfolios would have been harmed by the financial losses brought about by the scandal which may have affected their capacity to fulfil financial commitments and achieve their investment objectives.</w:t>
      </w:r>
    </w:p>
    <w:p w14:paraId="1A67EBF1" w14:textId="77777777" w:rsidR="0082387A" w:rsidRPr="001B7C40" w:rsidRDefault="0082387A" w:rsidP="00577EFC">
      <w:pPr>
        <w:spacing w:line="276" w:lineRule="auto"/>
        <w:rPr>
          <w:rFonts w:ascii="Arial" w:hAnsi="Arial" w:cs="Arial"/>
        </w:rPr>
      </w:pPr>
    </w:p>
    <w:p w14:paraId="6F2C77FE" w14:textId="2B1242B2" w:rsidR="001D443D" w:rsidRPr="007646E3" w:rsidRDefault="0082387A" w:rsidP="00577EFC">
      <w:pPr>
        <w:spacing w:line="276" w:lineRule="auto"/>
        <w:rPr>
          <w:rFonts w:ascii="Arial" w:hAnsi="Arial" w:cs="Arial"/>
        </w:rPr>
      </w:pPr>
      <w:r w:rsidRPr="001B7C40">
        <w:rPr>
          <w:rFonts w:ascii="Arial" w:hAnsi="Arial" w:cs="Arial"/>
          <w:color w:val="000000"/>
        </w:rPr>
        <w:t>However, it is possible that Wells Fargo’s rivals in the financial services sector may have benefitted, even though the scandal’s bad press may have contributed to a decline in public confidence in the banking systems</w:t>
      </w:r>
      <w:r w:rsidR="00D47F24" w:rsidRPr="001B7C40">
        <w:rPr>
          <w:rFonts w:ascii="Arial" w:hAnsi="Arial" w:cs="Arial"/>
          <w:color w:val="000000"/>
        </w:rPr>
        <w:t xml:space="preserve"> </w:t>
      </w:r>
      <w:r w:rsidR="006E0CFF" w:rsidRPr="001B7C40">
        <w:rPr>
          <w:rFonts w:ascii="Arial" w:hAnsi="Arial" w:cs="Arial"/>
        </w:rPr>
        <w:t>(Christensen, 2020)</w:t>
      </w:r>
      <w:r w:rsidRPr="001B7C40">
        <w:rPr>
          <w:rFonts w:ascii="Arial" w:hAnsi="Arial" w:cs="Arial"/>
          <w:color w:val="000000"/>
        </w:rPr>
        <w:t>. The damage to Wells Fargo’s brand may have prompted customers to reconsider their relationship with Wells Fargo and use competitors to the bank that they perceived to be more trustworthy and ethical. As a result, rival banks might have taken advantage of the situation to draw in disgruntled silence and solidify their position in the market.</w:t>
      </w:r>
    </w:p>
    <w:p w14:paraId="24412A3F" w14:textId="77777777" w:rsidR="00EE6F2B" w:rsidRPr="001B7C40" w:rsidRDefault="00EE6F2B" w:rsidP="00577EFC">
      <w:pPr>
        <w:spacing w:line="276" w:lineRule="auto"/>
        <w:rPr>
          <w:rFonts w:ascii="Arial" w:hAnsi="Arial" w:cs="Arial"/>
          <w:b/>
          <w:bCs/>
        </w:rPr>
      </w:pPr>
    </w:p>
    <w:p w14:paraId="759C9507" w14:textId="1D98D20B" w:rsidR="0082387A" w:rsidRPr="005D18E5" w:rsidRDefault="007A17F6" w:rsidP="00577EFC">
      <w:pPr>
        <w:pStyle w:val="Heading1"/>
        <w:spacing w:line="276" w:lineRule="auto"/>
      </w:pPr>
      <w:bookmarkStart w:id="17" w:name="_Toc164084293"/>
      <w:r w:rsidRPr="001B7C40">
        <w:t>5</w:t>
      </w:r>
      <w:r w:rsidR="000749F2" w:rsidRPr="001B7C40">
        <w:t xml:space="preserve">. </w:t>
      </w:r>
      <w:r w:rsidR="0082387A" w:rsidRPr="001B7C40">
        <w:t>Actions and Future Recommendations</w:t>
      </w:r>
      <w:bookmarkEnd w:id="17"/>
    </w:p>
    <w:p w14:paraId="1E299650" w14:textId="1234852B" w:rsidR="0082387A" w:rsidRPr="001B7C40" w:rsidRDefault="007A17F6" w:rsidP="00577EFC">
      <w:pPr>
        <w:pStyle w:val="Heading2"/>
      </w:pPr>
      <w:bookmarkStart w:id="18" w:name="_Toc164084294"/>
      <w:r w:rsidRPr="001B7C40">
        <w:t>5</w:t>
      </w:r>
      <w:r w:rsidR="0082387A" w:rsidRPr="001B7C40">
        <w:t>.1</w:t>
      </w:r>
      <w:r w:rsidR="001D443D" w:rsidRPr="001B7C40">
        <w:t>:</w:t>
      </w:r>
      <w:r w:rsidR="0082387A" w:rsidRPr="001B7C40">
        <w:t xml:space="preserve"> Actions taken by Regulators</w:t>
      </w:r>
      <w:bookmarkEnd w:id="18"/>
    </w:p>
    <w:p w14:paraId="47C7E388" w14:textId="5A70B398" w:rsidR="0082387A" w:rsidRPr="001B7C40" w:rsidRDefault="0082387A" w:rsidP="00577EFC">
      <w:pPr>
        <w:spacing w:line="276" w:lineRule="auto"/>
        <w:rPr>
          <w:rFonts w:ascii="Arial" w:hAnsi="Arial" w:cs="Arial"/>
        </w:rPr>
      </w:pPr>
    </w:p>
    <w:p w14:paraId="0E1275CA" w14:textId="5A24267E" w:rsidR="0082387A" w:rsidRPr="001B7C40" w:rsidRDefault="0082387A" w:rsidP="00577EFC">
      <w:pPr>
        <w:pStyle w:val="NormalWeb"/>
        <w:spacing w:before="0" w:beforeAutospacing="0" w:after="0" w:afterAutospacing="0" w:line="276" w:lineRule="auto"/>
        <w:rPr>
          <w:rFonts w:ascii="Arial" w:hAnsi="Arial" w:cs="Arial"/>
        </w:rPr>
      </w:pPr>
      <w:r w:rsidRPr="001B7C40">
        <w:rPr>
          <w:rFonts w:ascii="Arial" w:hAnsi="Arial" w:cs="Arial"/>
          <w:color w:val="000000"/>
        </w:rPr>
        <w:t>Following the disclosure of fraudulent activities at Wells Fargo, regulatory bodies including the Consumer Financial Protection Bureau (CFPB), the Securities and Exchange Commission (SEC), and the Office of the Comptroller of the Currency (OCC)</w:t>
      </w:r>
      <w:r w:rsidR="00832DDC">
        <w:rPr>
          <w:rFonts w:ascii="Arial" w:hAnsi="Arial" w:cs="Arial"/>
          <w:color w:val="000000"/>
        </w:rPr>
        <w:t>,</w:t>
      </w:r>
      <w:r w:rsidRPr="001B7C40">
        <w:rPr>
          <w:rFonts w:ascii="Arial" w:hAnsi="Arial" w:cs="Arial"/>
          <w:color w:val="000000"/>
        </w:rPr>
        <w:t xml:space="preserve"> conducted extensive investigations into the bank's practices. These investigations aimed to determine the scope of misconduct, identify the failings in risk management and compliance, and establish accountability from the operational to executive levels.</w:t>
      </w:r>
    </w:p>
    <w:p w14:paraId="753D8B2A" w14:textId="77777777" w:rsidR="0082387A" w:rsidRPr="001B7C40" w:rsidRDefault="0082387A" w:rsidP="00577EFC">
      <w:pPr>
        <w:spacing w:line="276" w:lineRule="auto"/>
        <w:rPr>
          <w:rFonts w:ascii="Arial" w:hAnsi="Arial" w:cs="Arial"/>
        </w:rPr>
      </w:pPr>
    </w:p>
    <w:p w14:paraId="14BB7E1E" w14:textId="2A3D64D5" w:rsidR="008C7529" w:rsidRPr="001B7C40" w:rsidRDefault="0082387A" w:rsidP="00577EFC">
      <w:pPr>
        <w:spacing w:line="276" w:lineRule="auto"/>
        <w:rPr>
          <w:rFonts w:ascii="Arial" w:hAnsi="Arial" w:cs="Arial"/>
        </w:rPr>
      </w:pPr>
      <w:r w:rsidRPr="001B7C40">
        <w:rPr>
          <w:rFonts w:ascii="Arial" w:hAnsi="Arial" w:cs="Arial"/>
          <w:color w:val="000000"/>
        </w:rPr>
        <w:t>In 2016, the CFPB fined Wells Fargo $100 million for extensive fraudulent sales activities, which was the highest fine ever imposed by the CFPB at the time, emphasising the gravity of the bank’s wrongdoing in violating consumer protection rules</w:t>
      </w:r>
      <w:r w:rsidR="006E0CFF" w:rsidRPr="001B7C40">
        <w:rPr>
          <w:rFonts w:ascii="Arial" w:hAnsi="Arial" w:cs="Arial"/>
          <w:color w:val="000000"/>
        </w:rPr>
        <w:t xml:space="preserve"> </w:t>
      </w:r>
      <w:r w:rsidR="006E0CFF" w:rsidRPr="001B7C40">
        <w:rPr>
          <w:rFonts w:ascii="Arial" w:hAnsi="Arial" w:cs="Arial"/>
        </w:rPr>
        <w:t>(Consumer Financial Protection Bureau, 2016)</w:t>
      </w:r>
      <w:r w:rsidR="006E0CFF" w:rsidRPr="001B7C40">
        <w:rPr>
          <w:rFonts w:ascii="Arial" w:hAnsi="Arial" w:cs="Arial"/>
        </w:rPr>
        <w:t>.</w:t>
      </w:r>
    </w:p>
    <w:p w14:paraId="3610295F" w14:textId="77777777" w:rsidR="008C7529" w:rsidRPr="001B7C40" w:rsidRDefault="008C7529" w:rsidP="00577EFC">
      <w:pPr>
        <w:pStyle w:val="NormalWeb"/>
        <w:spacing w:before="0" w:beforeAutospacing="0" w:after="0" w:afterAutospacing="0" w:line="276" w:lineRule="auto"/>
        <w:rPr>
          <w:rFonts w:ascii="Arial" w:hAnsi="Arial" w:cs="Arial"/>
          <w:color w:val="000000"/>
        </w:rPr>
      </w:pPr>
    </w:p>
    <w:p w14:paraId="5510C0B8" w14:textId="6FE678B8" w:rsidR="0082387A" w:rsidRPr="001B7C40" w:rsidRDefault="0082387A" w:rsidP="00577EFC">
      <w:pPr>
        <w:spacing w:line="276" w:lineRule="auto"/>
        <w:rPr>
          <w:rFonts w:ascii="Arial" w:hAnsi="Arial" w:cs="Arial"/>
        </w:rPr>
      </w:pPr>
      <w:r w:rsidRPr="001B7C40">
        <w:rPr>
          <w:rFonts w:ascii="Arial" w:hAnsi="Arial" w:cs="Arial"/>
          <w:color w:val="000000"/>
        </w:rPr>
        <w:t>Furthermore, in 2018, the OCC issued a $500 million penalty against Wells Fargo, asserting inadequacies in risk management and compliance programmes that led to the unauthorised creation of accounts. Additionally, the OCC imposed regulatory limits on the bank’s operations until corrective steps had been taken to deal with the systemic failings in corporate governance</w:t>
      </w:r>
      <w:r w:rsidR="008C7529" w:rsidRPr="001B7C40">
        <w:rPr>
          <w:rFonts w:ascii="Arial" w:hAnsi="Arial" w:cs="Arial"/>
          <w:color w:val="000000"/>
        </w:rPr>
        <w:t xml:space="preserve"> </w:t>
      </w:r>
      <w:r w:rsidR="006E0CFF" w:rsidRPr="001B7C40">
        <w:rPr>
          <w:rFonts w:ascii="Arial" w:hAnsi="Arial" w:cs="Arial"/>
        </w:rPr>
        <w:t>(Hubbard, 2018)</w:t>
      </w:r>
      <w:r w:rsidR="006E0CFF" w:rsidRPr="001B7C40">
        <w:rPr>
          <w:rFonts w:ascii="Arial" w:hAnsi="Arial" w:cs="Arial"/>
        </w:rPr>
        <w:t>.</w:t>
      </w:r>
    </w:p>
    <w:p w14:paraId="30A6AA3B" w14:textId="5C7A5BAB" w:rsidR="0082387A" w:rsidRPr="001B7C40" w:rsidRDefault="0082387A" w:rsidP="00577EFC">
      <w:pPr>
        <w:spacing w:line="276" w:lineRule="auto"/>
        <w:rPr>
          <w:rFonts w:ascii="Arial" w:hAnsi="Arial" w:cs="Arial"/>
        </w:rPr>
      </w:pPr>
      <w:r w:rsidRPr="001B7C40">
        <w:rPr>
          <w:rFonts w:ascii="Arial" w:hAnsi="Arial" w:cs="Arial"/>
        </w:rPr>
        <w:br/>
      </w:r>
      <w:r w:rsidR="006E0CFF" w:rsidRPr="001B7C40">
        <w:rPr>
          <w:rFonts w:ascii="Arial" w:hAnsi="Arial" w:cs="Arial"/>
          <w:color w:val="000000"/>
        </w:rPr>
        <w:t>In addition</w:t>
      </w:r>
      <w:r w:rsidRPr="001B7C40">
        <w:rPr>
          <w:rFonts w:ascii="Arial" w:hAnsi="Arial" w:cs="Arial"/>
          <w:color w:val="000000"/>
        </w:rPr>
        <w:t xml:space="preserve">, the SEC filed a </w:t>
      </w:r>
      <w:r w:rsidR="00660361" w:rsidRPr="001B7C40">
        <w:rPr>
          <w:rFonts w:ascii="Arial" w:hAnsi="Arial" w:cs="Arial"/>
          <w:color w:val="000000"/>
        </w:rPr>
        <w:t xml:space="preserve">$500 million </w:t>
      </w:r>
      <w:r w:rsidRPr="001B7C40">
        <w:rPr>
          <w:rFonts w:ascii="Arial" w:hAnsi="Arial" w:cs="Arial"/>
          <w:color w:val="000000"/>
        </w:rPr>
        <w:t xml:space="preserve">lawsuit against the bank for violations </w:t>
      </w:r>
      <w:r w:rsidR="00832DDC">
        <w:rPr>
          <w:rFonts w:ascii="Arial" w:hAnsi="Arial" w:cs="Arial"/>
          <w:color w:val="000000"/>
        </w:rPr>
        <w:t>of</w:t>
      </w:r>
      <w:r w:rsidRPr="001B7C40">
        <w:rPr>
          <w:rFonts w:ascii="Arial" w:hAnsi="Arial" w:cs="Arial"/>
          <w:color w:val="000000"/>
        </w:rPr>
        <w:t xml:space="preserve"> securities law resulting from insufficient disclosure and deceptive claims about the fraudulent conduct</w:t>
      </w:r>
      <w:r w:rsidR="00371E8A" w:rsidRPr="001B7C40">
        <w:rPr>
          <w:rFonts w:ascii="Arial" w:hAnsi="Arial" w:cs="Arial"/>
          <w:color w:val="000000"/>
        </w:rPr>
        <w:t xml:space="preserve"> </w:t>
      </w:r>
      <w:r w:rsidR="00371E8A" w:rsidRPr="001B7C40">
        <w:rPr>
          <w:rFonts w:ascii="Arial" w:hAnsi="Arial" w:cs="Arial"/>
        </w:rPr>
        <w:t>(SEC, 2020)</w:t>
      </w:r>
      <w:r w:rsidRPr="001B7C40">
        <w:rPr>
          <w:rFonts w:ascii="Arial" w:hAnsi="Arial" w:cs="Arial"/>
          <w:color w:val="000000"/>
        </w:rPr>
        <w:t>. In addition to these regulatory enforcement efforts, class-action lawsuits were brought against Wells Fargo, citing fraud</w:t>
      </w:r>
      <w:r w:rsidR="00735AAA" w:rsidRPr="001B7C40">
        <w:rPr>
          <w:rFonts w:ascii="Arial" w:hAnsi="Arial" w:cs="Arial"/>
          <w:color w:val="000000"/>
        </w:rPr>
        <w:t xml:space="preserve"> and</w:t>
      </w:r>
      <w:r w:rsidRPr="001B7C40">
        <w:rPr>
          <w:rFonts w:ascii="Arial" w:hAnsi="Arial" w:cs="Arial"/>
          <w:color w:val="000000"/>
        </w:rPr>
        <w:t xml:space="preserve"> demanding compensation for losses sustained as a result of the </w:t>
      </w:r>
      <w:r w:rsidR="003F2588" w:rsidRPr="001B7C40">
        <w:rPr>
          <w:rFonts w:ascii="Arial" w:hAnsi="Arial" w:cs="Arial"/>
          <w:color w:val="000000"/>
        </w:rPr>
        <w:t>scandal</w:t>
      </w:r>
      <w:r w:rsidR="00371E8A" w:rsidRPr="001B7C40">
        <w:rPr>
          <w:rFonts w:ascii="Arial" w:hAnsi="Arial" w:cs="Arial"/>
          <w:color w:val="000000"/>
        </w:rPr>
        <w:t xml:space="preserve"> </w:t>
      </w:r>
      <w:r w:rsidR="00371E8A" w:rsidRPr="001B7C40">
        <w:rPr>
          <w:rFonts w:ascii="Arial" w:hAnsi="Arial" w:cs="Arial"/>
        </w:rPr>
        <w:t>(</w:t>
      </w:r>
      <w:proofErr w:type="spellStart"/>
      <w:r w:rsidR="00371E8A" w:rsidRPr="001B7C40">
        <w:rPr>
          <w:rFonts w:ascii="Arial" w:hAnsi="Arial" w:cs="Arial"/>
        </w:rPr>
        <w:t>Stempel</w:t>
      </w:r>
      <w:proofErr w:type="spellEnd"/>
      <w:r w:rsidR="00371E8A" w:rsidRPr="001B7C40">
        <w:rPr>
          <w:rFonts w:ascii="Arial" w:hAnsi="Arial" w:cs="Arial"/>
        </w:rPr>
        <w:t>, 2023)</w:t>
      </w:r>
      <w:r w:rsidR="00371E8A" w:rsidRPr="001B7C40">
        <w:rPr>
          <w:rFonts w:ascii="Arial" w:hAnsi="Arial" w:cs="Arial"/>
        </w:rPr>
        <w:t>.</w:t>
      </w:r>
    </w:p>
    <w:p w14:paraId="647ADF64" w14:textId="77777777" w:rsidR="005D18E5" w:rsidRPr="001B7C40" w:rsidRDefault="005D18E5" w:rsidP="00577EFC">
      <w:pPr>
        <w:spacing w:line="276" w:lineRule="auto"/>
        <w:rPr>
          <w:rFonts w:ascii="Arial" w:hAnsi="Arial" w:cs="Arial"/>
        </w:rPr>
      </w:pPr>
    </w:p>
    <w:p w14:paraId="2C050CD0" w14:textId="06DF7F74" w:rsidR="0082387A" w:rsidRPr="001B7C40" w:rsidRDefault="007A17F6" w:rsidP="00577EFC">
      <w:pPr>
        <w:pStyle w:val="Heading2"/>
      </w:pPr>
      <w:bookmarkStart w:id="19" w:name="_Toc164084295"/>
      <w:r w:rsidRPr="001B7C40">
        <w:t>5</w:t>
      </w:r>
      <w:r w:rsidR="0082387A" w:rsidRPr="001B7C40">
        <w:t>.2: Actions taken by Wells Fargo</w:t>
      </w:r>
      <w:bookmarkEnd w:id="19"/>
    </w:p>
    <w:p w14:paraId="32A8A185" w14:textId="0A4942E9" w:rsidR="0082387A" w:rsidRPr="001B7C40" w:rsidRDefault="0082387A" w:rsidP="00577EFC">
      <w:pPr>
        <w:spacing w:line="276" w:lineRule="auto"/>
        <w:rPr>
          <w:rFonts w:ascii="Arial" w:hAnsi="Arial" w:cs="Arial"/>
          <w:b/>
          <w:bCs/>
        </w:rPr>
      </w:pPr>
    </w:p>
    <w:p w14:paraId="0C34E3EA" w14:textId="5D1BA009" w:rsidR="0082387A" w:rsidRPr="001B7C40" w:rsidRDefault="0082387A" w:rsidP="00577EFC">
      <w:pPr>
        <w:spacing w:line="276" w:lineRule="auto"/>
        <w:rPr>
          <w:rFonts w:ascii="Arial" w:hAnsi="Arial" w:cs="Arial"/>
        </w:rPr>
      </w:pPr>
      <w:r w:rsidRPr="001B7C40">
        <w:rPr>
          <w:rFonts w:ascii="Arial" w:hAnsi="Arial" w:cs="Arial"/>
          <w:color w:val="000000"/>
        </w:rPr>
        <w:t>Following the crisis, Wells Fargo agreed to compensate customers who were harmed by fraudulent and other unethical behaviour by setting up a process to identify those impacted, refund expenses</w:t>
      </w:r>
      <w:r w:rsidR="00832DDC">
        <w:rPr>
          <w:rFonts w:ascii="Arial" w:hAnsi="Arial" w:cs="Arial"/>
          <w:color w:val="000000"/>
        </w:rPr>
        <w:t>,</w:t>
      </w:r>
      <w:r w:rsidRPr="001B7C40">
        <w:rPr>
          <w:rFonts w:ascii="Arial" w:hAnsi="Arial" w:cs="Arial"/>
          <w:color w:val="000000"/>
        </w:rPr>
        <w:t xml:space="preserve"> and compensate them for any adverse effects on their credit scores or financial health</w:t>
      </w:r>
      <w:r w:rsidR="003F2588" w:rsidRPr="001B7C40">
        <w:rPr>
          <w:rFonts w:ascii="Arial" w:hAnsi="Arial" w:cs="Arial"/>
          <w:color w:val="000000"/>
        </w:rPr>
        <w:t>.</w:t>
      </w:r>
      <w:r w:rsidR="003F2588" w:rsidRPr="001B7C40">
        <w:rPr>
          <w:rFonts w:ascii="Arial" w:hAnsi="Arial" w:cs="Arial"/>
        </w:rPr>
        <w:t xml:space="preserve"> </w:t>
      </w:r>
      <w:r w:rsidR="003F2588" w:rsidRPr="001B7C40">
        <w:rPr>
          <w:rFonts w:ascii="Arial" w:hAnsi="Arial" w:cs="Arial"/>
        </w:rPr>
        <w:t>(Press, 2022</w:t>
      </w:r>
      <w:r w:rsidR="003F2588" w:rsidRPr="001B7C40">
        <w:rPr>
          <w:rFonts w:ascii="Arial" w:hAnsi="Arial" w:cs="Arial"/>
        </w:rPr>
        <w:t xml:space="preserve">; </w:t>
      </w:r>
      <w:r w:rsidR="003F2588" w:rsidRPr="001B7C40">
        <w:rPr>
          <w:rFonts w:ascii="Arial" w:hAnsi="Arial" w:cs="Arial"/>
        </w:rPr>
        <w:t>Merle, 2017)</w:t>
      </w:r>
    </w:p>
    <w:p w14:paraId="64183C3B" w14:textId="77777777" w:rsidR="0082387A" w:rsidRPr="001B7C40" w:rsidRDefault="0082387A" w:rsidP="00577EFC">
      <w:pPr>
        <w:spacing w:line="276" w:lineRule="auto"/>
        <w:rPr>
          <w:rFonts w:ascii="Arial" w:hAnsi="Arial" w:cs="Arial"/>
        </w:rPr>
      </w:pPr>
    </w:p>
    <w:p w14:paraId="10CB946E" w14:textId="07D76F36" w:rsidR="0082387A" w:rsidRPr="001B7C40" w:rsidRDefault="0082387A" w:rsidP="00577EFC">
      <w:pPr>
        <w:spacing w:line="276" w:lineRule="auto"/>
        <w:rPr>
          <w:rFonts w:ascii="Arial" w:hAnsi="Arial" w:cs="Arial"/>
        </w:rPr>
      </w:pPr>
      <w:r w:rsidRPr="001B7C40">
        <w:rPr>
          <w:rFonts w:ascii="Arial" w:hAnsi="Arial" w:cs="Arial"/>
          <w:color w:val="000000"/>
        </w:rPr>
        <w:t>Wells Fargo also made significant changes to its leadership structure. The CEO at the time, John Stumpf</w:t>
      </w:r>
      <w:r w:rsidR="00832DDC">
        <w:rPr>
          <w:rFonts w:ascii="Arial" w:hAnsi="Arial" w:cs="Arial"/>
          <w:color w:val="000000"/>
        </w:rPr>
        <w:t>,</w:t>
      </w:r>
      <w:r w:rsidRPr="001B7C40">
        <w:rPr>
          <w:rFonts w:ascii="Arial" w:hAnsi="Arial" w:cs="Arial"/>
          <w:color w:val="000000"/>
        </w:rPr>
        <w:t xml:space="preserve"> resigned and was replaced by Timothy Sloan. Additionally, numerous executives and senior managers involved in the affair were either dismissed or subjected to disciplinary action. Alongside the dismissal of several board members, the board was reorganised with the goal of strengthening its independence and monitoring abilities</w:t>
      </w:r>
      <w:r w:rsidR="003F2588" w:rsidRPr="001B7C40">
        <w:rPr>
          <w:rFonts w:ascii="Arial" w:hAnsi="Arial" w:cs="Arial"/>
          <w:color w:val="000000"/>
        </w:rPr>
        <w:t xml:space="preserve"> </w:t>
      </w:r>
      <w:r w:rsidR="003F2588" w:rsidRPr="001B7C40">
        <w:rPr>
          <w:rFonts w:ascii="Arial" w:hAnsi="Arial" w:cs="Arial"/>
        </w:rPr>
        <w:t>(Wang, 2016)</w:t>
      </w:r>
      <w:r w:rsidR="003F2588" w:rsidRPr="001B7C40">
        <w:rPr>
          <w:rFonts w:ascii="Arial" w:hAnsi="Arial" w:cs="Arial"/>
        </w:rPr>
        <w:t>.</w:t>
      </w:r>
    </w:p>
    <w:p w14:paraId="4F66E10F" w14:textId="77777777" w:rsidR="005D18E5" w:rsidRPr="001B7C40" w:rsidRDefault="005D18E5" w:rsidP="00577EFC">
      <w:pPr>
        <w:spacing w:line="276" w:lineRule="auto"/>
        <w:rPr>
          <w:rFonts w:ascii="Arial" w:hAnsi="Arial" w:cs="Arial"/>
        </w:rPr>
      </w:pPr>
    </w:p>
    <w:p w14:paraId="3798A515" w14:textId="47293073" w:rsidR="0082387A" w:rsidRPr="001B7C40" w:rsidRDefault="007A17F6" w:rsidP="00577EFC">
      <w:pPr>
        <w:pStyle w:val="Heading2"/>
      </w:pPr>
      <w:bookmarkStart w:id="20" w:name="_Toc164084296"/>
      <w:r w:rsidRPr="001B7C40">
        <w:t>5</w:t>
      </w:r>
      <w:r w:rsidR="0082387A" w:rsidRPr="001B7C40">
        <w:t>.3</w:t>
      </w:r>
      <w:r w:rsidR="001D443D" w:rsidRPr="001B7C40">
        <w:t>:</w:t>
      </w:r>
      <w:r w:rsidR="0082387A" w:rsidRPr="001B7C40">
        <w:t xml:space="preserve"> Recommendations</w:t>
      </w:r>
      <w:bookmarkEnd w:id="20"/>
    </w:p>
    <w:p w14:paraId="7F31ED4B" w14:textId="396960E7" w:rsidR="0082387A" w:rsidRPr="001B7C40" w:rsidRDefault="0082387A" w:rsidP="00577EFC">
      <w:pPr>
        <w:spacing w:line="276" w:lineRule="auto"/>
        <w:rPr>
          <w:rFonts w:ascii="Arial" w:hAnsi="Arial" w:cs="Arial"/>
          <w:b/>
          <w:bCs/>
        </w:rPr>
      </w:pPr>
    </w:p>
    <w:p w14:paraId="281A74E4" w14:textId="77777777" w:rsidR="001D443D" w:rsidRPr="001B7C40" w:rsidRDefault="001D443D" w:rsidP="00577EFC">
      <w:pPr>
        <w:pStyle w:val="NormalWeb"/>
        <w:spacing w:before="0" w:beforeAutospacing="0" w:after="0" w:afterAutospacing="0" w:line="276" w:lineRule="auto"/>
        <w:rPr>
          <w:rFonts w:ascii="Arial" w:hAnsi="Arial" w:cs="Arial"/>
        </w:rPr>
      </w:pPr>
      <w:r w:rsidRPr="001B7C40">
        <w:rPr>
          <w:rFonts w:ascii="Arial" w:hAnsi="Arial" w:cs="Arial"/>
          <w:color w:val="000000"/>
        </w:rPr>
        <w:t>Overall, Wells Fargo’s efforts and the regulatory actions taken against them sought to address the crisis and restore trust in the banking system. However, certain recommendations could be made to improve the effectiveness of Wells Fargo’s efforts and the enforcement measures taken against them.</w:t>
      </w:r>
    </w:p>
    <w:p w14:paraId="1A031929" w14:textId="77777777" w:rsidR="001D443D" w:rsidRPr="001B7C40" w:rsidRDefault="001D443D" w:rsidP="00577EFC">
      <w:pPr>
        <w:spacing w:line="276" w:lineRule="auto"/>
        <w:rPr>
          <w:rFonts w:ascii="Arial" w:hAnsi="Arial" w:cs="Arial"/>
        </w:rPr>
      </w:pPr>
    </w:p>
    <w:p w14:paraId="03E8F491" w14:textId="4AFF181B" w:rsidR="001D443D" w:rsidRPr="001B7C40" w:rsidRDefault="001D443D" w:rsidP="00577EFC">
      <w:pPr>
        <w:pStyle w:val="NormalWeb"/>
        <w:spacing w:before="0" w:beforeAutospacing="0" w:after="0" w:afterAutospacing="0" w:line="276" w:lineRule="auto"/>
        <w:rPr>
          <w:rFonts w:ascii="Arial" w:hAnsi="Arial" w:cs="Arial"/>
        </w:rPr>
      </w:pPr>
      <w:r w:rsidRPr="001B7C40">
        <w:rPr>
          <w:rFonts w:ascii="Arial" w:hAnsi="Arial" w:cs="Arial"/>
          <w:color w:val="000000"/>
        </w:rPr>
        <w:t>Firstly, the independence of the board and their oversight abilities should be further strengthened by recruiting more external and diverse independent directors that have relevant experience in risk management, regulatory compliance</w:t>
      </w:r>
      <w:r w:rsidR="00832DDC">
        <w:rPr>
          <w:rFonts w:ascii="Arial" w:hAnsi="Arial" w:cs="Arial"/>
          <w:color w:val="000000"/>
        </w:rPr>
        <w:t>,</w:t>
      </w:r>
      <w:r w:rsidRPr="001B7C40">
        <w:rPr>
          <w:rFonts w:ascii="Arial" w:hAnsi="Arial" w:cs="Arial"/>
          <w:color w:val="000000"/>
        </w:rPr>
        <w:t xml:space="preserve"> and ethical leadership. Alongside this, other mechanisms should be put in place to provide improved supervision of management and other employees, such as regular evaluations of their performance and compliance with ethical standards. </w:t>
      </w:r>
    </w:p>
    <w:p w14:paraId="1AFB1AC5" w14:textId="77777777" w:rsidR="001D443D" w:rsidRPr="001B7C40" w:rsidRDefault="001D443D" w:rsidP="00577EFC">
      <w:pPr>
        <w:spacing w:line="276" w:lineRule="auto"/>
        <w:rPr>
          <w:rFonts w:ascii="Arial" w:hAnsi="Arial" w:cs="Arial"/>
        </w:rPr>
      </w:pPr>
    </w:p>
    <w:p w14:paraId="48B015AE" w14:textId="7116F6F0" w:rsidR="001D443D" w:rsidRPr="001B7C40" w:rsidRDefault="002C07FC" w:rsidP="00577EFC">
      <w:pPr>
        <w:pStyle w:val="NormalWeb"/>
        <w:spacing w:before="0" w:beforeAutospacing="0" w:after="0" w:afterAutospacing="0" w:line="276" w:lineRule="auto"/>
        <w:rPr>
          <w:rFonts w:ascii="Arial" w:hAnsi="Arial" w:cs="Arial"/>
        </w:rPr>
      </w:pPr>
      <w:r w:rsidRPr="001B7C40">
        <w:rPr>
          <w:rFonts w:ascii="Arial" w:hAnsi="Arial" w:cs="Arial"/>
          <w:color w:val="000000"/>
        </w:rPr>
        <w:t>Similarly</w:t>
      </w:r>
      <w:r w:rsidR="001D443D" w:rsidRPr="001B7C40">
        <w:rPr>
          <w:rFonts w:ascii="Arial" w:hAnsi="Arial" w:cs="Arial"/>
          <w:color w:val="000000"/>
        </w:rPr>
        <w:t>, it is imperative that the organisation</w:t>
      </w:r>
      <w:r w:rsidR="00832DDC">
        <w:rPr>
          <w:rFonts w:ascii="Arial" w:hAnsi="Arial" w:cs="Arial"/>
          <w:color w:val="000000"/>
        </w:rPr>
        <w:t>’</w:t>
      </w:r>
      <w:r w:rsidR="001D443D" w:rsidRPr="001B7C40">
        <w:rPr>
          <w:rFonts w:ascii="Arial" w:hAnsi="Arial" w:cs="Arial"/>
          <w:color w:val="000000"/>
        </w:rPr>
        <w:t xml:space="preserve">s top level leadership strive to establish a culture of integrity, openness, and accountability. This could be </w:t>
      </w:r>
      <w:r w:rsidR="001D443D" w:rsidRPr="001B7C40">
        <w:rPr>
          <w:rFonts w:ascii="Arial" w:hAnsi="Arial" w:cs="Arial"/>
          <w:color w:val="000000"/>
        </w:rPr>
        <w:lastRenderedPageBreak/>
        <w:t>accomplished by means of extensive training programmes and acknowledgement of any immoral, as well as moral</w:t>
      </w:r>
      <w:r w:rsidR="00832DDC">
        <w:rPr>
          <w:rFonts w:ascii="Arial" w:hAnsi="Arial" w:cs="Arial"/>
          <w:color w:val="000000"/>
        </w:rPr>
        <w:t>,</w:t>
      </w:r>
      <w:r w:rsidR="001D443D" w:rsidRPr="001B7C40">
        <w:rPr>
          <w:rFonts w:ascii="Arial" w:hAnsi="Arial" w:cs="Arial"/>
          <w:color w:val="000000"/>
        </w:rPr>
        <w:t xml:space="preserve"> behaviour.</w:t>
      </w:r>
      <w:r w:rsidRPr="001B7C40">
        <w:rPr>
          <w:rFonts w:ascii="Arial" w:hAnsi="Arial" w:cs="Arial"/>
        </w:rPr>
        <w:t xml:space="preserve"> </w:t>
      </w:r>
      <w:r w:rsidR="001D443D" w:rsidRPr="001B7C40">
        <w:rPr>
          <w:rFonts w:ascii="Arial" w:hAnsi="Arial" w:cs="Arial"/>
          <w:color w:val="000000"/>
        </w:rPr>
        <w:t>It is also essential that the bank’s incentive structures are enhanced further so that they go beyond complying with ethical standards and also focus heavily on customer satisfaction and creating long-term value. For example, performance evaluations should include and emphasise non-financial metrics such as customer satisfaction and adherence to ethical standards.</w:t>
      </w:r>
    </w:p>
    <w:p w14:paraId="263C90F9" w14:textId="77777777" w:rsidR="001D443D" w:rsidRPr="001B7C40" w:rsidRDefault="001D443D" w:rsidP="00577EFC">
      <w:pPr>
        <w:spacing w:line="276" w:lineRule="auto"/>
        <w:rPr>
          <w:rFonts w:ascii="Arial" w:hAnsi="Arial" w:cs="Arial"/>
        </w:rPr>
      </w:pPr>
    </w:p>
    <w:p w14:paraId="7C927559" w14:textId="3024A503" w:rsidR="001D443D" w:rsidRPr="001B7C40" w:rsidRDefault="002C07FC" w:rsidP="00577EFC">
      <w:pPr>
        <w:pStyle w:val="NormalWeb"/>
        <w:spacing w:before="0" w:beforeAutospacing="0" w:after="0" w:afterAutospacing="0" w:line="276" w:lineRule="auto"/>
        <w:rPr>
          <w:rFonts w:ascii="Arial" w:hAnsi="Arial" w:cs="Arial"/>
        </w:rPr>
      </w:pPr>
      <w:r w:rsidRPr="001B7C40">
        <w:rPr>
          <w:rFonts w:ascii="Arial" w:hAnsi="Arial" w:cs="Arial"/>
          <w:color w:val="000000"/>
        </w:rPr>
        <w:t>Finally</w:t>
      </w:r>
      <w:r w:rsidR="001D443D" w:rsidRPr="001B7C40">
        <w:rPr>
          <w:rFonts w:ascii="Arial" w:hAnsi="Arial" w:cs="Arial"/>
          <w:color w:val="000000"/>
        </w:rPr>
        <w:t xml:space="preserve">, it is critical </w:t>
      </w:r>
      <w:r w:rsidR="00832C67" w:rsidRPr="001B7C40">
        <w:rPr>
          <w:rFonts w:ascii="Arial" w:hAnsi="Arial" w:cs="Arial"/>
          <w:color w:val="000000"/>
        </w:rPr>
        <w:t xml:space="preserve">for the bank </w:t>
      </w:r>
      <w:r w:rsidR="001D443D" w:rsidRPr="001B7C40">
        <w:rPr>
          <w:rFonts w:ascii="Arial" w:hAnsi="Arial" w:cs="Arial"/>
          <w:color w:val="000000"/>
        </w:rPr>
        <w:t xml:space="preserve">to improve </w:t>
      </w:r>
      <w:r w:rsidR="00832DDC">
        <w:rPr>
          <w:rFonts w:ascii="Arial" w:hAnsi="Arial" w:cs="Arial"/>
          <w:color w:val="000000"/>
        </w:rPr>
        <w:t xml:space="preserve">its </w:t>
      </w:r>
      <w:r w:rsidR="001D443D" w:rsidRPr="001B7C40">
        <w:rPr>
          <w:rFonts w:ascii="Arial" w:hAnsi="Arial" w:cs="Arial"/>
          <w:color w:val="000000"/>
        </w:rPr>
        <w:t>risk management systems in order to recognise, evaluate, and reduce operational and compliance risks.</w:t>
      </w:r>
      <w:r w:rsidR="00832C67" w:rsidRPr="001B7C40">
        <w:rPr>
          <w:rFonts w:ascii="Arial" w:hAnsi="Arial" w:cs="Arial"/>
          <w:color w:val="000000"/>
        </w:rPr>
        <w:t xml:space="preserve"> This can aid the company in</w:t>
      </w:r>
      <w:r w:rsidR="001D443D" w:rsidRPr="001B7C40">
        <w:rPr>
          <w:rFonts w:ascii="Arial" w:hAnsi="Arial" w:cs="Arial"/>
          <w:color w:val="000000"/>
        </w:rPr>
        <w:t xml:space="preserve"> </w:t>
      </w:r>
      <w:r w:rsidR="00832C67" w:rsidRPr="001B7C40">
        <w:rPr>
          <w:rFonts w:ascii="Arial" w:hAnsi="Arial" w:cs="Arial"/>
          <w:color w:val="000000"/>
        </w:rPr>
        <w:t>r</w:t>
      </w:r>
      <w:r w:rsidR="001D443D" w:rsidRPr="001B7C40">
        <w:rPr>
          <w:rFonts w:ascii="Arial" w:hAnsi="Arial" w:cs="Arial"/>
          <w:color w:val="000000"/>
        </w:rPr>
        <w:t>ebuilding trust, guaranteeing accountability, and averting future crises</w:t>
      </w:r>
      <w:r w:rsidR="00832DDC">
        <w:rPr>
          <w:rFonts w:ascii="Arial" w:hAnsi="Arial" w:cs="Arial"/>
          <w:color w:val="000000"/>
        </w:rPr>
        <w:t>,</w:t>
      </w:r>
      <w:r w:rsidR="001D443D" w:rsidRPr="001B7C40">
        <w:rPr>
          <w:rFonts w:ascii="Arial" w:hAnsi="Arial" w:cs="Arial"/>
          <w:color w:val="000000"/>
        </w:rPr>
        <w:t xml:space="preserve"> </w:t>
      </w:r>
      <w:r w:rsidR="00832C67" w:rsidRPr="001B7C40">
        <w:rPr>
          <w:rFonts w:ascii="Arial" w:hAnsi="Arial" w:cs="Arial"/>
          <w:color w:val="000000"/>
        </w:rPr>
        <w:t xml:space="preserve">which </w:t>
      </w:r>
      <w:r w:rsidR="00832DDC">
        <w:rPr>
          <w:rFonts w:ascii="Arial" w:hAnsi="Arial" w:cs="Arial"/>
          <w:color w:val="000000"/>
        </w:rPr>
        <w:t>are</w:t>
      </w:r>
      <w:r w:rsidR="001D443D" w:rsidRPr="001B7C40">
        <w:rPr>
          <w:rFonts w:ascii="Arial" w:hAnsi="Arial" w:cs="Arial"/>
          <w:color w:val="000000"/>
        </w:rPr>
        <w:t xml:space="preserve"> crucial to the bank’s future success</w:t>
      </w:r>
      <w:r w:rsidR="00832C67" w:rsidRPr="001B7C40">
        <w:rPr>
          <w:rFonts w:ascii="Arial" w:hAnsi="Arial" w:cs="Arial"/>
          <w:color w:val="000000"/>
        </w:rPr>
        <w:t xml:space="preserve">. As well as </w:t>
      </w:r>
      <w:r w:rsidR="001D443D" w:rsidRPr="001B7C40">
        <w:rPr>
          <w:rFonts w:ascii="Arial" w:hAnsi="Arial" w:cs="Arial"/>
          <w:color w:val="000000"/>
        </w:rPr>
        <w:t xml:space="preserve">putting systems </w:t>
      </w:r>
      <w:r w:rsidR="00832DDC">
        <w:rPr>
          <w:rFonts w:ascii="Arial" w:hAnsi="Arial" w:cs="Arial"/>
          <w:color w:val="000000"/>
        </w:rPr>
        <w:t>in</w:t>
      </w:r>
      <w:r w:rsidR="001D443D" w:rsidRPr="001B7C40">
        <w:rPr>
          <w:rFonts w:ascii="Arial" w:hAnsi="Arial" w:cs="Arial"/>
          <w:color w:val="000000"/>
        </w:rPr>
        <w:t xml:space="preserve"> place that go further to support and safeguard whistle-blowers, giving priority to the interests of customer</w:t>
      </w:r>
      <w:r w:rsidR="00832DDC">
        <w:rPr>
          <w:rFonts w:ascii="Arial" w:hAnsi="Arial" w:cs="Arial"/>
          <w:color w:val="000000"/>
        </w:rPr>
        <w:t>s,</w:t>
      </w:r>
      <w:r w:rsidR="001D443D" w:rsidRPr="001B7C40">
        <w:rPr>
          <w:rFonts w:ascii="Arial" w:hAnsi="Arial" w:cs="Arial"/>
          <w:color w:val="000000"/>
        </w:rPr>
        <w:t xml:space="preserve"> and increas</w:t>
      </w:r>
      <w:r w:rsidR="00832DDC">
        <w:rPr>
          <w:rFonts w:ascii="Arial" w:hAnsi="Arial" w:cs="Arial"/>
          <w:color w:val="000000"/>
        </w:rPr>
        <w:t>ing</w:t>
      </w:r>
      <w:r w:rsidR="001D443D" w:rsidRPr="001B7C40">
        <w:rPr>
          <w:rFonts w:ascii="Arial" w:hAnsi="Arial" w:cs="Arial"/>
          <w:color w:val="000000"/>
        </w:rPr>
        <w:t xml:space="preserve"> reporting transparency while implementing a </w:t>
      </w:r>
      <w:r w:rsidR="002730B2" w:rsidRPr="001B7C40">
        <w:rPr>
          <w:rFonts w:ascii="Arial" w:hAnsi="Arial" w:cs="Arial"/>
          <w:color w:val="000000"/>
        </w:rPr>
        <w:t xml:space="preserve">more thorough and </w:t>
      </w:r>
      <w:r w:rsidR="001D443D" w:rsidRPr="001B7C40">
        <w:rPr>
          <w:rFonts w:ascii="Arial" w:hAnsi="Arial" w:cs="Arial"/>
          <w:color w:val="000000"/>
        </w:rPr>
        <w:t>continuous monitoring process. </w:t>
      </w:r>
    </w:p>
    <w:p w14:paraId="1F8E7ADF" w14:textId="72FE85C1" w:rsidR="005D18E5" w:rsidRDefault="005D18E5" w:rsidP="00577EFC">
      <w:pPr>
        <w:spacing w:line="276" w:lineRule="auto"/>
        <w:rPr>
          <w:rFonts w:ascii="Arial" w:hAnsi="Arial" w:cs="Arial"/>
          <w:b/>
          <w:bCs/>
        </w:rPr>
      </w:pPr>
    </w:p>
    <w:p w14:paraId="295E3945" w14:textId="77777777" w:rsidR="00EE6F2B" w:rsidRPr="001B7C40" w:rsidRDefault="00EE6F2B" w:rsidP="00577EFC">
      <w:pPr>
        <w:spacing w:line="276" w:lineRule="auto"/>
        <w:rPr>
          <w:rFonts w:ascii="Arial" w:hAnsi="Arial" w:cs="Arial"/>
          <w:b/>
          <w:bCs/>
        </w:rPr>
      </w:pPr>
    </w:p>
    <w:p w14:paraId="6188E9B6" w14:textId="24CB15C3" w:rsidR="004E4737" w:rsidRPr="00AC5FEF" w:rsidRDefault="007A17F6" w:rsidP="00577EFC">
      <w:pPr>
        <w:pStyle w:val="Heading1"/>
        <w:spacing w:line="276" w:lineRule="auto"/>
      </w:pPr>
      <w:bookmarkStart w:id="21" w:name="_Toc164084297"/>
      <w:r w:rsidRPr="001B7C40">
        <w:t>6</w:t>
      </w:r>
      <w:r w:rsidR="000749F2" w:rsidRPr="001B7C40">
        <w:t>.</w:t>
      </w:r>
      <w:r w:rsidRPr="001B7C40">
        <w:t xml:space="preserve"> </w:t>
      </w:r>
      <w:r w:rsidR="004E4737" w:rsidRPr="001B7C40">
        <w:t>Conclusion</w:t>
      </w:r>
      <w:bookmarkEnd w:id="21"/>
    </w:p>
    <w:p w14:paraId="1DB4B9DA" w14:textId="08DB2DAC" w:rsidR="004E4737" w:rsidRPr="001B7C40" w:rsidRDefault="004E4737" w:rsidP="00577EFC">
      <w:pPr>
        <w:spacing w:line="276" w:lineRule="auto"/>
        <w:rPr>
          <w:rFonts w:ascii="Arial" w:hAnsi="Arial" w:cs="Arial"/>
        </w:rPr>
      </w:pPr>
      <w:r w:rsidRPr="001B7C40">
        <w:rPr>
          <w:rFonts w:ascii="Arial" w:hAnsi="Arial" w:cs="Arial"/>
        </w:rPr>
        <w:t>In conclusion, the Wells Fargo corporate governance crisis had profound ramifications that affected not only the company itself but also its stakeholders and the financial industry at large. The unethical behavio</w:t>
      </w:r>
      <w:r w:rsidRPr="001B7C40">
        <w:rPr>
          <w:rFonts w:ascii="Arial" w:hAnsi="Arial" w:cs="Arial"/>
        </w:rPr>
        <w:t>u</w:t>
      </w:r>
      <w:r w:rsidRPr="001B7C40">
        <w:rPr>
          <w:rFonts w:ascii="Arial" w:hAnsi="Arial" w:cs="Arial"/>
        </w:rPr>
        <w:t>r and lack of oversight resulted in significant financial losses, reputational damage, and legal penalties. This crisis underscored the crucial need for stronger regulatory oversight, improved corporate governance practices, and a shift towards a culture that prioriti</w:t>
      </w:r>
      <w:r w:rsidRPr="001B7C40">
        <w:rPr>
          <w:rFonts w:ascii="Arial" w:hAnsi="Arial" w:cs="Arial"/>
        </w:rPr>
        <w:t>s</w:t>
      </w:r>
      <w:r w:rsidRPr="001B7C40">
        <w:rPr>
          <w:rFonts w:ascii="Arial" w:hAnsi="Arial" w:cs="Arial"/>
        </w:rPr>
        <w:t>es ethics and customer satisfaction.</w:t>
      </w:r>
    </w:p>
    <w:p w14:paraId="394A8FC7" w14:textId="77777777" w:rsidR="004E4737" w:rsidRPr="001B7C40" w:rsidRDefault="004E4737" w:rsidP="00577EFC">
      <w:pPr>
        <w:spacing w:line="276" w:lineRule="auto"/>
        <w:rPr>
          <w:rFonts w:ascii="Arial" w:hAnsi="Arial" w:cs="Arial"/>
        </w:rPr>
      </w:pPr>
    </w:p>
    <w:p w14:paraId="7C7A85E1" w14:textId="789C812F" w:rsidR="004E4737" w:rsidRPr="001B7C40" w:rsidRDefault="004E4737" w:rsidP="00577EFC">
      <w:pPr>
        <w:spacing w:line="276" w:lineRule="auto"/>
        <w:rPr>
          <w:rFonts w:ascii="Arial" w:hAnsi="Arial" w:cs="Arial"/>
        </w:rPr>
      </w:pPr>
      <w:r w:rsidRPr="001B7C40">
        <w:rPr>
          <w:rFonts w:ascii="Arial" w:hAnsi="Arial" w:cs="Arial"/>
        </w:rPr>
        <w:t>Moving forward, it is essential for Wells Fargo to take concrete steps to prevent future crises and rebuild trust. By strengthening the independence and oversight capabilities of the board, establishing a culture of integrity and accountability, improving incentive structures, and supporting whistle-blowers, the company can work towards restoring its reputation and regaining the trust of its stakeholders.</w:t>
      </w:r>
    </w:p>
    <w:p w14:paraId="036EF89C" w14:textId="77777777" w:rsidR="004E4737" w:rsidRPr="001B7C40" w:rsidRDefault="004E4737" w:rsidP="00577EFC">
      <w:pPr>
        <w:spacing w:line="276" w:lineRule="auto"/>
        <w:rPr>
          <w:rFonts w:ascii="Arial" w:hAnsi="Arial" w:cs="Arial"/>
        </w:rPr>
      </w:pPr>
    </w:p>
    <w:p w14:paraId="70CDEF8A" w14:textId="64D32429" w:rsidR="004E4737" w:rsidRPr="001B7C40" w:rsidRDefault="004E4737" w:rsidP="00577EFC">
      <w:pPr>
        <w:spacing w:line="276" w:lineRule="auto"/>
        <w:rPr>
          <w:rFonts w:ascii="Arial" w:hAnsi="Arial" w:cs="Arial"/>
        </w:rPr>
      </w:pPr>
      <w:r w:rsidRPr="001B7C40">
        <w:rPr>
          <w:rFonts w:ascii="Arial" w:hAnsi="Arial" w:cs="Arial"/>
        </w:rPr>
        <w:t>Furthermore, regulatory bodies must continue to enforce strict oversight and hold financial institutions accountable for their actions to prevent similar crises from occurring in the future. By implementing these recommendations and fostering a more ethical and customer-focused organi</w:t>
      </w:r>
      <w:r w:rsidRPr="001B7C40">
        <w:rPr>
          <w:rFonts w:ascii="Arial" w:hAnsi="Arial" w:cs="Arial"/>
        </w:rPr>
        <w:t>s</w:t>
      </w:r>
      <w:r w:rsidRPr="001B7C40">
        <w:rPr>
          <w:rFonts w:ascii="Arial" w:hAnsi="Arial" w:cs="Arial"/>
        </w:rPr>
        <w:t>ational culture, Wells Fargo can pave the way for positive change and regain its standing as a trusted and reputable financial institution.</w:t>
      </w:r>
    </w:p>
    <w:p w14:paraId="131F253E" w14:textId="2CE48807" w:rsidR="00784D0D" w:rsidRPr="001B7C40" w:rsidRDefault="00784D0D" w:rsidP="00577EFC">
      <w:pPr>
        <w:spacing w:line="276" w:lineRule="auto"/>
        <w:rPr>
          <w:rFonts w:ascii="Arial" w:hAnsi="Arial" w:cs="Arial"/>
        </w:rPr>
      </w:pPr>
    </w:p>
    <w:p w14:paraId="2AC3B0DB" w14:textId="77777777" w:rsidR="001C433E" w:rsidRDefault="001C433E" w:rsidP="001C433E">
      <w:pPr>
        <w:pStyle w:val="Heading1"/>
        <w:spacing w:before="0" w:beforeAutospacing="0" w:after="240" w:afterAutospacing="0" w:line="360" w:lineRule="auto"/>
        <w:rPr>
          <w:sz w:val="36"/>
          <w:szCs w:val="36"/>
        </w:rPr>
      </w:pPr>
    </w:p>
    <w:p w14:paraId="4C5FDD38" w14:textId="2B31A640" w:rsidR="001C433E" w:rsidRDefault="001C433E" w:rsidP="001C433E">
      <w:pPr>
        <w:pStyle w:val="Heading1"/>
        <w:spacing w:before="0" w:beforeAutospacing="0" w:after="240" w:afterAutospacing="0" w:line="360" w:lineRule="auto"/>
        <w:rPr>
          <w:sz w:val="36"/>
          <w:szCs w:val="36"/>
        </w:rPr>
      </w:pPr>
      <w:bookmarkStart w:id="22" w:name="_Toc164084298"/>
      <w:r>
        <w:rPr>
          <w:sz w:val="36"/>
          <w:szCs w:val="36"/>
        </w:rPr>
        <w:lastRenderedPageBreak/>
        <w:t>Reference list</w:t>
      </w:r>
      <w:bookmarkEnd w:id="22"/>
    </w:p>
    <w:p w14:paraId="14B6956C" w14:textId="77777777" w:rsidR="001C433E" w:rsidRDefault="001C433E" w:rsidP="001C433E">
      <w:pPr>
        <w:pStyle w:val="NormalWeb"/>
        <w:spacing w:before="0" w:beforeAutospacing="0" w:after="240" w:afterAutospacing="0" w:line="360" w:lineRule="auto"/>
      </w:pPr>
      <w:r>
        <w:t xml:space="preserve">Allen, S. and Burke, R. (2022). </w:t>
      </w:r>
      <w:r>
        <w:rPr>
          <w:i/>
          <w:iCs/>
        </w:rPr>
        <w:t xml:space="preserve">US Department of </w:t>
      </w:r>
      <w:proofErr w:type="spellStart"/>
      <w:r>
        <w:rPr>
          <w:i/>
          <w:iCs/>
        </w:rPr>
        <w:t>Labor</w:t>
      </w:r>
      <w:proofErr w:type="spellEnd"/>
      <w:r>
        <w:rPr>
          <w:i/>
          <w:iCs/>
        </w:rPr>
        <w:t xml:space="preserve"> Orders Wells Fargo to Pay More than $22M for Retaliating against Executive That Alleged Financial Misconduct | Occupational Safety and Health Administration</w:t>
      </w:r>
      <w:r>
        <w:t>. [online] www.osha.gov. Available at: https://www.osha.gov/news/newsreleases/national/09012022.</w:t>
      </w:r>
    </w:p>
    <w:p w14:paraId="3B8F0F2D" w14:textId="77777777" w:rsidR="001C433E" w:rsidRDefault="001C433E" w:rsidP="001C433E">
      <w:pPr>
        <w:pStyle w:val="NormalWeb"/>
        <w:spacing w:before="0" w:beforeAutospacing="0" w:after="240" w:afterAutospacing="0" w:line="360" w:lineRule="auto"/>
      </w:pPr>
      <w:proofErr w:type="spellStart"/>
      <w:r>
        <w:t>Amernic</w:t>
      </w:r>
      <w:proofErr w:type="spellEnd"/>
      <w:r>
        <w:t xml:space="preserve">, J. and Craig, R. (2022). Evaluating Assertions by a Wells Fargo CEO of a ‘return to Ethical Conduct’. </w:t>
      </w:r>
      <w:r>
        <w:rPr>
          <w:i/>
          <w:iCs/>
        </w:rPr>
        <w:t>Leadership</w:t>
      </w:r>
      <w:r>
        <w:t xml:space="preserve">, [online] 18(3), pp.400–426. </w:t>
      </w:r>
      <w:proofErr w:type="spellStart"/>
      <w:r>
        <w:t>doi:https</w:t>
      </w:r>
      <w:proofErr w:type="spellEnd"/>
      <w:r>
        <w:t>://doi.org/10.1177/17427150211064397.</w:t>
      </w:r>
    </w:p>
    <w:p w14:paraId="7A45FB00" w14:textId="77777777" w:rsidR="001C433E" w:rsidRDefault="001C433E" w:rsidP="001C433E">
      <w:pPr>
        <w:pStyle w:val="NormalWeb"/>
        <w:spacing w:before="0" w:beforeAutospacing="0" w:after="240" w:afterAutospacing="0" w:line="360" w:lineRule="auto"/>
      </w:pPr>
      <w:r>
        <w:t xml:space="preserve">Arnold, C. (2016). </w:t>
      </w:r>
      <w:r>
        <w:rPr>
          <w:i/>
          <w:iCs/>
        </w:rPr>
        <w:t>Senators Investigate Reports Wells Fargo Punished Workers</w:t>
      </w:r>
      <w:r>
        <w:t>. [online] NPR. Available at: https://www.npr.org/2016/11/04/500728907/senators-investigate-reports-wells-fargo-punished-workers.</w:t>
      </w:r>
    </w:p>
    <w:p w14:paraId="69BB1E0B" w14:textId="77777777" w:rsidR="001C433E" w:rsidRDefault="001C433E" w:rsidP="001C433E">
      <w:pPr>
        <w:pStyle w:val="NormalWeb"/>
        <w:spacing w:before="0" w:beforeAutospacing="0" w:after="240" w:afterAutospacing="0" w:line="360" w:lineRule="auto"/>
      </w:pPr>
      <w:r>
        <w:t xml:space="preserve">Bishop, E.E. (2018). </w:t>
      </w:r>
      <w:r>
        <w:rPr>
          <w:i/>
          <w:iCs/>
        </w:rPr>
        <w:t>An Analysis of Motivation and Culture: Examining the 2009-2016 Wells Fargo Case - ProQuest</w:t>
      </w:r>
      <w:r>
        <w:t>. [online] www.proquest.com. Available at: https://www.proquest.com/docview/2155325574?%20Theses&amp;fromopenview=true&amp;pq-origsite=gscholar&amp;sourcetype=Dissertations%20 [Accessed 14 Apr. 2024].</w:t>
      </w:r>
    </w:p>
    <w:p w14:paraId="4A7C6D54" w14:textId="77777777" w:rsidR="001C433E" w:rsidRDefault="001C433E" w:rsidP="001C433E">
      <w:pPr>
        <w:pStyle w:val="NormalWeb"/>
        <w:spacing w:before="0" w:beforeAutospacing="0" w:after="240" w:afterAutospacing="0" w:line="360" w:lineRule="auto"/>
      </w:pPr>
      <w:r>
        <w:t xml:space="preserve">Bloxham, E. (2017). </w:t>
      </w:r>
      <w:r>
        <w:rPr>
          <w:i/>
          <w:iCs/>
        </w:rPr>
        <w:t>Here’s How Wells Fargo’s Board of Directors Just Failed Customers</w:t>
      </w:r>
      <w:r>
        <w:t>. [online] Fortune. Available at: https://fortune.com/2017/04/14/wells-fargo-fake-accounts-2/.</w:t>
      </w:r>
    </w:p>
    <w:p w14:paraId="227B077C" w14:textId="77777777" w:rsidR="001C433E" w:rsidRDefault="001C433E" w:rsidP="001C433E">
      <w:pPr>
        <w:pStyle w:val="NormalWeb"/>
        <w:spacing w:before="0" w:beforeAutospacing="0" w:after="240" w:afterAutospacing="0" w:line="360" w:lineRule="auto"/>
      </w:pPr>
      <w:r>
        <w:t xml:space="preserve">Bryant, M. and </w:t>
      </w:r>
      <w:proofErr w:type="spellStart"/>
      <w:r>
        <w:t>Sigurjonsson</w:t>
      </w:r>
      <w:proofErr w:type="spellEnd"/>
      <w:r>
        <w:t xml:space="preserve">, T.O. (2019). Wells Fargo and company: Shareholder Derivative Action - Should the Case Succeed in Federal Court for the Board of Directors. </w:t>
      </w:r>
      <w:r>
        <w:rPr>
          <w:i/>
          <w:iCs/>
        </w:rPr>
        <w:t>International Journal of Critical Accounting</w:t>
      </w:r>
      <w:r>
        <w:t xml:space="preserve">, 11(1), pp.1–15. </w:t>
      </w:r>
      <w:proofErr w:type="spellStart"/>
      <w:r>
        <w:t>doi:https</w:t>
      </w:r>
      <w:proofErr w:type="spellEnd"/>
      <w:r>
        <w:t>://doi.org/10.1504/ijca.2019.103820.</w:t>
      </w:r>
    </w:p>
    <w:p w14:paraId="64DADCF6" w14:textId="77777777" w:rsidR="001C433E" w:rsidRDefault="001C433E" w:rsidP="001C433E">
      <w:pPr>
        <w:pStyle w:val="NormalWeb"/>
        <w:spacing w:before="0" w:beforeAutospacing="0" w:after="240" w:afterAutospacing="0" w:line="360" w:lineRule="auto"/>
      </w:pPr>
      <w:r>
        <w:t xml:space="preserve">Business, M.E., CNN (2020). </w:t>
      </w:r>
      <w:r>
        <w:rPr>
          <w:i/>
          <w:iCs/>
        </w:rPr>
        <w:t>US Government Fines Wells Fargo $3 Billion for Its ‘staggering’ fake-accounts Scandal</w:t>
      </w:r>
      <w:r>
        <w:t>. [online] CNN. Available at: https://edition.cnn.com/2020/02/21/business/wells-fargo-settlement-doj-sec/index.html.</w:t>
      </w:r>
    </w:p>
    <w:p w14:paraId="3B5BBD0F" w14:textId="77777777" w:rsidR="001C433E" w:rsidRDefault="001C433E" w:rsidP="001C433E">
      <w:pPr>
        <w:pStyle w:val="NormalWeb"/>
        <w:spacing w:before="0" w:beforeAutospacing="0" w:after="240" w:afterAutospacing="0" w:line="360" w:lineRule="auto"/>
      </w:pPr>
      <w:proofErr w:type="spellStart"/>
      <w:r>
        <w:t>Cavico</w:t>
      </w:r>
      <w:proofErr w:type="spellEnd"/>
      <w:r>
        <w:t xml:space="preserve">, F.J. and Mujtaba, B. (2017). Wells Fargo’s Fake Accounts Scandal and Its Legal and Ethical Implications for Management. </w:t>
      </w:r>
      <w:r>
        <w:rPr>
          <w:i/>
          <w:iCs/>
        </w:rPr>
        <w:t>SAM Advanced Management Journal,</w:t>
      </w:r>
      <w:r>
        <w:t xml:space="preserve"> [online] 82(2). Available at: https://www.proquest.com/docview/1926580720?pq-origsite=gscholar&amp;fromopenview=true&amp;sourcetype=Scholarly%20Journals.</w:t>
      </w:r>
    </w:p>
    <w:p w14:paraId="4970AD4F" w14:textId="77777777" w:rsidR="001C433E" w:rsidRDefault="001C433E" w:rsidP="001C433E">
      <w:pPr>
        <w:pStyle w:val="NormalWeb"/>
        <w:spacing w:before="0" w:beforeAutospacing="0" w:after="240" w:afterAutospacing="0" w:line="360" w:lineRule="auto"/>
      </w:pPr>
      <w:r>
        <w:lastRenderedPageBreak/>
        <w:t xml:space="preserve">CFPB (2016). </w:t>
      </w:r>
      <w:r>
        <w:rPr>
          <w:i/>
          <w:iCs/>
        </w:rPr>
        <w:t>United States of America Consumer Financial Protection Bureau Administrative Proceeding 2016</w:t>
      </w:r>
      <w:r>
        <w:t>. [online] Available at: https://files.consumerfinance.gov/f/documents/092016_cfpb_WFBconsentorder.pdf.</w:t>
      </w:r>
    </w:p>
    <w:p w14:paraId="02B586C5" w14:textId="77777777" w:rsidR="001C433E" w:rsidRDefault="001C433E" w:rsidP="001C433E">
      <w:pPr>
        <w:pStyle w:val="NormalWeb"/>
        <w:spacing w:before="0" w:beforeAutospacing="0" w:after="240" w:afterAutospacing="0" w:line="360" w:lineRule="auto"/>
      </w:pPr>
      <w:r>
        <w:t xml:space="preserve">CFPB (2023). </w:t>
      </w:r>
      <w:r>
        <w:rPr>
          <w:i/>
          <w:iCs/>
        </w:rPr>
        <w:t>The Bureau</w:t>
      </w:r>
      <w:r>
        <w:t>. [online] Consumer Financial Protection Bureau. Available at: https://www.consumerfinance.gov/about-us/the-bureau/#:~:text=We%20protect%20consumers%20from%20unfair.</w:t>
      </w:r>
    </w:p>
    <w:p w14:paraId="08FFE998" w14:textId="77777777" w:rsidR="001C433E" w:rsidRDefault="001C433E" w:rsidP="001C433E">
      <w:pPr>
        <w:pStyle w:val="NormalWeb"/>
        <w:spacing w:before="0" w:beforeAutospacing="0" w:after="240" w:afterAutospacing="0" w:line="360" w:lineRule="auto"/>
      </w:pPr>
      <w:r>
        <w:t xml:space="preserve">Chartered Governance Institute UK &amp; Ireland (2021). </w:t>
      </w:r>
      <w:r>
        <w:rPr>
          <w:i/>
          <w:iCs/>
        </w:rPr>
        <w:t>What Is Corporate governance?</w:t>
      </w:r>
      <w:r>
        <w:t xml:space="preserve"> [online] www.cgi.org.uk. Available at: https://www.cgi.org.uk/about-us/policy/what-is-corporate-governance.</w:t>
      </w:r>
    </w:p>
    <w:p w14:paraId="5CB11E46" w14:textId="77777777" w:rsidR="001C433E" w:rsidRDefault="001C433E" w:rsidP="001C433E">
      <w:pPr>
        <w:pStyle w:val="NormalWeb"/>
        <w:spacing w:before="0" w:beforeAutospacing="0" w:after="240" w:afterAutospacing="0" w:line="360" w:lineRule="auto"/>
      </w:pPr>
      <w:r>
        <w:t xml:space="preserve">Christensen, H. (2020). Banking Scandals and Abnormal Cumulative Returns: an Analysis of the Wells Fargo Fraud Scandal. </w:t>
      </w:r>
      <w:r>
        <w:rPr>
          <w:i/>
          <w:iCs/>
        </w:rPr>
        <w:t>All Graduate Plan B and Other Reports</w:t>
      </w:r>
      <w:r>
        <w:t xml:space="preserve">. [online] </w:t>
      </w:r>
      <w:proofErr w:type="spellStart"/>
      <w:r>
        <w:t>doi:https</w:t>
      </w:r>
      <w:proofErr w:type="spellEnd"/>
      <w:r>
        <w:t>://doi.org/10.26076/b49f-f70a.</w:t>
      </w:r>
    </w:p>
    <w:p w14:paraId="11E33ACA" w14:textId="77777777" w:rsidR="001C433E" w:rsidRDefault="001C433E" w:rsidP="001C433E">
      <w:pPr>
        <w:pStyle w:val="NormalWeb"/>
        <w:spacing w:before="0" w:beforeAutospacing="0" w:after="240" w:afterAutospacing="0" w:line="360" w:lineRule="auto"/>
      </w:pPr>
      <w:r>
        <w:t xml:space="preserve">Consumer Financial Protection Bureau (2016). </w:t>
      </w:r>
      <w:r>
        <w:rPr>
          <w:i/>
          <w:iCs/>
        </w:rPr>
        <w:t>Consumer Financial Protection Bureau Fines Wells Fargo $100 Million for Widespread Illegal Practice of Secretly Opening Unauthorized Accounts | Consumer Financial Protection Bureau</w:t>
      </w:r>
      <w:r>
        <w:t>. [online] Consumer Financial Protection Bureau. Available at: https://www.consumerfinance.gov/about-us/newsroom/consumer-financial-protection-bureau-fines-wells-fargo-100-million-widespread-illegal-practice-secretly-opening-unauthorized-accounts/.</w:t>
      </w:r>
    </w:p>
    <w:p w14:paraId="555319FE" w14:textId="77777777" w:rsidR="001C433E" w:rsidRDefault="001C433E" w:rsidP="001C433E">
      <w:pPr>
        <w:pStyle w:val="NormalWeb"/>
        <w:spacing w:before="0" w:beforeAutospacing="0" w:after="240" w:afterAutospacing="0" w:line="360" w:lineRule="auto"/>
      </w:pPr>
      <w:r>
        <w:t xml:space="preserve">Corkery, M. and Cowley, S. (2016). Wells Fargo Warned Workers against Sham Accounts, but ‘They Needed a </w:t>
      </w:r>
      <w:proofErr w:type="spellStart"/>
      <w:r>
        <w:t>Paycheck</w:t>
      </w:r>
      <w:proofErr w:type="spellEnd"/>
      <w:r>
        <w:t xml:space="preserve">’. </w:t>
      </w:r>
      <w:r>
        <w:rPr>
          <w:i/>
          <w:iCs/>
        </w:rPr>
        <w:t>The New York Times</w:t>
      </w:r>
      <w:r>
        <w:t>. [online] 16 Sep. Available at: https://www.nytimes.com/2016/09/17/business/dealbook/wells-fargo-warned-workers-against-fake-accounts-but-they-needed-a-paycheck.html.</w:t>
      </w:r>
    </w:p>
    <w:p w14:paraId="70191178" w14:textId="77777777" w:rsidR="001C433E" w:rsidRDefault="001C433E" w:rsidP="001C433E">
      <w:pPr>
        <w:pStyle w:val="NormalWeb"/>
        <w:spacing w:before="0" w:beforeAutospacing="0" w:after="240" w:afterAutospacing="0" w:line="360" w:lineRule="auto"/>
      </w:pPr>
      <w:r>
        <w:t xml:space="preserve">Dixon, A. (2019). </w:t>
      </w:r>
      <w:r>
        <w:rPr>
          <w:i/>
          <w:iCs/>
        </w:rPr>
        <w:t>America’s 15 Largest Banks</w:t>
      </w:r>
      <w:r>
        <w:t>. [online] Bankrate. Available at: https://www.bankrate.com/banking/biggest-banks-in-america/.</w:t>
      </w:r>
    </w:p>
    <w:p w14:paraId="0CC00D87" w14:textId="77777777" w:rsidR="001C433E" w:rsidRDefault="001C433E" w:rsidP="001C433E">
      <w:pPr>
        <w:pStyle w:val="NormalWeb"/>
        <w:spacing w:before="0" w:beforeAutospacing="0" w:after="240" w:afterAutospacing="0" w:line="360" w:lineRule="auto"/>
      </w:pPr>
      <w:r>
        <w:t xml:space="preserve">DOJ (2020). </w:t>
      </w:r>
      <w:r>
        <w:rPr>
          <w:i/>
          <w:iCs/>
        </w:rPr>
        <w:t>Office of Public Affairs | Wells Fargo Agrees to Pay $3 Billion to Resolve Criminal and Civil Investigations into Sales Practices Involving the Opening of Millions of Accounts without Customer Authorization | United States Department of Justice</w:t>
      </w:r>
      <w:r>
        <w:t>. [online] www.justice.gov. Available at: https://www.justice.gov/opa/pr/wells-fargo-agrees-pay-3-</w:t>
      </w:r>
      <w:r>
        <w:lastRenderedPageBreak/>
        <w:t>billion-resolve-criminal-and-civil-investigations-sales-practices#:~:text=As%20part%20of%20the%20agreements [Accessed 14 Apr. 2024].</w:t>
      </w:r>
    </w:p>
    <w:p w14:paraId="3ED39AEE" w14:textId="77777777" w:rsidR="001C433E" w:rsidRDefault="001C433E" w:rsidP="001C433E">
      <w:pPr>
        <w:pStyle w:val="NormalWeb"/>
        <w:spacing w:before="0" w:beforeAutospacing="0" w:after="240" w:afterAutospacing="0" w:line="360" w:lineRule="auto"/>
      </w:pPr>
      <w:r>
        <w:t xml:space="preserve">Egan, M. (2016). </w:t>
      </w:r>
      <w:r>
        <w:rPr>
          <w:i/>
          <w:iCs/>
        </w:rPr>
        <w:t>5,300 Wells Fargo Employees Fired over 2 Million Phony Accounts</w:t>
      </w:r>
      <w:r>
        <w:t>. [online] CNNMoney. Available at: https://money.cnn.com/2016/09/08/investing/wells-fargo-created-phony-accounts-bank-fees/index.html.</w:t>
      </w:r>
    </w:p>
    <w:p w14:paraId="56EB80B7" w14:textId="77777777" w:rsidR="001C433E" w:rsidRDefault="001C433E" w:rsidP="001C433E">
      <w:pPr>
        <w:pStyle w:val="NormalWeb"/>
        <w:spacing w:before="0" w:beforeAutospacing="0" w:after="240" w:afterAutospacing="0" w:line="360" w:lineRule="auto"/>
      </w:pPr>
      <w:r>
        <w:t xml:space="preserve">Elson, R.J. and Ingram, P. (2018). Wells Fargo and the Unauthorized Customer Accounts: a Case Study. </w:t>
      </w:r>
      <w:r>
        <w:rPr>
          <w:i/>
          <w:iCs/>
        </w:rPr>
        <w:t>GLOBAL JOURNAL OF BUSINESS PEDAGOGY</w:t>
      </w:r>
      <w:r>
        <w:t>, [online] 2(1). Available at: https://www.igbr.org/wp-content/Journals/2018/GJBP_Vol_2_No_1_2018.pdf#page=130.</w:t>
      </w:r>
    </w:p>
    <w:p w14:paraId="23B5C7AC" w14:textId="77777777" w:rsidR="001C433E" w:rsidRDefault="001C433E" w:rsidP="001C433E">
      <w:pPr>
        <w:pStyle w:val="NormalWeb"/>
        <w:spacing w:before="0" w:beforeAutospacing="0" w:after="240" w:afterAutospacing="0" w:line="360" w:lineRule="auto"/>
      </w:pPr>
      <w:r>
        <w:t xml:space="preserve">Feng, N.C., </w:t>
      </w:r>
      <w:proofErr w:type="spellStart"/>
      <w:r>
        <w:t>Fuerman</w:t>
      </w:r>
      <w:proofErr w:type="spellEnd"/>
      <w:r>
        <w:t xml:space="preserve">, R.D. and Heron, N. (2022). Wells Fargo: Did KPMG Perform Its duties? an Auditing Case about Consumer Fraud. </w:t>
      </w:r>
      <w:r>
        <w:rPr>
          <w:i/>
          <w:iCs/>
        </w:rPr>
        <w:t>Corporate Ownership and Control</w:t>
      </w:r>
      <w:r>
        <w:t xml:space="preserve">, [online] 19(2), pp.121–126. </w:t>
      </w:r>
      <w:proofErr w:type="spellStart"/>
      <w:r>
        <w:t>doi:https</w:t>
      </w:r>
      <w:proofErr w:type="spellEnd"/>
      <w:r>
        <w:t>://doi.org/10.22495/cocv19i2art10.</w:t>
      </w:r>
    </w:p>
    <w:p w14:paraId="0FB9C723" w14:textId="77777777" w:rsidR="001C433E" w:rsidRDefault="001C433E" w:rsidP="001C433E">
      <w:pPr>
        <w:pStyle w:val="NormalWeb"/>
        <w:spacing w:before="0" w:beforeAutospacing="0" w:after="240" w:afterAutospacing="0" w:line="360" w:lineRule="auto"/>
      </w:pPr>
      <w:proofErr w:type="spellStart"/>
      <w:r>
        <w:t>Fradkin</w:t>
      </w:r>
      <w:proofErr w:type="spellEnd"/>
      <w:r>
        <w:t xml:space="preserve">, P.L. (2002). </w:t>
      </w:r>
      <w:r>
        <w:rPr>
          <w:i/>
          <w:iCs/>
        </w:rPr>
        <w:t>Stagecoach: Wells Fargo and the American West</w:t>
      </w:r>
      <w:r>
        <w:t>. Simon and Schuster.</w:t>
      </w:r>
    </w:p>
    <w:p w14:paraId="65193F49" w14:textId="77777777" w:rsidR="001C433E" w:rsidRDefault="001C433E" w:rsidP="001C433E">
      <w:pPr>
        <w:pStyle w:val="NormalWeb"/>
        <w:spacing w:before="0" w:beforeAutospacing="0" w:after="240" w:afterAutospacing="0" w:line="360" w:lineRule="auto"/>
      </w:pPr>
      <w:r>
        <w:t xml:space="preserve">Freeman, R.E., Harrison, J.S., Wicks, A.C., Parmar, B.L. and De Colle, S. (2010). </w:t>
      </w:r>
      <w:r>
        <w:rPr>
          <w:i/>
          <w:iCs/>
        </w:rPr>
        <w:t>Stakeholder Theory: the State of the Art</w:t>
      </w:r>
      <w:r>
        <w:t>. [online] Cambridge: Cambridge University Press. Available at: https://books.google.co.uk/books?hl=en&amp;lr=&amp;id=xF8-WN1QlIMC&amp;oi=fnd&amp;pg=PR7&amp;dq=stakeholder+theory&amp;ots=ZYvXZ1xA3L&amp;sig=iU78wiJDETBdogYCaif_lN_GYsg&amp;redir_esc=y#v=onepage&amp;q=stakeholder%20theory&amp;f=false.</w:t>
      </w:r>
    </w:p>
    <w:p w14:paraId="149DCEDB" w14:textId="77777777" w:rsidR="001C433E" w:rsidRDefault="001C433E" w:rsidP="001C433E">
      <w:pPr>
        <w:pStyle w:val="NormalWeb"/>
        <w:spacing w:before="0" w:beforeAutospacing="0" w:after="240" w:afterAutospacing="0" w:line="360" w:lineRule="auto"/>
      </w:pPr>
      <w:proofErr w:type="spellStart"/>
      <w:r>
        <w:t>Freudenreich</w:t>
      </w:r>
      <w:proofErr w:type="spellEnd"/>
      <w:r>
        <w:t xml:space="preserve">, B., </w:t>
      </w:r>
      <w:proofErr w:type="spellStart"/>
      <w:r>
        <w:t>Lüdeke</w:t>
      </w:r>
      <w:proofErr w:type="spellEnd"/>
      <w:r>
        <w:t xml:space="preserve">-Freund, F. and </w:t>
      </w:r>
      <w:proofErr w:type="spellStart"/>
      <w:r>
        <w:t>Schaltegger</w:t>
      </w:r>
      <w:proofErr w:type="spellEnd"/>
      <w:r>
        <w:t xml:space="preserve">, S. (2020). A Stakeholder Theory Perspective on Business Models: Value Creation for Sustainability. </w:t>
      </w:r>
      <w:r>
        <w:rPr>
          <w:i/>
          <w:iCs/>
        </w:rPr>
        <w:t>Journal of Business Ethics</w:t>
      </w:r>
      <w:r>
        <w:t>, [online] 166(1), pp.3–18. Available at: https://link.springer.com/article/10.1007/s10551-019-04112-z.</w:t>
      </w:r>
    </w:p>
    <w:p w14:paraId="05155A4A" w14:textId="77777777" w:rsidR="001C433E" w:rsidRDefault="001C433E" w:rsidP="001C433E">
      <w:pPr>
        <w:pStyle w:val="NormalWeb"/>
        <w:spacing w:before="0" w:beforeAutospacing="0" w:after="240" w:afterAutospacing="0" w:line="360" w:lineRule="auto"/>
      </w:pPr>
      <w:r>
        <w:t xml:space="preserve">Glazer, E. (2018). </w:t>
      </w:r>
      <w:proofErr w:type="spellStart"/>
      <w:r>
        <w:rPr>
          <w:i/>
          <w:iCs/>
        </w:rPr>
        <w:t>Whistleblowers</w:t>
      </w:r>
      <w:proofErr w:type="spellEnd"/>
      <w:r>
        <w:rPr>
          <w:i/>
          <w:iCs/>
        </w:rPr>
        <w:t xml:space="preserve"> Detail Wells Fargo Wealth Management Woes</w:t>
      </w:r>
      <w:r>
        <w:t>. [online] The Wall Street Journal. Available at: https://www.mandomarketing.com/library/wp-content/uploads/2018/07/Whistleblowers-Detail-Wells-Fargo-Wealth-Management-Woes.pdf.</w:t>
      </w:r>
    </w:p>
    <w:p w14:paraId="1F357B3D" w14:textId="77777777" w:rsidR="001C433E" w:rsidRDefault="001C433E" w:rsidP="001C433E">
      <w:pPr>
        <w:pStyle w:val="NormalWeb"/>
        <w:spacing w:before="0" w:beforeAutospacing="0" w:after="240" w:afterAutospacing="0" w:line="360" w:lineRule="auto"/>
      </w:pPr>
      <w:proofErr w:type="spellStart"/>
      <w:r>
        <w:t>GlobalData</w:t>
      </w:r>
      <w:proofErr w:type="spellEnd"/>
      <w:r>
        <w:t xml:space="preserve"> Plc (2021). </w:t>
      </w:r>
      <w:r>
        <w:rPr>
          <w:i/>
          <w:iCs/>
        </w:rPr>
        <w:t>Wells Fargo &amp; Co Company Profile - Overview</w:t>
      </w:r>
      <w:r>
        <w:t>. [online] Globaldata.com. Available at: https://www.globaldata.com/company-profile/wells-fargo-co/#:~:text=It%20provides%20services%20such%20as [Accessed 14 Apr. 2024].</w:t>
      </w:r>
    </w:p>
    <w:p w14:paraId="61C58908" w14:textId="77777777" w:rsidR="001C433E" w:rsidRDefault="001C433E" w:rsidP="001C433E">
      <w:pPr>
        <w:pStyle w:val="NormalWeb"/>
        <w:spacing w:before="0" w:beforeAutospacing="0" w:after="240" w:afterAutospacing="0" w:line="360" w:lineRule="auto"/>
      </w:pPr>
      <w:proofErr w:type="spellStart"/>
      <w:r>
        <w:lastRenderedPageBreak/>
        <w:t>Gutterman</w:t>
      </w:r>
      <w:proofErr w:type="spellEnd"/>
      <w:r>
        <w:t xml:space="preserve">, A.S. (2023). </w:t>
      </w:r>
      <w:r>
        <w:rPr>
          <w:i/>
          <w:iCs/>
        </w:rPr>
        <w:t>Stakeholder Theory</w:t>
      </w:r>
      <w:r>
        <w:t>. [online] Available at SSRN 4387595. Available at: https://deliverypdf.ssrn.com/delivery.php?ID=138112024094121010096000016016103093003082027001019058067098010018004099086009094098043103040038056011007066026014113024085002023055074034000000086117115025080114087071039035112119127110025064124078097016019001116025024086028117022075127073102118031087&amp;EXT=pdf&amp;INDEX=TRUE.</w:t>
      </w:r>
    </w:p>
    <w:p w14:paraId="7226E8BF" w14:textId="77777777" w:rsidR="001C433E" w:rsidRDefault="001C433E" w:rsidP="001C433E">
      <w:pPr>
        <w:pStyle w:val="NormalWeb"/>
        <w:spacing w:before="0" w:beforeAutospacing="0" w:after="240" w:afterAutospacing="0" w:line="360" w:lineRule="auto"/>
      </w:pPr>
      <w:r>
        <w:t xml:space="preserve">Harrison, J.S. and Wicks, A.C. (2013). Stakeholder Theory, Value, and Firm Performance. </w:t>
      </w:r>
      <w:r>
        <w:rPr>
          <w:i/>
          <w:iCs/>
        </w:rPr>
        <w:t>Business Ethics Quarterly</w:t>
      </w:r>
      <w:r>
        <w:t>, [online] 23(1), pp.97–124. Available at: https://www.cambridge.org/core/journals/business-ethics-quarterly/article/abs/stakeholder-theory-value-and-firm-performance/B84D07B5B6241F83EC7D904E28B21015.</w:t>
      </w:r>
    </w:p>
    <w:p w14:paraId="59BBD65B" w14:textId="77777777" w:rsidR="001C433E" w:rsidRDefault="001C433E" w:rsidP="001C433E">
      <w:pPr>
        <w:pStyle w:val="NormalWeb"/>
        <w:spacing w:before="0" w:beforeAutospacing="0" w:after="240" w:afterAutospacing="0" w:line="360" w:lineRule="auto"/>
      </w:pPr>
      <w:r>
        <w:t xml:space="preserve">Hill, J.A. (2019). Regulating Bank Reputation Risk. </w:t>
      </w:r>
      <w:r>
        <w:rPr>
          <w:i/>
          <w:iCs/>
        </w:rPr>
        <w:t>GA</w:t>
      </w:r>
      <w:r>
        <w:t>, [online] 54. Available at: https://heinonline.org/HOL/LandingPage?handle=hein.journals/geolr54&amp;div=17&amp;id=&amp;page=.</w:t>
      </w:r>
    </w:p>
    <w:p w14:paraId="161B3B5A" w14:textId="77777777" w:rsidR="001C433E" w:rsidRDefault="001C433E" w:rsidP="001C433E">
      <w:pPr>
        <w:pStyle w:val="NormalWeb"/>
        <w:spacing w:before="0" w:beforeAutospacing="0" w:after="240" w:afterAutospacing="0" w:line="360" w:lineRule="auto"/>
      </w:pPr>
      <w:r>
        <w:t xml:space="preserve">Hubbard, B. (2018). </w:t>
      </w:r>
      <w:r>
        <w:rPr>
          <w:i/>
          <w:iCs/>
        </w:rPr>
        <w:t>OCC Assesses $500 Million Penalty against Wells Fargo, Orders Restitution for Unsafe or Unsound Practices</w:t>
      </w:r>
      <w:r>
        <w:t>. [online] www.occ.gov. Available at: https://www.occ.gov/news-issuances/news-releases/2018/nr-occ-2018-41.html.</w:t>
      </w:r>
    </w:p>
    <w:p w14:paraId="2DC09A74" w14:textId="77777777" w:rsidR="001C433E" w:rsidRDefault="001C433E" w:rsidP="001C433E">
      <w:pPr>
        <w:pStyle w:val="NormalWeb"/>
        <w:spacing w:before="0" w:beforeAutospacing="0" w:after="240" w:afterAutospacing="0" w:line="360" w:lineRule="auto"/>
      </w:pPr>
      <w:r>
        <w:t xml:space="preserve">ICAEW (2019). </w:t>
      </w:r>
      <w:r>
        <w:rPr>
          <w:i/>
          <w:iCs/>
        </w:rPr>
        <w:t>What Is Corporate governance?</w:t>
      </w:r>
      <w:r>
        <w:t xml:space="preserve"> [online] ICAEW. Available at: https://www.icaew.com/technical/corporate-governance/principles/principles-articles/does-corporate-governance-matter.</w:t>
      </w:r>
    </w:p>
    <w:p w14:paraId="50F214CE" w14:textId="77777777" w:rsidR="001C433E" w:rsidRDefault="001C433E" w:rsidP="001C433E">
      <w:pPr>
        <w:pStyle w:val="NormalWeb"/>
        <w:spacing w:before="0" w:beforeAutospacing="0" w:after="240" w:afterAutospacing="0" w:line="360" w:lineRule="auto"/>
      </w:pPr>
      <w:proofErr w:type="spellStart"/>
      <w:r>
        <w:t>IDnow</w:t>
      </w:r>
      <w:proofErr w:type="spellEnd"/>
      <w:r>
        <w:t xml:space="preserve"> (2024). </w:t>
      </w:r>
      <w:r>
        <w:rPr>
          <w:i/>
          <w:iCs/>
        </w:rPr>
        <w:t xml:space="preserve">Bank Regulation Definition, Importance &amp; Examples - </w:t>
      </w:r>
      <w:proofErr w:type="spellStart"/>
      <w:r>
        <w:rPr>
          <w:i/>
          <w:iCs/>
        </w:rPr>
        <w:t>IDnow</w:t>
      </w:r>
      <w:proofErr w:type="spellEnd"/>
      <w:r>
        <w:t>. [online] www.idnow.io. Available at: https://www.idnow.io/glossary/bank-regulation/#:~:text=Banking%20regulations%20are%20also%20designed.</w:t>
      </w:r>
    </w:p>
    <w:p w14:paraId="7214F34E" w14:textId="77777777" w:rsidR="001C433E" w:rsidRDefault="001C433E" w:rsidP="001C433E">
      <w:pPr>
        <w:pStyle w:val="NormalWeb"/>
        <w:spacing w:before="0" w:beforeAutospacing="0" w:after="240" w:afterAutospacing="0" w:line="360" w:lineRule="auto"/>
      </w:pPr>
      <w:r>
        <w:t xml:space="preserve">ITgovernance (2023). </w:t>
      </w:r>
      <w:r>
        <w:rPr>
          <w:i/>
          <w:iCs/>
        </w:rPr>
        <w:t>The Sarbanes-Oxley Act | IT Governance USA</w:t>
      </w:r>
      <w:r>
        <w:t>. [online] itgovernanceusa.com. Available at: https://www.itgovernanceusa.com/sarbanes-oxley#:~:text=The%20Sarbanes%E2%80%93Oxley%20Act%2C%20often.</w:t>
      </w:r>
    </w:p>
    <w:p w14:paraId="28C6FAB0" w14:textId="77777777" w:rsidR="001C433E" w:rsidRDefault="001C433E" w:rsidP="001C433E">
      <w:pPr>
        <w:pStyle w:val="NormalWeb"/>
        <w:spacing w:before="0" w:beforeAutospacing="0" w:after="240" w:afterAutospacing="0" w:line="360" w:lineRule="auto"/>
      </w:pPr>
      <w:r>
        <w:t xml:space="preserve">Kelly, J. (2020). </w:t>
      </w:r>
      <w:r>
        <w:rPr>
          <w:i/>
          <w:iCs/>
        </w:rPr>
        <w:t>Wells Fargo Forced to Pay $3 Billion for the Bank’s Fake Account Scandal</w:t>
      </w:r>
      <w:r>
        <w:t>. [online] Forbes. Available at: https://www.forbes.com/sites/jackkelly/2020/02/24/wells-fargo-forced-to-pay-3-billion-for-the-banks-fake-account-scandal/.</w:t>
      </w:r>
    </w:p>
    <w:p w14:paraId="748BF572" w14:textId="77777777" w:rsidR="001C433E" w:rsidRDefault="001C433E" w:rsidP="001C433E">
      <w:pPr>
        <w:pStyle w:val="NormalWeb"/>
        <w:spacing w:before="0" w:beforeAutospacing="0" w:after="240" w:afterAutospacing="0" w:line="360" w:lineRule="auto"/>
      </w:pPr>
      <w:r>
        <w:lastRenderedPageBreak/>
        <w:t xml:space="preserve">Langton, J. (2023). </w:t>
      </w:r>
      <w:r>
        <w:rPr>
          <w:i/>
          <w:iCs/>
        </w:rPr>
        <w:t>U.S. Sanctions Wells Fargo for Oversight Failures</w:t>
      </w:r>
      <w:r>
        <w:t>. [online] Investment Executive. Available at: https://www.investmentexecutive.com/news/from-the-regulators/u-s-sanctions-wells-fargo-for-oversight-failures/.</w:t>
      </w:r>
    </w:p>
    <w:p w14:paraId="38540981" w14:textId="77777777" w:rsidR="001C433E" w:rsidRDefault="001C433E" w:rsidP="001C433E">
      <w:pPr>
        <w:pStyle w:val="NormalWeb"/>
        <w:spacing w:before="0" w:beforeAutospacing="0" w:after="240" w:afterAutospacing="0" w:line="360" w:lineRule="auto"/>
      </w:pPr>
      <w:r>
        <w:t xml:space="preserve">Lesage, P. (2020). </w:t>
      </w:r>
      <w:r>
        <w:rPr>
          <w:i/>
          <w:iCs/>
        </w:rPr>
        <w:t>Wells Fargo Issue Backgrounder</w:t>
      </w:r>
      <w:r>
        <w:t>. [online] Available at: https://westerncommunicationreport.ca/wp-content/uploads/2019/03/Download-as.-PDF-here_Paul-.pdf.</w:t>
      </w:r>
    </w:p>
    <w:p w14:paraId="0AFD73B5" w14:textId="77777777" w:rsidR="001C433E" w:rsidRDefault="001C433E" w:rsidP="001C433E">
      <w:pPr>
        <w:pStyle w:val="NormalWeb"/>
        <w:spacing w:before="0" w:beforeAutospacing="0" w:after="240" w:afterAutospacing="0" w:line="360" w:lineRule="auto"/>
      </w:pPr>
      <w:r>
        <w:t xml:space="preserve">Lilly, J., </w:t>
      </w:r>
      <w:proofErr w:type="spellStart"/>
      <w:r>
        <w:t>Durr</w:t>
      </w:r>
      <w:proofErr w:type="spellEnd"/>
      <w:r>
        <w:t xml:space="preserve">, D., Grogan, A. and Francis Super, J. (2021). Wells </w:t>
      </w:r>
      <w:proofErr w:type="spellStart"/>
      <w:r>
        <w:t>fargo</w:t>
      </w:r>
      <w:proofErr w:type="spellEnd"/>
      <w:r>
        <w:t xml:space="preserve">: Administrative Evil and the Pressure to Conform. </w:t>
      </w:r>
      <w:r>
        <w:rPr>
          <w:i/>
          <w:iCs/>
        </w:rPr>
        <w:t>Business Horizons</w:t>
      </w:r>
      <w:r>
        <w:t xml:space="preserve">, [online] 64(5). </w:t>
      </w:r>
      <w:proofErr w:type="spellStart"/>
      <w:r>
        <w:t>doi:https</w:t>
      </w:r>
      <w:proofErr w:type="spellEnd"/>
      <w:r>
        <w:t>://doi.org/10.1016/j.bushor.2021.02.028.</w:t>
      </w:r>
    </w:p>
    <w:p w14:paraId="384C9210" w14:textId="77777777" w:rsidR="001C433E" w:rsidRDefault="001C433E" w:rsidP="001C433E">
      <w:pPr>
        <w:pStyle w:val="NormalWeb"/>
        <w:spacing w:before="0" w:beforeAutospacing="0" w:after="240" w:afterAutospacing="0" w:line="360" w:lineRule="auto"/>
      </w:pPr>
      <w:r>
        <w:t xml:space="preserve">Linder, S. and Foss, N.J. (2015). </w:t>
      </w:r>
      <w:r>
        <w:rPr>
          <w:i/>
          <w:iCs/>
        </w:rPr>
        <w:t>Agency Theory - an Overview | ScienceDirect Topics</w:t>
      </w:r>
      <w:r>
        <w:t>. [online] www.sciencedirect.com. Available at: https://www.sciencedirect.com/topics/social-sciences/agency-theory#:~:text=Agency%20theory%20is%20an%20economic.</w:t>
      </w:r>
    </w:p>
    <w:p w14:paraId="6C8C4933" w14:textId="77777777" w:rsidR="001C433E" w:rsidRDefault="001C433E" w:rsidP="001C433E">
      <w:pPr>
        <w:pStyle w:val="NormalWeb"/>
        <w:spacing w:before="0" w:beforeAutospacing="0" w:after="240" w:afterAutospacing="0" w:line="360" w:lineRule="auto"/>
      </w:pPr>
      <w:r>
        <w:t xml:space="preserve">Mahajan, R., Lim, W.M., Sareen, M., Kumar, S. and Panwar, R. (2023). Stakeholder Theory. </w:t>
      </w:r>
      <w:r>
        <w:rPr>
          <w:i/>
          <w:iCs/>
        </w:rPr>
        <w:t>Journal of Business Research</w:t>
      </w:r>
      <w:r>
        <w:t xml:space="preserve">, [online] 166(1). </w:t>
      </w:r>
      <w:proofErr w:type="spellStart"/>
      <w:r>
        <w:t>doi:https</w:t>
      </w:r>
      <w:proofErr w:type="spellEnd"/>
      <w:r>
        <w:t>://doi.org/10.1016/j.jbusres.2023.114104.</w:t>
      </w:r>
    </w:p>
    <w:p w14:paraId="5CE11E1D" w14:textId="77777777" w:rsidR="001C433E" w:rsidRDefault="001C433E" w:rsidP="001C433E">
      <w:pPr>
        <w:pStyle w:val="NormalWeb"/>
        <w:spacing w:before="0" w:beforeAutospacing="0" w:after="240" w:afterAutospacing="0" w:line="360" w:lineRule="auto"/>
      </w:pPr>
      <w:r>
        <w:t xml:space="preserve">Merle, R. (2017). Wells Fargo’s Scandal Damaged Their Credit scores. What Does the Bank Owe them? </w:t>
      </w:r>
      <w:r>
        <w:rPr>
          <w:i/>
          <w:iCs/>
        </w:rPr>
        <w:t>The Washington Post</w:t>
      </w:r>
      <w:r>
        <w:t>. [online] 18 Aug. Available at: https://www.washingtonpost.com/business/economy/in-wake-of-wells-fargo-scandal-whats-to-be-done-about-damaged-credit-scores/2017/08/18/f26d30e6-7c78-11e7-9d08-b79f191668ed_story.html.</w:t>
      </w:r>
    </w:p>
    <w:p w14:paraId="434D30A7" w14:textId="77777777" w:rsidR="001C433E" w:rsidRDefault="001C433E" w:rsidP="001C433E">
      <w:pPr>
        <w:pStyle w:val="NormalWeb"/>
        <w:spacing w:before="0" w:beforeAutospacing="0" w:after="240" w:afterAutospacing="0" w:line="360" w:lineRule="auto"/>
      </w:pPr>
      <w:r>
        <w:t xml:space="preserve">Mims, J.H. (2017). The Wells Fargo Scandal and Efforts to Reform Incentive-Based Compensation in Financial Institutions. </w:t>
      </w:r>
      <w:r>
        <w:rPr>
          <w:i/>
          <w:iCs/>
        </w:rPr>
        <w:t>NC Banking Inst.</w:t>
      </w:r>
      <w:r>
        <w:t>, [online] 21. Available at: https://heinonline.org/HOL/LandingPage?handle=hein.journals/ncbj21&amp;div=22&amp;id=&amp;page=.</w:t>
      </w:r>
    </w:p>
    <w:p w14:paraId="035042A6" w14:textId="77777777" w:rsidR="001C433E" w:rsidRDefault="001C433E" w:rsidP="001C433E">
      <w:pPr>
        <w:pStyle w:val="NormalWeb"/>
        <w:spacing w:before="0" w:beforeAutospacing="0" w:after="240" w:afterAutospacing="0" w:line="360" w:lineRule="auto"/>
      </w:pPr>
      <w:proofErr w:type="spellStart"/>
      <w:r>
        <w:t>Mumley</w:t>
      </w:r>
      <w:proofErr w:type="spellEnd"/>
      <w:r>
        <w:t xml:space="preserve">, W. (2019). Organizational Culture and Ethical Decision-Making during Major Crises. </w:t>
      </w:r>
      <w:r>
        <w:rPr>
          <w:i/>
          <w:iCs/>
        </w:rPr>
        <w:t>Journal of Values-Based Leadership</w:t>
      </w:r>
      <w:r>
        <w:t xml:space="preserve">, [online] 12(2). </w:t>
      </w:r>
      <w:proofErr w:type="spellStart"/>
      <w:r>
        <w:t>doi:https</w:t>
      </w:r>
      <w:proofErr w:type="spellEnd"/>
      <w:r>
        <w:t>://doi.org/10.22543/0733.122.1274.</w:t>
      </w:r>
    </w:p>
    <w:p w14:paraId="391994D3" w14:textId="77777777" w:rsidR="001C433E" w:rsidRDefault="001C433E" w:rsidP="001C433E">
      <w:pPr>
        <w:pStyle w:val="NormalWeb"/>
        <w:spacing w:before="0" w:beforeAutospacing="0" w:after="240" w:afterAutospacing="0" w:line="360" w:lineRule="auto"/>
      </w:pPr>
      <w:r>
        <w:t xml:space="preserve">OCC (2019). </w:t>
      </w:r>
      <w:r>
        <w:rPr>
          <w:i/>
          <w:iCs/>
        </w:rPr>
        <w:t xml:space="preserve">Who We </w:t>
      </w:r>
      <w:proofErr w:type="gramStart"/>
      <w:r>
        <w:rPr>
          <w:i/>
          <w:iCs/>
        </w:rPr>
        <w:t>Are</w:t>
      </w:r>
      <w:r>
        <w:t>.</w:t>
      </w:r>
      <w:proofErr w:type="gramEnd"/>
      <w:r>
        <w:t xml:space="preserve"> [online] OCC.gov. Available at: https://www.occ.gov/about/who-we-are/index-who-we-are.html#:~:text=Share%20This%20Page%3A.</w:t>
      </w:r>
    </w:p>
    <w:p w14:paraId="256F372D" w14:textId="77777777" w:rsidR="001C433E" w:rsidRDefault="001C433E" w:rsidP="001C433E">
      <w:pPr>
        <w:pStyle w:val="NormalWeb"/>
        <w:spacing w:before="0" w:beforeAutospacing="0" w:after="240" w:afterAutospacing="0" w:line="360" w:lineRule="auto"/>
      </w:pPr>
      <w:r>
        <w:lastRenderedPageBreak/>
        <w:t xml:space="preserve">Ochs, S.M. (2016). </w:t>
      </w:r>
      <w:r>
        <w:rPr>
          <w:i/>
          <w:iCs/>
        </w:rPr>
        <w:t>The Leadership Blind Spots at Wells Fargo</w:t>
      </w:r>
      <w:r>
        <w:t>. [online] Harvard Business Review. Available at: https://hbr.org/2016/10/the-leadership-blind-spots-at-wells-fargo.</w:t>
      </w:r>
    </w:p>
    <w:p w14:paraId="36A47FA2" w14:textId="77777777" w:rsidR="001C433E" w:rsidRDefault="001C433E" w:rsidP="001C433E">
      <w:pPr>
        <w:pStyle w:val="NormalWeb"/>
        <w:spacing w:before="0" w:beforeAutospacing="0" w:after="240" w:afterAutospacing="0" w:line="360" w:lineRule="auto"/>
      </w:pPr>
      <w:r>
        <w:t xml:space="preserve">Oxford, F.O.L.B. (2017). </w:t>
      </w:r>
      <w:r>
        <w:rPr>
          <w:i/>
          <w:iCs/>
        </w:rPr>
        <w:t>Wells Fargo and the Failure of Boards and Regulators</w:t>
      </w:r>
      <w:r>
        <w:t>. [online] blogs.law.ox.ac.uk. Available at: https://blogs.law.ox.ac.uk/business-law-blog/blog/2017/04/wells-fargo-and-failure-boards-and-regulators.</w:t>
      </w:r>
    </w:p>
    <w:p w14:paraId="5FC12BDD" w14:textId="77777777" w:rsidR="001C433E" w:rsidRDefault="001C433E" w:rsidP="001C433E">
      <w:pPr>
        <w:pStyle w:val="NormalWeb"/>
        <w:spacing w:before="0" w:beforeAutospacing="0" w:after="240" w:afterAutospacing="0" w:line="360" w:lineRule="auto"/>
      </w:pPr>
      <w:r>
        <w:t xml:space="preserve">Panda, B. and </w:t>
      </w:r>
      <w:proofErr w:type="spellStart"/>
      <w:r>
        <w:t>Leepsa</w:t>
      </w:r>
      <w:proofErr w:type="spellEnd"/>
      <w:r>
        <w:t xml:space="preserve">, N.M. (2017). Agency theory: Review of Theory and Evidence on Problems and Perspectives. </w:t>
      </w:r>
      <w:r>
        <w:rPr>
          <w:i/>
          <w:iCs/>
        </w:rPr>
        <w:t>Indian Journal of Corporate Governance</w:t>
      </w:r>
      <w:r>
        <w:t xml:space="preserve">, [online] 10(1), pp.74–95. </w:t>
      </w:r>
      <w:proofErr w:type="spellStart"/>
      <w:r>
        <w:t>doi:https</w:t>
      </w:r>
      <w:proofErr w:type="spellEnd"/>
      <w:r>
        <w:t>://doi.org/10.1177/0974686217701467.</w:t>
      </w:r>
    </w:p>
    <w:p w14:paraId="10BC981A" w14:textId="77777777" w:rsidR="001C433E" w:rsidRDefault="001C433E" w:rsidP="001C433E">
      <w:pPr>
        <w:pStyle w:val="NormalWeb"/>
        <w:spacing w:before="0" w:beforeAutospacing="0" w:after="240" w:afterAutospacing="0" w:line="360" w:lineRule="auto"/>
      </w:pPr>
      <w:r>
        <w:t xml:space="preserve">Patel, J. (2017). Stigma and Reputation: Exploring the Lingering Effects of Organizational Stigma. </w:t>
      </w:r>
      <w:r>
        <w:rPr>
          <w:i/>
          <w:iCs/>
        </w:rPr>
        <w:t xml:space="preserve">Williams </w:t>
      </w:r>
      <w:proofErr w:type="spellStart"/>
      <w:r>
        <w:rPr>
          <w:i/>
          <w:iCs/>
        </w:rPr>
        <w:t>Honors</w:t>
      </w:r>
      <w:proofErr w:type="spellEnd"/>
      <w:r>
        <w:rPr>
          <w:i/>
          <w:iCs/>
        </w:rPr>
        <w:t xml:space="preserve"> College, </w:t>
      </w:r>
      <w:proofErr w:type="spellStart"/>
      <w:r>
        <w:rPr>
          <w:i/>
          <w:iCs/>
        </w:rPr>
        <w:t>Honors</w:t>
      </w:r>
      <w:proofErr w:type="spellEnd"/>
      <w:r>
        <w:rPr>
          <w:i/>
          <w:iCs/>
        </w:rPr>
        <w:t xml:space="preserve"> Research Projects</w:t>
      </w:r>
      <w:r>
        <w:t>. [online] Available at: https://ideaexchange.uakron.edu/honors_research_projects/489/ [Accessed 14 Apr. 2024].</w:t>
      </w:r>
    </w:p>
    <w:p w14:paraId="2E23D69E" w14:textId="77777777" w:rsidR="001C433E" w:rsidRDefault="001C433E" w:rsidP="001C433E">
      <w:pPr>
        <w:pStyle w:val="NormalWeb"/>
        <w:spacing w:before="0" w:beforeAutospacing="0" w:after="240" w:afterAutospacing="0" w:line="360" w:lineRule="auto"/>
      </w:pPr>
      <w:r>
        <w:t xml:space="preserve">Press, A. (2022). Wells Fargo Agrees to Pay $3.7bn over Illegal Fees and Interest. </w:t>
      </w:r>
      <w:r>
        <w:rPr>
          <w:i/>
          <w:iCs/>
        </w:rPr>
        <w:t>The Guardian</w:t>
      </w:r>
      <w:r>
        <w:t>. [online] 20 Dec. Available at: https://www.theguardian.com/business/2022/dec/20/wells-fargo-settlement-banking-illegal-fees-interest.</w:t>
      </w:r>
    </w:p>
    <w:p w14:paraId="2FED3594" w14:textId="77777777" w:rsidR="001C433E" w:rsidRDefault="001C433E" w:rsidP="001C433E">
      <w:pPr>
        <w:pStyle w:val="NormalWeb"/>
        <w:spacing w:before="0" w:beforeAutospacing="0" w:after="240" w:afterAutospacing="0" w:line="360" w:lineRule="auto"/>
      </w:pPr>
      <w:proofErr w:type="spellStart"/>
      <w:r>
        <w:t>Ragothaman</w:t>
      </w:r>
      <w:proofErr w:type="spellEnd"/>
      <w:r>
        <w:t xml:space="preserve">, S., Custis, T. and Christianson, M. (2022). Fake Accounts Scandal at Wells Fargo: What Are the Lessons? </w:t>
      </w:r>
      <w:r>
        <w:rPr>
          <w:i/>
          <w:iCs/>
        </w:rPr>
        <w:t>Journal of Forensic and Investigative Accounting</w:t>
      </w:r>
      <w:r>
        <w:t>, [online] 14(2), pp.314–324. Available at: http://web.nacva.com/JFIA/Issues/JFIA-2022-No2-11.pdf.</w:t>
      </w:r>
    </w:p>
    <w:p w14:paraId="3A2D41DD" w14:textId="77777777" w:rsidR="001C433E" w:rsidRDefault="001C433E" w:rsidP="001C433E">
      <w:pPr>
        <w:pStyle w:val="NormalWeb"/>
        <w:spacing w:before="0" w:beforeAutospacing="0" w:after="240" w:afterAutospacing="0" w:line="360" w:lineRule="auto"/>
      </w:pPr>
      <w:r>
        <w:t xml:space="preserve">Restrepo, C.A. (2019). The Need for Increased Possibility of Director Liability: Refusal to Dismiss in Re Wells Fargo &amp; Co. Shareholder Derivative Litigation, a Step in the Right Direction. </w:t>
      </w:r>
      <w:r>
        <w:rPr>
          <w:i/>
          <w:iCs/>
        </w:rPr>
        <w:t>Boston College Law Review</w:t>
      </w:r>
      <w:r>
        <w:t>, [online] 60, p.1689. Available at: https://heinonline.org/HOL/LandingPage?handle=hein.journals/bclr60&amp;div=48&amp;id=&amp;page= [Accessed 14 Apr. 2024].</w:t>
      </w:r>
    </w:p>
    <w:p w14:paraId="75447F9E" w14:textId="77777777" w:rsidR="001C433E" w:rsidRDefault="001C433E" w:rsidP="001C433E">
      <w:pPr>
        <w:pStyle w:val="NormalWeb"/>
        <w:spacing w:before="0" w:beforeAutospacing="0" w:after="240" w:afterAutospacing="0" w:line="360" w:lineRule="auto"/>
      </w:pPr>
      <w:r>
        <w:t xml:space="preserve">Schaefer, S. (2016). </w:t>
      </w:r>
      <w:r>
        <w:rPr>
          <w:i/>
          <w:iCs/>
        </w:rPr>
        <w:t>One Chart That Shows How Wells Fargo’s Fake Account Scandal Is Hurting Shareholders</w:t>
      </w:r>
      <w:r>
        <w:t>. [online] Forbes. Available at: https://www.forbes.com/sites/steveschaefer/2016/10/05/one-chart-that-shows-how-wells-fargos-fake-account-scandal-is-hurting-shareholders/.</w:t>
      </w:r>
    </w:p>
    <w:p w14:paraId="5FE0C369" w14:textId="77777777" w:rsidR="001C433E" w:rsidRDefault="001C433E" w:rsidP="001C433E">
      <w:pPr>
        <w:pStyle w:val="NormalWeb"/>
        <w:spacing w:before="0" w:beforeAutospacing="0" w:after="240" w:afterAutospacing="0" w:line="360" w:lineRule="auto"/>
      </w:pPr>
      <w:r>
        <w:lastRenderedPageBreak/>
        <w:t xml:space="preserve">SEC (2020). </w:t>
      </w:r>
      <w:r>
        <w:rPr>
          <w:i/>
          <w:iCs/>
        </w:rPr>
        <w:t>SEC.gov | in the Matter of Wells Fargo &amp; Company Admin. Proc. File No. 3-19704</w:t>
      </w:r>
      <w:r>
        <w:t>. [online] www.sec.gov. Available at: https://www.sec.gov/enforcement/information-for-harmed-investors/wells-fargo-company.</w:t>
      </w:r>
    </w:p>
    <w:p w14:paraId="4CB58C74" w14:textId="77777777" w:rsidR="001C433E" w:rsidRDefault="001C433E" w:rsidP="001C433E">
      <w:pPr>
        <w:pStyle w:val="NormalWeb"/>
        <w:spacing w:before="0" w:beforeAutospacing="0" w:after="240" w:afterAutospacing="0" w:line="360" w:lineRule="auto"/>
      </w:pPr>
      <w:r>
        <w:t xml:space="preserve">Shearman &amp; Sterling LLP (2017). </w:t>
      </w:r>
      <w:r>
        <w:rPr>
          <w:i/>
          <w:iCs/>
        </w:rPr>
        <w:t>Independent Directors of the Board of Wells Fargo &amp; Company Sales Practices Investigation Report</w:t>
      </w:r>
      <w:r>
        <w:t>. [online] Available at: https://lowellmilkeninstitute.law.ucla.edu/wp-content/uploads/2018/01/WF-Board-Report.pdf.</w:t>
      </w:r>
    </w:p>
    <w:p w14:paraId="6BDA1AE6" w14:textId="77777777" w:rsidR="001C433E" w:rsidRDefault="001C433E" w:rsidP="001C433E">
      <w:pPr>
        <w:pStyle w:val="NormalWeb"/>
        <w:spacing w:before="0" w:beforeAutospacing="0" w:after="240" w:afterAutospacing="0" w:line="360" w:lineRule="auto"/>
      </w:pPr>
      <w:r>
        <w:t xml:space="preserve">Sridharan, U.V. and Hadley, L.U. (2018). Internal Audit, Fraud and Risk Management at Wells Fargo. </w:t>
      </w:r>
      <w:r>
        <w:rPr>
          <w:i/>
          <w:iCs/>
        </w:rPr>
        <w:t>International Journal of the Academic Business World</w:t>
      </w:r>
      <w:r>
        <w:t>, [online] 12(1). Available at: https://jwpress.com/Journals/IJABW/BackIssues/IJABW-Spring-2018.pdf#page=55.</w:t>
      </w:r>
    </w:p>
    <w:p w14:paraId="2946E4D0" w14:textId="77777777" w:rsidR="001C433E" w:rsidRDefault="001C433E" w:rsidP="001C433E">
      <w:pPr>
        <w:pStyle w:val="NormalWeb"/>
        <w:spacing w:before="0" w:beforeAutospacing="0" w:after="240" w:afterAutospacing="0" w:line="360" w:lineRule="auto"/>
      </w:pPr>
      <w:proofErr w:type="spellStart"/>
      <w:r>
        <w:t>Stempel</w:t>
      </w:r>
      <w:proofErr w:type="spellEnd"/>
      <w:r>
        <w:t xml:space="preserve">, J. (2023). </w:t>
      </w:r>
      <w:r>
        <w:rPr>
          <w:i/>
          <w:iCs/>
        </w:rPr>
        <w:t>Wells Fargo to Pay $1 Billion to Settle Shareholder Lawsuit over Recovery from Scandals</w:t>
      </w:r>
      <w:r>
        <w:t xml:space="preserve">. [online] Reuters. Available at: </w:t>
      </w:r>
      <w:proofErr w:type="gramStart"/>
      <w:r>
        <w:t>https://www.reuters.com/legal/wells-fargo-reaches-1-bln-settlement-with-shareholders-over-recovery-scandals-2023-05-16/#:~:text=NEW%20YORK%2C%20May%2016%20(Reuters,over%20its%20treatment%20of%20customers..</w:t>
      </w:r>
      <w:proofErr w:type="gramEnd"/>
    </w:p>
    <w:p w14:paraId="1FC4D1C3" w14:textId="77777777" w:rsidR="001C433E" w:rsidRDefault="001C433E" w:rsidP="001C433E">
      <w:pPr>
        <w:pStyle w:val="NormalWeb"/>
        <w:spacing w:before="0" w:beforeAutospacing="0" w:after="240" w:afterAutospacing="0" w:line="360" w:lineRule="auto"/>
      </w:pPr>
      <w:r>
        <w:t xml:space="preserve">US H.R. (2020). </w:t>
      </w:r>
      <w:r>
        <w:rPr>
          <w:i/>
          <w:iCs/>
        </w:rPr>
        <w:t xml:space="preserve">The Real Wells Fargo: Board &amp; Management Failures, Consumer Abuses, and Ineffective Regulatory Oversight Report Prepared by the Majority Staff of the Committee on Financial Service S, </w:t>
      </w:r>
      <w:proofErr w:type="spellStart"/>
      <w:r>
        <w:rPr>
          <w:i/>
          <w:iCs/>
        </w:rPr>
        <w:t>U.s.</w:t>
      </w:r>
      <w:proofErr w:type="spellEnd"/>
      <w:r>
        <w:rPr>
          <w:i/>
          <w:iCs/>
        </w:rPr>
        <w:t xml:space="preserve"> House of Representatives</w:t>
      </w:r>
      <w:r>
        <w:t>. [online] Available at: https://www.congress.gov/116/meeting/house/110719/documents/HHRG-116-BA00-20200311-SD003.pdf.</w:t>
      </w:r>
    </w:p>
    <w:p w14:paraId="5CAFE348" w14:textId="77777777" w:rsidR="001C433E" w:rsidRDefault="001C433E" w:rsidP="001C433E">
      <w:pPr>
        <w:pStyle w:val="NormalWeb"/>
        <w:spacing w:before="0" w:beforeAutospacing="0" w:after="240" w:afterAutospacing="0" w:line="360" w:lineRule="auto"/>
      </w:pPr>
      <w:proofErr w:type="spellStart"/>
      <w:r>
        <w:t>Veetikazhi</w:t>
      </w:r>
      <w:proofErr w:type="spellEnd"/>
      <w:r>
        <w:t xml:space="preserve">, R. and Krishnan, G. (2018). Wells Fargo: Fall from Great to Miserable: a Case Study on Corporate Governance Failures. </w:t>
      </w:r>
      <w:r>
        <w:rPr>
          <w:i/>
          <w:iCs/>
        </w:rPr>
        <w:t>South Asian Journal of Business and Management Cases</w:t>
      </w:r>
      <w:r>
        <w:t xml:space="preserve">, [online] 8(1), pp.88–99. </w:t>
      </w:r>
      <w:proofErr w:type="spellStart"/>
      <w:r>
        <w:t>doi:https</w:t>
      </w:r>
      <w:proofErr w:type="spellEnd"/>
      <w:r>
        <w:t>://doi.org/10.1177/2277977918803476.</w:t>
      </w:r>
    </w:p>
    <w:p w14:paraId="62AF18E5" w14:textId="77777777" w:rsidR="001C433E" w:rsidRDefault="001C433E" w:rsidP="001C433E">
      <w:pPr>
        <w:pStyle w:val="NormalWeb"/>
        <w:spacing w:before="0" w:beforeAutospacing="0" w:after="240" w:afterAutospacing="0" w:line="360" w:lineRule="auto"/>
      </w:pPr>
      <w:r>
        <w:t xml:space="preserve">Wang, C. (2016). </w:t>
      </w:r>
      <w:r>
        <w:rPr>
          <w:i/>
          <w:iCs/>
        </w:rPr>
        <w:t>Wells Fargo CEO Stumpf Retires Effective immediately; Tim Sloan to Take over</w:t>
      </w:r>
      <w:r>
        <w:t>. [online] CNBC. Available at: https://www.cnbc.com/amp/2016/10/12/wells-fargo-ceo-stumpf-to-depart-dj-citing-source.html.</w:t>
      </w:r>
    </w:p>
    <w:p w14:paraId="725AFDED" w14:textId="77777777" w:rsidR="001C433E" w:rsidRDefault="001C433E" w:rsidP="001C433E">
      <w:pPr>
        <w:pStyle w:val="NormalWeb"/>
        <w:spacing w:before="0" w:beforeAutospacing="0" w:after="240" w:afterAutospacing="0" w:line="360" w:lineRule="auto"/>
      </w:pPr>
      <w:r>
        <w:t xml:space="preserve">Wells Fargo (2019). </w:t>
      </w:r>
      <w:r>
        <w:rPr>
          <w:i/>
          <w:iCs/>
        </w:rPr>
        <w:t>History of Wells Fargo – Wells Fargo</w:t>
      </w:r>
      <w:r>
        <w:t>. [online] Wellsfargo.com. Available at: https://www.wellsfargo.com/about/corporate/history/.</w:t>
      </w:r>
    </w:p>
    <w:p w14:paraId="27CC6D27" w14:textId="77777777" w:rsidR="001C433E" w:rsidRDefault="001C433E" w:rsidP="001C433E">
      <w:pPr>
        <w:pStyle w:val="NormalWeb"/>
        <w:spacing w:before="0" w:beforeAutospacing="0" w:after="240" w:afterAutospacing="0" w:line="360" w:lineRule="auto"/>
      </w:pPr>
      <w:proofErr w:type="spellStart"/>
      <w:r>
        <w:lastRenderedPageBreak/>
        <w:t>Witman</w:t>
      </w:r>
      <w:proofErr w:type="spellEnd"/>
      <w:r>
        <w:t xml:space="preserve">, P.D. (2018). ‘What Gets measured, Gets Managed’ the Wells Fargo Account Opening </w:t>
      </w:r>
      <w:proofErr w:type="gramStart"/>
      <w:r>
        <w:t>scandal..</w:t>
      </w:r>
      <w:proofErr w:type="gramEnd"/>
      <w:r>
        <w:t xml:space="preserve"> </w:t>
      </w:r>
      <w:r>
        <w:rPr>
          <w:i/>
          <w:iCs/>
        </w:rPr>
        <w:t>Journal of Information Systems Education</w:t>
      </w:r>
      <w:r>
        <w:t>, [online] 29(3), pp.131–138. Available at: https://aisel.aisnet.org/cgi/viewcontent.cgi?article=1041&amp;context=jise.</w:t>
      </w:r>
    </w:p>
    <w:p w14:paraId="688434FA" w14:textId="77777777" w:rsidR="001C433E" w:rsidRDefault="001C433E" w:rsidP="001C433E">
      <w:pPr>
        <w:pStyle w:val="NormalWeb"/>
        <w:spacing w:before="0" w:beforeAutospacing="0" w:after="240" w:afterAutospacing="0" w:line="360" w:lineRule="auto"/>
      </w:pPr>
      <w:proofErr w:type="spellStart"/>
      <w:r>
        <w:t>Zamry</w:t>
      </w:r>
      <w:proofErr w:type="spellEnd"/>
      <w:r>
        <w:t xml:space="preserve">, M. and </w:t>
      </w:r>
      <w:proofErr w:type="spellStart"/>
      <w:r>
        <w:t>Syafinaz</w:t>
      </w:r>
      <w:proofErr w:type="spellEnd"/>
      <w:r>
        <w:t xml:space="preserve">, N. (2019). </w:t>
      </w:r>
      <w:r>
        <w:rPr>
          <w:i/>
          <w:iCs/>
        </w:rPr>
        <w:t xml:space="preserve">Munich Personal </w:t>
      </w:r>
      <w:proofErr w:type="spellStart"/>
      <w:r>
        <w:rPr>
          <w:i/>
          <w:iCs/>
        </w:rPr>
        <w:t>RePEc</w:t>
      </w:r>
      <w:proofErr w:type="spellEnd"/>
      <w:r>
        <w:rPr>
          <w:i/>
          <w:iCs/>
        </w:rPr>
        <w:t xml:space="preserve"> Archive Corporate Governance and Its Determinants: a Study on Wells Fargo Scandal</w:t>
      </w:r>
      <w:r>
        <w:t>. [online] University Library of Munich, Germany. Available at: https://mpra.ub.uni-muenchen.de/93726/1/MPRA_paper_93726.pdf.</w:t>
      </w:r>
    </w:p>
    <w:p w14:paraId="5DAB9BD9" w14:textId="77777777" w:rsidR="00784D0D" w:rsidRPr="009658CE" w:rsidRDefault="00784D0D" w:rsidP="004E4737">
      <w:pPr>
        <w:rPr>
          <w:rFonts w:ascii="Arial" w:hAnsi="Arial" w:cs="Arial"/>
        </w:rPr>
      </w:pPr>
    </w:p>
    <w:sectPr w:rsidR="00784D0D" w:rsidRPr="009658CE" w:rsidSect="0097047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651"/>
    <w:rsid w:val="00027805"/>
    <w:rsid w:val="00032D98"/>
    <w:rsid w:val="00051711"/>
    <w:rsid w:val="00064415"/>
    <w:rsid w:val="00073E63"/>
    <w:rsid w:val="000749F2"/>
    <w:rsid w:val="000869AD"/>
    <w:rsid w:val="000D23D9"/>
    <w:rsid w:val="0010655A"/>
    <w:rsid w:val="00131C12"/>
    <w:rsid w:val="001728E2"/>
    <w:rsid w:val="0019001E"/>
    <w:rsid w:val="00191867"/>
    <w:rsid w:val="001A33CD"/>
    <w:rsid w:val="001B7C40"/>
    <w:rsid w:val="001C433E"/>
    <w:rsid w:val="001D443D"/>
    <w:rsid w:val="00220970"/>
    <w:rsid w:val="002249E3"/>
    <w:rsid w:val="00256DCF"/>
    <w:rsid w:val="002730B2"/>
    <w:rsid w:val="00276CEA"/>
    <w:rsid w:val="002A1BFE"/>
    <w:rsid w:val="002A35FB"/>
    <w:rsid w:val="002C07FC"/>
    <w:rsid w:val="002C3F72"/>
    <w:rsid w:val="002E5A35"/>
    <w:rsid w:val="0030781E"/>
    <w:rsid w:val="00326269"/>
    <w:rsid w:val="00327B9F"/>
    <w:rsid w:val="003505A8"/>
    <w:rsid w:val="00371E8A"/>
    <w:rsid w:val="003C7CF0"/>
    <w:rsid w:val="003F2588"/>
    <w:rsid w:val="00410664"/>
    <w:rsid w:val="004779BF"/>
    <w:rsid w:val="004B6058"/>
    <w:rsid w:val="004E4737"/>
    <w:rsid w:val="004F0D3A"/>
    <w:rsid w:val="00540084"/>
    <w:rsid w:val="00546EC0"/>
    <w:rsid w:val="00577EFC"/>
    <w:rsid w:val="0058023D"/>
    <w:rsid w:val="005D18E5"/>
    <w:rsid w:val="00623323"/>
    <w:rsid w:val="0062457F"/>
    <w:rsid w:val="00660361"/>
    <w:rsid w:val="00667497"/>
    <w:rsid w:val="006A0B60"/>
    <w:rsid w:val="006D3963"/>
    <w:rsid w:val="006E0CFF"/>
    <w:rsid w:val="006E31F4"/>
    <w:rsid w:val="00722BAB"/>
    <w:rsid w:val="00735AAA"/>
    <w:rsid w:val="007423B5"/>
    <w:rsid w:val="007646E3"/>
    <w:rsid w:val="00784D0D"/>
    <w:rsid w:val="007856F2"/>
    <w:rsid w:val="007A17F6"/>
    <w:rsid w:val="007C290B"/>
    <w:rsid w:val="007C6F40"/>
    <w:rsid w:val="007E39A2"/>
    <w:rsid w:val="007F5EAE"/>
    <w:rsid w:val="00822F0A"/>
    <w:rsid w:val="0082387A"/>
    <w:rsid w:val="00832C67"/>
    <w:rsid w:val="00832DDC"/>
    <w:rsid w:val="008359C4"/>
    <w:rsid w:val="008449D9"/>
    <w:rsid w:val="008551D0"/>
    <w:rsid w:val="00896284"/>
    <w:rsid w:val="008A0E9D"/>
    <w:rsid w:val="008B1D9E"/>
    <w:rsid w:val="008C4F84"/>
    <w:rsid w:val="008C7529"/>
    <w:rsid w:val="008F5A2E"/>
    <w:rsid w:val="00921E1F"/>
    <w:rsid w:val="0094316B"/>
    <w:rsid w:val="009658CE"/>
    <w:rsid w:val="00970479"/>
    <w:rsid w:val="009930FD"/>
    <w:rsid w:val="009A31A9"/>
    <w:rsid w:val="009E12A8"/>
    <w:rsid w:val="00A00EEB"/>
    <w:rsid w:val="00A24C66"/>
    <w:rsid w:val="00A30147"/>
    <w:rsid w:val="00A318CB"/>
    <w:rsid w:val="00A6241F"/>
    <w:rsid w:val="00AA1651"/>
    <w:rsid w:val="00AA49FE"/>
    <w:rsid w:val="00AC5FEF"/>
    <w:rsid w:val="00AE14E3"/>
    <w:rsid w:val="00AF54E5"/>
    <w:rsid w:val="00B24BB5"/>
    <w:rsid w:val="00B5398D"/>
    <w:rsid w:val="00B54BCB"/>
    <w:rsid w:val="00B613E8"/>
    <w:rsid w:val="00B61A0D"/>
    <w:rsid w:val="00B7401B"/>
    <w:rsid w:val="00B94002"/>
    <w:rsid w:val="00BC64F4"/>
    <w:rsid w:val="00BC69DF"/>
    <w:rsid w:val="00BE632D"/>
    <w:rsid w:val="00BF2B42"/>
    <w:rsid w:val="00C21354"/>
    <w:rsid w:val="00C53A90"/>
    <w:rsid w:val="00C54142"/>
    <w:rsid w:val="00C7359A"/>
    <w:rsid w:val="00CA237D"/>
    <w:rsid w:val="00CA6FB9"/>
    <w:rsid w:val="00CA7CB2"/>
    <w:rsid w:val="00CB10F3"/>
    <w:rsid w:val="00CB29DB"/>
    <w:rsid w:val="00CF1315"/>
    <w:rsid w:val="00CF7700"/>
    <w:rsid w:val="00D056C3"/>
    <w:rsid w:val="00D150DA"/>
    <w:rsid w:val="00D31523"/>
    <w:rsid w:val="00D4002B"/>
    <w:rsid w:val="00D42F3C"/>
    <w:rsid w:val="00D47F24"/>
    <w:rsid w:val="00D83D16"/>
    <w:rsid w:val="00D92AD0"/>
    <w:rsid w:val="00DA335F"/>
    <w:rsid w:val="00DB41FD"/>
    <w:rsid w:val="00DD356F"/>
    <w:rsid w:val="00DD53D5"/>
    <w:rsid w:val="00DF51C4"/>
    <w:rsid w:val="00E01992"/>
    <w:rsid w:val="00E05288"/>
    <w:rsid w:val="00E11E26"/>
    <w:rsid w:val="00E32B9C"/>
    <w:rsid w:val="00E37CE0"/>
    <w:rsid w:val="00E72E91"/>
    <w:rsid w:val="00E85676"/>
    <w:rsid w:val="00EC5F01"/>
    <w:rsid w:val="00ED5659"/>
    <w:rsid w:val="00EE6F2B"/>
    <w:rsid w:val="00F0578E"/>
    <w:rsid w:val="00F11134"/>
    <w:rsid w:val="00F226C7"/>
    <w:rsid w:val="00F27AA9"/>
    <w:rsid w:val="00F51163"/>
    <w:rsid w:val="00F61044"/>
    <w:rsid w:val="00F731AB"/>
    <w:rsid w:val="00F73889"/>
    <w:rsid w:val="00F84DE7"/>
    <w:rsid w:val="00F92910"/>
    <w:rsid w:val="00FE0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29676C"/>
  <w15:chartTrackingRefBased/>
  <w15:docId w15:val="{7FCB7BAA-0D54-4F4A-B62D-70C890401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9FE"/>
    <w:rPr>
      <w:rFonts w:ascii="Times New Roman" w:eastAsia="Times New Roman" w:hAnsi="Times New Roman" w:cs="Times New Roman"/>
      <w:lang w:eastAsia="en-GB"/>
    </w:rPr>
  </w:style>
  <w:style w:type="paragraph" w:styleId="Heading1">
    <w:name w:val="heading 1"/>
    <w:basedOn w:val="Normal"/>
    <w:link w:val="Heading1Char"/>
    <w:uiPriority w:val="9"/>
    <w:qFormat/>
    <w:rsid w:val="008551D0"/>
    <w:pPr>
      <w:spacing w:before="100" w:beforeAutospacing="1" w:after="100" w:afterAutospacing="1"/>
      <w:outlineLvl w:val="0"/>
    </w:pPr>
    <w:rPr>
      <w:b/>
      <w:bCs/>
      <w:kern w:val="36"/>
      <w:sz w:val="40"/>
      <w:szCs w:val="40"/>
    </w:rPr>
  </w:style>
  <w:style w:type="paragraph" w:styleId="Heading2">
    <w:name w:val="heading 2"/>
    <w:basedOn w:val="Normal"/>
    <w:next w:val="Normal"/>
    <w:link w:val="Heading2Char"/>
    <w:uiPriority w:val="9"/>
    <w:unhideWhenUsed/>
    <w:qFormat/>
    <w:rsid w:val="00577EFC"/>
    <w:pPr>
      <w:keepNext/>
      <w:keepLines/>
      <w:spacing w:before="40" w:line="276" w:lineRule="auto"/>
      <w:outlineLvl w:val="1"/>
    </w:pPr>
    <w:rPr>
      <w:rFonts w:eastAsiaTheme="majorEastAsia"/>
      <w:b/>
      <w:bCs/>
      <w:color w:val="000000" w:themeColor="text1"/>
      <w:sz w:val="30"/>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7700"/>
    <w:pPr>
      <w:spacing w:before="100" w:beforeAutospacing="1" w:after="100" w:afterAutospacing="1"/>
    </w:pPr>
  </w:style>
  <w:style w:type="character" w:customStyle="1" w:styleId="Heading1Char">
    <w:name w:val="Heading 1 Char"/>
    <w:basedOn w:val="DefaultParagraphFont"/>
    <w:link w:val="Heading1"/>
    <w:uiPriority w:val="9"/>
    <w:rsid w:val="008551D0"/>
    <w:rPr>
      <w:rFonts w:ascii="Times New Roman" w:eastAsia="Times New Roman" w:hAnsi="Times New Roman" w:cs="Times New Roman"/>
      <w:b/>
      <w:bCs/>
      <w:kern w:val="36"/>
      <w:sz w:val="40"/>
      <w:szCs w:val="40"/>
      <w:lang w:eastAsia="en-GB"/>
    </w:rPr>
  </w:style>
  <w:style w:type="paragraph" w:styleId="TOCHeading">
    <w:name w:val="TOC Heading"/>
    <w:basedOn w:val="Heading1"/>
    <w:next w:val="Normal"/>
    <w:uiPriority w:val="39"/>
    <w:unhideWhenUsed/>
    <w:qFormat/>
    <w:rsid w:val="008449D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8449D9"/>
    <w:pPr>
      <w:spacing w:before="120"/>
    </w:pPr>
    <w:rPr>
      <w:rFonts w:asciiTheme="minorHAnsi" w:hAnsiTheme="minorHAnsi" w:cstheme="minorHAnsi"/>
      <w:b/>
      <w:bCs/>
      <w:i/>
      <w:iCs/>
    </w:rPr>
  </w:style>
  <w:style w:type="character" w:styleId="Hyperlink">
    <w:name w:val="Hyperlink"/>
    <w:basedOn w:val="DefaultParagraphFont"/>
    <w:uiPriority w:val="99"/>
    <w:unhideWhenUsed/>
    <w:rsid w:val="008449D9"/>
    <w:rPr>
      <w:color w:val="0563C1" w:themeColor="hyperlink"/>
      <w:u w:val="single"/>
    </w:rPr>
  </w:style>
  <w:style w:type="paragraph" w:styleId="TOC2">
    <w:name w:val="toc 2"/>
    <w:basedOn w:val="Normal"/>
    <w:next w:val="Normal"/>
    <w:autoRedefine/>
    <w:uiPriority w:val="39"/>
    <w:unhideWhenUsed/>
    <w:rsid w:val="008449D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449D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449D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449D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449D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449D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449D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449D9"/>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577EFC"/>
    <w:rPr>
      <w:rFonts w:ascii="Times New Roman" w:eastAsiaTheme="majorEastAsia" w:hAnsi="Times New Roman" w:cs="Times New Roman"/>
      <w:b/>
      <w:bCs/>
      <w:color w:val="000000" w:themeColor="text1"/>
      <w:sz w:val="30"/>
      <w:szCs w:val="30"/>
      <w:u w:val="single"/>
      <w:lang w:eastAsia="en-GB"/>
    </w:rPr>
  </w:style>
  <w:style w:type="paragraph" w:styleId="NoSpacing">
    <w:name w:val="No Spacing"/>
    <w:uiPriority w:val="1"/>
    <w:qFormat/>
    <w:rsid w:val="008551D0"/>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1178">
      <w:bodyDiv w:val="1"/>
      <w:marLeft w:val="0"/>
      <w:marRight w:val="0"/>
      <w:marTop w:val="0"/>
      <w:marBottom w:val="0"/>
      <w:divBdr>
        <w:top w:val="none" w:sz="0" w:space="0" w:color="auto"/>
        <w:left w:val="none" w:sz="0" w:space="0" w:color="auto"/>
        <w:bottom w:val="none" w:sz="0" w:space="0" w:color="auto"/>
        <w:right w:val="none" w:sz="0" w:space="0" w:color="auto"/>
      </w:divBdr>
    </w:div>
    <w:div w:id="15891284">
      <w:bodyDiv w:val="1"/>
      <w:marLeft w:val="0"/>
      <w:marRight w:val="0"/>
      <w:marTop w:val="0"/>
      <w:marBottom w:val="0"/>
      <w:divBdr>
        <w:top w:val="none" w:sz="0" w:space="0" w:color="auto"/>
        <w:left w:val="none" w:sz="0" w:space="0" w:color="auto"/>
        <w:bottom w:val="none" w:sz="0" w:space="0" w:color="auto"/>
        <w:right w:val="none" w:sz="0" w:space="0" w:color="auto"/>
      </w:divBdr>
    </w:div>
    <w:div w:id="59443203">
      <w:bodyDiv w:val="1"/>
      <w:marLeft w:val="0"/>
      <w:marRight w:val="0"/>
      <w:marTop w:val="0"/>
      <w:marBottom w:val="0"/>
      <w:divBdr>
        <w:top w:val="none" w:sz="0" w:space="0" w:color="auto"/>
        <w:left w:val="none" w:sz="0" w:space="0" w:color="auto"/>
        <w:bottom w:val="none" w:sz="0" w:space="0" w:color="auto"/>
        <w:right w:val="none" w:sz="0" w:space="0" w:color="auto"/>
      </w:divBdr>
    </w:div>
    <w:div w:id="62415510">
      <w:bodyDiv w:val="1"/>
      <w:marLeft w:val="0"/>
      <w:marRight w:val="0"/>
      <w:marTop w:val="0"/>
      <w:marBottom w:val="0"/>
      <w:divBdr>
        <w:top w:val="none" w:sz="0" w:space="0" w:color="auto"/>
        <w:left w:val="none" w:sz="0" w:space="0" w:color="auto"/>
        <w:bottom w:val="none" w:sz="0" w:space="0" w:color="auto"/>
        <w:right w:val="none" w:sz="0" w:space="0" w:color="auto"/>
      </w:divBdr>
    </w:div>
    <w:div w:id="82604874">
      <w:bodyDiv w:val="1"/>
      <w:marLeft w:val="0"/>
      <w:marRight w:val="0"/>
      <w:marTop w:val="0"/>
      <w:marBottom w:val="0"/>
      <w:divBdr>
        <w:top w:val="none" w:sz="0" w:space="0" w:color="auto"/>
        <w:left w:val="none" w:sz="0" w:space="0" w:color="auto"/>
        <w:bottom w:val="none" w:sz="0" w:space="0" w:color="auto"/>
        <w:right w:val="none" w:sz="0" w:space="0" w:color="auto"/>
      </w:divBdr>
    </w:div>
    <w:div w:id="110366498">
      <w:bodyDiv w:val="1"/>
      <w:marLeft w:val="0"/>
      <w:marRight w:val="0"/>
      <w:marTop w:val="0"/>
      <w:marBottom w:val="0"/>
      <w:divBdr>
        <w:top w:val="none" w:sz="0" w:space="0" w:color="auto"/>
        <w:left w:val="none" w:sz="0" w:space="0" w:color="auto"/>
        <w:bottom w:val="none" w:sz="0" w:space="0" w:color="auto"/>
        <w:right w:val="none" w:sz="0" w:space="0" w:color="auto"/>
      </w:divBdr>
    </w:div>
    <w:div w:id="115566000">
      <w:bodyDiv w:val="1"/>
      <w:marLeft w:val="0"/>
      <w:marRight w:val="0"/>
      <w:marTop w:val="0"/>
      <w:marBottom w:val="0"/>
      <w:divBdr>
        <w:top w:val="none" w:sz="0" w:space="0" w:color="auto"/>
        <w:left w:val="none" w:sz="0" w:space="0" w:color="auto"/>
        <w:bottom w:val="none" w:sz="0" w:space="0" w:color="auto"/>
        <w:right w:val="none" w:sz="0" w:space="0" w:color="auto"/>
      </w:divBdr>
    </w:div>
    <w:div w:id="115679505">
      <w:bodyDiv w:val="1"/>
      <w:marLeft w:val="0"/>
      <w:marRight w:val="0"/>
      <w:marTop w:val="0"/>
      <w:marBottom w:val="0"/>
      <w:divBdr>
        <w:top w:val="none" w:sz="0" w:space="0" w:color="auto"/>
        <w:left w:val="none" w:sz="0" w:space="0" w:color="auto"/>
        <w:bottom w:val="none" w:sz="0" w:space="0" w:color="auto"/>
        <w:right w:val="none" w:sz="0" w:space="0" w:color="auto"/>
      </w:divBdr>
    </w:div>
    <w:div w:id="149493103">
      <w:bodyDiv w:val="1"/>
      <w:marLeft w:val="0"/>
      <w:marRight w:val="0"/>
      <w:marTop w:val="0"/>
      <w:marBottom w:val="0"/>
      <w:divBdr>
        <w:top w:val="none" w:sz="0" w:space="0" w:color="auto"/>
        <w:left w:val="none" w:sz="0" w:space="0" w:color="auto"/>
        <w:bottom w:val="none" w:sz="0" w:space="0" w:color="auto"/>
        <w:right w:val="none" w:sz="0" w:space="0" w:color="auto"/>
      </w:divBdr>
    </w:div>
    <w:div w:id="171728034">
      <w:bodyDiv w:val="1"/>
      <w:marLeft w:val="0"/>
      <w:marRight w:val="0"/>
      <w:marTop w:val="0"/>
      <w:marBottom w:val="0"/>
      <w:divBdr>
        <w:top w:val="none" w:sz="0" w:space="0" w:color="auto"/>
        <w:left w:val="none" w:sz="0" w:space="0" w:color="auto"/>
        <w:bottom w:val="none" w:sz="0" w:space="0" w:color="auto"/>
        <w:right w:val="none" w:sz="0" w:space="0" w:color="auto"/>
      </w:divBdr>
    </w:div>
    <w:div w:id="185943188">
      <w:bodyDiv w:val="1"/>
      <w:marLeft w:val="0"/>
      <w:marRight w:val="0"/>
      <w:marTop w:val="0"/>
      <w:marBottom w:val="0"/>
      <w:divBdr>
        <w:top w:val="none" w:sz="0" w:space="0" w:color="auto"/>
        <w:left w:val="none" w:sz="0" w:space="0" w:color="auto"/>
        <w:bottom w:val="none" w:sz="0" w:space="0" w:color="auto"/>
        <w:right w:val="none" w:sz="0" w:space="0" w:color="auto"/>
      </w:divBdr>
    </w:div>
    <w:div w:id="197011018">
      <w:bodyDiv w:val="1"/>
      <w:marLeft w:val="0"/>
      <w:marRight w:val="0"/>
      <w:marTop w:val="0"/>
      <w:marBottom w:val="0"/>
      <w:divBdr>
        <w:top w:val="none" w:sz="0" w:space="0" w:color="auto"/>
        <w:left w:val="none" w:sz="0" w:space="0" w:color="auto"/>
        <w:bottom w:val="none" w:sz="0" w:space="0" w:color="auto"/>
        <w:right w:val="none" w:sz="0" w:space="0" w:color="auto"/>
      </w:divBdr>
    </w:div>
    <w:div w:id="220799216">
      <w:bodyDiv w:val="1"/>
      <w:marLeft w:val="0"/>
      <w:marRight w:val="0"/>
      <w:marTop w:val="0"/>
      <w:marBottom w:val="0"/>
      <w:divBdr>
        <w:top w:val="none" w:sz="0" w:space="0" w:color="auto"/>
        <w:left w:val="none" w:sz="0" w:space="0" w:color="auto"/>
        <w:bottom w:val="none" w:sz="0" w:space="0" w:color="auto"/>
        <w:right w:val="none" w:sz="0" w:space="0" w:color="auto"/>
      </w:divBdr>
    </w:div>
    <w:div w:id="223374727">
      <w:bodyDiv w:val="1"/>
      <w:marLeft w:val="0"/>
      <w:marRight w:val="0"/>
      <w:marTop w:val="0"/>
      <w:marBottom w:val="0"/>
      <w:divBdr>
        <w:top w:val="none" w:sz="0" w:space="0" w:color="auto"/>
        <w:left w:val="none" w:sz="0" w:space="0" w:color="auto"/>
        <w:bottom w:val="none" w:sz="0" w:space="0" w:color="auto"/>
        <w:right w:val="none" w:sz="0" w:space="0" w:color="auto"/>
      </w:divBdr>
    </w:div>
    <w:div w:id="250822713">
      <w:bodyDiv w:val="1"/>
      <w:marLeft w:val="0"/>
      <w:marRight w:val="0"/>
      <w:marTop w:val="0"/>
      <w:marBottom w:val="0"/>
      <w:divBdr>
        <w:top w:val="none" w:sz="0" w:space="0" w:color="auto"/>
        <w:left w:val="none" w:sz="0" w:space="0" w:color="auto"/>
        <w:bottom w:val="none" w:sz="0" w:space="0" w:color="auto"/>
        <w:right w:val="none" w:sz="0" w:space="0" w:color="auto"/>
      </w:divBdr>
    </w:div>
    <w:div w:id="258025772">
      <w:bodyDiv w:val="1"/>
      <w:marLeft w:val="0"/>
      <w:marRight w:val="0"/>
      <w:marTop w:val="0"/>
      <w:marBottom w:val="0"/>
      <w:divBdr>
        <w:top w:val="none" w:sz="0" w:space="0" w:color="auto"/>
        <w:left w:val="none" w:sz="0" w:space="0" w:color="auto"/>
        <w:bottom w:val="none" w:sz="0" w:space="0" w:color="auto"/>
        <w:right w:val="none" w:sz="0" w:space="0" w:color="auto"/>
      </w:divBdr>
    </w:div>
    <w:div w:id="275600242">
      <w:bodyDiv w:val="1"/>
      <w:marLeft w:val="0"/>
      <w:marRight w:val="0"/>
      <w:marTop w:val="0"/>
      <w:marBottom w:val="0"/>
      <w:divBdr>
        <w:top w:val="none" w:sz="0" w:space="0" w:color="auto"/>
        <w:left w:val="none" w:sz="0" w:space="0" w:color="auto"/>
        <w:bottom w:val="none" w:sz="0" w:space="0" w:color="auto"/>
        <w:right w:val="none" w:sz="0" w:space="0" w:color="auto"/>
      </w:divBdr>
    </w:div>
    <w:div w:id="336351505">
      <w:bodyDiv w:val="1"/>
      <w:marLeft w:val="0"/>
      <w:marRight w:val="0"/>
      <w:marTop w:val="0"/>
      <w:marBottom w:val="0"/>
      <w:divBdr>
        <w:top w:val="none" w:sz="0" w:space="0" w:color="auto"/>
        <w:left w:val="none" w:sz="0" w:space="0" w:color="auto"/>
        <w:bottom w:val="none" w:sz="0" w:space="0" w:color="auto"/>
        <w:right w:val="none" w:sz="0" w:space="0" w:color="auto"/>
      </w:divBdr>
    </w:div>
    <w:div w:id="336425983">
      <w:bodyDiv w:val="1"/>
      <w:marLeft w:val="0"/>
      <w:marRight w:val="0"/>
      <w:marTop w:val="0"/>
      <w:marBottom w:val="0"/>
      <w:divBdr>
        <w:top w:val="none" w:sz="0" w:space="0" w:color="auto"/>
        <w:left w:val="none" w:sz="0" w:space="0" w:color="auto"/>
        <w:bottom w:val="none" w:sz="0" w:space="0" w:color="auto"/>
        <w:right w:val="none" w:sz="0" w:space="0" w:color="auto"/>
      </w:divBdr>
    </w:div>
    <w:div w:id="347871130">
      <w:bodyDiv w:val="1"/>
      <w:marLeft w:val="0"/>
      <w:marRight w:val="0"/>
      <w:marTop w:val="0"/>
      <w:marBottom w:val="0"/>
      <w:divBdr>
        <w:top w:val="none" w:sz="0" w:space="0" w:color="auto"/>
        <w:left w:val="none" w:sz="0" w:space="0" w:color="auto"/>
        <w:bottom w:val="none" w:sz="0" w:space="0" w:color="auto"/>
        <w:right w:val="none" w:sz="0" w:space="0" w:color="auto"/>
      </w:divBdr>
    </w:div>
    <w:div w:id="357776434">
      <w:bodyDiv w:val="1"/>
      <w:marLeft w:val="0"/>
      <w:marRight w:val="0"/>
      <w:marTop w:val="0"/>
      <w:marBottom w:val="0"/>
      <w:divBdr>
        <w:top w:val="none" w:sz="0" w:space="0" w:color="auto"/>
        <w:left w:val="none" w:sz="0" w:space="0" w:color="auto"/>
        <w:bottom w:val="none" w:sz="0" w:space="0" w:color="auto"/>
        <w:right w:val="none" w:sz="0" w:space="0" w:color="auto"/>
      </w:divBdr>
    </w:div>
    <w:div w:id="416824046">
      <w:bodyDiv w:val="1"/>
      <w:marLeft w:val="0"/>
      <w:marRight w:val="0"/>
      <w:marTop w:val="0"/>
      <w:marBottom w:val="0"/>
      <w:divBdr>
        <w:top w:val="none" w:sz="0" w:space="0" w:color="auto"/>
        <w:left w:val="none" w:sz="0" w:space="0" w:color="auto"/>
        <w:bottom w:val="none" w:sz="0" w:space="0" w:color="auto"/>
        <w:right w:val="none" w:sz="0" w:space="0" w:color="auto"/>
      </w:divBdr>
    </w:div>
    <w:div w:id="429811451">
      <w:bodyDiv w:val="1"/>
      <w:marLeft w:val="0"/>
      <w:marRight w:val="0"/>
      <w:marTop w:val="0"/>
      <w:marBottom w:val="0"/>
      <w:divBdr>
        <w:top w:val="none" w:sz="0" w:space="0" w:color="auto"/>
        <w:left w:val="none" w:sz="0" w:space="0" w:color="auto"/>
        <w:bottom w:val="none" w:sz="0" w:space="0" w:color="auto"/>
        <w:right w:val="none" w:sz="0" w:space="0" w:color="auto"/>
      </w:divBdr>
      <w:divsChild>
        <w:div w:id="873539294">
          <w:marLeft w:val="0"/>
          <w:marRight w:val="0"/>
          <w:marTop w:val="0"/>
          <w:marBottom w:val="0"/>
          <w:divBdr>
            <w:top w:val="none" w:sz="0" w:space="0" w:color="auto"/>
            <w:left w:val="none" w:sz="0" w:space="0" w:color="auto"/>
            <w:bottom w:val="none" w:sz="0" w:space="0" w:color="auto"/>
            <w:right w:val="none" w:sz="0" w:space="0" w:color="auto"/>
          </w:divBdr>
        </w:div>
      </w:divsChild>
    </w:div>
    <w:div w:id="440221165">
      <w:bodyDiv w:val="1"/>
      <w:marLeft w:val="0"/>
      <w:marRight w:val="0"/>
      <w:marTop w:val="0"/>
      <w:marBottom w:val="0"/>
      <w:divBdr>
        <w:top w:val="none" w:sz="0" w:space="0" w:color="auto"/>
        <w:left w:val="none" w:sz="0" w:space="0" w:color="auto"/>
        <w:bottom w:val="none" w:sz="0" w:space="0" w:color="auto"/>
        <w:right w:val="none" w:sz="0" w:space="0" w:color="auto"/>
      </w:divBdr>
    </w:div>
    <w:div w:id="452794385">
      <w:bodyDiv w:val="1"/>
      <w:marLeft w:val="0"/>
      <w:marRight w:val="0"/>
      <w:marTop w:val="0"/>
      <w:marBottom w:val="0"/>
      <w:divBdr>
        <w:top w:val="none" w:sz="0" w:space="0" w:color="auto"/>
        <w:left w:val="none" w:sz="0" w:space="0" w:color="auto"/>
        <w:bottom w:val="none" w:sz="0" w:space="0" w:color="auto"/>
        <w:right w:val="none" w:sz="0" w:space="0" w:color="auto"/>
      </w:divBdr>
    </w:div>
    <w:div w:id="475151928">
      <w:bodyDiv w:val="1"/>
      <w:marLeft w:val="0"/>
      <w:marRight w:val="0"/>
      <w:marTop w:val="0"/>
      <w:marBottom w:val="0"/>
      <w:divBdr>
        <w:top w:val="none" w:sz="0" w:space="0" w:color="auto"/>
        <w:left w:val="none" w:sz="0" w:space="0" w:color="auto"/>
        <w:bottom w:val="none" w:sz="0" w:space="0" w:color="auto"/>
        <w:right w:val="none" w:sz="0" w:space="0" w:color="auto"/>
      </w:divBdr>
    </w:div>
    <w:div w:id="510218070">
      <w:bodyDiv w:val="1"/>
      <w:marLeft w:val="0"/>
      <w:marRight w:val="0"/>
      <w:marTop w:val="0"/>
      <w:marBottom w:val="0"/>
      <w:divBdr>
        <w:top w:val="none" w:sz="0" w:space="0" w:color="auto"/>
        <w:left w:val="none" w:sz="0" w:space="0" w:color="auto"/>
        <w:bottom w:val="none" w:sz="0" w:space="0" w:color="auto"/>
        <w:right w:val="none" w:sz="0" w:space="0" w:color="auto"/>
      </w:divBdr>
    </w:div>
    <w:div w:id="511527500">
      <w:bodyDiv w:val="1"/>
      <w:marLeft w:val="0"/>
      <w:marRight w:val="0"/>
      <w:marTop w:val="0"/>
      <w:marBottom w:val="0"/>
      <w:divBdr>
        <w:top w:val="none" w:sz="0" w:space="0" w:color="auto"/>
        <w:left w:val="none" w:sz="0" w:space="0" w:color="auto"/>
        <w:bottom w:val="none" w:sz="0" w:space="0" w:color="auto"/>
        <w:right w:val="none" w:sz="0" w:space="0" w:color="auto"/>
      </w:divBdr>
      <w:divsChild>
        <w:div w:id="915087713">
          <w:marLeft w:val="0"/>
          <w:marRight w:val="0"/>
          <w:marTop w:val="0"/>
          <w:marBottom w:val="0"/>
          <w:divBdr>
            <w:top w:val="none" w:sz="0" w:space="0" w:color="auto"/>
            <w:left w:val="none" w:sz="0" w:space="0" w:color="auto"/>
            <w:bottom w:val="none" w:sz="0" w:space="0" w:color="auto"/>
            <w:right w:val="none" w:sz="0" w:space="0" w:color="auto"/>
          </w:divBdr>
        </w:div>
      </w:divsChild>
    </w:div>
    <w:div w:id="534387500">
      <w:bodyDiv w:val="1"/>
      <w:marLeft w:val="0"/>
      <w:marRight w:val="0"/>
      <w:marTop w:val="0"/>
      <w:marBottom w:val="0"/>
      <w:divBdr>
        <w:top w:val="none" w:sz="0" w:space="0" w:color="auto"/>
        <w:left w:val="none" w:sz="0" w:space="0" w:color="auto"/>
        <w:bottom w:val="none" w:sz="0" w:space="0" w:color="auto"/>
        <w:right w:val="none" w:sz="0" w:space="0" w:color="auto"/>
      </w:divBdr>
    </w:div>
    <w:div w:id="536894560">
      <w:bodyDiv w:val="1"/>
      <w:marLeft w:val="0"/>
      <w:marRight w:val="0"/>
      <w:marTop w:val="0"/>
      <w:marBottom w:val="0"/>
      <w:divBdr>
        <w:top w:val="none" w:sz="0" w:space="0" w:color="auto"/>
        <w:left w:val="none" w:sz="0" w:space="0" w:color="auto"/>
        <w:bottom w:val="none" w:sz="0" w:space="0" w:color="auto"/>
        <w:right w:val="none" w:sz="0" w:space="0" w:color="auto"/>
      </w:divBdr>
    </w:div>
    <w:div w:id="548690566">
      <w:bodyDiv w:val="1"/>
      <w:marLeft w:val="0"/>
      <w:marRight w:val="0"/>
      <w:marTop w:val="0"/>
      <w:marBottom w:val="0"/>
      <w:divBdr>
        <w:top w:val="none" w:sz="0" w:space="0" w:color="auto"/>
        <w:left w:val="none" w:sz="0" w:space="0" w:color="auto"/>
        <w:bottom w:val="none" w:sz="0" w:space="0" w:color="auto"/>
        <w:right w:val="none" w:sz="0" w:space="0" w:color="auto"/>
      </w:divBdr>
    </w:div>
    <w:div w:id="553199822">
      <w:bodyDiv w:val="1"/>
      <w:marLeft w:val="0"/>
      <w:marRight w:val="0"/>
      <w:marTop w:val="0"/>
      <w:marBottom w:val="0"/>
      <w:divBdr>
        <w:top w:val="none" w:sz="0" w:space="0" w:color="auto"/>
        <w:left w:val="none" w:sz="0" w:space="0" w:color="auto"/>
        <w:bottom w:val="none" w:sz="0" w:space="0" w:color="auto"/>
        <w:right w:val="none" w:sz="0" w:space="0" w:color="auto"/>
      </w:divBdr>
    </w:div>
    <w:div w:id="595478170">
      <w:bodyDiv w:val="1"/>
      <w:marLeft w:val="0"/>
      <w:marRight w:val="0"/>
      <w:marTop w:val="0"/>
      <w:marBottom w:val="0"/>
      <w:divBdr>
        <w:top w:val="none" w:sz="0" w:space="0" w:color="auto"/>
        <w:left w:val="none" w:sz="0" w:space="0" w:color="auto"/>
        <w:bottom w:val="none" w:sz="0" w:space="0" w:color="auto"/>
        <w:right w:val="none" w:sz="0" w:space="0" w:color="auto"/>
      </w:divBdr>
    </w:div>
    <w:div w:id="609170974">
      <w:bodyDiv w:val="1"/>
      <w:marLeft w:val="0"/>
      <w:marRight w:val="0"/>
      <w:marTop w:val="0"/>
      <w:marBottom w:val="0"/>
      <w:divBdr>
        <w:top w:val="none" w:sz="0" w:space="0" w:color="auto"/>
        <w:left w:val="none" w:sz="0" w:space="0" w:color="auto"/>
        <w:bottom w:val="none" w:sz="0" w:space="0" w:color="auto"/>
        <w:right w:val="none" w:sz="0" w:space="0" w:color="auto"/>
      </w:divBdr>
    </w:div>
    <w:div w:id="644890107">
      <w:bodyDiv w:val="1"/>
      <w:marLeft w:val="0"/>
      <w:marRight w:val="0"/>
      <w:marTop w:val="0"/>
      <w:marBottom w:val="0"/>
      <w:divBdr>
        <w:top w:val="none" w:sz="0" w:space="0" w:color="auto"/>
        <w:left w:val="none" w:sz="0" w:space="0" w:color="auto"/>
        <w:bottom w:val="none" w:sz="0" w:space="0" w:color="auto"/>
        <w:right w:val="none" w:sz="0" w:space="0" w:color="auto"/>
      </w:divBdr>
    </w:div>
    <w:div w:id="666174676">
      <w:bodyDiv w:val="1"/>
      <w:marLeft w:val="0"/>
      <w:marRight w:val="0"/>
      <w:marTop w:val="0"/>
      <w:marBottom w:val="0"/>
      <w:divBdr>
        <w:top w:val="none" w:sz="0" w:space="0" w:color="auto"/>
        <w:left w:val="none" w:sz="0" w:space="0" w:color="auto"/>
        <w:bottom w:val="none" w:sz="0" w:space="0" w:color="auto"/>
        <w:right w:val="none" w:sz="0" w:space="0" w:color="auto"/>
      </w:divBdr>
    </w:div>
    <w:div w:id="693850281">
      <w:bodyDiv w:val="1"/>
      <w:marLeft w:val="0"/>
      <w:marRight w:val="0"/>
      <w:marTop w:val="0"/>
      <w:marBottom w:val="0"/>
      <w:divBdr>
        <w:top w:val="none" w:sz="0" w:space="0" w:color="auto"/>
        <w:left w:val="none" w:sz="0" w:space="0" w:color="auto"/>
        <w:bottom w:val="none" w:sz="0" w:space="0" w:color="auto"/>
        <w:right w:val="none" w:sz="0" w:space="0" w:color="auto"/>
      </w:divBdr>
    </w:div>
    <w:div w:id="720832975">
      <w:bodyDiv w:val="1"/>
      <w:marLeft w:val="0"/>
      <w:marRight w:val="0"/>
      <w:marTop w:val="0"/>
      <w:marBottom w:val="0"/>
      <w:divBdr>
        <w:top w:val="none" w:sz="0" w:space="0" w:color="auto"/>
        <w:left w:val="none" w:sz="0" w:space="0" w:color="auto"/>
        <w:bottom w:val="none" w:sz="0" w:space="0" w:color="auto"/>
        <w:right w:val="none" w:sz="0" w:space="0" w:color="auto"/>
      </w:divBdr>
    </w:div>
    <w:div w:id="725370206">
      <w:bodyDiv w:val="1"/>
      <w:marLeft w:val="0"/>
      <w:marRight w:val="0"/>
      <w:marTop w:val="0"/>
      <w:marBottom w:val="0"/>
      <w:divBdr>
        <w:top w:val="none" w:sz="0" w:space="0" w:color="auto"/>
        <w:left w:val="none" w:sz="0" w:space="0" w:color="auto"/>
        <w:bottom w:val="none" w:sz="0" w:space="0" w:color="auto"/>
        <w:right w:val="none" w:sz="0" w:space="0" w:color="auto"/>
      </w:divBdr>
    </w:div>
    <w:div w:id="740326518">
      <w:bodyDiv w:val="1"/>
      <w:marLeft w:val="0"/>
      <w:marRight w:val="0"/>
      <w:marTop w:val="0"/>
      <w:marBottom w:val="0"/>
      <w:divBdr>
        <w:top w:val="none" w:sz="0" w:space="0" w:color="auto"/>
        <w:left w:val="none" w:sz="0" w:space="0" w:color="auto"/>
        <w:bottom w:val="none" w:sz="0" w:space="0" w:color="auto"/>
        <w:right w:val="none" w:sz="0" w:space="0" w:color="auto"/>
      </w:divBdr>
    </w:div>
    <w:div w:id="771826858">
      <w:bodyDiv w:val="1"/>
      <w:marLeft w:val="0"/>
      <w:marRight w:val="0"/>
      <w:marTop w:val="0"/>
      <w:marBottom w:val="0"/>
      <w:divBdr>
        <w:top w:val="none" w:sz="0" w:space="0" w:color="auto"/>
        <w:left w:val="none" w:sz="0" w:space="0" w:color="auto"/>
        <w:bottom w:val="none" w:sz="0" w:space="0" w:color="auto"/>
        <w:right w:val="none" w:sz="0" w:space="0" w:color="auto"/>
      </w:divBdr>
    </w:div>
    <w:div w:id="774862480">
      <w:bodyDiv w:val="1"/>
      <w:marLeft w:val="0"/>
      <w:marRight w:val="0"/>
      <w:marTop w:val="0"/>
      <w:marBottom w:val="0"/>
      <w:divBdr>
        <w:top w:val="none" w:sz="0" w:space="0" w:color="auto"/>
        <w:left w:val="none" w:sz="0" w:space="0" w:color="auto"/>
        <w:bottom w:val="none" w:sz="0" w:space="0" w:color="auto"/>
        <w:right w:val="none" w:sz="0" w:space="0" w:color="auto"/>
      </w:divBdr>
    </w:div>
    <w:div w:id="797450542">
      <w:bodyDiv w:val="1"/>
      <w:marLeft w:val="0"/>
      <w:marRight w:val="0"/>
      <w:marTop w:val="0"/>
      <w:marBottom w:val="0"/>
      <w:divBdr>
        <w:top w:val="none" w:sz="0" w:space="0" w:color="auto"/>
        <w:left w:val="none" w:sz="0" w:space="0" w:color="auto"/>
        <w:bottom w:val="none" w:sz="0" w:space="0" w:color="auto"/>
        <w:right w:val="none" w:sz="0" w:space="0" w:color="auto"/>
      </w:divBdr>
    </w:div>
    <w:div w:id="806892714">
      <w:bodyDiv w:val="1"/>
      <w:marLeft w:val="0"/>
      <w:marRight w:val="0"/>
      <w:marTop w:val="0"/>
      <w:marBottom w:val="0"/>
      <w:divBdr>
        <w:top w:val="none" w:sz="0" w:space="0" w:color="auto"/>
        <w:left w:val="none" w:sz="0" w:space="0" w:color="auto"/>
        <w:bottom w:val="none" w:sz="0" w:space="0" w:color="auto"/>
        <w:right w:val="none" w:sz="0" w:space="0" w:color="auto"/>
      </w:divBdr>
    </w:div>
    <w:div w:id="902374187">
      <w:bodyDiv w:val="1"/>
      <w:marLeft w:val="0"/>
      <w:marRight w:val="0"/>
      <w:marTop w:val="0"/>
      <w:marBottom w:val="0"/>
      <w:divBdr>
        <w:top w:val="none" w:sz="0" w:space="0" w:color="auto"/>
        <w:left w:val="none" w:sz="0" w:space="0" w:color="auto"/>
        <w:bottom w:val="none" w:sz="0" w:space="0" w:color="auto"/>
        <w:right w:val="none" w:sz="0" w:space="0" w:color="auto"/>
      </w:divBdr>
    </w:div>
    <w:div w:id="919632175">
      <w:bodyDiv w:val="1"/>
      <w:marLeft w:val="0"/>
      <w:marRight w:val="0"/>
      <w:marTop w:val="0"/>
      <w:marBottom w:val="0"/>
      <w:divBdr>
        <w:top w:val="none" w:sz="0" w:space="0" w:color="auto"/>
        <w:left w:val="none" w:sz="0" w:space="0" w:color="auto"/>
        <w:bottom w:val="none" w:sz="0" w:space="0" w:color="auto"/>
        <w:right w:val="none" w:sz="0" w:space="0" w:color="auto"/>
      </w:divBdr>
    </w:div>
    <w:div w:id="942612456">
      <w:bodyDiv w:val="1"/>
      <w:marLeft w:val="0"/>
      <w:marRight w:val="0"/>
      <w:marTop w:val="0"/>
      <w:marBottom w:val="0"/>
      <w:divBdr>
        <w:top w:val="none" w:sz="0" w:space="0" w:color="auto"/>
        <w:left w:val="none" w:sz="0" w:space="0" w:color="auto"/>
        <w:bottom w:val="none" w:sz="0" w:space="0" w:color="auto"/>
        <w:right w:val="none" w:sz="0" w:space="0" w:color="auto"/>
      </w:divBdr>
    </w:div>
    <w:div w:id="949512815">
      <w:bodyDiv w:val="1"/>
      <w:marLeft w:val="0"/>
      <w:marRight w:val="0"/>
      <w:marTop w:val="0"/>
      <w:marBottom w:val="0"/>
      <w:divBdr>
        <w:top w:val="none" w:sz="0" w:space="0" w:color="auto"/>
        <w:left w:val="none" w:sz="0" w:space="0" w:color="auto"/>
        <w:bottom w:val="none" w:sz="0" w:space="0" w:color="auto"/>
        <w:right w:val="none" w:sz="0" w:space="0" w:color="auto"/>
      </w:divBdr>
    </w:div>
    <w:div w:id="956835244">
      <w:bodyDiv w:val="1"/>
      <w:marLeft w:val="0"/>
      <w:marRight w:val="0"/>
      <w:marTop w:val="0"/>
      <w:marBottom w:val="0"/>
      <w:divBdr>
        <w:top w:val="none" w:sz="0" w:space="0" w:color="auto"/>
        <w:left w:val="none" w:sz="0" w:space="0" w:color="auto"/>
        <w:bottom w:val="none" w:sz="0" w:space="0" w:color="auto"/>
        <w:right w:val="none" w:sz="0" w:space="0" w:color="auto"/>
      </w:divBdr>
    </w:div>
    <w:div w:id="963772888">
      <w:bodyDiv w:val="1"/>
      <w:marLeft w:val="0"/>
      <w:marRight w:val="0"/>
      <w:marTop w:val="0"/>
      <w:marBottom w:val="0"/>
      <w:divBdr>
        <w:top w:val="none" w:sz="0" w:space="0" w:color="auto"/>
        <w:left w:val="none" w:sz="0" w:space="0" w:color="auto"/>
        <w:bottom w:val="none" w:sz="0" w:space="0" w:color="auto"/>
        <w:right w:val="none" w:sz="0" w:space="0" w:color="auto"/>
      </w:divBdr>
    </w:div>
    <w:div w:id="987636413">
      <w:bodyDiv w:val="1"/>
      <w:marLeft w:val="0"/>
      <w:marRight w:val="0"/>
      <w:marTop w:val="0"/>
      <w:marBottom w:val="0"/>
      <w:divBdr>
        <w:top w:val="none" w:sz="0" w:space="0" w:color="auto"/>
        <w:left w:val="none" w:sz="0" w:space="0" w:color="auto"/>
        <w:bottom w:val="none" w:sz="0" w:space="0" w:color="auto"/>
        <w:right w:val="none" w:sz="0" w:space="0" w:color="auto"/>
      </w:divBdr>
    </w:div>
    <w:div w:id="1003438229">
      <w:bodyDiv w:val="1"/>
      <w:marLeft w:val="0"/>
      <w:marRight w:val="0"/>
      <w:marTop w:val="0"/>
      <w:marBottom w:val="0"/>
      <w:divBdr>
        <w:top w:val="none" w:sz="0" w:space="0" w:color="auto"/>
        <w:left w:val="none" w:sz="0" w:space="0" w:color="auto"/>
        <w:bottom w:val="none" w:sz="0" w:space="0" w:color="auto"/>
        <w:right w:val="none" w:sz="0" w:space="0" w:color="auto"/>
      </w:divBdr>
    </w:div>
    <w:div w:id="1038042079">
      <w:bodyDiv w:val="1"/>
      <w:marLeft w:val="0"/>
      <w:marRight w:val="0"/>
      <w:marTop w:val="0"/>
      <w:marBottom w:val="0"/>
      <w:divBdr>
        <w:top w:val="none" w:sz="0" w:space="0" w:color="auto"/>
        <w:left w:val="none" w:sz="0" w:space="0" w:color="auto"/>
        <w:bottom w:val="none" w:sz="0" w:space="0" w:color="auto"/>
        <w:right w:val="none" w:sz="0" w:space="0" w:color="auto"/>
      </w:divBdr>
    </w:div>
    <w:div w:id="1059204926">
      <w:bodyDiv w:val="1"/>
      <w:marLeft w:val="0"/>
      <w:marRight w:val="0"/>
      <w:marTop w:val="0"/>
      <w:marBottom w:val="0"/>
      <w:divBdr>
        <w:top w:val="none" w:sz="0" w:space="0" w:color="auto"/>
        <w:left w:val="none" w:sz="0" w:space="0" w:color="auto"/>
        <w:bottom w:val="none" w:sz="0" w:space="0" w:color="auto"/>
        <w:right w:val="none" w:sz="0" w:space="0" w:color="auto"/>
      </w:divBdr>
    </w:div>
    <w:div w:id="1060598741">
      <w:bodyDiv w:val="1"/>
      <w:marLeft w:val="0"/>
      <w:marRight w:val="0"/>
      <w:marTop w:val="0"/>
      <w:marBottom w:val="0"/>
      <w:divBdr>
        <w:top w:val="none" w:sz="0" w:space="0" w:color="auto"/>
        <w:left w:val="none" w:sz="0" w:space="0" w:color="auto"/>
        <w:bottom w:val="none" w:sz="0" w:space="0" w:color="auto"/>
        <w:right w:val="none" w:sz="0" w:space="0" w:color="auto"/>
      </w:divBdr>
    </w:div>
    <w:div w:id="1079181366">
      <w:bodyDiv w:val="1"/>
      <w:marLeft w:val="0"/>
      <w:marRight w:val="0"/>
      <w:marTop w:val="0"/>
      <w:marBottom w:val="0"/>
      <w:divBdr>
        <w:top w:val="none" w:sz="0" w:space="0" w:color="auto"/>
        <w:left w:val="none" w:sz="0" w:space="0" w:color="auto"/>
        <w:bottom w:val="none" w:sz="0" w:space="0" w:color="auto"/>
        <w:right w:val="none" w:sz="0" w:space="0" w:color="auto"/>
      </w:divBdr>
    </w:div>
    <w:div w:id="1109397473">
      <w:bodyDiv w:val="1"/>
      <w:marLeft w:val="0"/>
      <w:marRight w:val="0"/>
      <w:marTop w:val="0"/>
      <w:marBottom w:val="0"/>
      <w:divBdr>
        <w:top w:val="none" w:sz="0" w:space="0" w:color="auto"/>
        <w:left w:val="none" w:sz="0" w:space="0" w:color="auto"/>
        <w:bottom w:val="none" w:sz="0" w:space="0" w:color="auto"/>
        <w:right w:val="none" w:sz="0" w:space="0" w:color="auto"/>
      </w:divBdr>
    </w:div>
    <w:div w:id="1113133717">
      <w:bodyDiv w:val="1"/>
      <w:marLeft w:val="0"/>
      <w:marRight w:val="0"/>
      <w:marTop w:val="0"/>
      <w:marBottom w:val="0"/>
      <w:divBdr>
        <w:top w:val="none" w:sz="0" w:space="0" w:color="auto"/>
        <w:left w:val="none" w:sz="0" w:space="0" w:color="auto"/>
        <w:bottom w:val="none" w:sz="0" w:space="0" w:color="auto"/>
        <w:right w:val="none" w:sz="0" w:space="0" w:color="auto"/>
      </w:divBdr>
    </w:div>
    <w:div w:id="1123381524">
      <w:bodyDiv w:val="1"/>
      <w:marLeft w:val="0"/>
      <w:marRight w:val="0"/>
      <w:marTop w:val="0"/>
      <w:marBottom w:val="0"/>
      <w:divBdr>
        <w:top w:val="none" w:sz="0" w:space="0" w:color="auto"/>
        <w:left w:val="none" w:sz="0" w:space="0" w:color="auto"/>
        <w:bottom w:val="none" w:sz="0" w:space="0" w:color="auto"/>
        <w:right w:val="none" w:sz="0" w:space="0" w:color="auto"/>
      </w:divBdr>
    </w:div>
    <w:div w:id="1136414575">
      <w:bodyDiv w:val="1"/>
      <w:marLeft w:val="0"/>
      <w:marRight w:val="0"/>
      <w:marTop w:val="0"/>
      <w:marBottom w:val="0"/>
      <w:divBdr>
        <w:top w:val="none" w:sz="0" w:space="0" w:color="auto"/>
        <w:left w:val="none" w:sz="0" w:space="0" w:color="auto"/>
        <w:bottom w:val="none" w:sz="0" w:space="0" w:color="auto"/>
        <w:right w:val="none" w:sz="0" w:space="0" w:color="auto"/>
      </w:divBdr>
    </w:div>
    <w:div w:id="1203905574">
      <w:bodyDiv w:val="1"/>
      <w:marLeft w:val="0"/>
      <w:marRight w:val="0"/>
      <w:marTop w:val="0"/>
      <w:marBottom w:val="0"/>
      <w:divBdr>
        <w:top w:val="none" w:sz="0" w:space="0" w:color="auto"/>
        <w:left w:val="none" w:sz="0" w:space="0" w:color="auto"/>
        <w:bottom w:val="none" w:sz="0" w:space="0" w:color="auto"/>
        <w:right w:val="none" w:sz="0" w:space="0" w:color="auto"/>
      </w:divBdr>
    </w:div>
    <w:div w:id="1204437754">
      <w:bodyDiv w:val="1"/>
      <w:marLeft w:val="0"/>
      <w:marRight w:val="0"/>
      <w:marTop w:val="0"/>
      <w:marBottom w:val="0"/>
      <w:divBdr>
        <w:top w:val="none" w:sz="0" w:space="0" w:color="auto"/>
        <w:left w:val="none" w:sz="0" w:space="0" w:color="auto"/>
        <w:bottom w:val="none" w:sz="0" w:space="0" w:color="auto"/>
        <w:right w:val="none" w:sz="0" w:space="0" w:color="auto"/>
      </w:divBdr>
    </w:div>
    <w:div w:id="1248609110">
      <w:bodyDiv w:val="1"/>
      <w:marLeft w:val="0"/>
      <w:marRight w:val="0"/>
      <w:marTop w:val="0"/>
      <w:marBottom w:val="0"/>
      <w:divBdr>
        <w:top w:val="none" w:sz="0" w:space="0" w:color="auto"/>
        <w:left w:val="none" w:sz="0" w:space="0" w:color="auto"/>
        <w:bottom w:val="none" w:sz="0" w:space="0" w:color="auto"/>
        <w:right w:val="none" w:sz="0" w:space="0" w:color="auto"/>
      </w:divBdr>
    </w:div>
    <w:div w:id="1273047369">
      <w:bodyDiv w:val="1"/>
      <w:marLeft w:val="0"/>
      <w:marRight w:val="0"/>
      <w:marTop w:val="0"/>
      <w:marBottom w:val="0"/>
      <w:divBdr>
        <w:top w:val="none" w:sz="0" w:space="0" w:color="auto"/>
        <w:left w:val="none" w:sz="0" w:space="0" w:color="auto"/>
        <w:bottom w:val="none" w:sz="0" w:space="0" w:color="auto"/>
        <w:right w:val="none" w:sz="0" w:space="0" w:color="auto"/>
      </w:divBdr>
    </w:div>
    <w:div w:id="1276984975">
      <w:bodyDiv w:val="1"/>
      <w:marLeft w:val="0"/>
      <w:marRight w:val="0"/>
      <w:marTop w:val="0"/>
      <w:marBottom w:val="0"/>
      <w:divBdr>
        <w:top w:val="none" w:sz="0" w:space="0" w:color="auto"/>
        <w:left w:val="none" w:sz="0" w:space="0" w:color="auto"/>
        <w:bottom w:val="none" w:sz="0" w:space="0" w:color="auto"/>
        <w:right w:val="none" w:sz="0" w:space="0" w:color="auto"/>
      </w:divBdr>
    </w:div>
    <w:div w:id="1295479974">
      <w:bodyDiv w:val="1"/>
      <w:marLeft w:val="0"/>
      <w:marRight w:val="0"/>
      <w:marTop w:val="0"/>
      <w:marBottom w:val="0"/>
      <w:divBdr>
        <w:top w:val="none" w:sz="0" w:space="0" w:color="auto"/>
        <w:left w:val="none" w:sz="0" w:space="0" w:color="auto"/>
        <w:bottom w:val="none" w:sz="0" w:space="0" w:color="auto"/>
        <w:right w:val="none" w:sz="0" w:space="0" w:color="auto"/>
      </w:divBdr>
    </w:div>
    <w:div w:id="1317564335">
      <w:bodyDiv w:val="1"/>
      <w:marLeft w:val="0"/>
      <w:marRight w:val="0"/>
      <w:marTop w:val="0"/>
      <w:marBottom w:val="0"/>
      <w:divBdr>
        <w:top w:val="none" w:sz="0" w:space="0" w:color="auto"/>
        <w:left w:val="none" w:sz="0" w:space="0" w:color="auto"/>
        <w:bottom w:val="none" w:sz="0" w:space="0" w:color="auto"/>
        <w:right w:val="none" w:sz="0" w:space="0" w:color="auto"/>
      </w:divBdr>
    </w:div>
    <w:div w:id="1333676992">
      <w:bodyDiv w:val="1"/>
      <w:marLeft w:val="0"/>
      <w:marRight w:val="0"/>
      <w:marTop w:val="0"/>
      <w:marBottom w:val="0"/>
      <w:divBdr>
        <w:top w:val="none" w:sz="0" w:space="0" w:color="auto"/>
        <w:left w:val="none" w:sz="0" w:space="0" w:color="auto"/>
        <w:bottom w:val="none" w:sz="0" w:space="0" w:color="auto"/>
        <w:right w:val="none" w:sz="0" w:space="0" w:color="auto"/>
      </w:divBdr>
    </w:div>
    <w:div w:id="1365709362">
      <w:bodyDiv w:val="1"/>
      <w:marLeft w:val="0"/>
      <w:marRight w:val="0"/>
      <w:marTop w:val="0"/>
      <w:marBottom w:val="0"/>
      <w:divBdr>
        <w:top w:val="none" w:sz="0" w:space="0" w:color="auto"/>
        <w:left w:val="none" w:sz="0" w:space="0" w:color="auto"/>
        <w:bottom w:val="none" w:sz="0" w:space="0" w:color="auto"/>
        <w:right w:val="none" w:sz="0" w:space="0" w:color="auto"/>
      </w:divBdr>
    </w:div>
    <w:div w:id="1366517734">
      <w:bodyDiv w:val="1"/>
      <w:marLeft w:val="0"/>
      <w:marRight w:val="0"/>
      <w:marTop w:val="0"/>
      <w:marBottom w:val="0"/>
      <w:divBdr>
        <w:top w:val="none" w:sz="0" w:space="0" w:color="auto"/>
        <w:left w:val="none" w:sz="0" w:space="0" w:color="auto"/>
        <w:bottom w:val="none" w:sz="0" w:space="0" w:color="auto"/>
        <w:right w:val="none" w:sz="0" w:space="0" w:color="auto"/>
      </w:divBdr>
    </w:div>
    <w:div w:id="1381174541">
      <w:bodyDiv w:val="1"/>
      <w:marLeft w:val="0"/>
      <w:marRight w:val="0"/>
      <w:marTop w:val="0"/>
      <w:marBottom w:val="0"/>
      <w:divBdr>
        <w:top w:val="none" w:sz="0" w:space="0" w:color="auto"/>
        <w:left w:val="none" w:sz="0" w:space="0" w:color="auto"/>
        <w:bottom w:val="none" w:sz="0" w:space="0" w:color="auto"/>
        <w:right w:val="none" w:sz="0" w:space="0" w:color="auto"/>
      </w:divBdr>
    </w:div>
    <w:div w:id="1381368444">
      <w:bodyDiv w:val="1"/>
      <w:marLeft w:val="0"/>
      <w:marRight w:val="0"/>
      <w:marTop w:val="0"/>
      <w:marBottom w:val="0"/>
      <w:divBdr>
        <w:top w:val="none" w:sz="0" w:space="0" w:color="auto"/>
        <w:left w:val="none" w:sz="0" w:space="0" w:color="auto"/>
        <w:bottom w:val="none" w:sz="0" w:space="0" w:color="auto"/>
        <w:right w:val="none" w:sz="0" w:space="0" w:color="auto"/>
      </w:divBdr>
    </w:div>
    <w:div w:id="1420638111">
      <w:bodyDiv w:val="1"/>
      <w:marLeft w:val="0"/>
      <w:marRight w:val="0"/>
      <w:marTop w:val="0"/>
      <w:marBottom w:val="0"/>
      <w:divBdr>
        <w:top w:val="none" w:sz="0" w:space="0" w:color="auto"/>
        <w:left w:val="none" w:sz="0" w:space="0" w:color="auto"/>
        <w:bottom w:val="none" w:sz="0" w:space="0" w:color="auto"/>
        <w:right w:val="none" w:sz="0" w:space="0" w:color="auto"/>
      </w:divBdr>
    </w:div>
    <w:div w:id="1444569701">
      <w:bodyDiv w:val="1"/>
      <w:marLeft w:val="0"/>
      <w:marRight w:val="0"/>
      <w:marTop w:val="0"/>
      <w:marBottom w:val="0"/>
      <w:divBdr>
        <w:top w:val="none" w:sz="0" w:space="0" w:color="auto"/>
        <w:left w:val="none" w:sz="0" w:space="0" w:color="auto"/>
        <w:bottom w:val="none" w:sz="0" w:space="0" w:color="auto"/>
        <w:right w:val="none" w:sz="0" w:space="0" w:color="auto"/>
      </w:divBdr>
    </w:div>
    <w:div w:id="1464155723">
      <w:bodyDiv w:val="1"/>
      <w:marLeft w:val="0"/>
      <w:marRight w:val="0"/>
      <w:marTop w:val="0"/>
      <w:marBottom w:val="0"/>
      <w:divBdr>
        <w:top w:val="none" w:sz="0" w:space="0" w:color="auto"/>
        <w:left w:val="none" w:sz="0" w:space="0" w:color="auto"/>
        <w:bottom w:val="none" w:sz="0" w:space="0" w:color="auto"/>
        <w:right w:val="none" w:sz="0" w:space="0" w:color="auto"/>
      </w:divBdr>
    </w:div>
    <w:div w:id="1468669732">
      <w:bodyDiv w:val="1"/>
      <w:marLeft w:val="0"/>
      <w:marRight w:val="0"/>
      <w:marTop w:val="0"/>
      <w:marBottom w:val="0"/>
      <w:divBdr>
        <w:top w:val="none" w:sz="0" w:space="0" w:color="auto"/>
        <w:left w:val="none" w:sz="0" w:space="0" w:color="auto"/>
        <w:bottom w:val="none" w:sz="0" w:space="0" w:color="auto"/>
        <w:right w:val="none" w:sz="0" w:space="0" w:color="auto"/>
      </w:divBdr>
    </w:div>
    <w:div w:id="1468819819">
      <w:bodyDiv w:val="1"/>
      <w:marLeft w:val="0"/>
      <w:marRight w:val="0"/>
      <w:marTop w:val="0"/>
      <w:marBottom w:val="0"/>
      <w:divBdr>
        <w:top w:val="none" w:sz="0" w:space="0" w:color="auto"/>
        <w:left w:val="none" w:sz="0" w:space="0" w:color="auto"/>
        <w:bottom w:val="none" w:sz="0" w:space="0" w:color="auto"/>
        <w:right w:val="none" w:sz="0" w:space="0" w:color="auto"/>
      </w:divBdr>
    </w:div>
    <w:div w:id="1480153190">
      <w:bodyDiv w:val="1"/>
      <w:marLeft w:val="0"/>
      <w:marRight w:val="0"/>
      <w:marTop w:val="0"/>
      <w:marBottom w:val="0"/>
      <w:divBdr>
        <w:top w:val="none" w:sz="0" w:space="0" w:color="auto"/>
        <w:left w:val="none" w:sz="0" w:space="0" w:color="auto"/>
        <w:bottom w:val="none" w:sz="0" w:space="0" w:color="auto"/>
        <w:right w:val="none" w:sz="0" w:space="0" w:color="auto"/>
      </w:divBdr>
    </w:div>
    <w:div w:id="1520391929">
      <w:bodyDiv w:val="1"/>
      <w:marLeft w:val="0"/>
      <w:marRight w:val="0"/>
      <w:marTop w:val="0"/>
      <w:marBottom w:val="0"/>
      <w:divBdr>
        <w:top w:val="none" w:sz="0" w:space="0" w:color="auto"/>
        <w:left w:val="none" w:sz="0" w:space="0" w:color="auto"/>
        <w:bottom w:val="none" w:sz="0" w:space="0" w:color="auto"/>
        <w:right w:val="none" w:sz="0" w:space="0" w:color="auto"/>
      </w:divBdr>
    </w:div>
    <w:div w:id="1523324777">
      <w:bodyDiv w:val="1"/>
      <w:marLeft w:val="0"/>
      <w:marRight w:val="0"/>
      <w:marTop w:val="0"/>
      <w:marBottom w:val="0"/>
      <w:divBdr>
        <w:top w:val="none" w:sz="0" w:space="0" w:color="auto"/>
        <w:left w:val="none" w:sz="0" w:space="0" w:color="auto"/>
        <w:bottom w:val="none" w:sz="0" w:space="0" w:color="auto"/>
        <w:right w:val="none" w:sz="0" w:space="0" w:color="auto"/>
      </w:divBdr>
    </w:div>
    <w:div w:id="1549416460">
      <w:bodyDiv w:val="1"/>
      <w:marLeft w:val="0"/>
      <w:marRight w:val="0"/>
      <w:marTop w:val="0"/>
      <w:marBottom w:val="0"/>
      <w:divBdr>
        <w:top w:val="none" w:sz="0" w:space="0" w:color="auto"/>
        <w:left w:val="none" w:sz="0" w:space="0" w:color="auto"/>
        <w:bottom w:val="none" w:sz="0" w:space="0" w:color="auto"/>
        <w:right w:val="none" w:sz="0" w:space="0" w:color="auto"/>
      </w:divBdr>
    </w:div>
    <w:div w:id="1551067003">
      <w:bodyDiv w:val="1"/>
      <w:marLeft w:val="0"/>
      <w:marRight w:val="0"/>
      <w:marTop w:val="0"/>
      <w:marBottom w:val="0"/>
      <w:divBdr>
        <w:top w:val="none" w:sz="0" w:space="0" w:color="auto"/>
        <w:left w:val="none" w:sz="0" w:space="0" w:color="auto"/>
        <w:bottom w:val="none" w:sz="0" w:space="0" w:color="auto"/>
        <w:right w:val="none" w:sz="0" w:space="0" w:color="auto"/>
      </w:divBdr>
    </w:div>
    <w:div w:id="1588461632">
      <w:bodyDiv w:val="1"/>
      <w:marLeft w:val="0"/>
      <w:marRight w:val="0"/>
      <w:marTop w:val="0"/>
      <w:marBottom w:val="0"/>
      <w:divBdr>
        <w:top w:val="none" w:sz="0" w:space="0" w:color="auto"/>
        <w:left w:val="none" w:sz="0" w:space="0" w:color="auto"/>
        <w:bottom w:val="none" w:sz="0" w:space="0" w:color="auto"/>
        <w:right w:val="none" w:sz="0" w:space="0" w:color="auto"/>
      </w:divBdr>
    </w:div>
    <w:div w:id="1597207313">
      <w:bodyDiv w:val="1"/>
      <w:marLeft w:val="0"/>
      <w:marRight w:val="0"/>
      <w:marTop w:val="0"/>
      <w:marBottom w:val="0"/>
      <w:divBdr>
        <w:top w:val="none" w:sz="0" w:space="0" w:color="auto"/>
        <w:left w:val="none" w:sz="0" w:space="0" w:color="auto"/>
        <w:bottom w:val="none" w:sz="0" w:space="0" w:color="auto"/>
        <w:right w:val="none" w:sz="0" w:space="0" w:color="auto"/>
      </w:divBdr>
    </w:div>
    <w:div w:id="1603024772">
      <w:bodyDiv w:val="1"/>
      <w:marLeft w:val="0"/>
      <w:marRight w:val="0"/>
      <w:marTop w:val="0"/>
      <w:marBottom w:val="0"/>
      <w:divBdr>
        <w:top w:val="none" w:sz="0" w:space="0" w:color="auto"/>
        <w:left w:val="none" w:sz="0" w:space="0" w:color="auto"/>
        <w:bottom w:val="none" w:sz="0" w:space="0" w:color="auto"/>
        <w:right w:val="none" w:sz="0" w:space="0" w:color="auto"/>
      </w:divBdr>
    </w:div>
    <w:div w:id="1626963955">
      <w:bodyDiv w:val="1"/>
      <w:marLeft w:val="0"/>
      <w:marRight w:val="0"/>
      <w:marTop w:val="0"/>
      <w:marBottom w:val="0"/>
      <w:divBdr>
        <w:top w:val="none" w:sz="0" w:space="0" w:color="auto"/>
        <w:left w:val="none" w:sz="0" w:space="0" w:color="auto"/>
        <w:bottom w:val="none" w:sz="0" w:space="0" w:color="auto"/>
        <w:right w:val="none" w:sz="0" w:space="0" w:color="auto"/>
      </w:divBdr>
    </w:div>
    <w:div w:id="1638607045">
      <w:bodyDiv w:val="1"/>
      <w:marLeft w:val="0"/>
      <w:marRight w:val="0"/>
      <w:marTop w:val="0"/>
      <w:marBottom w:val="0"/>
      <w:divBdr>
        <w:top w:val="none" w:sz="0" w:space="0" w:color="auto"/>
        <w:left w:val="none" w:sz="0" w:space="0" w:color="auto"/>
        <w:bottom w:val="none" w:sz="0" w:space="0" w:color="auto"/>
        <w:right w:val="none" w:sz="0" w:space="0" w:color="auto"/>
      </w:divBdr>
    </w:div>
    <w:div w:id="1672758757">
      <w:bodyDiv w:val="1"/>
      <w:marLeft w:val="0"/>
      <w:marRight w:val="0"/>
      <w:marTop w:val="0"/>
      <w:marBottom w:val="0"/>
      <w:divBdr>
        <w:top w:val="none" w:sz="0" w:space="0" w:color="auto"/>
        <w:left w:val="none" w:sz="0" w:space="0" w:color="auto"/>
        <w:bottom w:val="none" w:sz="0" w:space="0" w:color="auto"/>
        <w:right w:val="none" w:sz="0" w:space="0" w:color="auto"/>
      </w:divBdr>
    </w:div>
    <w:div w:id="1690259409">
      <w:bodyDiv w:val="1"/>
      <w:marLeft w:val="0"/>
      <w:marRight w:val="0"/>
      <w:marTop w:val="0"/>
      <w:marBottom w:val="0"/>
      <w:divBdr>
        <w:top w:val="none" w:sz="0" w:space="0" w:color="auto"/>
        <w:left w:val="none" w:sz="0" w:space="0" w:color="auto"/>
        <w:bottom w:val="none" w:sz="0" w:space="0" w:color="auto"/>
        <w:right w:val="none" w:sz="0" w:space="0" w:color="auto"/>
      </w:divBdr>
    </w:div>
    <w:div w:id="1719090718">
      <w:bodyDiv w:val="1"/>
      <w:marLeft w:val="0"/>
      <w:marRight w:val="0"/>
      <w:marTop w:val="0"/>
      <w:marBottom w:val="0"/>
      <w:divBdr>
        <w:top w:val="none" w:sz="0" w:space="0" w:color="auto"/>
        <w:left w:val="none" w:sz="0" w:space="0" w:color="auto"/>
        <w:bottom w:val="none" w:sz="0" w:space="0" w:color="auto"/>
        <w:right w:val="none" w:sz="0" w:space="0" w:color="auto"/>
      </w:divBdr>
    </w:div>
    <w:div w:id="1724939836">
      <w:bodyDiv w:val="1"/>
      <w:marLeft w:val="0"/>
      <w:marRight w:val="0"/>
      <w:marTop w:val="0"/>
      <w:marBottom w:val="0"/>
      <w:divBdr>
        <w:top w:val="none" w:sz="0" w:space="0" w:color="auto"/>
        <w:left w:val="none" w:sz="0" w:space="0" w:color="auto"/>
        <w:bottom w:val="none" w:sz="0" w:space="0" w:color="auto"/>
        <w:right w:val="none" w:sz="0" w:space="0" w:color="auto"/>
      </w:divBdr>
    </w:div>
    <w:div w:id="1736127307">
      <w:bodyDiv w:val="1"/>
      <w:marLeft w:val="0"/>
      <w:marRight w:val="0"/>
      <w:marTop w:val="0"/>
      <w:marBottom w:val="0"/>
      <w:divBdr>
        <w:top w:val="none" w:sz="0" w:space="0" w:color="auto"/>
        <w:left w:val="none" w:sz="0" w:space="0" w:color="auto"/>
        <w:bottom w:val="none" w:sz="0" w:space="0" w:color="auto"/>
        <w:right w:val="none" w:sz="0" w:space="0" w:color="auto"/>
      </w:divBdr>
    </w:div>
    <w:div w:id="1770001772">
      <w:bodyDiv w:val="1"/>
      <w:marLeft w:val="0"/>
      <w:marRight w:val="0"/>
      <w:marTop w:val="0"/>
      <w:marBottom w:val="0"/>
      <w:divBdr>
        <w:top w:val="none" w:sz="0" w:space="0" w:color="auto"/>
        <w:left w:val="none" w:sz="0" w:space="0" w:color="auto"/>
        <w:bottom w:val="none" w:sz="0" w:space="0" w:color="auto"/>
        <w:right w:val="none" w:sz="0" w:space="0" w:color="auto"/>
      </w:divBdr>
    </w:div>
    <w:div w:id="1777404139">
      <w:bodyDiv w:val="1"/>
      <w:marLeft w:val="0"/>
      <w:marRight w:val="0"/>
      <w:marTop w:val="0"/>
      <w:marBottom w:val="0"/>
      <w:divBdr>
        <w:top w:val="none" w:sz="0" w:space="0" w:color="auto"/>
        <w:left w:val="none" w:sz="0" w:space="0" w:color="auto"/>
        <w:bottom w:val="none" w:sz="0" w:space="0" w:color="auto"/>
        <w:right w:val="none" w:sz="0" w:space="0" w:color="auto"/>
      </w:divBdr>
    </w:div>
    <w:div w:id="1792551342">
      <w:bodyDiv w:val="1"/>
      <w:marLeft w:val="0"/>
      <w:marRight w:val="0"/>
      <w:marTop w:val="0"/>
      <w:marBottom w:val="0"/>
      <w:divBdr>
        <w:top w:val="none" w:sz="0" w:space="0" w:color="auto"/>
        <w:left w:val="none" w:sz="0" w:space="0" w:color="auto"/>
        <w:bottom w:val="none" w:sz="0" w:space="0" w:color="auto"/>
        <w:right w:val="none" w:sz="0" w:space="0" w:color="auto"/>
      </w:divBdr>
    </w:div>
    <w:div w:id="1806972707">
      <w:bodyDiv w:val="1"/>
      <w:marLeft w:val="0"/>
      <w:marRight w:val="0"/>
      <w:marTop w:val="0"/>
      <w:marBottom w:val="0"/>
      <w:divBdr>
        <w:top w:val="none" w:sz="0" w:space="0" w:color="auto"/>
        <w:left w:val="none" w:sz="0" w:space="0" w:color="auto"/>
        <w:bottom w:val="none" w:sz="0" w:space="0" w:color="auto"/>
        <w:right w:val="none" w:sz="0" w:space="0" w:color="auto"/>
      </w:divBdr>
    </w:div>
    <w:div w:id="1812938109">
      <w:bodyDiv w:val="1"/>
      <w:marLeft w:val="0"/>
      <w:marRight w:val="0"/>
      <w:marTop w:val="0"/>
      <w:marBottom w:val="0"/>
      <w:divBdr>
        <w:top w:val="none" w:sz="0" w:space="0" w:color="auto"/>
        <w:left w:val="none" w:sz="0" w:space="0" w:color="auto"/>
        <w:bottom w:val="none" w:sz="0" w:space="0" w:color="auto"/>
        <w:right w:val="none" w:sz="0" w:space="0" w:color="auto"/>
      </w:divBdr>
    </w:div>
    <w:div w:id="1813595000">
      <w:bodyDiv w:val="1"/>
      <w:marLeft w:val="0"/>
      <w:marRight w:val="0"/>
      <w:marTop w:val="0"/>
      <w:marBottom w:val="0"/>
      <w:divBdr>
        <w:top w:val="none" w:sz="0" w:space="0" w:color="auto"/>
        <w:left w:val="none" w:sz="0" w:space="0" w:color="auto"/>
        <w:bottom w:val="none" w:sz="0" w:space="0" w:color="auto"/>
        <w:right w:val="none" w:sz="0" w:space="0" w:color="auto"/>
      </w:divBdr>
    </w:div>
    <w:div w:id="1848666061">
      <w:bodyDiv w:val="1"/>
      <w:marLeft w:val="0"/>
      <w:marRight w:val="0"/>
      <w:marTop w:val="0"/>
      <w:marBottom w:val="0"/>
      <w:divBdr>
        <w:top w:val="none" w:sz="0" w:space="0" w:color="auto"/>
        <w:left w:val="none" w:sz="0" w:space="0" w:color="auto"/>
        <w:bottom w:val="none" w:sz="0" w:space="0" w:color="auto"/>
        <w:right w:val="none" w:sz="0" w:space="0" w:color="auto"/>
      </w:divBdr>
    </w:div>
    <w:div w:id="1863588570">
      <w:bodyDiv w:val="1"/>
      <w:marLeft w:val="0"/>
      <w:marRight w:val="0"/>
      <w:marTop w:val="0"/>
      <w:marBottom w:val="0"/>
      <w:divBdr>
        <w:top w:val="none" w:sz="0" w:space="0" w:color="auto"/>
        <w:left w:val="none" w:sz="0" w:space="0" w:color="auto"/>
        <w:bottom w:val="none" w:sz="0" w:space="0" w:color="auto"/>
        <w:right w:val="none" w:sz="0" w:space="0" w:color="auto"/>
      </w:divBdr>
    </w:div>
    <w:div w:id="1894920764">
      <w:bodyDiv w:val="1"/>
      <w:marLeft w:val="0"/>
      <w:marRight w:val="0"/>
      <w:marTop w:val="0"/>
      <w:marBottom w:val="0"/>
      <w:divBdr>
        <w:top w:val="none" w:sz="0" w:space="0" w:color="auto"/>
        <w:left w:val="none" w:sz="0" w:space="0" w:color="auto"/>
        <w:bottom w:val="none" w:sz="0" w:space="0" w:color="auto"/>
        <w:right w:val="none" w:sz="0" w:space="0" w:color="auto"/>
      </w:divBdr>
    </w:div>
    <w:div w:id="1921788784">
      <w:bodyDiv w:val="1"/>
      <w:marLeft w:val="0"/>
      <w:marRight w:val="0"/>
      <w:marTop w:val="0"/>
      <w:marBottom w:val="0"/>
      <w:divBdr>
        <w:top w:val="none" w:sz="0" w:space="0" w:color="auto"/>
        <w:left w:val="none" w:sz="0" w:space="0" w:color="auto"/>
        <w:bottom w:val="none" w:sz="0" w:space="0" w:color="auto"/>
        <w:right w:val="none" w:sz="0" w:space="0" w:color="auto"/>
      </w:divBdr>
    </w:div>
    <w:div w:id="1946688437">
      <w:bodyDiv w:val="1"/>
      <w:marLeft w:val="0"/>
      <w:marRight w:val="0"/>
      <w:marTop w:val="0"/>
      <w:marBottom w:val="0"/>
      <w:divBdr>
        <w:top w:val="none" w:sz="0" w:space="0" w:color="auto"/>
        <w:left w:val="none" w:sz="0" w:space="0" w:color="auto"/>
        <w:bottom w:val="none" w:sz="0" w:space="0" w:color="auto"/>
        <w:right w:val="none" w:sz="0" w:space="0" w:color="auto"/>
      </w:divBdr>
    </w:div>
    <w:div w:id="1974434571">
      <w:bodyDiv w:val="1"/>
      <w:marLeft w:val="0"/>
      <w:marRight w:val="0"/>
      <w:marTop w:val="0"/>
      <w:marBottom w:val="0"/>
      <w:divBdr>
        <w:top w:val="none" w:sz="0" w:space="0" w:color="auto"/>
        <w:left w:val="none" w:sz="0" w:space="0" w:color="auto"/>
        <w:bottom w:val="none" w:sz="0" w:space="0" w:color="auto"/>
        <w:right w:val="none" w:sz="0" w:space="0" w:color="auto"/>
      </w:divBdr>
    </w:div>
    <w:div w:id="2004696370">
      <w:bodyDiv w:val="1"/>
      <w:marLeft w:val="0"/>
      <w:marRight w:val="0"/>
      <w:marTop w:val="0"/>
      <w:marBottom w:val="0"/>
      <w:divBdr>
        <w:top w:val="none" w:sz="0" w:space="0" w:color="auto"/>
        <w:left w:val="none" w:sz="0" w:space="0" w:color="auto"/>
        <w:bottom w:val="none" w:sz="0" w:space="0" w:color="auto"/>
        <w:right w:val="none" w:sz="0" w:space="0" w:color="auto"/>
      </w:divBdr>
    </w:div>
    <w:div w:id="2022664789">
      <w:bodyDiv w:val="1"/>
      <w:marLeft w:val="0"/>
      <w:marRight w:val="0"/>
      <w:marTop w:val="0"/>
      <w:marBottom w:val="0"/>
      <w:divBdr>
        <w:top w:val="none" w:sz="0" w:space="0" w:color="auto"/>
        <w:left w:val="none" w:sz="0" w:space="0" w:color="auto"/>
        <w:bottom w:val="none" w:sz="0" w:space="0" w:color="auto"/>
        <w:right w:val="none" w:sz="0" w:space="0" w:color="auto"/>
      </w:divBdr>
    </w:div>
    <w:div w:id="2026393776">
      <w:bodyDiv w:val="1"/>
      <w:marLeft w:val="0"/>
      <w:marRight w:val="0"/>
      <w:marTop w:val="0"/>
      <w:marBottom w:val="0"/>
      <w:divBdr>
        <w:top w:val="none" w:sz="0" w:space="0" w:color="auto"/>
        <w:left w:val="none" w:sz="0" w:space="0" w:color="auto"/>
        <w:bottom w:val="none" w:sz="0" w:space="0" w:color="auto"/>
        <w:right w:val="none" w:sz="0" w:space="0" w:color="auto"/>
      </w:divBdr>
    </w:div>
    <w:div w:id="2038194407">
      <w:bodyDiv w:val="1"/>
      <w:marLeft w:val="0"/>
      <w:marRight w:val="0"/>
      <w:marTop w:val="0"/>
      <w:marBottom w:val="0"/>
      <w:divBdr>
        <w:top w:val="none" w:sz="0" w:space="0" w:color="auto"/>
        <w:left w:val="none" w:sz="0" w:space="0" w:color="auto"/>
        <w:bottom w:val="none" w:sz="0" w:space="0" w:color="auto"/>
        <w:right w:val="none" w:sz="0" w:space="0" w:color="auto"/>
      </w:divBdr>
    </w:div>
    <w:div w:id="2045446400">
      <w:bodyDiv w:val="1"/>
      <w:marLeft w:val="0"/>
      <w:marRight w:val="0"/>
      <w:marTop w:val="0"/>
      <w:marBottom w:val="0"/>
      <w:divBdr>
        <w:top w:val="none" w:sz="0" w:space="0" w:color="auto"/>
        <w:left w:val="none" w:sz="0" w:space="0" w:color="auto"/>
        <w:bottom w:val="none" w:sz="0" w:space="0" w:color="auto"/>
        <w:right w:val="none" w:sz="0" w:space="0" w:color="auto"/>
      </w:divBdr>
    </w:div>
    <w:div w:id="2066639257">
      <w:bodyDiv w:val="1"/>
      <w:marLeft w:val="0"/>
      <w:marRight w:val="0"/>
      <w:marTop w:val="0"/>
      <w:marBottom w:val="0"/>
      <w:divBdr>
        <w:top w:val="none" w:sz="0" w:space="0" w:color="auto"/>
        <w:left w:val="none" w:sz="0" w:space="0" w:color="auto"/>
        <w:bottom w:val="none" w:sz="0" w:space="0" w:color="auto"/>
        <w:right w:val="none" w:sz="0" w:space="0" w:color="auto"/>
      </w:divBdr>
    </w:div>
    <w:div w:id="2085685241">
      <w:bodyDiv w:val="1"/>
      <w:marLeft w:val="0"/>
      <w:marRight w:val="0"/>
      <w:marTop w:val="0"/>
      <w:marBottom w:val="0"/>
      <w:divBdr>
        <w:top w:val="none" w:sz="0" w:space="0" w:color="auto"/>
        <w:left w:val="none" w:sz="0" w:space="0" w:color="auto"/>
        <w:bottom w:val="none" w:sz="0" w:space="0" w:color="auto"/>
        <w:right w:val="none" w:sz="0" w:space="0" w:color="auto"/>
      </w:divBdr>
    </w:div>
    <w:div w:id="2095935126">
      <w:bodyDiv w:val="1"/>
      <w:marLeft w:val="0"/>
      <w:marRight w:val="0"/>
      <w:marTop w:val="0"/>
      <w:marBottom w:val="0"/>
      <w:divBdr>
        <w:top w:val="none" w:sz="0" w:space="0" w:color="auto"/>
        <w:left w:val="none" w:sz="0" w:space="0" w:color="auto"/>
        <w:bottom w:val="none" w:sz="0" w:space="0" w:color="auto"/>
        <w:right w:val="none" w:sz="0" w:space="0" w:color="auto"/>
      </w:divBdr>
    </w:div>
    <w:div w:id="2103605692">
      <w:bodyDiv w:val="1"/>
      <w:marLeft w:val="0"/>
      <w:marRight w:val="0"/>
      <w:marTop w:val="0"/>
      <w:marBottom w:val="0"/>
      <w:divBdr>
        <w:top w:val="none" w:sz="0" w:space="0" w:color="auto"/>
        <w:left w:val="none" w:sz="0" w:space="0" w:color="auto"/>
        <w:bottom w:val="none" w:sz="0" w:space="0" w:color="auto"/>
        <w:right w:val="none" w:sz="0" w:space="0" w:color="auto"/>
      </w:divBdr>
    </w:div>
    <w:div w:id="2135126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FBDE2-BFEF-664A-A547-E8C5643A4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25</Pages>
  <Words>8261</Words>
  <Characters>47093</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Watson (2000820)</dc:creator>
  <cp:keywords/>
  <dc:description/>
  <cp:lastModifiedBy>Kian Watson (2000820)</cp:lastModifiedBy>
  <cp:revision>14</cp:revision>
  <cp:lastPrinted>2024-04-14T16:56:00Z</cp:lastPrinted>
  <dcterms:created xsi:type="dcterms:W3CDTF">2024-04-15T13:08:00Z</dcterms:created>
  <dcterms:modified xsi:type="dcterms:W3CDTF">2024-04-15T13:38:00Z</dcterms:modified>
</cp:coreProperties>
</file>