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7EFEFB" w14:textId="70B6EAD0" w:rsidR="000178E6" w:rsidRDefault="00A52236" w:rsidP="00A52236">
      <w:pPr>
        <w:jc w:val="center"/>
        <w:rPr>
          <w:b/>
          <w:bCs/>
        </w:rPr>
      </w:pPr>
      <w:r>
        <w:rPr>
          <w:b/>
          <w:bCs/>
        </w:rPr>
        <w:t xml:space="preserve">Zoonotic Disease: Identifying one from the symptoms of </w:t>
      </w:r>
      <w:r w:rsidR="00EE7253">
        <w:rPr>
          <w:b/>
          <w:bCs/>
        </w:rPr>
        <w:t>many.</w:t>
      </w:r>
    </w:p>
    <w:p w14:paraId="0A3A2A22" w14:textId="2620A259" w:rsidR="00A52236" w:rsidRDefault="00214235" w:rsidP="00A52236">
      <w:r>
        <w:t>Zoonotic disease</w:t>
      </w:r>
      <w:r w:rsidR="00915D8D">
        <w:t>s</w:t>
      </w:r>
      <w:r>
        <w:t xml:space="preserve">, transmittable between human and animal hosts, are </w:t>
      </w:r>
      <w:r w:rsidR="0045414E">
        <w:t xml:space="preserve">found throughout the world among every population. </w:t>
      </w:r>
      <w:r w:rsidR="008E375B">
        <w:t>Zoonotic disease</w:t>
      </w:r>
      <w:r w:rsidR="00915D8D">
        <w:t>s</w:t>
      </w:r>
      <w:r w:rsidR="008E375B">
        <w:t xml:space="preserve"> present major problems</w:t>
      </w:r>
      <w:r w:rsidR="00915D8D">
        <w:t>,</w:t>
      </w:r>
      <w:r w:rsidR="008E375B">
        <w:t xml:space="preserve"> because of their nature, it makes them very hard to identify especially in terms of differentiating between strains. Many zoonotic diseases have similarities between strains that make it very difficult to differentiate, this difficulty then becomes amplified when dealing with the archaeological record. </w:t>
      </w:r>
      <w:r w:rsidR="00393214">
        <w:t xml:space="preserve">The likelihood of an individual being exposed to a zoonotic disease increases once the domestication of animals and plants is introduced. The increased exposure to animals in restricted environments in turn increases the risk to an individual. Certain approaches demonstrate </w:t>
      </w:r>
      <w:r w:rsidR="00CF0B0F">
        <w:t xml:space="preserve">this link between humans to the surrounding world, one example the epidemiological triad, this links host, </w:t>
      </w:r>
      <w:r w:rsidR="000E3A1E">
        <w:t>pathogens,</w:t>
      </w:r>
      <w:r w:rsidR="00CF0B0F">
        <w:t xml:space="preserve"> and the environment</w:t>
      </w:r>
      <w:sdt>
        <w:sdtPr>
          <w:id w:val="-55321075"/>
          <w:citation/>
        </w:sdtPr>
        <w:sdtContent>
          <w:r w:rsidR="00281443">
            <w:fldChar w:fldCharType="begin"/>
          </w:r>
          <w:r w:rsidR="00281443">
            <w:instrText xml:space="preserve"> CITATION Ben20 \l 2057 </w:instrText>
          </w:r>
          <w:r w:rsidR="00281443">
            <w:fldChar w:fldCharType="separate"/>
          </w:r>
          <w:r w:rsidR="00281443">
            <w:rPr>
              <w:noProof/>
            </w:rPr>
            <w:t xml:space="preserve"> </w:t>
          </w:r>
          <w:r w:rsidR="00281443" w:rsidRPr="00281443">
            <w:rPr>
              <w:noProof/>
            </w:rPr>
            <w:t>(Bendry, et al., 2020)</w:t>
          </w:r>
          <w:r w:rsidR="00281443">
            <w:fldChar w:fldCharType="end"/>
          </w:r>
        </w:sdtContent>
      </w:sdt>
      <w:r w:rsidR="00281443">
        <w:t xml:space="preserve">. Another approach being the One Health </w:t>
      </w:r>
      <w:sdt>
        <w:sdtPr>
          <w:id w:val="-2047368407"/>
          <w:citation/>
        </w:sdtPr>
        <w:sdtContent>
          <w:r w:rsidR="00281443">
            <w:fldChar w:fldCharType="begin"/>
          </w:r>
          <w:r w:rsidR="00281443">
            <w:instrText xml:space="preserve"> CITATION Ben21 \l 2057 </w:instrText>
          </w:r>
          <w:r w:rsidR="00281443">
            <w:fldChar w:fldCharType="separate"/>
          </w:r>
          <w:r w:rsidR="00281443" w:rsidRPr="00281443">
            <w:rPr>
              <w:noProof/>
            </w:rPr>
            <w:t>(Bendrey &amp; Martin, 2021)</w:t>
          </w:r>
          <w:r w:rsidR="00281443">
            <w:fldChar w:fldCharType="end"/>
          </w:r>
        </w:sdtContent>
      </w:sdt>
      <w:r w:rsidR="00915D8D">
        <w:t xml:space="preserve"> </w:t>
      </w:r>
      <w:r w:rsidR="00281443">
        <w:t>approach, which links the health of the human</w:t>
      </w:r>
      <w:r w:rsidR="000E3A1E">
        <w:t>,</w:t>
      </w:r>
      <w:r w:rsidR="00281443">
        <w:t xml:space="preserve"> animal</w:t>
      </w:r>
      <w:r w:rsidR="000E3A1E">
        <w:t>,</w:t>
      </w:r>
      <w:r w:rsidR="00281443">
        <w:t xml:space="preserve"> and environment together. The One Health </w:t>
      </w:r>
      <w:sdt>
        <w:sdtPr>
          <w:id w:val="-538669722"/>
          <w:citation/>
        </w:sdtPr>
        <w:sdtContent>
          <w:r w:rsidR="00915D8D">
            <w:fldChar w:fldCharType="begin"/>
          </w:r>
          <w:r w:rsidR="00915D8D">
            <w:instrText xml:space="preserve"> CITATION Ben20 \l 2057 </w:instrText>
          </w:r>
          <w:r w:rsidR="00915D8D">
            <w:fldChar w:fldCharType="separate"/>
          </w:r>
          <w:r w:rsidR="00915D8D" w:rsidRPr="00915D8D">
            <w:rPr>
              <w:noProof/>
            </w:rPr>
            <w:t>(Bendry, et al., 2020)</w:t>
          </w:r>
          <w:r w:rsidR="00915D8D">
            <w:fldChar w:fldCharType="end"/>
          </w:r>
        </w:sdtContent>
      </w:sdt>
      <w:r w:rsidR="00915D8D">
        <w:t xml:space="preserve"> </w:t>
      </w:r>
      <w:r w:rsidR="00281443">
        <w:t xml:space="preserve">approach marks a movement away from an anthropocentric </w:t>
      </w:r>
      <w:r w:rsidR="00AC5443">
        <w:t xml:space="preserve">view towards zoonotic diseases and acknowledges the possibility for them to be transferred from humans to animals as well as vice versa. </w:t>
      </w:r>
      <w:r w:rsidR="00C6528F">
        <w:t xml:space="preserve">Diet is one of the many indicators and </w:t>
      </w:r>
      <w:r w:rsidR="000E3A1E">
        <w:t xml:space="preserve">causes of an individual contracting a zoonotic disease. While a </w:t>
      </w:r>
      <w:r w:rsidR="00915D8D">
        <w:t>limited</w:t>
      </w:r>
      <w:r w:rsidR="000E3A1E">
        <w:t xml:space="preserve"> diet can restrict the number of diseases available for an individual to contract, a wider diet increases this number. As Fournie </w:t>
      </w:r>
      <w:sdt>
        <w:sdtPr>
          <w:id w:val="-279339003"/>
          <w:citation/>
        </w:sdtPr>
        <w:sdtContent>
          <w:r w:rsidR="000E3A1E">
            <w:fldChar w:fldCharType="begin"/>
          </w:r>
          <w:r w:rsidR="000E3A1E">
            <w:instrText xml:space="preserve">CITATION Fou17 \n  \l 2057 </w:instrText>
          </w:r>
          <w:r w:rsidR="000E3A1E">
            <w:fldChar w:fldCharType="separate"/>
          </w:r>
          <w:r w:rsidR="000E3A1E" w:rsidRPr="000E3A1E">
            <w:rPr>
              <w:noProof/>
            </w:rPr>
            <w:t>(2017)</w:t>
          </w:r>
          <w:r w:rsidR="000E3A1E">
            <w:fldChar w:fldCharType="end"/>
          </w:r>
        </w:sdtContent>
      </w:sdt>
      <w:r w:rsidR="00281443">
        <w:t xml:space="preserve"> </w:t>
      </w:r>
      <w:r w:rsidR="000E3A1E">
        <w:t xml:space="preserve">discusses using the Americas prior to colonisation, the diet was greatly varied and as such the evidence for zoonotic diseases is found in abundance. </w:t>
      </w:r>
      <w:r w:rsidR="00D2154E">
        <w:t xml:space="preserve">Linked to the dietary restrictions of zoonotic disease is the concept of geographical constraints. </w:t>
      </w:r>
      <w:r w:rsidR="00D565C7">
        <w:t xml:space="preserve">Certain geographical areas </w:t>
      </w:r>
      <w:r w:rsidR="0097443A">
        <w:t xml:space="preserve">provide an exposure to new animals, this in turn increases the risk of contracting a new zoonotic disease. This also means that it is only possible to contract certain zoonotic diseases in certain regions. </w:t>
      </w:r>
      <w:r w:rsidR="00F00D1C">
        <w:t xml:space="preserve">These regional specific zoonotic diseases can also be </w:t>
      </w:r>
      <w:r w:rsidR="003A7439">
        <w:t xml:space="preserve">susceptible to the surrounding environment, as Bendrey </w:t>
      </w:r>
      <w:sdt>
        <w:sdtPr>
          <w:id w:val="-1457098590"/>
          <w:citation/>
        </w:sdtPr>
        <w:sdtContent>
          <w:r w:rsidR="003A7439">
            <w:fldChar w:fldCharType="begin"/>
          </w:r>
          <w:r w:rsidR="003A7439">
            <w:instrText xml:space="preserve">CITATION Ben21 \n  \l 2057 </w:instrText>
          </w:r>
          <w:r w:rsidR="003A7439">
            <w:fldChar w:fldCharType="separate"/>
          </w:r>
          <w:r w:rsidR="003A7439" w:rsidRPr="003A7439">
            <w:rPr>
              <w:noProof/>
            </w:rPr>
            <w:t>(2021)</w:t>
          </w:r>
          <w:r w:rsidR="003A7439">
            <w:fldChar w:fldCharType="end"/>
          </w:r>
        </w:sdtContent>
      </w:sdt>
      <w:r w:rsidR="0097443A">
        <w:t xml:space="preserve"> </w:t>
      </w:r>
      <w:r w:rsidR="003A7439">
        <w:t xml:space="preserve">discusses. These diseases can be affected by changes in temperature, soil biology and other environmental changes. Changes can often mean that the variables are no longer suitable for the zoonotic disease to survive, hence why certain diseases cannot exist outside of certain regions. </w:t>
      </w:r>
    </w:p>
    <w:p w14:paraId="79122B2A" w14:textId="296D77A9" w:rsidR="007E18C7" w:rsidRDefault="009B0A11" w:rsidP="00A52236">
      <w:r>
        <w:t>Many zoonotic disease</w:t>
      </w:r>
      <w:r w:rsidR="00915D8D">
        <w:t>s</w:t>
      </w:r>
      <w:r>
        <w:t xml:space="preserve"> present similar symptoms, both when the host is living and dead. This makes pathologies of zoonotic disease very difficult. </w:t>
      </w:r>
      <w:r w:rsidR="002C671A">
        <w:t>One of these is the bacterial infection known as Brucellosis</w:t>
      </w:r>
      <w:r w:rsidR="00285F0D">
        <w:t>, potentially one of the most common bacterial zoonosis in the world</w:t>
      </w:r>
      <w:r w:rsidR="002C671A">
        <w:t xml:space="preserve">. The bacteria that </w:t>
      </w:r>
      <w:r w:rsidR="00E76D94">
        <w:t>cause</w:t>
      </w:r>
      <w:r w:rsidR="00915D8D">
        <w:t>s</w:t>
      </w:r>
      <w:r w:rsidR="002C671A">
        <w:t xml:space="preserve"> this infection is a </w:t>
      </w:r>
      <w:r w:rsidR="00E76D94">
        <w:t>rod-shaped aerobic bacterium</w:t>
      </w:r>
      <w:r w:rsidR="002C671A">
        <w:t xml:space="preserve">, </w:t>
      </w:r>
      <w:r w:rsidR="0084092F">
        <w:t xml:space="preserve">which is transferred to humans via skin abrasions from direct contact with infected animals or through the ingestion of infected animal products, most commonly </w:t>
      </w:r>
      <w:r w:rsidR="00767FB7">
        <w:t xml:space="preserve">dairy. </w:t>
      </w:r>
      <w:r w:rsidR="007D6B28">
        <w:t>T</w:t>
      </w:r>
      <w:r w:rsidR="002C671A">
        <w:t>he primary symptoms</w:t>
      </w:r>
      <w:r w:rsidR="007D6B28">
        <w:t xml:space="preserve"> of Brucellosis</w:t>
      </w:r>
      <w:r w:rsidR="002C671A">
        <w:t xml:space="preserve"> present as a respiratory illness and fever which then later moves to causing issues with the </w:t>
      </w:r>
      <w:r w:rsidR="0019764B">
        <w:t>skeletal tissue</w:t>
      </w:r>
      <w:r w:rsidR="00F32E5C">
        <w:t>, with the incubation period for</w:t>
      </w:r>
      <w:r w:rsidR="00BE3D80">
        <w:t xml:space="preserve"> the infection</w:t>
      </w:r>
      <w:r w:rsidR="00F32E5C">
        <w:t xml:space="preserve"> being anywhere between three weeks to a few months </w:t>
      </w:r>
      <w:sdt>
        <w:sdtPr>
          <w:id w:val="-903525301"/>
          <w:citation/>
        </w:sdtPr>
        <w:sdtContent>
          <w:r w:rsidR="0084092F">
            <w:fldChar w:fldCharType="begin"/>
          </w:r>
          <w:r w:rsidR="0084092F">
            <w:instrText xml:space="preserve"> CITATION Mut12 \l 2057 </w:instrText>
          </w:r>
          <w:r w:rsidR="0084092F">
            <w:fldChar w:fldCharType="separate"/>
          </w:r>
          <w:r w:rsidR="0084092F" w:rsidRPr="0084092F">
            <w:rPr>
              <w:noProof/>
            </w:rPr>
            <w:t>(Mutolo, et al., 2012)</w:t>
          </w:r>
          <w:r w:rsidR="0084092F">
            <w:fldChar w:fldCharType="end"/>
          </w:r>
        </w:sdtContent>
      </w:sdt>
      <w:r w:rsidR="0084092F">
        <w:t xml:space="preserve">. </w:t>
      </w:r>
      <w:r w:rsidR="007D6B28">
        <w:t>Brucella also often has a negative effective on the reproductive system of the host</w:t>
      </w:r>
      <w:r w:rsidR="00D74D05">
        <w:t>, it c</w:t>
      </w:r>
      <w:r w:rsidR="009E278E">
        <w:t>a</w:t>
      </w:r>
      <w:r w:rsidR="00D74D05">
        <w:t>n multiply in the placenta of a pregnant host which then induces an abortion, following pregnancy it can live in the mammary glands of the host, shedding through the milk and then infecting others through ingestion</w:t>
      </w:r>
      <w:sdt>
        <w:sdtPr>
          <w:id w:val="-17933987"/>
          <w:citation/>
        </w:sdtPr>
        <w:sdtContent>
          <w:r w:rsidR="00D74D05">
            <w:fldChar w:fldCharType="begin"/>
          </w:r>
          <w:r w:rsidR="00D74D05">
            <w:instrText xml:space="preserve"> CITATION Ben20 \l 2057 </w:instrText>
          </w:r>
          <w:r w:rsidR="00D74D05">
            <w:fldChar w:fldCharType="separate"/>
          </w:r>
          <w:r w:rsidR="00D74D05">
            <w:rPr>
              <w:noProof/>
            </w:rPr>
            <w:t xml:space="preserve"> </w:t>
          </w:r>
          <w:r w:rsidR="00D74D05" w:rsidRPr="00D74D05">
            <w:rPr>
              <w:noProof/>
            </w:rPr>
            <w:t>(Bendry, et al., 2020)</w:t>
          </w:r>
          <w:r w:rsidR="00D74D05">
            <w:fldChar w:fldCharType="end"/>
          </w:r>
        </w:sdtContent>
      </w:sdt>
      <w:r w:rsidR="00D74D05">
        <w:t>.</w:t>
      </w:r>
      <w:r w:rsidR="00BE1959">
        <w:t xml:space="preserve">The osteoarchaeological methods of identification of Brucellosis </w:t>
      </w:r>
      <w:r w:rsidR="00BE3D80">
        <w:t>use indicators which are</w:t>
      </w:r>
      <w:r w:rsidR="00BE1959">
        <w:t xml:space="preserve"> localised in the skeleton, especially within the vertebrae and synovial structures such as joints</w:t>
      </w:r>
      <w:sdt>
        <w:sdtPr>
          <w:id w:val="1185934518"/>
          <w:citation/>
        </w:sdtPr>
        <w:sdtContent>
          <w:r w:rsidR="00BE1959">
            <w:fldChar w:fldCharType="begin"/>
          </w:r>
          <w:r w:rsidR="00BE1959">
            <w:instrText xml:space="preserve"> CITATION Ben20 \l 2057 </w:instrText>
          </w:r>
          <w:r w:rsidR="00BE1959">
            <w:fldChar w:fldCharType="separate"/>
          </w:r>
          <w:r w:rsidR="00BE1959">
            <w:rPr>
              <w:noProof/>
            </w:rPr>
            <w:t xml:space="preserve"> </w:t>
          </w:r>
          <w:r w:rsidR="00BE1959" w:rsidRPr="00BE1959">
            <w:rPr>
              <w:noProof/>
            </w:rPr>
            <w:t>(Bendry, et al., 2020)</w:t>
          </w:r>
          <w:r w:rsidR="00BE1959">
            <w:fldChar w:fldCharType="end"/>
          </w:r>
        </w:sdtContent>
      </w:sdt>
      <w:r w:rsidR="00BE1959">
        <w:t>.</w:t>
      </w:r>
      <w:r w:rsidR="00066027">
        <w:t xml:space="preserve"> Pathological features that Brucellosis present are osteolytic lesions </w:t>
      </w:r>
      <w:r w:rsidR="009E278E">
        <w:t>with sclerosis of the spongy bone surrounding the lesions</w:t>
      </w:r>
      <w:r w:rsidR="00D85E15">
        <w:t>, as well as vertebral marginal lesions that have a ‘parrot beak’ feature, signs of ‘Pedro pons’ and ‘cauliflower signs’ on CT and radiographs</w:t>
      </w:r>
      <w:sdt>
        <w:sdtPr>
          <w:id w:val="-1679571316"/>
          <w:citation/>
        </w:sdtPr>
        <w:sdtContent>
          <w:r w:rsidR="00AB1FC9">
            <w:fldChar w:fldCharType="begin"/>
          </w:r>
          <w:r w:rsidR="00AB1FC9">
            <w:instrText xml:space="preserve"> CITATION Jon19 \l 2057 </w:instrText>
          </w:r>
          <w:r w:rsidR="00AB1FC9">
            <w:fldChar w:fldCharType="separate"/>
          </w:r>
          <w:r w:rsidR="00AB1FC9">
            <w:rPr>
              <w:noProof/>
            </w:rPr>
            <w:t xml:space="preserve"> </w:t>
          </w:r>
          <w:r w:rsidR="00AB1FC9" w:rsidRPr="00AB1FC9">
            <w:rPr>
              <w:noProof/>
            </w:rPr>
            <w:t>(Jones, 2019)</w:t>
          </w:r>
          <w:r w:rsidR="00AB1FC9">
            <w:fldChar w:fldCharType="end"/>
          </w:r>
        </w:sdtContent>
      </w:sdt>
      <w:r w:rsidR="00D85E15">
        <w:t>.</w:t>
      </w:r>
      <w:r w:rsidR="00846F7E">
        <w:t xml:space="preserve"> </w:t>
      </w:r>
      <w:r w:rsidR="00583ED3">
        <w:t xml:space="preserve">A </w:t>
      </w:r>
      <w:r w:rsidR="00846F7E">
        <w:t>result of studies surrounding the nature of how Brucellosis presents</w:t>
      </w:r>
      <w:r w:rsidR="00583ED3">
        <w:t xml:space="preserve"> was that it</w:t>
      </w:r>
      <w:r w:rsidR="00846F7E">
        <w:t xml:space="preserve"> showed in 20-80% of cases it resulted in lesions on the skeleton.</w:t>
      </w:r>
      <w:r w:rsidR="00D85E15">
        <w:t xml:space="preserve"> </w:t>
      </w:r>
      <w:r w:rsidR="00AB1FC9">
        <w:t xml:space="preserve">Jones </w:t>
      </w:r>
      <w:sdt>
        <w:sdtPr>
          <w:id w:val="1739749087"/>
          <w:citation/>
        </w:sdtPr>
        <w:sdtContent>
          <w:r w:rsidR="00AB1FC9">
            <w:fldChar w:fldCharType="begin"/>
          </w:r>
          <w:r w:rsidR="00AB1FC9">
            <w:instrText xml:space="preserve">CITATION Jon19 \n  \l 2057 </w:instrText>
          </w:r>
          <w:r w:rsidR="00AB1FC9">
            <w:fldChar w:fldCharType="separate"/>
          </w:r>
          <w:r w:rsidR="00AB1FC9" w:rsidRPr="00AB1FC9">
            <w:rPr>
              <w:noProof/>
            </w:rPr>
            <w:t>(2019)</w:t>
          </w:r>
          <w:r w:rsidR="00AB1FC9">
            <w:fldChar w:fldCharType="end"/>
          </w:r>
        </w:sdtContent>
      </w:sdt>
      <w:r w:rsidR="00AB1FC9">
        <w:t xml:space="preserve"> makes an interesting observation that a developing Brucellosis would make life very difficult for an individual and would ultimately make them dependent on others which would place strain upon the community they live in. </w:t>
      </w:r>
      <w:r w:rsidR="00821CEA">
        <w:t xml:space="preserve">While this observation is certainly true, it is an observation that can be made </w:t>
      </w:r>
      <w:r w:rsidR="00821CEA">
        <w:lastRenderedPageBreak/>
        <w:t xml:space="preserve">about many zoonotic diseases or any disease that has any negative impact on the function of day to day life for that matter. </w:t>
      </w:r>
    </w:p>
    <w:p w14:paraId="58CE4943" w14:textId="3EC44E12" w:rsidR="00EF1E7A" w:rsidRDefault="00EF1E7A" w:rsidP="00A52236">
      <w:r>
        <w:t xml:space="preserve">One of the ways that Brucellosis is observed in the archaeological record is through the osteological impact that the disease causes. The secondary </w:t>
      </w:r>
      <w:r w:rsidR="0075046B">
        <w:t xml:space="preserve">infection that Brucellosis causes results in lesions osteolytic lesions and ‘parrot beak’ shaped lesions on vertebral lesions, as well as </w:t>
      </w:r>
      <w:r w:rsidR="000D1F8C">
        <w:t xml:space="preserve">what becomes visible on radiographs and CT scans which is the ‘sign of Pedro pons’ and ‘cauliflower signs’ </w:t>
      </w:r>
      <w:sdt>
        <w:sdtPr>
          <w:id w:val="1476325898"/>
          <w:citation/>
        </w:sdtPr>
        <w:sdtContent>
          <w:r w:rsidR="000D1F8C">
            <w:fldChar w:fldCharType="begin"/>
          </w:r>
          <w:r w:rsidR="000D1F8C">
            <w:instrText xml:space="preserve"> CITATION Jon19 \l 2057 </w:instrText>
          </w:r>
          <w:r w:rsidR="000D1F8C">
            <w:fldChar w:fldCharType="separate"/>
          </w:r>
          <w:r w:rsidR="000D1F8C" w:rsidRPr="000D1F8C">
            <w:rPr>
              <w:noProof/>
            </w:rPr>
            <w:t>(Jones, 2019)</w:t>
          </w:r>
          <w:r w:rsidR="000D1F8C">
            <w:fldChar w:fldCharType="end"/>
          </w:r>
        </w:sdtContent>
      </w:sdt>
      <w:r w:rsidR="000D1F8C">
        <w:t xml:space="preserve">. </w:t>
      </w:r>
      <w:r w:rsidR="00A53F4E">
        <w:t xml:space="preserve">An example of how these lesions are observable in the archaeological record is given by Jones </w:t>
      </w:r>
      <w:sdt>
        <w:sdtPr>
          <w:id w:val="871877698"/>
          <w:citation/>
        </w:sdtPr>
        <w:sdtContent>
          <w:r w:rsidR="00A53F4E">
            <w:fldChar w:fldCharType="begin"/>
          </w:r>
          <w:r w:rsidR="00A53F4E">
            <w:instrText xml:space="preserve">CITATION Jon19 \n  \l 2057 </w:instrText>
          </w:r>
          <w:r w:rsidR="00A53F4E">
            <w:fldChar w:fldCharType="separate"/>
          </w:r>
          <w:r w:rsidR="00A53F4E" w:rsidRPr="00A53F4E">
            <w:rPr>
              <w:noProof/>
            </w:rPr>
            <w:t>(2019)</w:t>
          </w:r>
          <w:r w:rsidR="00A53F4E">
            <w:fldChar w:fldCharType="end"/>
          </w:r>
        </w:sdtContent>
      </w:sdt>
      <w:r w:rsidR="00A53F4E">
        <w:t xml:space="preserve">, </w:t>
      </w:r>
      <w:r w:rsidR="00583ED3">
        <w:t xml:space="preserve">discussing </w:t>
      </w:r>
      <w:r w:rsidR="00A53F4E">
        <w:t>a site in Lower Pecos, Texas which contained the remains of at least thirteen individuals. Of these thirteen individuals Jones focuses her paper on one which she has named “individual 758a”</w:t>
      </w:r>
      <w:sdt>
        <w:sdtPr>
          <w:id w:val="244851469"/>
          <w:citation/>
        </w:sdtPr>
        <w:sdtContent>
          <w:r w:rsidR="00A53F4E">
            <w:fldChar w:fldCharType="begin"/>
          </w:r>
          <w:r w:rsidR="00A53F4E">
            <w:instrText xml:space="preserve">CITATION Jon19 \p 255 \n  \y  \l 2057 </w:instrText>
          </w:r>
          <w:r w:rsidR="00A53F4E">
            <w:fldChar w:fldCharType="separate"/>
          </w:r>
          <w:r w:rsidR="00A53F4E">
            <w:rPr>
              <w:noProof/>
            </w:rPr>
            <w:t xml:space="preserve"> </w:t>
          </w:r>
          <w:r w:rsidR="00A53F4E" w:rsidRPr="00A53F4E">
            <w:rPr>
              <w:noProof/>
            </w:rPr>
            <w:t>(p. 255)</w:t>
          </w:r>
          <w:r w:rsidR="00A53F4E">
            <w:fldChar w:fldCharType="end"/>
          </w:r>
        </w:sdtContent>
      </w:sdt>
      <w:r w:rsidR="00A53F4E">
        <w:t>. This individual</w:t>
      </w:r>
      <w:r w:rsidR="00F9679F">
        <w:t xml:space="preserve"> was not found as a complete skeleton and</w:t>
      </w:r>
      <w:r w:rsidR="00A53F4E">
        <w:t xml:space="preserve"> presented various post-mortem fractures </w:t>
      </w:r>
      <w:r w:rsidR="00F9679F">
        <w:t xml:space="preserve">to numerous bones that were present. </w:t>
      </w:r>
      <w:r w:rsidR="00AE3E57">
        <w:t>The pathology reports of the skeleton showed two extraspinal lesions, one of these was found on the scapula. This lesion had jagged margins and measured 5</w:t>
      </w:r>
      <w:r w:rsidR="00EE7253">
        <w:t xml:space="preserve"> </w:t>
      </w:r>
      <w:r w:rsidR="00AE3E57">
        <w:t xml:space="preserve">mm by </w:t>
      </w:r>
      <w:r w:rsidR="00EE7253">
        <w:t>10 mm</w:t>
      </w:r>
      <w:r w:rsidR="00AE3E57">
        <w:t xml:space="preserve">. The vertebra also showed </w:t>
      </w:r>
      <w:r w:rsidR="00366A31">
        <w:t>lytic lesions</w:t>
      </w:r>
      <w:r w:rsidR="002D7AC1">
        <w:t xml:space="preserve">, the largest being found upon the T11, L1 and L2 vertebra, these specific lesions cause the interior to have the appearance of being moth-eaten and CT scans showed that the vertebra had hollowed interiors. </w:t>
      </w:r>
      <w:r w:rsidR="0026408F">
        <w:t xml:space="preserve">There were further vertebral lesions on the T8 and L3 vertebra, these were raised sclerotic lesions. These lesions showed evidence of a slow healing process. </w:t>
      </w:r>
      <w:r w:rsidR="00EE7253">
        <w:t xml:space="preserve">Some </w:t>
      </w:r>
      <w:r w:rsidR="0026408F">
        <w:t xml:space="preserve">of the main </w:t>
      </w:r>
      <w:r w:rsidR="00EE7253">
        <w:t>evidence</w:t>
      </w:r>
      <w:r w:rsidR="0026408F">
        <w:t xml:space="preserve"> on the skeleton </w:t>
      </w:r>
      <w:r w:rsidR="0094358A">
        <w:t>that supports the diagnosis of Brucellosis is found on the T4 and T5 vertebrae. The evidence is sclerotic bone projections that are like osteophytes or what became known as ‘parrot beak’, similar evidence was found on the T2, T3 and T6 vertebra</w:t>
      </w:r>
      <w:r w:rsidR="00DE531C">
        <w:t xml:space="preserve">e however these lesions were smaller in size. Another evidence for Brucellosis is ‘cauliflower signs’ that appeared on the L3 and L4 vertebrae. These signs are produced </w:t>
      </w:r>
      <w:r w:rsidR="00583ED3">
        <w:t xml:space="preserve">by </w:t>
      </w:r>
      <w:r w:rsidR="00DE531C">
        <w:t xml:space="preserve">erosion and sclerotic bone growth and are demonstrated as irregular anterior margins. </w:t>
      </w:r>
      <w:r w:rsidR="00D94B6B">
        <w:t xml:space="preserve"> However, Jones </w:t>
      </w:r>
      <w:sdt>
        <w:sdtPr>
          <w:id w:val="341896209"/>
          <w:citation/>
        </w:sdtPr>
        <w:sdtContent>
          <w:r w:rsidR="00D94B6B">
            <w:fldChar w:fldCharType="begin"/>
          </w:r>
          <w:r w:rsidR="00D94B6B">
            <w:instrText xml:space="preserve">CITATION Jon19 \n  \l 2057 </w:instrText>
          </w:r>
          <w:r w:rsidR="00D94B6B">
            <w:fldChar w:fldCharType="separate"/>
          </w:r>
          <w:r w:rsidR="00D94B6B" w:rsidRPr="00D94B6B">
            <w:rPr>
              <w:noProof/>
            </w:rPr>
            <w:t>(2019)</w:t>
          </w:r>
          <w:r w:rsidR="00D94B6B">
            <w:fldChar w:fldCharType="end"/>
          </w:r>
        </w:sdtContent>
      </w:sdt>
      <w:r w:rsidR="00D94B6B">
        <w:t xml:space="preserve"> also </w:t>
      </w:r>
      <w:r w:rsidR="00143115">
        <w:t xml:space="preserve">discusses how these symptoms do not automatically mean that the diagnosis of Brucellosis. The lesions could also be symptoms of tuberculosis, malignant </w:t>
      </w:r>
      <w:r w:rsidR="001D1156">
        <w:t>tumours</w:t>
      </w:r>
      <w:r w:rsidR="00143115">
        <w:t xml:space="preserve">, echinococcosis, vertebral </w:t>
      </w:r>
      <w:r w:rsidR="001D1156">
        <w:t>osteomyelitis,</w:t>
      </w:r>
      <w:r w:rsidR="00143115">
        <w:t xml:space="preserve"> or spondylodiscitis. While the presence of the ‘parrot beak’ like features and the ‘cauliflower signs’ support the diagnosis of Brucellosis more than any of the others, this cannot be a definite diagnosis because the symptoms have cross over diagnoses. The other possible diagnosis </w:t>
      </w:r>
      <w:r w:rsidR="00876FE1">
        <w:t xml:space="preserve">can be put into context of the individual, a tuberculosis diagnosis is unlikely because of the predicted age of the individual </w:t>
      </w:r>
      <w:r w:rsidR="001D1156">
        <w:t>(</w:t>
      </w:r>
      <w:r w:rsidR="00876FE1">
        <w:t xml:space="preserve">between 45 and 89 years old), this is because tuberculosis only generally causes death in younger individuals. </w:t>
      </w:r>
      <w:r w:rsidR="00A846E1">
        <w:t xml:space="preserve">Many of the other possible diagnoses can also be discounted because while some of the symptoms are consistent, many of the symptoms present in the individual are either not consistent with the </w:t>
      </w:r>
      <w:r w:rsidR="006B391C">
        <w:t xml:space="preserve">diagnosis or symptoms are not present at all. An example is echinococcosis, a similar zoonotic disease but the secondary infection of this disease causes destruction of the vertebrae which is not present in this case. </w:t>
      </w:r>
    </w:p>
    <w:p w14:paraId="5C24D51B" w14:textId="65DFDAAB" w:rsidR="006B391C" w:rsidRDefault="006B391C" w:rsidP="00A52236">
      <w:r>
        <w:t>Another case</w:t>
      </w:r>
      <w:r w:rsidR="00E430D6">
        <w:t xml:space="preserve"> </w:t>
      </w:r>
      <w:r>
        <w:t xml:space="preserve">where osteology is the main </w:t>
      </w:r>
      <w:r w:rsidR="00E97472">
        <w:t>pathological method of diagnosis is in Southern Portugal</w:t>
      </w:r>
      <w:sdt>
        <w:sdtPr>
          <w:id w:val="-1040209732"/>
          <w:citation/>
        </w:sdtPr>
        <w:sdtContent>
          <w:r w:rsidR="001D1156">
            <w:fldChar w:fldCharType="begin"/>
          </w:r>
          <w:r w:rsidR="001D1156">
            <w:instrText xml:space="preserve"> CITATION Cur06 \l 2057 </w:instrText>
          </w:r>
          <w:r w:rsidR="001D1156">
            <w:fldChar w:fldCharType="separate"/>
          </w:r>
          <w:r w:rsidR="001D1156">
            <w:rPr>
              <w:noProof/>
            </w:rPr>
            <w:t xml:space="preserve"> </w:t>
          </w:r>
          <w:r w:rsidR="001D1156" w:rsidRPr="001D1156">
            <w:rPr>
              <w:noProof/>
            </w:rPr>
            <w:t>(Curate, 2006)</w:t>
          </w:r>
          <w:r w:rsidR="001D1156">
            <w:fldChar w:fldCharType="end"/>
          </w:r>
        </w:sdtContent>
      </w:sdt>
      <w:r w:rsidR="00E97472">
        <w:t>. At the monastery site in Alcacer do Sal, the pathology of two lumbar vertebrae</w:t>
      </w:r>
      <w:r w:rsidR="001D1156">
        <w:t xml:space="preserve">, both of which had lytic lesions. </w:t>
      </w:r>
      <w:r w:rsidR="00144BF9">
        <w:t>One of the lesions showed the possible formation of new bone, it was however irregular.  One of the vertebrae showed the ‘sign of Pedro-Pons’</w:t>
      </w:r>
      <w:r w:rsidR="00E430D6">
        <w:t xml:space="preserve">, a symptom that is attributed, as mentioned, to Brucellosis. </w:t>
      </w:r>
      <w:r w:rsidR="00A166AB">
        <w:t xml:space="preserve">Curate, as Jones did, points out that vertebral osteoarthritis presents similar symptoms, they also </w:t>
      </w:r>
      <w:r w:rsidR="00761CC9">
        <w:t xml:space="preserve">make an observation, </w:t>
      </w:r>
      <w:r w:rsidR="00A166AB">
        <w:t xml:space="preserve">that this could have resulted in misdiagnosis of Brucellosis when it was in fact vertebral osteoarthritis. While this is an interesting observation to make it is not definite and is an example of how diagnosing between diseases is incredibly difficult when dealing with the archaeological record. </w:t>
      </w:r>
      <w:r w:rsidR="00373B93">
        <w:t>This case presents a small amount of evidence for the argument</w:t>
      </w:r>
      <w:r w:rsidR="0069040D">
        <w:t xml:space="preserve"> of</w:t>
      </w:r>
      <w:r w:rsidR="00373B93">
        <w:t xml:space="preserve"> a diagnosis of Brucellosis, with only two examples</w:t>
      </w:r>
      <w:r w:rsidR="00D353A5">
        <w:t xml:space="preserve"> given, it does not provide enough for a definitive diagnosis to be given. It does however provide evidence that can be </w:t>
      </w:r>
      <w:r w:rsidR="00D353A5">
        <w:lastRenderedPageBreak/>
        <w:t xml:space="preserve">cross examined with others to understand how the vertebrae can be affected by diseases in this manner. </w:t>
      </w:r>
    </w:p>
    <w:p w14:paraId="235149FC" w14:textId="7258BCF7" w:rsidR="007765B0" w:rsidRDefault="007765B0" w:rsidP="00A52236">
      <w:r>
        <w:t xml:space="preserve">A third case, discussed by Mays </w:t>
      </w:r>
      <w:sdt>
        <w:sdtPr>
          <w:id w:val="1256316497"/>
          <w:citation/>
        </w:sdtPr>
        <w:sdtContent>
          <w:r>
            <w:fldChar w:fldCharType="begin"/>
          </w:r>
          <w:r>
            <w:instrText xml:space="preserve">CITATION May07 \n  \l 2057 </w:instrText>
          </w:r>
          <w:r>
            <w:fldChar w:fldCharType="separate"/>
          </w:r>
          <w:r w:rsidRPr="007765B0">
            <w:rPr>
              <w:noProof/>
            </w:rPr>
            <w:t>(2007)</w:t>
          </w:r>
          <w:r>
            <w:fldChar w:fldCharType="end"/>
          </w:r>
        </w:sdtContent>
      </w:sdt>
      <w:r>
        <w:t>, uses evidence found</w:t>
      </w:r>
      <w:r w:rsidR="008569BD">
        <w:t xml:space="preserve"> at Wharram Percy, an abandoned town in England. Mays is using remains found within the churchyard, 135 sets of remains were selected to be examined for vertebral lesions. This </w:t>
      </w:r>
      <w:proofErr w:type="gramStart"/>
      <w:r w:rsidR="008569BD">
        <w:t>particular study</w:t>
      </w:r>
      <w:proofErr w:type="gramEnd"/>
      <w:r w:rsidR="008569BD">
        <w:t xml:space="preserve"> focused on lesions that fit certain criteria</w:t>
      </w:r>
      <w:r w:rsidR="00BD0532">
        <w:t xml:space="preserve">, such as causing interruptions to the antero-superior or antero-inferior margin, and the loss of an approximate </w:t>
      </w:r>
      <w:r w:rsidR="00E8525B">
        <w:t>wedge-shaped</w:t>
      </w:r>
      <w:r w:rsidR="00BD0532">
        <w:t xml:space="preserve"> margin. These criteria were met by 5 individuals, specifically 9 lumbar vertebrae between these 5 individuals. </w:t>
      </w:r>
      <w:r w:rsidR="001242EC">
        <w:t xml:space="preserve">The margins of these lesions appeared </w:t>
      </w:r>
      <w:r w:rsidR="00AB130B">
        <w:t>sharp,</w:t>
      </w:r>
      <w:r w:rsidR="001242EC">
        <w:t xml:space="preserve"> and the surfaces were smooth, X-Rays showed sclerosis and there were no signs of bone regeneration. </w:t>
      </w:r>
      <w:r w:rsidR="00F91CC5">
        <w:t>This case does succeed in discussing possible diagnos</w:t>
      </w:r>
      <w:r w:rsidR="00AB130B">
        <w:t>es</w:t>
      </w:r>
      <w:r w:rsidR="00F91CC5">
        <w:t xml:space="preserve"> for these lesions in a more detailed manor than any of the other cases mentioned. Mays discusses each possible diagnosis and then also gives details of how each diagnosis may not fit the pathology of each skeleton. For example, intervertebral disc degeneration which could cause the lesions however it was an unlikely cause at this site because some of the skeletons were aged to be too young to suffer</w:t>
      </w:r>
      <w:r w:rsidR="00AB130B">
        <w:t xml:space="preserve"> </w:t>
      </w:r>
      <w:r w:rsidR="00F91CC5">
        <w:t>from this and there were no signs of osteochondrosis which is a prominent symptom of intervertebral disc degeneration.</w:t>
      </w:r>
      <w:r w:rsidR="00FB7CBB">
        <w:t xml:space="preserve"> Fu</w:t>
      </w:r>
      <w:r w:rsidR="00AB130B">
        <w:t>r</w:t>
      </w:r>
      <w:r w:rsidR="00FB7CBB">
        <w:t>ther</w:t>
      </w:r>
      <w:r w:rsidR="00AB130B">
        <w:t xml:space="preserve"> </w:t>
      </w:r>
      <w:r w:rsidR="00FB7CBB">
        <w:t>examples given of a differential diagnosis are pyogenic osteomyelitis, unlikely because it usual</w:t>
      </w:r>
      <w:r w:rsidR="00AB130B">
        <w:t>ly</w:t>
      </w:r>
      <w:r w:rsidR="00FB7CBB">
        <w:t xml:space="preserve"> involves the neural arch and the spinous process and the lesions showed new bone proliferation; actinomycosis, unlikely because it usual</w:t>
      </w:r>
      <w:r w:rsidR="00AB130B">
        <w:t>ly</w:t>
      </w:r>
      <w:r w:rsidR="00FB7CBB">
        <w:t xml:space="preserve"> presents with superficial erosion of the anterior wall and new bone formation on the subperiosteal which was not present in these cases; </w:t>
      </w:r>
      <w:r w:rsidR="00741795">
        <w:t xml:space="preserve">then finally tuberculosis which is unlikely because once again it does not cause the specified </w:t>
      </w:r>
      <w:r w:rsidR="00E62547">
        <w:t>damage to the vertebrae</w:t>
      </w:r>
      <w:r w:rsidR="00AB130B">
        <w:t xml:space="preserve"> that is present in this case</w:t>
      </w:r>
      <w:r w:rsidR="00E62547">
        <w:t xml:space="preserve">. </w:t>
      </w:r>
      <w:r w:rsidR="00D120EF">
        <w:t xml:space="preserve">Mays </w:t>
      </w:r>
      <w:proofErr w:type="gramStart"/>
      <w:r w:rsidR="00D120EF">
        <w:t>comes to the conclusion</w:t>
      </w:r>
      <w:proofErr w:type="gramEnd"/>
      <w:r w:rsidR="00D120EF">
        <w:t xml:space="preserve"> that the only disease that fits with the presenting lesions is </w:t>
      </w:r>
      <w:r w:rsidR="00AB130B">
        <w:t>B</w:t>
      </w:r>
      <w:r w:rsidR="00D120EF">
        <w:t xml:space="preserve">rucellosis, however they </w:t>
      </w:r>
      <w:r w:rsidR="00C5149F">
        <w:t>do also discuss the possibility of the lesions and damage being a result of trauma</w:t>
      </w:r>
      <w:r w:rsidR="00255A24">
        <w:t xml:space="preserve">, which led to a traumatic anterior disc herniation. </w:t>
      </w:r>
      <w:r w:rsidR="006E1DA9">
        <w:t>The addition of possible trauma further complicates the diagnosis process</w:t>
      </w:r>
      <w:r w:rsidR="00C47D7A">
        <w:t>, osteology has not only the purpose of diagnosing a disease but also of determining injury. It is the distinction between the two and then between which diagnosis is appropriate</w:t>
      </w:r>
      <w:r w:rsidR="00AB130B">
        <w:t xml:space="preserve"> that makes osteology an important part of the process to determine whether a zoonotic disease was present during the life of an individual. </w:t>
      </w:r>
      <w:r w:rsidR="00C47D7A">
        <w:t xml:space="preserve"> </w:t>
      </w:r>
    </w:p>
    <w:p w14:paraId="77120D91" w14:textId="5694BF35" w:rsidR="00BE6001" w:rsidRDefault="00BE6001" w:rsidP="00A52236">
      <w:r>
        <w:t xml:space="preserve">Osteology is a useful tool to use when trying to diagnose and use pathology studying the archaeological record. The cases presented however do provide an observation that osteology alone is not enough to give a definitive diagnosis. Many different causes may result in lesions similar to what Brucellosis may cause, and osteology alone cannot always determine which it is. Another method has been used to make a </w:t>
      </w:r>
      <w:r w:rsidR="00EE1AC3">
        <w:t xml:space="preserve">more definitive diagnosis, this method is PCR or </w:t>
      </w:r>
      <w:r w:rsidR="00846F7E">
        <w:t>P</w:t>
      </w:r>
      <w:r w:rsidR="00EE1AC3">
        <w:t xml:space="preserve">olymerase </w:t>
      </w:r>
      <w:r w:rsidR="00846F7E">
        <w:t>C</w:t>
      </w:r>
      <w:r w:rsidR="00EE1AC3">
        <w:t xml:space="preserve">hain </w:t>
      </w:r>
      <w:r w:rsidR="00846F7E">
        <w:t>R</w:t>
      </w:r>
      <w:r w:rsidR="00EE1AC3">
        <w:t xml:space="preserve">eaction. </w:t>
      </w:r>
    </w:p>
    <w:p w14:paraId="560B086F" w14:textId="440F9480" w:rsidR="00DD1BD8" w:rsidRDefault="00DD1BD8" w:rsidP="00A52236">
      <w:r>
        <w:t xml:space="preserve">Identifying a pathogen on a molecular level is a sure and definitive method. Polymerase Chain Reaction </w:t>
      </w:r>
      <w:proofErr w:type="gramStart"/>
      <w:r>
        <w:t>has the ability to</w:t>
      </w:r>
      <w:proofErr w:type="gramEnd"/>
      <w:r>
        <w:t xml:space="preserve"> do this</w:t>
      </w:r>
      <w:r w:rsidR="00846F7E">
        <w:t xml:space="preserve">, this process </w:t>
      </w:r>
      <w:r w:rsidR="00143C4B">
        <w:t>works by taking a sample of DNA from the skeleton and then using the sample to identify markers of certain diseases using comparisons and examples of DNA impaired with the disease</w:t>
      </w:r>
      <w:r>
        <w:t xml:space="preserve">. </w:t>
      </w:r>
      <w:r w:rsidR="00143C4B">
        <w:t xml:space="preserve">Polymerase Chain Reaction </w:t>
      </w:r>
      <w:r w:rsidR="00561596">
        <w:t xml:space="preserve">has been used to identify </w:t>
      </w:r>
      <w:proofErr w:type="gramStart"/>
      <w:r w:rsidR="0084077D">
        <w:t>a number of</w:t>
      </w:r>
      <w:proofErr w:type="gramEnd"/>
      <w:r w:rsidR="00561596">
        <w:t xml:space="preserve"> different pathogens </w:t>
      </w:r>
      <w:r w:rsidR="000716C5">
        <w:t>including</w:t>
      </w:r>
      <w:r w:rsidR="00561596">
        <w:t xml:space="preserve"> malaria, leprosy, syphilis and tuberculosis. This method is particularly useful when trying to distinguish between a tuberculosis diagnosis and a Brucellosis diagnosis. As </w:t>
      </w:r>
      <w:r w:rsidR="000716C5">
        <w:t>mentioned,</w:t>
      </w:r>
      <w:r w:rsidR="00561596">
        <w:t xml:space="preserve"> it is particularly difficult to distinguish between the two because the secondary infection of both diseases </w:t>
      </w:r>
      <w:r w:rsidR="0084077D">
        <w:t xml:space="preserve">can </w:t>
      </w:r>
      <w:r w:rsidR="00561596">
        <w:t xml:space="preserve">cause lesions to bone tissue, commonly found on the spine, these lesions lead to a painful and difficult life. </w:t>
      </w:r>
      <w:r w:rsidR="00846F7E">
        <w:t xml:space="preserve">Brucellosis makes diagnosis difficult because of the variety in how it manifests on the skeleton, however </w:t>
      </w:r>
      <w:r w:rsidR="00143C4B">
        <w:t xml:space="preserve">Polymerase Chain Reaction </w:t>
      </w:r>
      <w:r w:rsidR="00846F7E">
        <w:t xml:space="preserve">makes it possible to extract DNA to identify Brucellosis markers. </w:t>
      </w:r>
      <w:r w:rsidR="00143C4B">
        <w:t xml:space="preserve">Mutolo </w:t>
      </w:r>
      <w:sdt>
        <w:sdtPr>
          <w:id w:val="-964580904"/>
          <w:citation/>
        </w:sdtPr>
        <w:sdtContent>
          <w:r w:rsidR="00470152">
            <w:fldChar w:fldCharType="begin"/>
          </w:r>
          <w:r w:rsidR="00470152">
            <w:instrText xml:space="preserve">CITATION Mut12 \n  \l 2057 </w:instrText>
          </w:r>
          <w:r w:rsidR="00470152">
            <w:fldChar w:fldCharType="separate"/>
          </w:r>
          <w:r w:rsidR="00470152" w:rsidRPr="00470152">
            <w:rPr>
              <w:noProof/>
            </w:rPr>
            <w:t>(2012)</w:t>
          </w:r>
          <w:r w:rsidR="00470152">
            <w:fldChar w:fldCharType="end"/>
          </w:r>
        </w:sdtContent>
      </w:sdt>
      <w:r w:rsidR="00143C4B">
        <w:t xml:space="preserve">discusses the use of Polymerase Chain Reaction when studying remains found at </w:t>
      </w:r>
      <w:r w:rsidR="00470152">
        <w:t xml:space="preserve">the site of Butrint, an ancient Albanian city. There were 48 sets of remains found at the site, of which there were </w:t>
      </w:r>
      <w:r w:rsidR="00FA0CA2">
        <w:t>3</w:t>
      </w:r>
      <w:r w:rsidR="00470152">
        <w:t xml:space="preserve"> individuals that showed pathological signs of disease. </w:t>
      </w:r>
      <w:r w:rsidR="000935CC">
        <w:t xml:space="preserve">All 3 </w:t>
      </w:r>
      <w:r w:rsidR="000935CC">
        <w:lastRenderedPageBreak/>
        <w:t xml:space="preserve">of these examples </w:t>
      </w:r>
      <w:r w:rsidR="00AE5B72">
        <w:t>exhibited lesions</w:t>
      </w:r>
      <w:r w:rsidR="00926B85">
        <w:t xml:space="preserve">, on 2 of the individuals there were lytic lesions on the vertebrae and the third exhibited lesions on the skull and long bones. </w:t>
      </w:r>
      <w:r w:rsidR="00A647A0">
        <w:t xml:space="preserve">Of these burials, a select number and type of bone were taken </w:t>
      </w:r>
      <w:r w:rsidR="00FC5522">
        <w:t>and used to extract DNA samples</w:t>
      </w:r>
      <w:r w:rsidR="00394971">
        <w:t xml:space="preserve">, which were then </w:t>
      </w:r>
      <w:r w:rsidR="00E61AE2">
        <w:t xml:space="preserve">examined for tuberculosis and Brucellosis markers. </w:t>
      </w:r>
      <w:r w:rsidR="00B36663">
        <w:t xml:space="preserve">The presence of the lesions was enough for examination to be necessary, however the use of Polymerase Chain Reaction was </w:t>
      </w:r>
      <w:proofErr w:type="gramStart"/>
      <w:r w:rsidR="00B36663">
        <w:t>definitely needed</w:t>
      </w:r>
      <w:proofErr w:type="gramEnd"/>
      <w:r w:rsidR="00B36663">
        <w:t xml:space="preserve"> because the lesions did not show any of the typical features of a Brucellosis infection other than being present. The lesions showed no ‘parrot beak’ like osteophytes nor did they have any ‘cauliflower signs’ </w:t>
      </w:r>
      <w:r w:rsidR="00480E1D">
        <w:t xml:space="preserve">and so the case for a Brucellosis diagnosis based on the osteology of the bones is very loose but present none the less. </w:t>
      </w:r>
      <w:r w:rsidR="00FB6307">
        <w:t xml:space="preserve">The Polymerase Chain Reaction testing resulted in a positive detection of Brucellosis in the 2 individuals that had vertebral lesions from the site of Buntrint. </w:t>
      </w:r>
      <w:r w:rsidR="00930B64">
        <w:t xml:space="preserve">In this study Mutolo </w:t>
      </w:r>
      <w:sdt>
        <w:sdtPr>
          <w:id w:val="1292554682"/>
          <w:citation/>
        </w:sdtPr>
        <w:sdtContent>
          <w:r w:rsidR="00930B64">
            <w:fldChar w:fldCharType="begin"/>
          </w:r>
          <w:r w:rsidR="00930B64">
            <w:instrText xml:space="preserve">CITATION Mut12 \n  \l 2057 </w:instrText>
          </w:r>
          <w:r w:rsidR="00930B64">
            <w:fldChar w:fldCharType="separate"/>
          </w:r>
          <w:r w:rsidR="00930B64" w:rsidRPr="00930B64">
            <w:rPr>
              <w:noProof/>
            </w:rPr>
            <w:t>(2012)</w:t>
          </w:r>
          <w:r w:rsidR="00930B64">
            <w:fldChar w:fldCharType="end"/>
          </w:r>
        </w:sdtContent>
      </w:sdt>
      <w:r w:rsidR="00930B64">
        <w:t xml:space="preserve"> is very clear about how Brucellosis is incredibly difficult to identify through osteology and unlike other studies makes </w:t>
      </w:r>
      <w:r w:rsidR="0094030E">
        <w:t>it obvious that any diagnosis based on osteology is ambiguous because of the inconsistency of how Brucellosis presents in those that suffer from it.</w:t>
      </w:r>
    </w:p>
    <w:p w14:paraId="41961768" w14:textId="274561A2" w:rsidR="00412FF1" w:rsidRDefault="00E42129" w:rsidP="00A52236">
      <w:r>
        <w:t xml:space="preserve">A second case study that uses the Polymerase Chain Reaction method in conjuncture with osteology is discussed by Sokolov </w:t>
      </w:r>
      <w:sdt>
        <w:sdtPr>
          <w:id w:val="21527635"/>
          <w:citation/>
        </w:sdtPr>
        <w:sdtContent>
          <w:r>
            <w:fldChar w:fldCharType="begin"/>
          </w:r>
          <w:r>
            <w:instrText xml:space="preserve">CITATION Sok16 \n  \l 2057 </w:instrText>
          </w:r>
          <w:r>
            <w:fldChar w:fldCharType="separate"/>
          </w:r>
          <w:r w:rsidRPr="00E42129">
            <w:rPr>
              <w:noProof/>
            </w:rPr>
            <w:t>(2016)</w:t>
          </w:r>
          <w:r>
            <w:fldChar w:fldCharType="end"/>
          </w:r>
        </w:sdtContent>
      </w:sdt>
      <w:r w:rsidR="00384871">
        <w:t xml:space="preserve"> using an early Bronze Age </w:t>
      </w:r>
      <w:r w:rsidR="008C3210">
        <w:t>site in North Caucasus where 5 burials had DNA extracted. Of the DNA extracted a number had confirmed tests for Brucellosis</w:t>
      </w:r>
      <w:r w:rsidR="001F77E9">
        <w:t>. These confirmed cases are thought to be the oldest Brucellosis</w:t>
      </w:r>
      <w:r w:rsidR="0043251B">
        <w:t xml:space="preserve"> with the context associating these early cases to early farming communities. </w:t>
      </w:r>
      <w:r w:rsidR="00AF5DAE">
        <w:t xml:space="preserve">This association could also link Brucellosis in a wider context and possibly imply that this was a </w:t>
      </w:r>
      <w:proofErr w:type="gramStart"/>
      <w:r w:rsidR="00AF5DAE">
        <w:t>fairly common</w:t>
      </w:r>
      <w:proofErr w:type="gramEnd"/>
      <w:r w:rsidR="0050167C">
        <w:t xml:space="preserve"> disease</w:t>
      </w:r>
      <w:r w:rsidR="00AF5DAE">
        <w:t xml:space="preserve"> in early Bronze Age communities. </w:t>
      </w:r>
      <w:r w:rsidR="008C3210">
        <w:t>This study discusses how ancient DNA has the potential and tendency to degrade</w:t>
      </w:r>
      <w:r w:rsidR="00A54B02">
        <w:t xml:space="preserve"> in a way and frequency that is seen more in DNA when it’s over 300,000 years old. This degradation of DNA can be useful to determine the age of a sample if it is otherwise unknown, however the study </w:t>
      </w:r>
      <w:sdt>
        <w:sdtPr>
          <w:id w:val="997693107"/>
          <w:citation/>
        </w:sdtPr>
        <w:sdtContent>
          <w:r w:rsidR="00A54B02">
            <w:fldChar w:fldCharType="begin"/>
          </w:r>
          <w:r w:rsidR="00A54B02">
            <w:instrText xml:space="preserve"> CITATION Sok16 \l 2057 </w:instrText>
          </w:r>
          <w:r w:rsidR="00A54B02">
            <w:fldChar w:fldCharType="separate"/>
          </w:r>
          <w:r w:rsidR="00A54B02" w:rsidRPr="00A54B02">
            <w:rPr>
              <w:noProof/>
            </w:rPr>
            <w:t>(Sokolov, et al., 2016)</w:t>
          </w:r>
          <w:r w:rsidR="00A54B02">
            <w:fldChar w:fldCharType="end"/>
          </w:r>
        </w:sdtContent>
      </w:sdt>
      <w:r w:rsidR="00A54B02">
        <w:t xml:space="preserve"> does also stipulate that it occurs </w:t>
      </w:r>
      <w:proofErr w:type="gramStart"/>
      <w:r w:rsidR="00A54B02">
        <w:t>as a result of</w:t>
      </w:r>
      <w:proofErr w:type="gramEnd"/>
      <w:r w:rsidR="00A54B02">
        <w:t xml:space="preserve"> using the Polymerase Chain Reaction. </w:t>
      </w:r>
    </w:p>
    <w:p w14:paraId="4A73D82B" w14:textId="4710AD4C" w:rsidR="00A54B02" w:rsidRDefault="00A54B02" w:rsidP="00A52236">
      <w:r>
        <w:t>Using Polymerase Chain Reaction has</w:t>
      </w:r>
      <w:r w:rsidR="00D1729B">
        <w:t xml:space="preserve">, as demonstrated, a significant use when studying the evidence of zoonotic disease in the archaeological record as it can specifically identify which disease is present in that DNA through the markers it leaves behind. This new method is especially usefully when studying Brucellosis in the archaeological record because as mentioned in most case studies </w:t>
      </w:r>
      <w:r w:rsidR="0070255F">
        <w:t xml:space="preserve">of Brucellosis the osteological evidence for it </w:t>
      </w:r>
      <w:r w:rsidR="00DB62B7">
        <w:t>is</w:t>
      </w:r>
      <w:r w:rsidR="0070255F">
        <w:t xml:space="preserve"> very hard to identify because of the variety of lesions that it causes. While there are consistencies such as the ‘parrot beak’ like osteophytes and the signs of ‘Pedro Pons’ as with many other disease</w:t>
      </w:r>
      <w:r w:rsidR="000716C5">
        <w:t>s,</w:t>
      </w:r>
      <w:r w:rsidR="0070255F">
        <w:t xml:space="preserve"> these are not present in every case and so cannot be used consistently. </w:t>
      </w:r>
    </w:p>
    <w:p w14:paraId="00CC17B9" w14:textId="160CA249" w:rsidR="000716C5" w:rsidRDefault="000716C5" w:rsidP="00A52236">
      <w:r>
        <w:t xml:space="preserve">Diagnosing a zoonotic disease </w:t>
      </w:r>
      <w:r w:rsidR="00C47D7A">
        <w:t xml:space="preserve">using the archaeological record </w:t>
      </w:r>
      <w:r w:rsidR="00591B26">
        <w:t xml:space="preserve">is, as demonstrated, an incredibly difficult task. Using methods such as osteology, the process </w:t>
      </w:r>
      <w:r w:rsidR="00AC3E39">
        <w:t>becomes simpler. However, osteology does have its limitations</w:t>
      </w:r>
      <w:r w:rsidR="00AF6AF9">
        <w:t>,</w:t>
      </w:r>
      <w:r w:rsidR="00AC3E39">
        <w:t xml:space="preserve"> </w:t>
      </w:r>
      <w:r w:rsidR="00962422">
        <w:t>symptoms</w:t>
      </w:r>
      <w:r w:rsidR="00AF6AF9">
        <w:t xml:space="preserve"> may </w:t>
      </w:r>
      <w:r w:rsidR="00AD65AD">
        <w:t>occur similarly across various diseases or they may also be caused by things such as trauma. These similarities cause problems when using osteology on its</w:t>
      </w:r>
      <w:r w:rsidR="00962422">
        <w:t xml:space="preserve"> </w:t>
      </w:r>
      <w:r w:rsidR="00AD65AD">
        <w:t>own because it becomes difficult to differentiate diagnoses</w:t>
      </w:r>
      <w:r w:rsidR="00E33D47">
        <w:t>. Alternatively, the use of Polymerase Chain Reaction has become increasingly more frequent. Polymerase Chain Reaction brings a definitive result for diagnosis, examining ancient DNA to find markers for potential diseases. While Polymerase Chain Reaction is incredibly useful in cases w</w:t>
      </w:r>
      <w:r w:rsidR="000D01D5">
        <w:t>h</w:t>
      </w:r>
      <w:r w:rsidR="00E33D47">
        <w:t xml:space="preserve">ere DNA can be extracted, it is only </w:t>
      </w:r>
      <w:r w:rsidR="000D01D5">
        <w:t xml:space="preserve">useful when the DNA can be extract and when it cannot Polymerase Chain Reaction is no longer </w:t>
      </w:r>
      <w:r w:rsidR="007E35E9">
        <w:t xml:space="preserve">a </w:t>
      </w:r>
      <w:r w:rsidR="000D01D5">
        <w:t>viable</w:t>
      </w:r>
      <w:r w:rsidR="007E35E9">
        <w:t xml:space="preserve"> procedure</w:t>
      </w:r>
      <w:r w:rsidR="000D01D5">
        <w:t xml:space="preserve">. In many cases experts will use </w:t>
      </w:r>
      <w:proofErr w:type="gramStart"/>
      <w:r w:rsidR="000D01D5">
        <w:t>both of these</w:t>
      </w:r>
      <w:proofErr w:type="gramEnd"/>
      <w:r w:rsidR="000D01D5">
        <w:t xml:space="preserve"> methods together, starting primarily with osteology then followed by Polymerase Chain Reaction if possible. The use of osteology first provides a narrowed list of possible diagnoses to reduce the list of markers that the extracted DNA used for the Polymerase Chain Reaction </w:t>
      </w:r>
      <w:proofErr w:type="gramStart"/>
      <w:r w:rsidR="000D01D5">
        <w:t>has to</w:t>
      </w:r>
      <w:proofErr w:type="gramEnd"/>
      <w:r w:rsidR="000D01D5">
        <w:t xml:space="preserve"> be compared to during the process. </w:t>
      </w:r>
      <w:r w:rsidR="003E72C0">
        <w:t xml:space="preserve">The use of both osteology and Polymerase Chain Reaction, together or separately, still has limitations that need to be solved. Until a method can be developed that can provided a definite diagnosis without the </w:t>
      </w:r>
      <w:r w:rsidR="0016758A">
        <w:t xml:space="preserve">possibility of </w:t>
      </w:r>
      <w:r w:rsidR="0016758A">
        <w:lastRenderedPageBreak/>
        <w:t xml:space="preserve">misdiagnosis either method must be examined and re-examined to evaluate the results and assure validity.  </w:t>
      </w:r>
    </w:p>
    <w:sdt>
      <w:sdtPr>
        <w:id w:val="-344171051"/>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78019FFA" w14:textId="219F4249" w:rsidR="003035F4" w:rsidRDefault="003035F4">
          <w:pPr>
            <w:pStyle w:val="Heading1"/>
          </w:pPr>
          <w:r>
            <w:t>References</w:t>
          </w:r>
        </w:p>
        <w:sdt>
          <w:sdtPr>
            <w:id w:val="-573587230"/>
            <w:bibliography/>
          </w:sdtPr>
          <w:sdtContent>
            <w:p w14:paraId="6DAC2D4D" w14:textId="77777777" w:rsidR="003035F4" w:rsidRDefault="003035F4" w:rsidP="003035F4">
              <w:pPr>
                <w:pStyle w:val="Bibliography"/>
                <w:rPr>
                  <w:noProof/>
                  <w:sz w:val="24"/>
                  <w:szCs w:val="24"/>
                  <w:lang w:val="en-US"/>
                </w:rPr>
              </w:pPr>
              <w:r>
                <w:fldChar w:fldCharType="begin"/>
              </w:r>
              <w:r>
                <w:instrText xml:space="preserve"> BIBLIOGRAPHY </w:instrText>
              </w:r>
              <w:r>
                <w:fldChar w:fldCharType="separate"/>
              </w:r>
              <w:r>
                <w:rPr>
                  <w:noProof/>
                  <w:lang w:val="en-US"/>
                </w:rPr>
                <w:t xml:space="preserve">Bendrey, R. &amp; Martin, D., 2021. Zoonotic diseases: New directions in human-animal pathology. </w:t>
              </w:r>
              <w:r>
                <w:rPr>
                  <w:i/>
                  <w:iCs/>
                  <w:noProof/>
                  <w:lang w:val="en-US"/>
                </w:rPr>
                <w:t xml:space="preserve">International Journal of Osteoarchaeology, </w:t>
              </w:r>
              <w:r>
                <w:rPr>
                  <w:noProof/>
                  <w:lang w:val="en-US"/>
                </w:rPr>
                <w:t>pp. 1-5.</w:t>
              </w:r>
            </w:p>
            <w:p w14:paraId="0152D518" w14:textId="77777777" w:rsidR="003035F4" w:rsidRDefault="003035F4" w:rsidP="003035F4">
              <w:pPr>
                <w:pStyle w:val="Bibliography"/>
                <w:rPr>
                  <w:noProof/>
                  <w:lang w:val="en-US"/>
                </w:rPr>
              </w:pPr>
              <w:r>
                <w:rPr>
                  <w:noProof/>
                  <w:lang w:val="en-US"/>
                </w:rPr>
                <w:t xml:space="preserve">Bendry, R. et al., 2020. Approaching ancient disease from a One Health perspective: Interdisciplinary review for the investigation of zoonotic brucellosis. </w:t>
              </w:r>
              <w:r>
                <w:rPr>
                  <w:i/>
                  <w:iCs/>
                  <w:noProof/>
                  <w:lang w:val="en-US"/>
                </w:rPr>
                <w:t xml:space="preserve">Inernational Journal of Osteoarchaeology, </w:t>
              </w:r>
              <w:r>
                <w:rPr>
                  <w:noProof/>
                  <w:lang w:val="en-US"/>
                </w:rPr>
                <w:t>Volume 30, pp. 99-108.</w:t>
              </w:r>
            </w:p>
            <w:p w14:paraId="61C59F68" w14:textId="77777777" w:rsidR="003035F4" w:rsidRDefault="003035F4" w:rsidP="003035F4">
              <w:pPr>
                <w:pStyle w:val="Bibliography"/>
                <w:rPr>
                  <w:noProof/>
                  <w:lang w:val="en-US"/>
                </w:rPr>
              </w:pPr>
              <w:r>
                <w:rPr>
                  <w:noProof/>
                  <w:lang w:val="en-US"/>
                </w:rPr>
                <w:t xml:space="preserve">Curate, F., 2006. Two Possible Cases of Brucellosis from a Clarist Monastery in Alcacer do Sal, Southern Portugal. </w:t>
              </w:r>
              <w:r>
                <w:rPr>
                  <w:i/>
                  <w:iCs/>
                  <w:noProof/>
                  <w:lang w:val="en-US"/>
                </w:rPr>
                <w:t xml:space="preserve">International Journal of Osteoarchaeology, </w:t>
              </w:r>
              <w:r>
                <w:rPr>
                  <w:noProof/>
                  <w:lang w:val="en-US"/>
                </w:rPr>
                <w:t>Volume 16, pp. 453-458.</w:t>
              </w:r>
            </w:p>
            <w:p w14:paraId="758140A1" w14:textId="77777777" w:rsidR="003035F4" w:rsidRDefault="003035F4" w:rsidP="003035F4">
              <w:pPr>
                <w:pStyle w:val="Bibliography"/>
                <w:rPr>
                  <w:noProof/>
                  <w:lang w:val="en-US"/>
                </w:rPr>
              </w:pPr>
              <w:r>
                <w:rPr>
                  <w:noProof/>
                  <w:lang w:val="en-US"/>
                </w:rPr>
                <w:t xml:space="preserve">Fothergill, B. T., 2017. Human-aided movement of viral disease and the archaeology of Avian Osteopetrosis. </w:t>
              </w:r>
              <w:r>
                <w:rPr>
                  <w:i/>
                  <w:iCs/>
                  <w:noProof/>
                  <w:lang w:val="en-US"/>
                </w:rPr>
                <w:t xml:space="preserve">International Journal of Osteoarchaeology, </w:t>
              </w:r>
              <w:r>
                <w:rPr>
                  <w:noProof/>
                  <w:lang w:val="en-US"/>
                </w:rPr>
                <w:t>Volume 27, pp. 853-866.</w:t>
              </w:r>
            </w:p>
            <w:p w14:paraId="7A9962B6" w14:textId="77777777" w:rsidR="003035F4" w:rsidRDefault="003035F4" w:rsidP="003035F4">
              <w:pPr>
                <w:pStyle w:val="Bibliography"/>
                <w:rPr>
                  <w:noProof/>
                  <w:lang w:val="en-US"/>
                </w:rPr>
              </w:pPr>
              <w:r>
                <w:rPr>
                  <w:noProof/>
                  <w:lang w:val="en-US"/>
                </w:rPr>
                <w:t xml:space="preserve">Fournie, G., Pfeiffer, D. U. &amp; Bendrey, R., 2017. Early animal farming and zoonotic disease dynamics: modelling brucellosis transmission in Neolithic goat populations. </w:t>
              </w:r>
              <w:r>
                <w:rPr>
                  <w:i/>
                  <w:iCs/>
                  <w:noProof/>
                  <w:lang w:val="en-US"/>
                </w:rPr>
                <w:t xml:space="preserve">Royal Society Open Science, </w:t>
              </w:r>
              <w:r>
                <w:rPr>
                  <w:noProof/>
                  <w:lang w:val="en-US"/>
                </w:rPr>
                <w:t>Volume 4, pp. 1-11.</w:t>
              </w:r>
            </w:p>
            <w:p w14:paraId="696CD4A1" w14:textId="77777777" w:rsidR="003035F4" w:rsidRDefault="003035F4" w:rsidP="003035F4">
              <w:pPr>
                <w:pStyle w:val="Bibliography"/>
                <w:rPr>
                  <w:noProof/>
                  <w:lang w:val="en-US"/>
                </w:rPr>
              </w:pPr>
              <w:r>
                <w:rPr>
                  <w:noProof/>
                  <w:lang w:val="en-US"/>
                </w:rPr>
                <w:t xml:space="preserve">Jones, C., 2019. Brucellosis in an adult female from Fate Bell Rock Shelter, Lower Pecos, Texas (4000-1300 BP). </w:t>
              </w:r>
              <w:r>
                <w:rPr>
                  <w:i/>
                  <w:iCs/>
                  <w:noProof/>
                  <w:lang w:val="en-US"/>
                </w:rPr>
                <w:t xml:space="preserve">International Journal of Paleopathology, </w:t>
              </w:r>
              <w:r>
                <w:rPr>
                  <w:noProof/>
                  <w:lang w:val="en-US"/>
                </w:rPr>
                <w:t>Volume 24, pp. 252-264.</w:t>
              </w:r>
            </w:p>
            <w:p w14:paraId="0F260FB7" w14:textId="77777777" w:rsidR="003035F4" w:rsidRDefault="003035F4" w:rsidP="003035F4">
              <w:pPr>
                <w:pStyle w:val="Bibliography"/>
                <w:rPr>
                  <w:noProof/>
                  <w:lang w:val="en-US"/>
                </w:rPr>
              </w:pPr>
              <w:r>
                <w:rPr>
                  <w:noProof/>
                  <w:lang w:val="en-US"/>
                </w:rPr>
                <w:t xml:space="preserve">Mays, S. A., 2007. Lysis at the Anterior Vertebral Body Margin: Evidence for Brucellar Spondylitis?. </w:t>
              </w:r>
              <w:r>
                <w:rPr>
                  <w:i/>
                  <w:iCs/>
                  <w:noProof/>
                  <w:lang w:val="en-US"/>
                </w:rPr>
                <w:t xml:space="preserve">International Journal of Osteoarchaeology , </w:t>
              </w:r>
              <w:r>
                <w:rPr>
                  <w:noProof/>
                  <w:lang w:val="en-US"/>
                </w:rPr>
                <w:t>Volume 17, pp. 107-118.</w:t>
              </w:r>
            </w:p>
            <w:p w14:paraId="4235902F" w14:textId="77777777" w:rsidR="003035F4" w:rsidRDefault="003035F4" w:rsidP="003035F4">
              <w:pPr>
                <w:pStyle w:val="Bibliography"/>
                <w:rPr>
                  <w:noProof/>
                  <w:lang w:val="en-US"/>
                </w:rPr>
              </w:pPr>
              <w:r>
                <w:rPr>
                  <w:noProof/>
                  <w:lang w:val="en-US"/>
                </w:rPr>
                <w:t xml:space="preserve">Mutolo, M. J. et al., 2012. Osteological and Molecular Identification of Brucellosis in Ancient Butrint, Albania. </w:t>
              </w:r>
              <w:r>
                <w:rPr>
                  <w:i/>
                  <w:iCs/>
                  <w:noProof/>
                  <w:lang w:val="en-US"/>
                </w:rPr>
                <w:t xml:space="preserve">American Journal of Physical Anthropology, </w:t>
              </w:r>
              <w:r>
                <w:rPr>
                  <w:noProof/>
                  <w:lang w:val="en-US"/>
                </w:rPr>
                <w:t>Volume 147, pp. 254-263.</w:t>
              </w:r>
            </w:p>
            <w:p w14:paraId="1BE93777" w14:textId="77777777" w:rsidR="003035F4" w:rsidRDefault="003035F4" w:rsidP="003035F4">
              <w:pPr>
                <w:pStyle w:val="Bibliography"/>
                <w:rPr>
                  <w:noProof/>
                  <w:lang w:val="en-US"/>
                </w:rPr>
              </w:pPr>
              <w:r>
                <w:rPr>
                  <w:noProof/>
                  <w:lang w:val="en-US"/>
                </w:rPr>
                <w:t xml:space="preserve">Sokolov, A. et al., 2016. Six complete mitochondrial genomes from Early Bronze Age humans in the North Caucasus. </w:t>
              </w:r>
              <w:r>
                <w:rPr>
                  <w:i/>
                  <w:iCs/>
                  <w:noProof/>
                  <w:lang w:val="en-US"/>
                </w:rPr>
                <w:t xml:space="preserve">Journal of Archaeological Science, </w:t>
              </w:r>
              <w:r>
                <w:rPr>
                  <w:noProof/>
                  <w:lang w:val="en-US"/>
                </w:rPr>
                <w:t>Volume 73, pp. 138-144.</w:t>
              </w:r>
            </w:p>
            <w:p w14:paraId="71632A6F" w14:textId="1812BB11" w:rsidR="003035F4" w:rsidRDefault="003035F4" w:rsidP="003035F4">
              <w:r>
                <w:rPr>
                  <w:b/>
                  <w:bCs/>
                  <w:noProof/>
                </w:rPr>
                <w:fldChar w:fldCharType="end"/>
              </w:r>
            </w:p>
          </w:sdtContent>
        </w:sdt>
      </w:sdtContent>
    </w:sdt>
    <w:p w14:paraId="7DBA8808" w14:textId="77777777" w:rsidR="003035F4" w:rsidRPr="00A52236" w:rsidRDefault="003035F4" w:rsidP="00A52236"/>
    <w:sectPr w:rsidR="003035F4" w:rsidRPr="00A5223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2236"/>
    <w:rsid w:val="000178E6"/>
    <w:rsid w:val="00066027"/>
    <w:rsid w:val="000716C5"/>
    <w:rsid w:val="000935CC"/>
    <w:rsid w:val="000B04FD"/>
    <w:rsid w:val="000D01D5"/>
    <w:rsid w:val="000D1F8C"/>
    <w:rsid w:val="000E3A1E"/>
    <w:rsid w:val="00103685"/>
    <w:rsid w:val="001242EC"/>
    <w:rsid w:val="00136212"/>
    <w:rsid w:val="00143115"/>
    <w:rsid w:val="00143C4B"/>
    <w:rsid w:val="00144BF9"/>
    <w:rsid w:val="0015275A"/>
    <w:rsid w:val="0016758A"/>
    <w:rsid w:val="0019764B"/>
    <w:rsid w:val="001D1156"/>
    <w:rsid w:val="001F77E9"/>
    <w:rsid w:val="00214235"/>
    <w:rsid w:val="00255A24"/>
    <w:rsid w:val="0026408F"/>
    <w:rsid w:val="00281443"/>
    <w:rsid w:val="00285F0D"/>
    <w:rsid w:val="002B2F1F"/>
    <w:rsid w:val="002C671A"/>
    <w:rsid w:val="002D7AC1"/>
    <w:rsid w:val="003035F4"/>
    <w:rsid w:val="00366A31"/>
    <w:rsid w:val="00373B93"/>
    <w:rsid w:val="00384871"/>
    <w:rsid w:val="00393214"/>
    <w:rsid w:val="00394971"/>
    <w:rsid w:val="003A7439"/>
    <w:rsid w:val="003E72C0"/>
    <w:rsid w:val="00412FF1"/>
    <w:rsid w:val="0043251B"/>
    <w:rsid w:val="0045414E"/>
    <w:rsid w:val="004568A6"/>
    <w:rsid w:val="00470152"/>
    <w:rsid w:val="00480E1D"/>
    <w:rsid w:val="0050167C"/>
    <w:rsid w:val="00561596"/>
    <w:rsid w:val="00583ED3"/>
    <w:rsid w:val="00591B26"/>
    <w:rsid w:val="005F3935"/>
    <w:rsid w:val="00660ED4"/>
    <w:rsid w:val="0069040D"/>
    <w:rsid w:val="006B391C"/>
    <w:rsid w:val="006E1DA9"/>
    <w:rsid w:val="0070255F"/>
    <w:rsid w:val="00712F1C"/>
    <w:rsid w:val="00741795"/>
    <w:rsid w:val="0075046B"/>
    <w:rsid w:val="00761CC9"/>
    <w:rsid w:val="00767FB7"/>
    <w:rsid w:val="007765B0"/>
    <w:rsid w:val="007D6B28"/>
    <w:rsid w:val="007E18C7"/>
    <w:rsid w:val="007E35E9"/>
    <w:rsid w:val="00821CEA"/>
    <w:rsid w:val="008330DC"/>
    <w:rsid w:val="0084077D"/>
    <w:rsid w:val="0084092F"/>
    <w:rsid w:val="00846F7E"/>
    <w:rsid w:val="008569BD"/>
    <w:rsid w:val="00876FE1"/>
    <w:rsid w:val="008C3210"/>
    <w:rsid w:val="008D0A00"/>
    <w:rsid w:val="008E375B"/>
    <w:rsid w:val="00915D8D"/>
    <w:rsid w:val="00926B85"/>
    <w:rsid w:val="00930B64"/>
    <w:rsid w:val="0094030E"/>
    <w:rsid w:val="0094358A"/>
    <w:rsid w:val="00962422"/>
    <w:rsid w:val="0097443A"/>
    <w:rsid w:val="009B0A11"/>
    <w:rsid w:val="009E278E"/>
    <w:rsid w:val="00A166AB"/>
    <w:rsid w:val="00A52236"/>
    <w:rsid w:val="00A53F4E"/>
    <w:rsid w:val="00A54B02"/>
    <w:rsid w:val="00A647A0"/>
    <w:rsid w:val="00A846E1"/>
    <w:rsid w:val="00AB130B"/>
    <w:rsid w:val="00AB1FC9"/>
    <w:rsid w:val="00AC3E39"/>
    <w:rsid w:val="00AC5443"/>
    <w:rsid w:val="00AD65AD"/>
    <w:rsid w:val="00AE3E57"/>
    <w:rsid w:val="00AE5B72"/>
    <w:rsid w:val="00AF5DAE"/>
    <w:rsid w:val="00AF6AF9"/>
    <w:rsid w:val="00B36663"/>
    <w:rsid w:val="00B63322"/>
    <w:rsid w:val="00B63F0B"/>
    <w:rsid w:val="00BD0532"/>
    <w:rsid w:val="00BE1959"/>
    <w:rsid w:val="00BE3D80"/>
    <w:rsid w:val="00BE6001"/>
    <w:rsid w:val="00C47D7A"/>
    <w:rsid w:val="00C5149F"/>
    <w:rsid w:val="00C6528F"/>
    <w:rsid w:val="00C80541"/>
    <w:rsid w:val="00CD0ED4"/>
    <w:rsid w:val="00CF0B0F"/>
    <w:rsid w:val="00D120EF"/>
    <w:rsid w:val="00D1729B"/>
    <w:rsid w:val="00D2154E"/>
    <w:rsid w:val="00D339C8"/>
    <w:rsid w:val="00D353A5"/>
    <w:rsid w:val="00D565C7"/>
    <w:rsid w:val="00D74D05"/>
    <w:rsid w:val="00D85E15"/>
    <w:rsid w:val="00D94B6B"/>
    <w:rsid w:val="00D956D1"/>
    <w:rsid w:val="00DB62B7"/>
    <w:rsid w:val="00DD1BD8"/>
    <w:rsid w:val="00DE531C"/>
    <w:rsid w:val="00E05F95"/>
    <w:rsid w:val="00E33D47"/>
    <w:rsid w:val="00E42129"/>
    <w:rsid w:val="00E430D6"/>
    <w:rsid w:val="00E61AE2"/>
    <w:rsid w:val="00E62547"/>
    <w:rsid w:val="00E76D94"/>
    <w:rsid w:val="00E8525B"/>
    <w:rsid w:val="00E97472"/>
    <w:rsid w:val="00EE1AC3"/>
    <w:rsid w:val="00EE7253"/>
    <w:rsid w:val="00EF1E7A"/>
    <w:rsid w:val="00EF7859"/>
    <w:rsid w:val="00F00D1C"/>
    <w:rsid w:val="00F32E5C"/>
    <w:rsid w:val="00F91CC5"/>
    <w:rsid w:val="00F9679F"/>
    <w:rsid w:val="00FA0CA2"/>
    <w:rsid w:val="00FB6307"/>
    <w:rsid w:val="00FB7CBB"/>
    <w:rsid w:val="00FC55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F89283"/>
  <w15:chartTrackingRefBased/>
  <w15:docId w15:val="{3EED2FBA-E5FA-4034-887B-BA4A31DD8F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035F4"/>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035F4"/>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3035F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3362906">
      <w:bodyDiv w:val="1"/>
      <w:marLeft w:val="0"/>
      <w:marRight w:val="0"/>
      <w:marTop w:val="0"/>
      <w:marBottom w:val="0"/>
      <w:divBdr>
        <w:top w:val="none" w:sz="0" w:space="0" w:color="auto"/>
        <w:left w:val="none" w:sz="0" w:space="0" w:color="auto"/>
        <w:bottom w:val="none" w:sz="0" w:space="0" w:color="auto"/>
        <w:right w:val="none" w:sz="0" w:space="0" w:color="auto"/>
      </w:divBdr>
    </w:div>
    <w:div w:id="210698573">
      <w:bodyDiv w:val="1"/>
      <w:marLeft w:val="0"/>
      <w:marRight w:val="0"/>
      <w:marTop w:val="0"/>
      <w:marBottom w:val="0"/>
      <w:divBdr>
        <w:top w:val="none" w:sz="0" w:space="0" w:color="auto"/>
        <w:left w:val="none" w:sz="0" w:space="0" w:color="auto"/>
        <w:bottom w:val="none" w:sz="0" w:space="0" w:color="auto"/>
        <w:right w:val="none" w:sz="0" w:space="0" w:color="auto"/>
      </w:divBdr>
    </w:div>
    <w:div w:id="300230046">
      <w:bodyDiv w:val="1"/>
      <w:marLeft w:val="0"/>
      <w:marRight w:val="0"/>
      <w:marTop w:val="0"/>
      <w:marBottom w:val="0"/>
      <w:divBdr>
        <w:top w:val="none" w:sz="0" w:space="0" w:color="auto"/>
        <w:left w:val="none" w:sz="0" w:space="0" w:color="auto"/>
        <w:bottom w:val="none" w:sz="0" w:space="0" w:color="auto"/>
        <w:right w:val="none" w:sz="0" w:space="0" w:color="auto"/>
      </w:divBdr>
    </w:div>
    <w:div w:id="401566417">
      <w:bodyDiv w:val="1"/>
      <w:marLeft w:val="0"/>
      <w:marRight w:val="0"/>
      <w:marTop w:val="0"/>
      <w:marBottom w:val="0"/>
      <w:divBdr>
        <w:top w:val="none" w:sz="0" w:space="0" w:color="auto"/>
        <w:left w:val="none" w:sz="0" w:space="0" w:color="auto"/>
        <w:bottom w:val="none" w:sz="0" w:space="0" w:color="auto"/>
        <w:right w:val="none" w:sz="0" w:space="0" w:color="auto"/>
      </w:divBdr>
    </w:div>
    <w:div w:id="505679310">
      <w:bodyDiv w:val="1"/>
      <w:marLeft w:val="0"/>
      <w:marRight w:val="0"/>
      <w:marTop w:val="0"/>
      <w:marBottom w:val="0"/>
      <w:divBdr>
        <w:top w:val="none" w:sz="0" w:space="0" w:color="auto"/>
        <w:left w:val="none" w:sz="0" w:space="0" w:color="auto"/>
        <w:bottom w:val="none" w:sz="0" w:space="0" w:color="auto"/>
        <w:right w:val="none" w:sz="0" w:space="0" w:color="auto"/>
      </w:divBdr>
    </w:div>
    <w:div w:id="521169869">
      <w:bodyDiv w:val="1"/>
      <w:marLeft w:val="0"/>
      <w:marRight w:val="0"/>
      <w:marTop w:val="0"/>
      <w:marBottom w:val="0"/>
      <w:divBdr>
        <w:top w:val="none" w:sz="0" w:space="0" w:color="auto"/>
        <w:left w:val="none" w:sz="0" w:space="0" w:color="auto"/>
        <w:bottom w:val="none" w:sz="0" w:space="0" w:color="auto"/>
        <w:right w:val="none" w:sz="0" w:space="0" w:color="auto"/>
      </w:divBdr>
    </w:div>
    <w:div w:id="581377276">
      <w:bodyDiv w:val="1"/>
      <w:marLeft w:val="0"/>
      <w:marRight w:val="0"/>
      <w:marTop w:val="0"/>
      <w:marBottom w:val="0"/>
      <w:divBdr>
        <w:top w:val="none" w:sz="0" w:space="0" w:color="auto"/>
        <w:left w:val="none" w:sz="0" w:space="0" w:color="auto"/>
        <w:bottom w:val="none" w:sz="0" w:space="0" w:color="auto"/>
        <w:right w:val="none" w:sz="0" w:space="0" w:color="auto"/>
      </w:divBdr>
    </w:div>
    <w:div w:id="582184033">
      <w:bodyDiv w:val="1"/>
      <w:marLeft w:val="0"/>
      <w:marRight w:val="0"/>
      <w:marTop w:val="0"/>
      <w:marBottom w:val="0"/>
      <w:divBdr>
        <w:top w:val="none" w:sz="0" w:space="0" w:color="auto"/>
        <w:left w:val="none" w:sz="0" w:space="0" w:color="auto"/>
        <w:bottom w:val="none" w:sz="0" w:space="0" w:color="auto"/>
        <w:right w:val="none" w:sz="0" w:space="0" w:color="auto"/>
      </w:divBdr>
    </w:div>
    <w:div w:id="610672032">
      <w:bodyDiv w:val="1"/>
      <w:marLeft w:val="0"/>
      <w:marRight w:val="0"/>
      <w:marTop w:val="0"/>
      <w:marBottom w:val="0"/>
      <w:divBdr>
        <w:top w:val="none" w:sz="0" w:space="0" w:color="auto"/>
        <w:left w:val="none" w:sz="0" w:space="0" w:color="auto"/>
        <w:bottom w:val="none" w:sz="0" w:space="0" w:color="auto"/>
        <w:right w:val="none" w:sz="0" w:space="0" w:color="auto"/>
      </w:divBdr>
    </w:div>
    <w:div w:id="629826848">
      <w:bodyDiv w:val="1"/>
      <w:marLeft w:val="0"/>
      <w:marRight w:val="0"/>
      <w:marTop w:val="0"/>
      <w:marBottom w:val="0"/>
      <w:divBdr>
        <w:top w:val="none" w:sz="0" w:space="0" w:color="auto"/>
        <w:left w:val="none" w:sz="0" w:space="0" w:color="auto"/>
        <w:bottom w:val="none" w:sz="0" w:space="0" w:color="auto"/>
        <w:right w:val="none" w:sz="0" w:space="0" w:color="auto"/>
      </w:divBdr>
    </w:div>
    <w:div w:id="657195778">
      <w:bodyDiv w:val="1"/>
      <w:marLeft w:val="0"/>
      <w:marRight w:val="0"/>
      <w:marTop w:val="0"/>
      <w:marBottom w:val="0"/>
      <w:divBdr>
        <w:top w:val="none" w:sz="0" w:space="0" w:color="auto"/>
        <w:left w:val="none" w:sz="0" w:space="0" w:color="auto"/>
        <w:bottom w:val="none" w:sz="0" w:space="0" w:color="auto"/>
        <w:right w:val="none" w:sz="0" w:space="0" w:color="auto"/>
      </w:divBdr>
    </w:div>
    <w:div w:id="665865892">
      <w:bodyDiv w:val="1"/>
      <w:marLeft w:val="0"/>
      <w:marRight w:val="0"/>
      <w:marTop w:val="0"/>
      <w:marBottom w:val="0"/>
      <w:divBdr>
        <w:top w:val="none" w:sz="0" w:space="0" w:color="auto"/>
        <w:left w:val="none" w:sz="0" w:space="0" w:color="auto"/>
        <w:bottom w:val="none" w:sz="0" w:space="0" w:color="auto"/>
        <w:right w:val="none" w:sz="0" w:space="0" w:color="auto"/>
      </w:divBdr>
    </w:div>
    <w:div w:id="851189002">
      <w:bodyDiv w:val="1"/>
      <w:marLeft w:val="0"/>
      <w:marRight w:val="0"/>
      <w:marTop w:val="0"/>
      <w:marBottom w:val="0"/>
      <w:divBdr>
        <w:top w:val="none" w:sz="0" w:space="0" w:color="auto"/>
        <w:left w:val="none" w:sz="0" w:space="0" w:color="auto"/>
        <w:bottom w:val="none" w:sz="0" w:space="0" w:color="auto"/>
        <w:right w:val="none" w:sz="0" w:space="0" w:color="auto"/>
      </w:divBdr>
    </w:div>
    <w:div w:id="944768746">
      <w:bodyDiv w:val="1"/>
      <w:marLeft w:val="0"/>
      <w:marRight w:val="0"/>
      <w:marTop w:val="0"/>
      <w:marBottom w:val="0"/>
      <w:divBdr>
        <w:top w:val="none" w:sz="0" w:space="0" w:color="auto"/>
        <w:left w:val="none" w:sz="0" w:space="0" w:color="auto"/>
        <w:bottom w:val="none" w:sz="0" w:space="0" w:color="auto"/>
        <w:right w:val="none" w:sz="0" w:space="0" w:color="auto"/>
      </w:divBdr>
    </w:div>
    <w:div w:id="958101209">
      <w:bodyDiv w:val="1"/>
      <w:marLeft w:val="0"/>
      <w:marRight w:val="0"/>
      <w:marTop w:val="0"/>
      <w:marBottom w:val="0"/>
      <w:divBdr>
        <w:top w:val="none" w:sz="0" w:space="0" w:color="auto"/>
        <w:left w:val="none" w:sz="0" w:space="0" w:color="auto"/>
        <w:bottom w:val="none" w:sz="0" w:space="0" w:color="auto"/>
        <w:right w:val="none" w:sz="0" w:space="0" w:color="auto"/>
      </w:divBdr>
    </w:div>
    <w:div w:id="994066059">
      <w:bodyDiv w:val="1"/>
      <w:marLeft w:val="0"/>
      <w:marRight w:val="0"/>
      <w:marTop w:val="0"/>
      <w:marBottom w:val="0"/>
      <w:divBdr>
        <w:top w:val="none" w:sz="0" w:space="0" w:color="auto"/>
        <w:left w:val="none" w:sz="0" w:space="0" w:color="auto"/>
        <w:bottom w:val="none" w:sz="0" w:space="0" w:color="auto"/>
        <w:right w:val="none" w:sz="0" w:space="0" w:color="auto"/>
      </w:divBdr>
    </w:div>
    <w:div w:id="1144548619">
      <w:bodyDiv w:val="1"/>
      <w:marLeft w:val="0"/>
      <w:marRight w:val="0"/>
      <w:marTop w:val="0"/>
      <w:marBottom w:val="0"/>
      <w:divBdr>
        <w:top w:val="none" w:sz="0" w:space="0" w:color="auto"/>
        <w:left w:val="none" w:sz="0" w:space="0" w:color="auto"/>
        <w:bottom w:val="none" w:sz="0" w:space="0" w:color="auto"/>
        <w:right w:val="none" w:sz="0" w:space="0" w:color="auto"/>
      </w:divBdr>
    </w:div>
    <w:div w:id="1158155630">
      <w:bodyDiv w:val="1"/>
      <w:marLeft w:val="0"/>
      <w:marRight w:val="0"/>
      <w:marTop w:val="0"/>
      <w:marBottom w:val="0"/>
      <w:divBdr>
        <w:top w:val="none" w:sz="0" w:space="0" w:color="auto"/>
        <w:left w:val="none" w:sz="0" w:space="0" w:color="auto"/>
        <w:bottom w:val="none" w:sz="0" w:space="0" w:color="auto"/>
        <w:right w:val="none" w:sz="0" w:space="0" w:color="auto"/>
      </w:divBdr>
    </w:div>
    <w:div w:id="1212230778">
      <w:bodyDiv w:val="1"/>
      <w:marLeft w:val="0"/>
      <w:marRight w:val="0"/>
      <w:marTop w:val="0"/>
      <w:marBottom w:val="0"/>
      <w:divBdr>
        <w:top w:val="none" w:sz="0" w:space="0" w:color="auto"/>
        <w:left w:val="none" w:sz="0" w:space="0" w:color="auto"/>
        <w:bottom w:val="none" w:sz="0" w:space="0" w:color="auto"/>
        <w:right w:val="none" w:sz="0" w:space="0" w:color="auto"/>
      </w:divBdr>
    </w:div>
    <w:div w:id="1309942491">
      <w:bodyDiv w:val="1"/>
      <w:marLeft w:val="0"/>
      <w:marRight w:val="0"/>
      <w:marTop w:val="0"/>
      <w:marBottom w:val="0"/>
      <w:divBdr>
        <w:top w:val="none" w:sz="0" w:space="0" w:color="auto"/>
        <w:left w:val="none" w:sz="0" w:space="0" w:color="auto"/>
        <w:bottom w:val="none" w:sz="0" w:space="0" w:color="auto"/>
        <w:right w:val="none" w:sz="0" w:space="0" w:color="auto"/>
      </w:divBdr>
    </w:div>
    <w:div w:id="1322348254">
      <w:bodyDiv w:val="1"/>
      <w:marLeft w:val="0"/>
      <w:marRight w:val="0"/>
      <w:marTop w:val="0"/>
      <w:marBottom w:val="0"/>
      <w:divBdr>
        <w:top w:val="none" w:sz="0" w:space="0" w:color="auto"/>
        <w:left w:val="none" w:sz="0" w:space="0" w:color="auto"/>
        <w:bottom w:val="none" w:sz="0" w:space="0" w:color="auto"/>
        <w:right w:val="none" w:sz="0" w:space="0" w:color="auto"/>
      </w:divBdr>
    </w:div>
    <w:div w:id="1412385324">
      <w:bodyDiv w:val="1"/>
      <w:marLeft w:val="0"/>
      <w:marRight w:val="0"/>
      <w:marTop w:val="0"/>
      <w:marBottom w:val="0"/>
      <w:divBdr>
        <w:top w:val="none" w:sz="0" w:space="0" w:color="auto"/>
        <w:left w:val="none" w:sz="0" w:space="0" w:color="auto"/>
        <w:bottom w:val="none" w:sz="0" w:space="0" w:color="auto"/>
        <w:right w:val="none" w:sz="0" w:space="0" w:color="auto"/>
      </w:divBdr>
    </w:div>
    <w:div w:id="1434518573">
      <w:bodyDiv w:val="1"/>
      <w:marLeft w:val="0"/>
      <w:marRight w:val="0"/>
      <w:marTop w:val="0"/>
      <w:marBottom w:val="0"/>
      <w:divBdr>
        <w:top w:val="none" w:sz="0" w:space="0" w:color="auto"/>
        <w:left w:val="none" w:sz="0" w:space="0" w:color="auto"/>
        <w:bottom w:val="none" w:sz="0" w:space="0" w:color="auto"/>
        <w:right w:val="none" w:sz="0" w:space="0" w:color="auto"/>
      </w:divBdr>
    </w:div>
    <w:div w:id="1449275671">
      <w:bodyDiv w:val="1"/>
      <w:marLeft w:val="0"/>
      <w:marRight w:val="0"/>
      <w:marTop w:val="0"/>
      <w:marBottom w:val="0"/>
      <w:divBdr>
        <w:top w:val="none" w:sz="0" w:space="0" w:color="auto"/>
        <w:left w:val="none" w:sz="0" w:space="0" w:color="auto"/>
        <w:bottom w:val="none" w:sz="0" w:space="0" w:color="auto"/>
        <w:right w:val="none" w:sz="0" w:space="0" w:color="auto"/>
      </w:divBdr>
    </w:div>
    <w:div w:id="1497109601">
      <w:bodyDiv w:val="1"/>
      <w:marLeft w:val="0"/>
      <w:marRight w:val="0"/>
      <w:marTop w:val="0"/>
      <w:marBottom w:val="0"/>
      <w:divBdr>
        <w:top w:val="none" w:sz="0" w:space="0" w:color="auto"/>
        <w:left w:val="none" w:sz="0" w:space="0" w:color="auto"/>
        <w:bottom w:val="none" w:sz="0" w:space="0" w:color="auto"/>
        <w:right w:val="none" w:sz="0" w:space="0" w:color="auto"/>
      </w:divBdr>
    </w:div>
    <w:div w:id="1502307782">
      <w:bodyDiv w:val="1"/>
      <w:marLeft w:val="0"/>
      <w:marRight w:val="0"/>
      <w:marTop w:val="0"/>
      <w:marBottom w:val="0"/>
      <w:divBdr>
        <w:top w:val="none" w:sz="0" w:space="0" w:color="auto"/>
        <w:left w:val="none" w:sz="0" w:space="0" w:color="auto"/>
        <w:bottom w:val="none" w:sz="0" w:space="0" w:color="auto"/>
        <w:right w:val="none" w:sz="0" w:space="0" w:color="auto"/>
      </w:divBdr>
    </w:div>
    <w:div w:id="1553928053">
      <w:bodyDiv w:val="1"/>
      <w:marLeft w:val="0"/>
      <w:marRight w:val="0"/>
      <w:marTop w:val="0"/>
      <w:marBottom w:val="0"/>
      <w:divBdr>
        <w:top w:val="none" w:sz="0" w:space="0" w:color="auto"/>
        <w:left w:val="none" w:sz="0" w:space="0" w:color="auto"/>
        <w:bottom w:val="none" w:sz="0" w:space="0" w:color="auto"/>
        <w:right w:val="none" w:sz="0" w:space="0" w:color="auto"/>
      </w:divBdr>
    </w:div>
    <w:div w:id="1734892608">
      <w:bodyDiv w:val="1"/>
      <w:marLeft w:val="0"/>
      <w:marRight w:val="0"/>
      <w:marTop w:val="0"/>
      <w:marBottom w:val="0"/>
      <w:divBdr>
        <w:top w:val="none" w:sz="0" w:space="0" w:color="auto"/>
        <w:left w:val="none" w:sz="0" w:space="0" w:color="auto"/>
        <w:bottom w:val="none" w:sz="0" w:space="0" w:color="auto"/>
        <w:right w:val="none" w:sz="0" w:space="0" w:color="auto"/>
      </w:divBdr>
    </w:div>
    <w:div w:id="1803503662">
      <w:bodyDiv w:val="1"/>
      <w:marLeft w:val="0"/>
      <w:marRight w:val="0"/>
      <w:marTop w:val="0"/>
      <w:marBottom w:val="0"/>
      <w:divBdr>
        <w:top w:val="none" w:sz="0" w:space="0" w:color="auto"/>
        <w:left w:val="none" w:sz="0" w:space="0" w:color="auto"/>
        <w:bottom w:val="none" w:sz="0" w:space="0" w:color="auto"/>
        <w:right w:val="none" w:sz="0" w:space="0" w:color="auto"/>
      </w:divBdr>
    </w:div>
    <w:div w:id="1816292643">
      <w:bodyDiv w:val="1"/>
      <w:marLeft w:val="0"/>
      <w:marRight w:val="0"/>
      <w:marTop w:val="0"/>
      <w:marBottom w:val="0"/>
      <w:divBdr>
        <w:top w:val="none" w:sz="0" w:space="0" w:color="auto"/>
        <w:left w:val="none" w:sz="0" w:space="0" w:color="auto"/>
        <w:bottom w:val="none" w:sz="0" w:space="0" w:color="auto"/>
        <w:right w:val="none" w:sz="0" w:space="0" w:color="auto"/>
      </w:divBdr>
    </w:div>
    <w:div w:id="1917084108">
      <w:bodyDiv w:val="1"/>
      <w:marLeft w:val="0"/>
      <w:marRight w:val="0"/>
      <w:marTop w:val="0"/>
      <w:marBottom w:val="0"/>
      <w:divBdr>
        <w:top w:val="none" w:sz="0" w:space="0" w:color="auto"/>
        <w:left w:val="none" w:sz="0" w:space="0" w:color="auto"/>
        <w:bottom w:val="none" w:sz="0" w:space="0" w:color="auto"/>
        <w:right w:val="none" w:sz="0" w:space="0" w:color="auto"/>
      </w:divBdr>
    </w:div>
    <w:div w:id="1921016396">
      <w:bodyDiv w:val="1"/>
      <w:marLeft w:val="0"/>
      <w:marRight w:val="0"/>
      <w:marTop w:val="0"/>
      <w:marBottom w:val="0"/>
      <w:divBdr>
        <w:top w:val="none" w:sz="0" w:space="0" w:color="auto"/>
        <w:left w:val="none" w:sz="0" w:space="0" w:color="auto"/>
        <w:bottom w:val="none" w:sz="0" w:space="0" w:color="auto"/>
        <w:right w:val="none" w:sz="0" w:space="0" w:color="auto"/>
      </w:divBdr>
    </w:div>
    <w:div w:id="19252627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Ben21</b:Tag>
    <b:SourceType>JournalArticle</b:SourceType>
    <b:Guid>{06CE75C9-B2CC-4D32-A7E8-6010AB840B04}</b:Guid>
    <b:Author>
      <b:Author>
        <b:NameList>
          <b:Person>
            <b:Last>Bendrey</b:Last>
            <b:First>Robin</b:First>
          </b:Person>
          <b:Person>
            <b:Last>Martin</b:Last>
            <b:First>Debra</b:First>
          </b:Person>
        </b:NameList>
      </b:Author>
    </b:Author>
    <b:Title>Zoonotic diseases: New directions in human-animal pathology</b:Title>
    <b:JournalName>International Journal of Osteoarchaeology</b:JournalName>
    <b:Year>2021</b:Year>
    <b:Pages>1-5</b:Pages>
    <b:RefOrder>2</b:RefOrder>
  </b:Source>
  <b:Source>
    <b:Tag>Ben20</b:Tag>
    <b:SourceType>JournalArticle</b:SourceType>
    <b:Guid>{8103F410-F07F-4477-B855-2397E43C941B}</b:Guid>
    <b:Author>
      <b:Author>
        <b:NameList>
          <b:Person>
            <b:Last>Bendry</b:Last>
            <b:First>Robin</b:First>
          </b:Person>
          <b:Person>
            <b:Last>Cassidy</b:Last>
            <b:First>Joseph</b:First>
            <b:Middle>P.</b:Middle>
          </b:Person>
          <b:Person>
            <b:Last>Fournie</b:Last>
            <b:First>Guillaume</b:First>
          </b:Person>
          <b:Person>
            <b:Last>Merrett</b:Last>
            <b:First>Deborah</b:First>
            <b:Middle>C.</b:Middle>
          </b:Person>
          <b:Person>
            <b:Last>Oakes</b:Last>
            <b:First>Rebecca</b:First>
            <b:Middle>H. A.</b:Middle>
          </b:Person>
          <b:Person>
            <b:Last>Taylor</b:Last>
            <b:First>G.</b:First>
            <b:Middle>Michael</b:Middle>
          </b:Person>
        </b:NameList>
      </b:Author>
    </b:Author>
    <b:Title>Approaching ancient disease from a One Health perspective: Interdisciplinary review for the investigation of zoonotic brucellosis</b:Title>
    <b:JournalName>Inernational Journal of Osteoarchaeology</b:JournalName>
    <b:Year>2020</b:Year>
    <b:Pages>99-108</b:Pages>
    <b:Volume>30</b:Volume>
    <b:RefOrder>1</b:RefOrder>
  </b:Source>
  <b:Source>
    <b:Tag>Fot17</b:Tag>
    <b:SourceType>JournalArticle</b:SourceType>
    <b:Guid>{EEDD4209-742C-4FFA-AA8F-796B7F09D1FC}</b:Guid>
    <b:Author>
      <b:Author>
        <b:NameList>
          <b:Person>
            <b:Last>Fothergill</b:Last>
            <b:First>B</b:First>
            <b:Middle>Tyr</b:Middle>
          </b:Person>
        </b:NameList>
      </b:Author>
    </b:Author>
    <b:Title>Human-aided movement of viral disease and the archaeology of Avian Osteopetrosis</b:Title>
    <b:JournalName>International Journal of Osteoarchaeology</b:JournalName>
    <b:Year>2017</b:Year>
    <b:Pages>853-866</b:Pages>
    <b:Volume>27</b:Volume>
    <b:RefOrder>9</b:RefOrder>
  </b:Source>
  <b:Source>
    <b:Tag>Fou17</b:Tag>
    <b:SourceType>JournalArticle</b:SourceType>
    <b:Guid>{B80964A4-3B4D-48D4-94D6-1711C498D37D}</b:Guid>
    <b:Author>
      <b:Author>
        <b:NameList>
          <b:Person>
            <b:Last>Fournie</b:Last>
            <b:First>Guillaume</b:First>
          </b:Person>
          <b:Person>
            <b:Last>Pfeiffer</b:Last>
            <b:First>Dirk</b:First>
            <b:Middle>U.</b:Middle>
          </b:Person>
          <b:Person>
            <b:Last>Bendrey</b:Last>
            <b:First>Robin</b:First>
          </b:Person>
        </b:NameList>
      </b:Author>
    </b:Author>
    <b:Title>Early animal farming and zoonotic disease dynamics: modelling brucellosis transmission in Neolithic goat populations</b:Title>
    <b:JournalName>Royal Society Open Science</b:JournalName>
    <b:Year>2017</b:Year>
    <b:Pages>1-11</b:Pages>
    <b:Volume>4</b:Volume>
    <b:RefOrder>3</b:RefOrder>
  </b:Source>
  <b:Source>
    <b:Tag>Cur06</b:Tag>
    <b:SourceType>JournalArticle</b:SourceType>
    <b:Guid>{5F10183F-177F-4E90-BBE1-9C2488CD2F43}</b:Guid>
    <b:Title>Two Possible Cases of Brucellosis from a Clarist Monastery in Alcacer do Sal, Southern Portugal </b:Title>
    <b:Year>2006</b:Year>
    <b:Author>
      <b:Author>
        <b:NameList>
          <b:Person>
            <b:Last>Curate</b:Last>
            <b:First>F.</b:First>
          </b:Person>
        </b:NameList>
      </b:Author>
    </b:Author>
    <b:JournalName>International Journal of Osteoarchaeology</b:JournalName>
    <b:Pages>453-458</b:Pages>
    <b:Volume>16</b:Volume>
    <b:RefOrder>6</b:RefOrder>
  </b:Source>
  <b:Source>
    <b:Tag>Sok16</b:Tag>
    <b:SourceType>JournalArticle</b:SourceType>
    <b:Guid>{F1623409-A3A4-4EFD-B714-2405324DBD2B}</b:Guid>
    <b:Author>
      <b:Author>
        <b:NameList>
          <b:Person>
            <b:Last>Sokolov</b:Last>
            <b:First>A.S</b:First>
          </b:Person>
          <b:Person>
            <b:Last>Nedoluzhko</b:Last>
            <b:First>A.V</b:First>
          </b:Person>
          <b:Person>
            <b:Last>Boulygina</b:Last>
            <b:First>E.S</b:First>
          </b:Person>
          <b:Person>
            <b:Last>Tsygankova</b:Last>
            <b:First>S.V</b:First>
          </b:Person>
          <b:Person>
            <b:Last>Sharko</b:Last>
            <b:First>F.S</b:First>
          </b:Person>
          <b:Person>
            <b:Last>Gruzdeva</b:Last>
            <b:First>N.M</b:First>
          </b:Person>
          <b:Person>
            <b:Last>Shishlov</b:Last>
            <b:First>A.V</b:First>
          </b:Person>
          <b:Person>
            <b:Last>Kolpakoz</b:Last>
            <b:First>A.V</b:First>
          </b:Person>
          <b:Person>
            <b:Last>Rezepkin</b:Last>
            <b:First>A.D</b:First>
          </b:Person>
          <b:Person>
            <b:Last>Skryabin</b:Last>
            <b:First>K.G</b:First>
          </b:Person>
          <b:Person>
            <b:Last>Prokhortchouk</b:Last>
            <b:First>E.K</b:First>
          </b:Person>
        </b:NameList>
      </b:Author>
    </b:Author>
    <b:Title>Six complete mitochondrial genomes from Early Bronze Age humans in the North Caucasus</b:Title>
    <b:JournalName>Journal of Archaeological Science</b:JournalName>
    <b:Year>2016</b:Year>
    <b:Pages>138-144</b:Pages>
    <b:Volume>73</b:Volume>
    <b:RefOrder>8</b:RefOrder>
  </b:Source>
  <b:Source>
    <b:Tag>Jon19</b:Tag>
    <b:SourceType>JournalArticle</b:SourceType>
    <b:Guid>{670B97BA-57D7-461A-9AFD-BB41656B511E}</b:Guid>
    <b:Author>
      <b:Author>
        <b:NameList>
          <b:Person>
            <b:Last>Jones</b:Last>
            <b:First>Christine</b:First>
          </b:Person>
        </b:NameList>
      </b:Author>
    </b:Author>
    <b:Title>Brucellosis in an adult female from Fate Bell Rock Shelter, Lower Pecos, Texas (4000-1300 BP)</b:Title>
    <b:JournalName>International Journal of Paleopathology</b:JournalName>
    <b:Year>2019</b:Year>
    <b:Pages>252-264</b:Pages>
    <b:Volume>24</b:Volume>
    <b:RefOrder>5</b:RefOrder>
  </b:Source>
  <b:Source>
    <b:Tag>Mut12</b:Tag>
    <b:SourceType>JournalArticle</b:SourceType>
    <b:Guid>{15120B5B-BD99-421C-92E5-3A1FEF262097}</b:Guid>
    <b:Author>
      <b:Author>
        <b:NameList>
          <b:Person>
            <b:Last>Mutolo</b:Last>
            <b:First>Michael</b:First>
            <b:Middle>J</b:Middle>
          </b:Person>
          <b:Person>
            <b:Last>Jenny</b:Last>
            <b:First>Lindsey</b:First>
            <b:Middle>L</b:Middle>
          </b:Person>
          <b:Person>
            <b:Last>Buszek</b:Last>
            <b:First>Amanda</b:First>
            <b:Middle>R</b:Middle>
          </b:Person>
          <b:Person>
            <b:Last>Fenton</b:Last>
            <b:First>Todd</b:First>
            <b:Middle>W</b:Middle>
          </b:Person>
          <b:Person>
            <b:Last>Foran</b:Last>
            <b:First>David</b:First>
            <b:Middle>R</b:Middle>
          </b:Person>
        </b:NameList>
      </b:Author>
    </b:Author>
    <b:Title>Osteological and Molecular Identification of Brucellosis in Ancient Butrint, Albania</b:Title>
    <b:JournalName>American Journal of Physical Anthropology</b:JournalName>
    <b:Year>2012</b:Year>
    <b:Pages>254-263</b:Pages>
    <b:Volume>147</b:Volume>
    <b:RefOrder>4</b:RefOrder>
  </b:Source>
  <b:Source>
    <b:Tag>May07</b:Tag>
    <b:SourceType>JournalArticle</b:SourceType>
    <b:Guid>{9036F3CF-D68D-4462-B0AA-1E7ABF18CC18}</b:Guid>
    <b:Author>
      <b:Author>
        <b:NameList>
          <b:Person>
            <b:Last>Mays</b:Last>
            <b:First>S</b:First>
            <b:Middle>A</b:Middle>
          </b:Person>
        </b:NameList>
      </b:Author>
    </b:Author>
    <b:Title>Lysis at the Anterior Vertebral Body Margin: Evidence for Brucellar Spondylitis?</b:Title>
    <b:JournalName>International Journal of Osteoarchaeology </b:JournalName>
    <b:Year>2007</b:Year>
    <b:Pages>107-118</b:Pages>
    <b:Volume>17</b:Volume>
    <b:RefOrder>7</b:RefOrder>
  </b:Source>
</b:Sources>
</file>

<file path=customXml/itemProps1.xml><?xml version="1.0" encoding="utf-8"?>
<ds:datastoreItem xmlns:ds="http://schemas.openxmlformats.org/officeDocument/2006/customXml" ds:itemID="{FBA1E7F6-C449-4347-B4BD-6A15EA0432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5895</TotalTime>
  <Pages>5</Pages>
  <Words>2987</Words>
  <Characters>17028</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Naome Wrightson (1907790)</dc:creator>
  <cp:keywords/>
  <dc:description/>
  <cp:lastModifiedBy>Naome Wrightson (1907790)</cp:lastModifiedBy>
  <cp:revision>57</cp:revision>
  <dcterms:created xsi:type="dcterms:W3CDTF">2021-04-28T13:05:00Z</dcterms:created>
  <dcterms:modified xsi:type="dcterms:W3CDTF">2021-05-02T15:23:00Z</dcterms:modified>
</cp:coreProperties>
</file>