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9" w:lineRule="auto"/>
        <w:jc w:val="center"/>
        <w:rPr>
          <w:b/>
          <w:bCs/>
          <w:sz w:val="40"/>
          <w:szCs w:val="36"/>
        </w:rPr>
      </w:pPr>
      <w:r>
        <w:rPr>
          <w:b/>
          <w:bCs/>
          <w:sz w:val="40"/>
          <w:szCs w:val="36"/>
        </w:rPr>
        <w:t>Project Management Assessment 1</w:t>
      </w:r>
    </w:p>
    <w:p>
      <w:pPr>
        <w:spacing w:line="259" w:lineRule="auto"/>
        <w:jc w:val="left"/>
      </w:pPr>
    </w:p>
    <w:p>
      <w:pPr>
        <w:spacing w:line="259" w:lineRule="auto"/>
        <w:jc w:val="left"/>
      </w:pPr>
    </w:p>
    <w:p>
      <w:pPr>
        <w:spacing w:line="259" w:lineRule="auto"/>
        <w:jc w:val="left"/>
      </w:pPr>
    </w:p>
    <w:p>
      <w:pPr>
        <w:spacing w:line="259" w:lineRule="auto"/>
        <w:jc w:val="left"/>
      </w:pPr>
    </w:p>
    <w:p>
      <w:pPr>
        <w:spacing w:line="259" w:lineRule="auto"/>
        <w:jc w:val="left"/>
      </w:pPr>
    </w:p>
    <w:p>
      <w:pPr>
        <w:rPr>
          <w:b/>
          <w:bCs/>
          <w:sz w:val="28"/>
          <w:szCs w:val="24"/>
        </w:rPr>
      </w:pPr>
      <w:r>
        <w:rPr>
          <w:b/>
          <w:bCs/>
          <w:sz w:val="28"/>
          <w:szCs w:val="24"/>
        </w:rPr>
        <w:t>Unit Name: Project Management Assessment 1</w:t>
      </w:r>
    </w:p>
    <w:p>
      <w:pPr>
        <w:rPr>
          <w:b/>
          <w:bCs/>
          <w:sz w:val="28"/>
          <w:szCs w:val="24"/>
        </w:rPr>
      </w:pPr>
      <w:r>
        <w:rPr>
          <w:b/>
          <w:bCs/>
          <w:sz w:val="28"/>
          <w:szCs w:val="24"/>
        </w:rPr>
        <w:t>Unit CODE: LCBB5005</w:t>
      </w:r>
    </w:p>
    <w:p>
      <w:pPr>
        <w:rPr>
          <w:b/>
          <w:bCs/>
          <w:sz w:val="28"/>
          <w:szCs w:val="24"/>
        </w:rPr>
      </w:pPr>
      <w:r>
        <w:rPr>
          <w:b/>
          <w:bCs/>
          <w:sz w:val="28"/>
          <w:szCs w:val="24"/>
        </w:rPr>
        <w:t>Student Name:</w:t>
      </w:r>
      <w:r>
        <w:rPr>
          <w:b/>
          <w:bCs/>
          <w:sz w:val="28"/>
          <w:szCs w:val="24"/>
        </w:rPr>
        <w:t xml:space="preserve"> Stanislav Drag</w:t>
      </w:r>
      <w:bookmarkStart w:id="35" w:name="_GoBack"/>
      <w:bookmarkEnd w:id="35"/>
      <w:r>
        <w:rPr>
          <w:b/>
          <w:bCs/>
          <w:sz w:val="28"/>
          <w:szCs w:val="24"/>
        </w:rPr>
        <w:t>ov</w:t>
      </w:r>
    </w:p>
    <w:p>
      <w:pPr>
        <w:rPr>
          <w:b/>
          <w:bCs/>
          <w:sz w:val="28"/>
          <w:szCs w:val="24"/>
        </w:rPr>
      </w:pPr>
      <w:r>
        <w:rPr>
          <w:b/>
          <w:bCs/>
          <w:sz w:val="28"/>
          <w:szCs w:val="24"/>
        </w:rPr>
        <w:t>Student ID:</w:t>
      </w:r>
      <w:r>
        <w:rPr>
          <w:b/>
          <w:bCs/>
          <w:sz w:val="28"/>
          <w:szCs w:val="24"/>
        </w:rPr>
        <w:t xml:space="preserve"> 1919084</w:t>
      </w:r>
    </w:p>
    <w:p>
      <w:pPr>
        <w:rPr>
          <w:b/>
          <w:bCs/>
          <w:sz w:val="28"/>
          <w:szCs w:val="24"/>
        </w:rPr>
      </w:pPr>
    </w:p>
    <w:p>
      <w:pPr>
        <w:spacing w:line="259" w:lineRule="auto"/>
        <w:jc w:val="left"/>
        <w:rPr>
          <w:b/>
          <w:bCs/>
          <w:sz w:val="28"/>
          <w:szCs w:val="24"/>
        </w:rPr>
      </w:pPr>
      <w:r>
        <w:rPr>
          <w:b/>
          <w:bCs/>
          <w:sz w:val="28"/>
          <w:szCs w:val="24"/>
        </w:rPr>
        <w:br w:type="page"/>
      </w:r>
    </w:p>
    <w:sdt>
      <w:sdtPr>
        <w:rPr>
          <w:rFonts w:ascii="Times New Roman" w:hAnsi="Times New Roman" w:eastAsiaTheme="minorHAnsi" w:cstheme="minorBidi"/>
          <w:color w:val="auto"/>
          <w:sz w:val="24"/>
          <w:szCs w:val="22"/>
        </w:rPr>
        <w:id w:val="0"/>
      </w:sdtPr>
      <w:sdtEndPr>
        <w:rPr>
          <w:rFonts w:ascii="Times New Roman" w:hAnsi="Times New Roman" w:eastAsiaTheme="minorHAnsi" w:cstheme="minorBidi"/>
          <w:b/>
          <w:bCs/>
          <w:color w:val="auto"/>
          <w:sz w:val="24"/>
          <w:szCs w:val="22"/>
        </w:rPr>
      </w:sdtEndPr>
      <w:sdtContent>
        <w:p>
          <w:pPr>
            <w:pStyle w:val="19"/>
            <w:jc w:val="center"/>
          </w:pPr>
          <w:bookmarkStart w:id="0" w:name="_Toc87657486"/>
          <w:r>
            <w:t>Contents</w:t>
          </w:r>
        </w:p>
        <w:p>
          <w:pPr>
            <w:pStyle w:val="8"/>
            <w:tabs>
              <w:tab w:val="left" w:pos="660"/>
              <w:tab w:val="right" w:leader="dot" w:pos="9350"/>
            </w:tabs>
            <w:rPr>
              <w:rFonts w:asciiTheme="minorHAnsi" w:hAnsiTheme="minorHAnsi" w:eastAsiaTheme="minorEastAsia"/>
              <w:sz w:val="22"/>
            </w:rPr>
          </w:pPr>
          <w:r>
            <w:fldChar w:fldCharType="begin"/>
          </w:r>
          <w:r>
            <w:instrText xml:space="preserve"> TOC \o "1-3" \h \z \u </w:instrText>
          </w:r>
          <w:r>
            <w:fldChar w:fldCharType="separate"/>
          </w:r>
          <w:r>
            <w:fldChar w:fldCharType="begin"/>
          </w:r>
          <w:r>
            <w:instrText xml:space="preserve"> HYPERLINK \l "_Toc100784389" </w:instrText>
          </w:r>
          <w:r>
            <w:fldChar w:fldCharType="separate"/>
          </w:r>
          <w:r>
            <w:rPr>
              <w:rStyle w:val="12"/>
            </w:rPr>
            <w:t>1.0</w:t>
          </w:r>
          <w:r>
            <w:rPr>
              <w:rFonts w:asciiTheme="minorHAnsi" w:hAnsiTheme="minorHAnsi" w:eastAsiaTheme="minorEastAsia"/>
              <w:sz w:val="22"/>
            </w:rPr>
            <w:tab/>
          </w:r>
          <w:r>
            <w:rPr>
              <w:rStyle w:val="12"/>
            </w:rPr>
            <w:t>Introduction</w:t>
          </w:r>
          <w:r>
            <w:tab/>
          </w:r>
          <w:r>
            <w:fldChar w:fldCharType="begin"/>
          </w:r>
          <w:r>
            <w:instrText xml:space="preserve"> PAGEREF _Toc100784389 \h </w:instrText>
          </w:r>
          <w:r>
            <w:fldChar w:fldCharType="separate"/>
          </w:r>
          <w:r>
            <w:t>3</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"_Toc100784390" </w:instrText>
          </w:r>
          <w:r>
            <w:fldChar w:fldCharType="separate"/>
          </w:r>
          <w:r>
            <w:rPr>
              <w:rStyle w:val="12"/>
            </w:rPr>
            <w:t>2.0 Project Scope:</w:t>
          </w:r>
          <w:r>
            <w:tab/>
          </w:r>
          <w:r>
            <w:fldChar w:fldCharType="begin"/>
          </w:r>
          <w:r>
            <w:instrText xml:space="preserve"> PAGEREF _Toc100784390 \h </w:instrText>
          </w:r>
          <w:r>
            <w:fldChar w:fldCharType="separate"/>
          </w:r>
          <w:r>
            <w:t>4</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"_Toc100784391" </w:instrText>
          </w:r>
          <w:r>
            <w:fldChar w:fldCharType="separate"/>
          </w:r>
          <w:r>
            <w:rPr>
              <w:rStyle w:val="12"/>
            </w:rPr>
            <w:t>2.1 Objective and Parameter of the project:</w:t>
          </w:r>
          <w:r>
            <w:tab/>
          </w:r>
          <w:r>
            <w:fldChar w:fldCharType="begin"/>
          </w:r>
          <w:r>
            <w:instrText xml:space="preserve"> PAGEREF _Toc100784391 \h </w:instrText>
          </w:r>
          <w:r>
            <w:fldChar w:fldCharType="separate"/>
          </w:r>
          <w:r>
            <w:t>4</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"_Toc100784392" </w:instrText>
          </w:r>
          <w:r>
            <w:fldChar w:fldCharType="separate"/>
          </w:r>
          <w:r>
            <w:rPr>
              <w:rStyle w:val="12"/>
            </w:rPr>
            <w:t>2.1.1 Objectives of the project:</w:t>
          </w:r>
          <w:r>
            <w:tab/>
          </w:r>
          <w:r>
            <w:fldChar w:fldCharType="begin"/>
          </w:r>
          <w:r>
            <w:instrText xml:space="preserve"> PAGEREF _Toc100784392 \h </w:instrText>
          </w:r>
          <w:r>
            <w:fldChar w:fldCharType="separate"/>
          </w:r>
          <w:r>
            <w:t>4</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"_Toc100784393" </w:instrText>
          </w:r>
          <w:r>
            <w:fldChar w:fldCharType="separate"/>
          </w:r>
          <w:r>
            <w:rPr>
              <w:rStyle w:val="12"/>
            </w:rPr>
            <w:t>2.1.2 Parameters of the project:</w:t>
          </w:r>
          <w:r>
            <w:tab/>
          </w:r>
          <w:r>
            <w:fldChar w:fldCharType="begin"/>
          </w:r>
          <w:r>
            <w:instrText xml:space="preserve"> PAGEREF _Toc100784393 \h </w:instrText>
          </w:r>
          <w:r>
            <w:fldChar w:fldCharType="separate"/>
          </w:r>
          <w:r>
            <w:t>4</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"_Toc100784394" </w:instrText>
          </w:r>
          <w:r>
            <w:fldChar w:fldCharType="separate"/>
          </w:r>
          <w:r>
            <w:rPr>
              <w:rStyle w:val="12"/>
            </w:rPr>
            <w:t>2.2 Benefits or Expected outcomes of the project:</w:t>
          </w:r>
          <w:r>
            <w:tab/>
          </w:r>
          <w:r>
            <w:fldChar w:fldCharType="begin"/>
          </w:r>
          <w:r>
            <w:instrText xml:space="preserve"> PAGEREF _Toc100784394 \h </w:instrText>
          </w:r>
          <w:r>
            <w:fldChar w:fldCharType="separate"/>
          </w:r>
          <w:r>
            <w:t>6</w:t>
          </w:r>
          <w:r>
            <w:fldChar w:fldCharType="end"/>
          </w:r>
          <w:r>
            <w:fldChar w:fldCharType="end"/>
          </w:r>
        </w:p>
        <w:p>
          <w:pPr>
            <w:pStyle w:val="8"/>
            <w:tabs>
              <w:tab w:val="left" w:pos="660"/>
              <w:tab w:val="right" w:leader="dot" w:pos="9350"/>
            </w:tabs>
            <w:rPr>
              <w:rFonts w:asciiTheme="minorHAnsi" w:hAnsiTheme="minorHAnsi" w:eastAsiaTheme="minorEastAsia"/>
              <w:sz w:val="22"/>
            </w:rPr>
          </w:pPr>
          <w:r>
            <w:fldChar w:fldCharType="begin"/>
          </w:r>
          <w:r>
            <w:instrText xml:space="preserve"> HYPERLINK \l "_Toc100784395" </w:instrText>
          </w:r>
          <w:r>
            <w:fldChar w:fldCharType="separate"/>
          </w:r>
          <w:r>
            <w:rPr>
              <w:rStyle w:val="12"/>
            </w:rPr>
            <w:t>3.0</w:t>
          </w:r>
          <w:r>
            <w:rPr>
              <w:rFonts w:asciiTheme="minorHAnsi" w:hAnsiTheme="minorHAnsi" w:eastAsiaTheme="minorEastAsia"/>
              <w:sz w:val="22"/>
            </w:rPr>
            <w:tab/>
          </w:r>
          <w:r>
            <w:rPr>
              <w:rStyle w:val="12"/>
            </w:rPr>
            <w:t>Budget assumptions:</w:t>
          </w:r>
          <w:r>
            <w:tab/>
          </w:r>
          <w:r>
            <w:fldChar w:fldCharType="begin"/>
          </w:r>
          <w:r>
            <w:instrText xml:space="preserve"> PAGEREF _Toc100784395 \h </w:instrText>
          </w:r>
          <w:r>
            <w:fldChar w:fldCharType="separate"/>
          </w:r>
          <w:r>
            <w:t>6</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"_Toc100784396" </w:instrText>
          </w:r>
          <w:r>
            <w:fldChar w:fldCharType="separate"/>
          </w:r>
          <w:r>
            <w:rPr>
              <w:rStyle w:val="12"/>
            </w:rPr>
            <w:t>4.0 Stakeholders and their involvement:</w:t>
          </w:r>
          <w:r>
            <w:tab/>
          </w:r>
          <w:r>
            <w:fldChar w:fldCharType="begin"/>
          </w:r>
          <w:r>
            <w:instrText xml:space="preserve"> PAGEREF _Toc100784396 \h </w:instrText>
          </w:r>
          <w:r>
            <w:fldChar w:fldCharType="separate"/>
          </w:r>
          <w:r>
            <w:t>7</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"_Toc100784397" </w:instrText>
          </w:r>
          <w:r>
            <w:fldChar w:fldCharType="separate"/>
          </w:r>
          <w:r>
            <w:rPr>
              <w:rStyle w:val="12"/>
            </w:rPr>
            <w:t>5.0 Constraints and Risks of the project:</w:t>
          </w:r>
          <w:r>
            <w:tab/>
          </w:r>
          <w:r>
            <w:fldChar w:fldCharType="begin"/>
          </w:r>
          <w:r>
            <w:instrText xml:space="preserve"> PAGEREF _Toc100784397 \h </w:instrText>
          </w:r>
          <w:r>
            <w:fldChar w:fldCharType="separate"/>
          </w:r>
          <w:r>
            <w:t>9</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"_Toc100784398" </w:instrText>
          </w:r>
          <w:r>
            <w:fldChar w:fldCharType="separate"/>
          </w:r>
          <w:r>
            <w:rPr>
              <w:rStyle w:val="12"/>
            </w:rPr>
            <w:t>5.1 Constraints of the Project:</w:t>
          </w:r>
          <w:r>
            <w:tab/>
          </w:r>
          <w:r>
            <w:fldChar w:fldCharType="begin"/>
          </w:r>
          <w:r>
            <w:instrText xml:space="preserve"> PAGEREF _Toc100784398 \h </w:instrText>
          </w:r>
          <w:r>
            <w:fldChar w:fldCharType="separate"/>
          </w:r>
          <w:r>
            <w:t>9</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"_Toc100784399" </w:instrText>
          </w:r>
          <w:r>
            <w:fldChar w:fldCharType="separate"/>
          </w:r>
          <w:r>
            <w:rPr>
              <w:rStyle w:val="12"/>
            </w:rPr>
            <w:t>5.2 Risks associated with the task:</w:t>
          </w:r>
          <w:r>
            <w:tab/>
          </w:r>
          <w:r>
            <w:fldChar w:fldCharType="begin"/>
          </w:r>
          <w:r>
            <w:instrText xml:space="preserve"> PAGEREF _Toc100784399 \h </w:instrText>
          </w:r>
          <w:r>
            <w:fldChar w:fldCharType="separate"/>
          </w:r>
          <w:r>
            <w:t>10</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"_Toc100784400" </w:instrText>
          </w:r>
          <w:r>
            <w:fldChar w:fldCharType="separate"/>
          </w:r>
          <w:r>
            <w:rPr>
              <w:rStyle w:val="12"/>
            </w:rPr>
            <w:t>6.0 Project control Mechanism:</w:t>
          </w:r>
          <w:r>
            <w:tab/>
          </w:r>
          <w:r>
            <w:fldChar w:fldCharType="begin"/>
          </w:r>
          <w:r>
            <w:instrText xml:space="preserve"> PAGEREF _Toc100784400 \h </w:instrText>
          </w:r>
          <w:r>
            <w:fldChar w:fldCharType="separate"/>
          </w:r>
          <w:r>
            <w:t>11</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"_Toc100784401" </w:instrText>
          </w:r>
          <w:r>
            <w:fldChar w:fldCharType="separate"/>
          </w:r>
          <w:r>
            <w:rPr>
              <w:rStyle w:val="12"/>
            </w:rPr>
            <w:t>6.1 way of controlling the project:</w:t>
          </w:r>
          <w:r>
            <w:tab/>
          </w:r>
          <w:r>
            <w:fldChar w:fldCharType="begin"/>
          </w:r>
          <w:r>
            <w:instrText xml:space="preserve"> PAGEREF _Toc100784401 \h </w:instrText>
          </w:r>
          <w:r>
            <w:fldChar w:fldCharType="separate"/>
          </w:r>
          <w:r>
            <w:t>11</w:t>
          </w:r>
          <w:r>
            <w:fldChar w:fldCharType="end"/>
          </w:r>
          <w:r>
            <w:fldChar w:fldCharType="end"/>
          </w:r>
        </w:p>
        <w:p>
          <w:pPr>
            <w:pStyle w:val="9"/>
            <w:tabs>
              <w:tab w:val="right" w:leader="dot" w:pos="9350"/>
            </w:tabs>
            <w:rPr>
              <w:rFonts w:asciiTheme="minorHAnsi" w:hAnsiTheme="minorHAnsi" w:eastAsiaTheme="minorEastAsia"/>
              <w:sz w:val="22"/>
            </w:rPr>
          </w:pPr>
          <w:r>
            <w:fldChar w:fldCharType="begin"/>
          </w:r>
          <w:r>
            <w:instrText xml:space="preserve"> HYPERLINK \l "_Toc100784402" </w:instrText>
          </w:r>
          <w:r>
            <w:fldChar w:fldCharType="separate"/>
          </w:r>
          <w:r>
            <w:rPr>
              <w:rStyle w:val="12"/>
            </w:rPr>
            <w:t>6.2 Person who is involved in the project and how project control is done:</w:t>
          </w:r>
          <w:r>
            <w:tab/>
          </w:r>
          <w:r>
            <w:fldChar w:fldCharType="begin"/>
          </w:r>
          <w:r>
            <w:instrText xml:space="preserve"> PAGEREF _Toc100784402 \h </w:instrText>
          </w:r>
          <w:r>
            <w:fldChar w:fldCharType="separate"/>
          </w:r>
          <w:r>
            <w:t>12</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"_Toc100784403" </w:instrText>
          </w:r>
          <w:r>
            <w:fldChar w:fldCharType="separate"/>
          </w:r>
          <w:r>
            <w:rPr>
              <w:rStyle w:val="12"/>
            </w:rPr>
            <w:t>7.0 Reporting framework:</w:t>
          </w:r>
          <w:r>
            <w:tab/>
          </w:r>
          <w:r>
            <w:fldChar w:fldCharType="begin"/>
          </w:r>
          <w:r>
            <w:instrText xml:space="preserve"> PAGEREF _Toc100784403 \h </w:instrText>
          </w:r>
          <w:r>
            <w:fldChar w:fldCharType="separate"/>
          </w:r>
          <w:r>
            <w:t>13</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"_Toc100784404" </w:instrText>
          </w:r>
          <w:r>
            <w:fldChar w:fldCharType="separate"/>
          </w:r>
          <w:r>
            <w:rPr>
              <w:rStyle w:val="12"/>
              <w:rFonts w:cs="Times New Roman"/>
            </w:rPr>
            <w:t>8.0 Project Planning with Milestones:</w:t>
          </w:r>
          <w:r>
            <w:tab/>
          </w:r>
          <w:r>
            <w:fldChar w:fldCharType="begin"/>
          </w:r>
          <w:r>
            <w:instrText xml:space="preserve"> PAGEREF _Toc100784404 \h </w:instrText>
          </w:r>
          <w:r>
            <w:fldChar w:fldCharType="separate"/>
          </w:r>
          <w:r>
            <w:t>14</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"_Toc100784405" </w:instrText>
          </w:r>
          <w:r>
            <w:fldChar w:fldCharType="separate"/>
          </w:r>
          <w:r>
            <w:rPr>
              <w:rStyle w:val="12"/>
            </w:rPr>
            <w:t>9.0 Conclusion:</w:t>
          </w:r>
          <w:r>
            <w:tab/>
          </w:r>
          <w:r>
            <w:fldChar w:fldCharType="begin"/>
          </w:r>
          <w:r>
            <w:instrText xml:space="preserve"> PAGEREF _Toc100784405 \h </w:instrText>
          </w:r>
          <w:r>
            <w:fldChar w:fldCharType="separate"/>
          </w:r>
          <w:r>
            <w:t>15</w:t>
          </w:r>
          <w:r>
            <w:fldChar w:fldCharType="end"/>
          </w:r>
          <w:r>
            <w:fldChar w:fldCharType="end"/>
          </w:r>
        </w:p>
        <w:p>
          <w:pPr>
            <w:pStyle w:val="8"/>
            <w:tabs>
              <w:tab w:val="right" w:leader="dot" w:pos="9350"/>
            </w:tabs>
            <w:rPr>
              <w:rFonts w:asciiTheme="minorHAnsi" w:hAnsiTheme="minorHAnsi" w:eastAsiaTheme="minorEastAsia"/>
              <w:sz w:val="22"/>
            </w:rPr>
          </w:pPr>
          <w:r>
            <w:fldChar w:fldCharType="begin"/>
          </w:r>
          <w:r>
            <w:instrText xml:space="preserve"> HYPERLINK \l "_Toc100784406" </w:instrText>
          </w:r>
          <w:r>
            <w:fldChar w:fldCharType="separate"/>
          </w:r>
          <w:r>
            <w:rPr>
              <w:rStyle w:val="12"/>
              <w:rFonts w:cs="Times New Roman"/>
            </w:rPr>
            <w:t>References</w:t>
          </w:r>
          <w:r>
            <w:tab/>
          </w:r>
          <w:r>
            <w:fldChar w:fldCharType="begin"/>
          </w:r>
          <w:r>
            <w:instrText xml:space="preserve"> PAGEREF _Toc100784406 \h </w:instrText>
          </w:r>
          <w:r>
            <w:fldChar w:fldCharType="separate"/>
          </w:r>
          <w:r>
            <w:t>16</w:t>
          </w:r>
          <w:r>
            <w:fldChar w:fldCharType="end"/>
          </w:r>
          <w:r>
            <w:fldChar w:fldCharType="end"/>
          </w:r>
        </w:p>
        <w:p>
          <w:r>
            <w:rPr>
              <w:b/>
              <w:bCs/>
            </w:rPr>
            <w:fldChar w:fldCharType="end"/>
          </w:r>
        </w:p>
      </w:sdtContent>
    </w:sdt>
    <w:p>
      <w:pPr>
        <w:spacing w:line="259" w:lineRule="auto"/>
        <w:jc w:val="left"/>
        <w:rPr>
          <w:rFonts w:eastAsiaTheme="majorEastAsia" w:cstheme="majorBidi"/>
          <w:b/>
          <w:sz w:val="32"/>
          <w:szCs w:val="32"/>
        </w:rPr>
      </w:pPr>
      <w:r>
        <w:br w:type="page"/>
      </w:r>
    </w:p>
    <w:p>
      <w:pPr>
        <w:pStyle w:val="2"/>
        <w:numPr>
          <w:ilvl w:val="0"/>
          <w:numId w:val="1"/>
        </w:numPr>
      </w:pPr>
      <w:bookmarkStart w:id="1" w:name="_Toc100784389"/>
      <w:r>
        <w:t>Introduction</w:t>
      </w:r>
      <w:bookmarkEnd w:id="1"/>
      <w:r>
        <w:t xml:space="preserve"> </w:t>
      </w:r>
    </w:p>
    <w:p>
      <w:r>
        <w:t>Project management refers to leading any team to achieve the objective of the project. This project will solve one of the problems of the school by applying the tools, the project manager will try to achieve the objectives. As the number of students is increasing in the university, the authority of the University of Wales Trinity Saint David (UWTSD) London campus wants to add a new building block. The new building block will accommodate new students, teaching rooms, administrative office and reception space and many more. The main objective of this project is to build the new building in a way that will facilitate the new student properly and they feel comfortable studying in this new building. The success of the project depends on five stages. They are project scope, budget, stakeholder, project controlling framework and many more (</w:t>
      </w:r>
      <w:r>
        <w:rPr>
          <w:shd w:val="clear" w:color="auto" w:fill="FFFFFF"/>
        </w:rPr>
        <w:t>Heerkens, 2012)</w:t>
      </w:r>
      <w:r>
        <w:t xml:space="preserve">. A proper document for the project will be prepared before starting the work. The document will consist of below topics and aspects. </w:t>
      </w:r>
    </w:p>
    <w:p>
      <w:pPr>
        <w:jc w:val="center"/>
      </w:pPr>
      <w:r>
        <w:drawing>
          <wp:inline distT="0" distB="0" distL="0" distR="0">
            <wp:extent cx="6076950" cy="34671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Pr>
          <w:b/>
        </w:rPr>
        <w:t>Figure: Project management diagram; Source: (</w:t>
      </w:r>
      <w:r>
        <w:rPr>
          <w:b/>
          <w:shd w:val="clear" w:color="auto" w:fill="FFFFFF"/>
        </w:rPr>
        <w:t>Heerkens, 2012)</w:t>
      </w:r>
    </w:p>
    <w:p>
      <w:pPr>
        <w:spacing w:line="259" w:lineRule="auto"/>
        <w:jc w:val="left"/>
        <w:rPr>
          <w:rFonts w:eastAsiaTheme="majorEastAsia" w:cstheme="majorBidi"/>
          <w:b/>
          <w:sz w:val="32"/>
          <w:szCs w:val="32"/>
          <w:highlight w:val="lightGray"/>
        </w:rPr>
      </w:pPr>
      <w:r>
        <w:rPr>
          <w:highlight w:val="lightGray"/>
        </w:rPr>
        <w:br w:type="page"/>
      </w:r>
    </w:p>
    <w:p>
      <w:pPr>
        <w:pStyle w:val="2"/>
      </w:pPr>
      <w:bookmarkStart w:id="2" w:name="_Toc100784390"/>
      <w:r>
        <w:t>2.0 Project Scope:</w:t>
      </w:r>
      <w:bookmarkEnd w:id="0"/>
      <w:bookmarkEnd w:id="2"/>
    </w:p>
    <w:p>
      <w:r>
        <w:t>The project scope consists of the specific activities that will take place to accomplish the project, the budget of the project, expenses, the deadline of the work and all other activities (</w:t>
      </w:r>
      <w:r>
        <w:rPr>
          <w:shd w:val="clear" w:color="auto" w:fill="FFFFFF"/>
        </w:rPr>
        <w:t>Walker, 2015)</w:t>
      </w:r>
      <w:r>
        <w:t xml:space="preserve">. The scope of the project is also known as the terms of reference of the project. The scope of the project will include the objectives and parameters of the project. </w:t>
      </w:r>
    </w:p>
    <w:p>
      <w:pPr>
        <w:pStyle w:val="3"/>
      </w:pPr>
      <w:bookmarkStart w:id="3" w:name="_Toc100784391"/>
      <w:bookmarkStart w:id="4" w:name="_Toc87657487"/>
      <w:r>
        <w:t>2.1 Objective and Parameter of the project:</w:t>
      </w:r>
      <w:bookmarkEnd w:id="3"/>
      <w:bookmarkEnd w:id="4"/>
    </w:p>
    <w:p>
      <w:pPr>
        <w:pStyle w:val="4"/>
      </w:pPr>
      <w:bookmarkStart w:id="5" w:name="_Toc87657488"/>
      <w:bookmarkStart w:id="6" w:name="_Toc100784392"/>
      <w:r>
        <w:t>2.1.1 Objectives of the project:</w:t>
      </w:r>
      <w:bookmarkEnd w:id="5"/>
      <w:bookmarkEnd w:id="6"/>
      <w:r>
        <w:t xml:space="preserve"> </w:t>
      </w:r>
    </w:p>
    <w:p>
      <w:r>
        <w:t xml:space="preserve">Every project is designed to achieve some aims and objectives. The aims and objectives work as the guideline for the project manager. The objectives of this project are illustrated below: </w:t>
      </w:r>
    </w:p>
    <w:p>
      <w:pPr>
        <w:pStyle w:val="22"/>
        <w:numPr>
          <w:ilvl w:val="0"/>
          <w:numId w:val="2"/>
        </w:numPr>
      </w:pPr>
      <w:r>
        <w:t>To ensure that all the new students get admission and get the facility in the new building.</w:t>
      </w:r>
    </w:p>
    <w:p>
      <w:pPr>
        <w:pStyle w:val="22"/>
        <w:numPr>
          <w:ilvl w:val="0"/>
          <w:numId w:val="2"/>
        </w:numPr>
      </w:pPr>
      <w:r>
        <w:t>To provide quality and up to the mark services in the new building.</w:t>
      </w:r>
    </w:p>
    <w:p>
      <w:pPr>
        <w:pStyle w:val="22"/>
        <w:numPr>
          <w:ilvl w:val="0"/>
          <w:numId w:val="2"/>
        </w:numPr>
      </w:pPr>
      <w:r>
        <w:t>To ensure comfort and all kinds of digital facilities in the new building.</w:t>
      </w:r>
    </w:p>
    <w:p>
      <w:pPr>
        <w:pStyle w:val="22"/>
        <w:numPr>
          <w:ilvl w:val="0"/>
          <w:numId w:val="2"/>
        </w:numPr>
      </w:pPr>
      <w:r>
        <w:t xml:space="preserve">To fulfil all the expectations of the stakeholders. </w:t>
      </w:r>
    </w:p>
    <w:p>
      <w:pPr>
        <w:pStyle w:val="4"/>
      </w:pPr>
      <w:bookmarkStart w:id="7" w:name="_Toc87657489"/>
      <w:bookmarkStart w:id="8" w:name="_Toc100784393"/>
      <w:r>
        <w:t>2.1.2 Parameters of the project:</w:t>
      </w:r>
      <w:bookmarkEnd w:id="7"/>
      <w:bookmarkEnd w:id="8"/>
    </w:p>
    <w:p>
      <w:bookmarkStart w:id="9" w:name="_Toc87657490"/>
      <w:r>
        <w:drawing>
          <wp:anchor distT="0" distB="0" distL="114300" distR="114300" simplePos="0" relativeHeight="251662336" behindDoc="0" locked="0" layoutInCell="1" allowOverlap="1">
            <wp:simplePos x="0" y="0"/>
            <wp:positionH relativeFrom="margin">
              <wp:align>right</wp:align>
            </wp:positionH>
            <wp:positionV relativeFrom="paragraph">
              <wp:posOffset>1148715</wp:posOffset>
            </wp:positionV>
            <wp:extent cx="5943600" cy="2066925"/>
            <wp:effectExtent l="0" t="0" r="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t xml:space="preserve">Quality of the work, time and the cost of the project are the most significant factor of any project management plan. Quality, time and cost must be maintained so that the project finishes in time and within the given budget by ensuring the right quality (Schwalbe, 2019). Any mistake in this element can reduce the effectiveness of the project. </w:t>
      </w:r>
    </w:p>
    <w:p>
      <w:pPr>
        <w:jc w:val="center"/>
        <w:rPr>
          <w:rFonts w:eastAsiaTheme="majorEastAsia" w:cstheme="majorBidi"/>
          <w:b/>
          <w:szCs w:val="24"/>
        </w:rPr>
      </w:pPr>
      <w:r>
        <w:rPr>
          <w:rFonts w:eastAsiaTheme="majorEastAsia" w:cstheme="majorBidi"/>
          <w:b/>
          <w:szCs w:val="24"/>
        </w:rPr>
        <w:t xml:space="preserve">Diagram: </w:t>
      </w:r>
      <w:r>
        <w:rPr>
          <w:b/>
          <w:szCs w:val="24"/>
        </w:rPr>
        <w:t>Parameters of the project; Source: Schwalbe, 2019</w:t>
      </w:r>
    </w:p>
    <w:p>
      <w:pPr>
        <w:rPr>
          <w:szCs w:val="24"/>
        </w:rPr>
      </w:pPr>
      <w:r>
        <w:rPr>
          <w:b/>
          <w:bCs/>
          <w:szCs w:val="24"/>
        </w:rPr>
        <w:t>Time:</w:t>
      </w:r>
      <w:r>
        <w:rPr>
          <w:szCs w:val="24"/>
        </w:rPr>
        <w:t xml:space="preserve"> Time refers to when the task will be completed and plan the time scale of each significant activity of the project. The stipulated time of this project is 30</w:t>
      </w:r>
      <w:r>
        <w:rPr>
          <w:szCs w:val="24"/>
          <w:vertAlign w:val="superscript"/>
        </w:rPr>
        <w:t>th</w:t>
      </w:r>
      <w:r>
        <w:rPr>
          <w:szCs w:val="24"/>
        </w:rPr>
        <w:t xml:space="preserve"> December of 2023. The beginning time of the project is 1 July 2022. If the project is accomplished within the given time it can be said that the project was in the right direction and execute all the planning properly (</w:t>
      </w:r>
      <w:r>
        <w:rPr>
          <w:shd w:val="clear" w:color="auto" w:fill="FFFFFF"/>
        </w:rPr>
        <w:t>Gido and Clements, 2014)</w:t>
      </w:r>
      <w:r>
        <w:rPr>
          <w:szCs w:val="24"/>
        </w:rPr>
        <w:t xml:space="preserve">. The time frame of the project is illustrated below: </w:t>
      </w:r>
    </w:p>
    <w:tbl>
      <w:tblPr>
        <w:tblStyle w:val="24"/>
        <w:tblW w:w="10068" w:type="dxa"/>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autofit"/>
        <w:tblCellMar>
          <w:top w:w="0" w:type="dxa"/>
          <w:left w:w="108" w:type="dxa"/>
          <w:bottom w:w="0" w:type="dxa"/>
          <w:right w:w="108" w:type="dxa"/>
        </w:tblCellMar>
      </w:tblPr>
      <w:tblGrid>
        <w:gridCol w:w="5034"/>
        <w:gridCol w:w="5034"/>
      </w:tblGrid>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tcBorders>
              <w:top w:val="single" w:color="4472C4" w:themeColor="accent5" w:sz="4" w:space="0"/>
              <w:left w:val="single" w:color="4472C4" w:themeColor="accent5" w:sz="4" w:space="0"/>
              <w:bottom w:val="single" w:color="4472C4" w:themeColor="accent5" w:sz="4" w:space="0"/>
              <w:right w:val="nil"/>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Project Name</w:t>
            </w:r>
          </w:p>
        </w:tc>
        <w:tc>
          <w:tcPr>
            <w:tcW w:w="5034" w:type="dxa"/>
            <w:tcBorders>
              <w:top w:val="single" w:color="4472C4" w:themeColor="accent5" w:sz="4" w:space="0"/>
              <w:bottom w:val="single" w:color="4472C4" w:themeColor="accent5" w:sz="4" w:space="0"/>
              <w:right w:val="single" w:color="4472C4" w:themeColor="accent5" w:sz="4" w:space="0"/>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 xml:space="preserve">Timeframe ( Month) </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Structural re-design</w:t>
            </w:r>
          </w:p>
        </w:tc>
        <w:tc>
          <w:tcPr>
            <w:tcW w:w="5034" w:type="dxa"/>
            <w:shd w:val="clear" w:color="auto" w:fill="D9E2F3" w:themeFill="accent5" w:themeFillTint="33"/>
          </w:tcPr>
          <w:p>
            <w:pPr>
              <w:spacing w:after="0"/>
              <w:jc w:val="center"/>
              <w:rPr>
                <w:rFonts w:cs="Times New Roman"/>
                <w:szCs w:val="24"/>
              </w:rPr>
            </w:pPr>
            <w:r>
              <w:rPr>
                <w:rFonts w:cs="Times New Roman"/>
                <w:szCs w:val="24"/>
              </w:rPr>
              <w:t>2</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 xml:space="preserve">Partition of the rooms </w:t>
            </w:r>
          </w:p>
        </w:tc>
        <w:tc>
          <w:tcPr>
            <w:tcW w:w="5034" w:type="dxa"/>
          </w:tcPr>
          <w:p>
            <w:pPr>
              <w:spacing w:after="0"/>
              <w:jc w:val="center"/>
              <w:rPr>
                <w:rFonts w:cs="Times New Roman"/>
                <w:szCs w:val="24"/>
              </w:rPr>
            </w:pPr>
            <w:r>
              <w:rPr>
                <w:rFonts w:cs="Times New Roman"/>
                <w:szCs w:val="24"/>
              </w:rPr>
              <w:t>2</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684"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Construction of the new rooms according to the new design</w:t>
            </w:r>
          </w:p>
        </w:tc>
        <w:tc>
          <w:tcPr>
            <w:tcW w:w="5034" w:type="dxa"/>
            <w:shd w:val="clear" w:color="auto" w:fill="D9E2F3" w:themeFill="accent5" w:themeFillTint="33"/>
          </w:tcPr>
          <w:p>
            <w:pPr>
              <w:spacing w:after="0"/>
              <w:jc w:val="center"/>
              <w:rPr>
                <w:rFonts w:cs="Times New Roman"/>
                <w:szCs w:val="24"/>
              </w:rPr>
            </w:pPr>
            <w:r>
              <w:rPr>
                <w:rFonts w:cs="Times New Roman"/>
                <w:szCs w:val="24"/>
              </w:rPr>
              <w:t>6</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Add Doors, windows</w:t>
            </w:r>
          </w:p>
        </w:tc>
        <w:tc>
          <w:tcPr>
            <w:tcW w:w="5034" w:type="dxa"/>
          </w:tcPr>
          <w:p>
            <w:pPr>
              <w:spacing w:after="0"/>
              <w:jc w:val="center"/>
              <w:rPr>
                <w:rFonts w:cs="Times New Roman"/>
                <w:szCs w:val="24"/>
              </w:rPr>
            </w:pPr>
            <w:r>
              <w:rPr>
                <w:rFonts w:cs="Times New Roman"/>
                <w:szCs w:val="24"/>
              </w:rPr>
              <w:t>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Plumbing and joining</w:t>
            </w:r>
          </w:p>
        </w:tc>
        <w:tc>
          <w:tcPr>
            <w:tcW w:w="5034" w:type="dxa"/>
            <w:shd w:val="clear" w:color="auto" w:fill="D9E2F3" w:themeFill="accent5" w:themeFillTint="33"/>
          </w:tcPr>
          <w:p>
            <w:pPr>
              <w:spacing w:after="0"/>
              <w:jc w:val="center"/>
              <w:rPr>
                <w:rFonts w:cs="Times New Roman"/>
                <w:szCs w:val="24"/>
              </w:rPr>
            </w:pPr>
            <w:r>
              <w:rPr>
                <w:rFonts w:cs="Times New Roman"/>
                <w:szCs w:val="24"/>
              </w:rPr>
              <w:t>1</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Electricity line establishment</w:t>
            </w:r>
          </w:p>
        </w:tc>
        <w:tc>
          <w:tcPr>
            <w:tcW w:w="5034" w:type="dxa"/>
          </w:tcPr>
          <w:p>
            <w:pPr>
              <w:spacing w:after="0"/>
              <w:jc w:val="center"/>
              <w:rPr>
                <w:rFonts w:cs="Times New Roman"/>
                <w:szCs w:val="24"/>
              </w:rPr>
            </w:pPr>
            <w:r>
              <w:rPr>
                <w:rFonts w:cs="Times New Roman"/>
                <w:szCs w:val="24"/>
              </w:rPr>
              <w:t>2</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 xml:space="preserve">Painting both inside and outside of the building </w:t>
            </w:r>
          </w:p>
        </w:tc>
        <w:tc>
          <w:tcPr>
            <w:tcW w:w="5034" w:type="dxa"/>
            <w:shd w:val="clear" w:color="auto" w:fill="D9E2F3" w:themeFill="accent5" w:themeFillTint="33"/>
          </w:tcPr>
          <w:p>
            <w:pPr>
              <w:spacing w:after="0"/>
              <w:jc w:val="center"/>
              <w:rPr>
                <w:rFonts w:cs="Times New Roman"/>
                <w:szCs w:val="24"/>
              </w:rPr>
            </w:pPr>
            <w:r>
              <w:rPr>
                <w:rFonts w:cs="Times New Roman"/>
                <w:szCs w:val="24"/>
              </w:rPr>
              <w:t>1</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Others</w:t>
            </w:r>
          </w:p>
        </w:tc>
        <w:tc>
          <w:tcPr>
            <w:tcW w:w="5034" w:type="dxa"/>
          </w:tcPr>
          <w:p>
            <w:pPr>
              <w:spacing w:after="0"/>
              <w:jc w:val="center"/>
              <w:rPr>
                <w:rFonts w:cs="Times New Roman"/>
                <w:szCs w:val="24"/>
              </w:rPr>
            </w:pPr>
            <w:r>
              <w:rPr>
                <w:rFonts w:cs="Times New Roman"/>
                <w:szCs w:val="24"/>
              </w:rPr>
              <w:t>1</w:t>
            </w:r>
          </w:p>
        </w:tc>
      </w:tr>
    </w:tbl>
    <w:p/>
    <w:p>
      <w:pPr>
        <w:rPr>
          <w:rFonts w:cs="Times New Roman"/>
          <w:szCs w:val="24"/>
        </w:rPr>
      </w:pPr>
      <w:r>
        <w:rPr>
          <w:rFonts w:cs="Times New Roman"/>
          <w:b/>
          <w:bCs/>
          <w:szCs w:val="24"/>
        </w:rPr>
        <w:t>Cost:</w:t>
      </w:r>
      <w:r>
        <w:rPr>
          <w:rFonts w:cs="Times New Roman"/>
          <w:szCs w:val="24"/>
        </w:rPr>
        <w:t xml:space="preserve"> Cost is the most significant matter in this project and the most complex one to calculate. The success of the project depends on the accurate cost calculation. The cost will include all the operational, administrative and actual costs of the project. The estimated budget for this project is set </w:t>
      </w:r>
      <w:r>
        <w:rPr>
          <w:rFonts w:cs="Times New Roman"/>
          <w:b/>
          <w:szCs w:val="24"/>
        </w:rPr>
        <w:t xml:space="preserve">at £55,000,00. </w:t>
      </w:r>
      <w:r>
        <w:rPr>
          <w:rFonts w:cs="Times New Roman"/>
          <w:szCs w:val="24"/>
        </w:rPr>
        <w:t xml:space="preserve">The project manager has to accomplish the project within the given budget. </w:t>
      </w:r>
    </w:p>
    <w:p>
      <w:pPr>
        <w:rPr>
          <w:rFonts w:eastAsiaTheme="majorEastAsia" w:cstheme="majorBidi"/>
          <w:b/>
          <w:sz w:val="28"/>
          <w:szCs w:val="26"/>
        </w:rPr>
      </w:pPr>
      <w:r>
        <w:rPr>
          <w:rFonts w:cs="Times New Roman"/>
          <w:b/>
          <w:szCs w:val="24"/>
        </w:rPr>
        <w:t xml:space="preserve">Quality: </w:t>
      </w:r>
      <w:r>
        <w:t>The success and the brand value of the project manager depend on the quality of the work. The quality benchmarks must be set by the project manager and ensure that this quality is met in every part of the building. If any of the work failed to meet the quality, prevention and corrective measures must be taken by the project manager. The LIM (Leading indicator matrices and another measurement must be maintained by the project manager and must include in the final report of the project (</w:t>
      </w:r>
      <w:r>
        <w:rPr>
          <w:shd w:val="clear" w:color="auto" w:fill="FFFFFF"/>
        </w:rPr>
        <w:t>White and Fortune, 2012).</w:t>
      </w:r>
      <w:r>
        <w:rPr>
          <w:b/>
        </w:rPr>
        <w:br w:type="page"/>
      </w:r>
    </w:p>
    <w:p>
      <w:pPr>
        <w:pStyle w:val="3"/>
      </w:pPr>
      <w:bookmarkStart w:id="10" w:name="_Toc100784394"/>
      <w:r>
        <w:t>2.2 Benefits or Expected outcomes of the project:</w:t>
      </w:r>
      <w:bookmarkEnd w:id="9"/>
      <w:bookmarkEnd w:id="10"/>
    </w:p>
    <w:p>
      <w:r>
        <w:t>The project has been conducted to reach an outcome. This project also has some outcomes that must be met by the project manager. The outcome of the project is given below:</w:t>
      </w:r>
    </w:p>
    <w:p>
      <w:pPr>
        <w:pStyle w:val="22"/>
        <w:numPr>
          <w:ilvl w:val="0"/>
          <w:numId w:val="3"/>
        </w:numPr>
      </w:pPr>
      <w:r>
        <w:t>The University of Wales Trinity Saint David (UWTSD) London can admit all the new students to the university.</w:t>
      </w:r>
    </w:p>
    <w:p>
      <w:pPr>
        <w:pStyle w:val="22"/>
        <w:numPr>
          <w:ilvl w:val="0"/>
          <w:numId w:val="3"/>
        </w:numPr>
      </w:pPr>
      <w:r>
        <w:t>All the new students will get the same facility and environment in the new building for education and other university work.</w:t>
      </w:r>
    </w:p>
    <w:p>
      <w:pPr>
        <w:pStyle w:val="22"/>
        <w:numPr>
          <w:ilvl w:val="0"/>
          <w:numId w:val="3"/>
        </w:numPr>
      </w:pPr>
      <w:r>
        <w:t xml:space="preserve">A new digital facility should be introduced in the new building so that a good brand image and reputation will spread in the London about the university. </w:t>
      </w:r>
      <w:bookmarkStart w:id="11" w:name="_Toc87657491"/>
    </w:p>
    <w:p>
      <w:pPr>
        <w:pStyle w:val="2"/>
        <w:numPr>
          <w:ilvl w:val="0"/>
          <w:numId w:val="4"/>
        </w:numPr>
      </w:pPr>
      <w:bookmarkStart w:id="12" w:name="_Toc100784395"/>
      <w:r>
        <w:t>Budget assumptions:</w:t>
      </w:r>
      <w:bookmarkEnd w:id="11"/>
      <w:bookmarkEnd w:id="12"/>
    </w:p>
    <w:p>
      <w:r>
        <w:t xml:space="preserve">In this section, a proper breakdown of the full budget will be given. The given table will breakdown all the costs of incurring this project for finishing in time. </w:t>
      </w:r>
    </w:p>
    <w:tbl>
      <w:tblPr>
        <w:tblStyle w:val="24"/>
        <w:tblW w:w="10068" w:type="dxa"/>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autofit"/>
        <w:tblCellMar>
          <w:top w:w="0" w:type="dxa"/>
          <w:left w:w="108" w:type="dxa"/>
          <w:bottom w:w="0" w:type="dxa"/>
          <w:right w:w="108" w:type="dxa"/>
        </w:tblCellMar>
      </w:tblPr>
      <w:tblGrid>
        <w:gridCol w:w="5034"/>
        <w:gridCol w:w="5034"/>
      </w:tblGrid>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tcBorders>
              <w:top w:val="single" w:color="4472C4" w:themeColor="accent5" w:sz="4" w:space="0"/>
              <w:left w:val="single" w:color="4472C4" w:themeColor="accent5" w:sz="4" w:space="0"/>
              <w:bottom w:val="single" w:color="4472C4" w:themeColor="accent5" w:sz="4" w:space="0"/>
              <w:right w:val="nil"/>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Project Name</w:t>
            </w:r>
          </w:p>
        </w:tc>
        <w:tc>
          <w:tcPr>
            <w:tcW w:w="5034" w:type="dxa"/>
            <w:tcBorders>
              <w:top w:val="single" w:color="4472C4" w:themeColor="accent5" w:sz="4" w:space="0"/>
              <w:bottom w:val="single" w:color="4472C4" w:themeColor="accent5" w:sz="4" w:space="0"/>
              <w:right w:val="single" w:color="4472C4" w:themeColor="accent5" w:sz="4" w:space="0"/>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 xml:space="preserve">Cost  </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Structural re-design</w:t>
            </w:r>
          </w:p>
        </w:tc>
        <w:tc>
          <w:tcPr>
            <w:tcW w:w="5034" w:type="dxa"/>
            <w:shd w:val="clear" w:color="auto" w:fill="D9E2F3" w:themeFill="accent5" w:themeFillTint="33"/>
          </w:tcPr>
          <w:p>
            <w:pPr>
              <w:spacing w:after="0"/>
              <w:jc w:val="center"/>
              <w:rPr>
                <w:rFonts w:cs="Times New Roman"/>
                <w:b/>
                <w:color w:val="222A35" w:themeColor="text2" w:themeShade="80"/>
                <w:szCs w:val="24"/>
              </w:rPr>
            </w:pPr>
            <w:r>
              <w:rPr>
                <w:rFonts w:cs="Times New Roman"/>
                <w:b/>
                <w:color w:val="222A35" w:themeColor="text2" w:themeShade="80"/>
                <w:szCs w:val="24"/>
              </w:rPr>
              <w:t>£5,000,00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 xml:space="preserve">Partition of the rooms </w:t>
            </w:r>
          </w:p>
        </w:tc>
        <w:tc>
          <w:tcPr>
            <w:tcW w:w="5034" w:type="dxa"/>
          </w:tcPr>
          <w:p>
            <w:pPr>
              <w:spacing w:after="0"/>
              <w:jc w:val="center"/>
              <w:rPr>
                <w:rFonts w:cs="Times New Roman"/>
                <w:b/>
                <w:color w:val="222A35" w:themeColor="text2" w:themeShade="80"/>
                <w:szCs w:val="24"/>
              </w:rPr>
            </w:pPr>
            <w:r>
              <w:rPr>
                <w:rFonts w:cs="Times New Roman"/>
                <w:b/>
                <w:color w:val="222A35" w:themeColor="text2" w:themeShade="80"/>
                <w:szCs w:val="24"/>
              </w:rPr>
              <w:t>£5,000,00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684"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Construction of the new rooms according to the new design</w:t>
            </w:r>
          </w:p>
        </w:tc>
        <w:tc>
          <w:tcPr>
            <w:tcW w:w="5034" w:type="dxa"/>
            <w:shd w:val="clear" w:color="auto" w:fill="D9E2F3" w:themeFill="accent5" w:themeFillTint="33"/>
          </w:tcPr>
          <w:p>
            <w:pPr>
              <w:spacing w:after="0"/>
              <w:jc w:val="center"/>
              <w:rPr>
                <w:rFonts w:cs="Times New Roman"/>
                <w:b/>
                <w:color w:val="222A35" w:themeColor="text2" w:themeShade="80"/>
                <w:szCs w:val="24"/>
              </w:rPr>
            </w:pPr>
            <w:r>
              <w:rPr>
                <w:rFonts w:cs="Times New Roman"/>
                <w:b/>
                <w:color w:val="222A35" w:themeColor="text2" w:themeShade="80"/>
                <w:szCs w:val="24"/>
              </w:rPr>
              <w:t>£18,000,00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Add Doors, windows</w:t>
            </w:r>
          </w:p>
        </w:tc>
        <w:tc>
          <w:tcPr>
            <w:tcW w:w="5034" w:type="dxa"/>
          </w:tcPr>
          <w:p>
            <w:pPr>
              <w:spacing w:after="0"/>
              <w:jc w:val="center"/>
              <w:rPr>
                <w:rFonts w:cs="Times New Roman"/>
                <w:b/>
                <w:color w:val="222A35" w:themeColor="text2" w:themeShade="80"/>
                <w:szCs w:val="24"/>
              </w:rPr>
            </w:pPr>
            <w:r>
              <w:rPr>
                <w:rFonts w:cs="Times New Roman"/>
                <w:b/>
                <w:color w:val="222A35" w:themeColor="text2" w:themeShade="80"/>
                <w:szCs w:val="24"/>
              </w:rPr>
              <w:t>£5,000,00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Plumbing and joining</w:t>
            </w:r>
          </w:p>
        </w:tc>
        <w:tc>
          <w:tcPr>
            <w:tcW w:w="5034" w:type="dxa"/>
            <w:shd w:val="clear" w:color="auto" w:fill="D9E2F3" w:themeFill="accent5" w:themeFillTint="33"/>
          </w:tcPr>
          <w:p>
            <w:pPr>
              <w:spacing w:after="0"/>
              <w:jc w:val="center"/>
              <w:rPr>
                <w:rFonts w:cs="Times New Roman"/>
                <w:b/>
                <w:color w:val="222A35" w:themeColor="text2" w:themeShade="80"/>
                <w:szCs w:val="24"/>
              </w:rPr>
            </w:pPr>
            <w:r>
              <w:rPr>
                <w:rFonts w:cs="Times New Roman"/>
                <w:b/>
                <w:color w:val="222A35" w:themeColor="text2" w:themeShade="80"/>
                <w:szCs w:val="24"/>
              </w:rPr>
              <w:t>£2,000,00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Electricity line establishment</w:t>
            </w:r>
          </w:p>
        </w:tc>
        <w:tc>
          <w:tcPr>
            <w:tcW w:w="5034" w:type="dxa"/>
          </w:tcPr>
          <w:p>
            <w:pPr>
              <w:spacing w:after="0"/>
              <w:jc w:val="center"/>
              <w:rPr>
                <w:rFonts w:cs="Times New Roman"/>
                <w:b/>
                <w:color w:val="222A35" w:themeColor="text2" w:themeShade="80"/>
                <w:szCs w:val="24"/>
              </w:rPr>
            </w:pPr>
            <w:r>
              <w:rPr>
                <w:rFonts w:cs="Times New Roman"/>
                <w:b/>
                <w:color w:val="222A35" w:themeColor="text2" w:themeShade="80"/>
                <w:szCs w:val="24"/>
              </w:rPr>
              <w:t>£7,000,00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48"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 xml:space="preserve">Painting both inside and outside of the building </w:t>
            </w:r>
          </w:p>
        </w:tc>
        <w:tc>
          <w:tcPr>
            <w:tcW w:w="5034" w:type="dxa"/>
            <w:shd w:val="clear" w:color="auto" w:fill="D9E2F3" w:themeFill="accent5" w:themeFillTint="33"/>
          </w:tcPr>
          <w:p>
            <w:pPr>
              <w:spacing w:after="0"/>
              <w:jc w:val="center"/>
              <w:rPr>
                <w:rFonts w:cs="Times New Roman"/>
                <w:b/>
                <w:color w:val="222A35" w:themeColor="text2" w:themeShade="80"/>
                <w:szCs w:val="24"/>
              </w:rPr>
            </w:pPr>
            <w:r>
              <w:rPr>
                <w:rFonts w:cs="Times New Roman"/>
                <w:b/>
                <w:color w:val="222A35" w:themeColor="text2" w:themeShade="80"/>
                <w:szCs w:val="24"/>
              </w:rPr>
              <w:t>£5,00,000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tcPr>
          <w:p>
            <w:pPr>
              <w:spacing w:after="0"/>
              <w:jc w:val="center"/>
              <w:rPr>
                <w:rFonts w:cs="Times New Roman"/>
                <w:b/>
                <w:bCs/>
                <w:szCs w:val="24"/>
              </w:rPr>
            </w:pPr>
            <w:r>
              <w:rPr>
                <w:rFonts w:cs="Times New Roman"/>
                <w:b w:val="0"/>
                <w:bCs/>
                <w:szCs w:val="24"/>
              </w:rPr>
              <w:t>Others</w:t>
            </w:r>
          </w:p>
        </w:tc>
        <w:tc>
          <w:tcPr>
            <w:tcW w:w="5034" w:type="dxa"/>
          </w:tcPr>
          <w:p>
            <w:pPr>
              <w:spacing w:after="0"/>
              <w:jc w:val="center"/>
              <w:rPr>
                <w:rFonts w:cs="Times New Roman"/>
                <w:b/>
                <w:color w:val="222A35" w:themeColor="text2" w:themeShade="80"/>
                <w:szCs w:val="24"/>
              </w:rPr>
            </w:pPr>
            <w:r>
              <w:rPr>
                <w:rFonts w:cs="Times New Roman"/>
                <w:b/>
                <w:color w:val="222A35" w:themeColor="text2" w:themeShade="80"/>
                <w:szCs w:val="24"/>
              </w:rPr>
              <w:t>£8,000,00</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5" w:hRule="atLeast"/>
        </w:trPr>
        <w:tc>
          <w:tcPr>
            <w:tcW w:w="5034" w:type="dxa"/>
            <w:shd w:val="clear" w:color="auto" w:fill="D9E2F3" w:themeFill="accent5" w:themeFillTint="33"/>
          </w:tcPr>
          <w:p>
            <w:pPr>
              <w:spacing w:after="0"/>
              <w:jc w:val="center"/>
              <w:rPr>
                <w:rFonts w:cs="Times New Roman"/>
                <w:b/>
                <w:bCs/>
                <w:szCs w:val="24"/>
              </w:rPr>
            </w:pPr>
            <w:r>
              <w:rPr>
                <w:rFonts w:cs="Times New Roman"/>
                <w:b w:val="0"/>
                <w:bCs/>
                <w:szCs w:val="24"/>
              </w:rPr>
              <w:t xml:space="preserve">Total budget </w:t>
            </w:r>
          </w:p>
        </w:tc>
        <w:tc>
          <w:tcPr>
            <w:tcW w:w="5034" w:type="dxa"/>
            <w:shd w:val="clear" w:color="auto" w:fill="D9E2F3" w:themeFill="accent5" w:themeFillTint="33"/>
          </w:tcPr>
          <w:p>
            <w:pPr>
              <w:spacing w:after="0"/>
              <w:jc w:val="center"/>
              <w:rPr>
                <w:rFonts w:cs="Times New Roman"/>
                <w:b/>
                <w:color w:val="222A35" w:themeColor="text2" w:themeShade="80"/>
                <w:szCs w:val="24"/>
              </w:rPr>
            </w:pPr>
            <w:r>
              <w:rPr>
                <w:rFonts w:cs="Times New Roman"/>
                <w:b/>
                <w:color w:val="222A35" w:themeColor="text2" w:themeShade="80"/>
                <w:szCs w:val="24"/>
              </w:rPr>
              <w:t>£55,000,00</w:t>
            </w:r>
          </w:p>
        </w:tc>
      </w:tr>
    </w:tbl>
    <w:p/>
    <w:p>
      <w:r>
        <w:t xml:space="preserve">The estimated budget is given though this is not the actual budget. More or fewer costs will be needed to accomplish the project. </w:t>
      </w:r>
      <w:r>
        <w:br w:type="page"/>
      </w:r>
    </w:p>
    <w:p>
      <w:pPr>
        <w:pStyle w:val="2"/>
      </w:pPr>
      <w:bookmarkStart w:id="13" w:name="_Toc100784396"/>
      <w:bookmarkStart w:id="14" w:name="_Toc87657495"/>
      <w:bookmarkStart w:id="15" w:name="_Toc87657492"/>
      <w:r>
        <w:t>4.0 Stakeholders and their involvement:</w:t>
      </w:r>
      <w:bookmarkEnd w:id="13"/>
      <w:bookmarkEnd w:id="14"/>
    </w:p>
    <w:p>
      <w:pPr>
        <w:rPr>
          <w:shd w:val="clear" w:color="auto" w:fill="FFFFFF"/>
        </w:rPr>
      </w:pPr>
      <w:r>
        <w:t>All project has several significant stakeholders. The project manager must count them as valuable decision-makers of the project. There are two types of stakeholders available one is an internal stakeholder and another external stakeholder (</w:t>
      </w:r>
      <w:r>
        <w:rPr>
          <w:shd w:val="clear" w:color="auto" w:fill="FFFFFF"/>
        </w:rPr>
        <w:t>Alexander and Robertson, 2014)</w:t>
      </w:r>
      <w:r>
        <w:t xml:space="preserve">. The given table will present the list of internal and external stakeholders of the project. </w:t>
      </w:r>
    </w:p>
    <w:tbl>
      <w:tblPr>
        <w:tblStyle w:val="27"/>
        <w:tblW w:w="0" w:type="auto"/>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autofit"/>
        <w:tblCellMar>
          <w:top w:w="0" w:type="dxa"/>
          <w:left w:w="108" w:type="dxa"/>
          <w:bottom w:w="0" w:type="dxa"/>
          <w:right w:w="108" w:type="dxa"/>
        </w:tblCellMar>
      </w:tblPr>
      <w:tblGrid>
        <w:gridCol w:w="4675"/>
        <w:gridCol w:w="4675"/>
      </w:tblGrid>
      <w:tr>
        <w:tc>
          <w:tcPr>
            <w:tcW w:w="4675"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spacing w:after="0"/>
              <w:jc w:val="center"/>
              <w:rPr>
                <w:rFonts w:cs="Times New Roman"/>
                <w:b/>
                <w:bCs/>
                <w:color w:val="000000" w:themeColor="text1"/>
                <w:szCs w:val="24"/>
                <w14:textFill>
                  <w14:solidFill>
                    <w14:schemeClr w14:val="tx1"/>
                  </w14:solidFill>
                </w14:textFill>
              </w:rPr>
            </w:pPr>
            <w:r>
              <w:rPr>
                <w:rFonts w:cs="Times New Roman"/>
                <w:b/>
                <w:bCs/>
                <w:color w:val="000000" w:themeColor="text1"/>
                <w:szCs w:val="24"/>
                <w14:textFill>
                  <w14:solidFill>
                    <w14:schemeClr w14:val="tx1"/>
                  </w14:solidFill>
                </w14:textFill>
              </w:rPr>
              <w:t>Internal stakeholders</w:t>
            </w:r>
          </w:p>
        </w:tc>
        <w:tc>
          <w:tcPr>
            <w:tcW w:w="4675"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spacing w:after="0"/>
              <w:jc w:val="center"/>
              <w:rPr>
                <w:rFonts w:cs="Times New Roman"/>
                <w:b/>
                <w:bCs/>
                <w:color w:val="000000" w:themeColor="text1"/>
                <w:szCs w:val="24"/>
                <w14:textFill>
                  <w14:solidFill>
                    <w14:schemeClr w14:val="tx1"/>
                  </w14:solidFill>
                </w14:textFill>
              </w:rPr>
            </w:pPr>
            <w:r>
              <w:rPr>
                <w:rFonts w:cs="Times New Roman"/>
                <w:b/>
                <w:bCs/>
                <w:color w:val="000000" w:themeColor="text1"/>
                <w:szCs w:val="24"/>
                <w14:textFill>
                  <w14:solidFill>
                    <w14:schemeClr w14:val="tx1"/>
                  </w14:solidFill>
                </w14:textFill>
              </w:rPr>
              <w:t>External stakeholders</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shd w:val="clear" w:color="auto" w:fill="DEEAF6" w:themeFill="accent1" w:themeFillTint="33"/>
          </w:tcPr>
          <w:p>
            <w:pPr>
              <w:spacing w:after="0"/>
              <w:jc w:val="center"/>
              <w:rPr>
                <w:rFonts w:cs="Times New Roman"/>
                <w:b/>
                <w:bCs/>
                <w:szCs w:val="24"/>
              </w:rPr>
            </w:pPr>
            <w:r>
              <w:rPr>
                <w:rFonts w:cs="Times New Roman"/>
                <w:b/>
                <w:bCs/>
                <w:szCs w:val="24"/>
              </w:rPr>
              <w:t>University governing body</w:t>
            </w:r>
          </w:p>
        </w:tc>
        <w:tc>
          <w:tcPr>
            <w:tcW w:w="4675" w:type="dxa"/>
            <w:shd w:val="clear" w:color="auto" w:fill="DEEAF6" w:themeFill="accent1" w:themeFillTint="33"/>
          </w:tcPr>
          <w:p>
            <w:pPr>
              <w:spacing w:after="0"/>
              <w:jc w:val="center"/>
              <w:rPr>
                <w:rFonts w:cs="Times New Roman"/>
                <w:szCs w:val="24"/>
              </w:rPr>
            </w:pPr>
            <w:r>
              <w:rPr>
                <w:rFonts w:cs="Times New Roman"/>
                <w:szCs w:val="24"/>
              </w:rPr>
              <w:t>Investors (Bank)</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tcPr>
          <w:p>
            <w:pPr>
              <w:spacing w:after="0"/>
              <w:jc w:val="center"/>
              <w:rPr>
                <w:rFonts w:cs="Times New Roman"/>
                <w:b/>
                <w:bCs/>
                <w:szCs w:val="24"/>
              </w:rPr>
            </w:pPr>
            <w:r>
              <w:rPr>
                <w:rFonts w:cs="Times New Roman"/>
                <w:b/>
                <w:bCs/>
                <w:szCs w:val="24"/>
              </w:rPr>
              <w:t>Employees of the university</w:t>
            </w:r>
          </w:p>
        </w:tc>
        <w:tc>
          <w:tcPr>
            <w:tcW w:w="4675" w:type="dxa"/>
          </w:tcPr>
          <w:p>
            <w:pPr>
              <w:spacing w:after="0"/>
              <w:jc w:val="center"/>
              <w:rPr>
                <w:rFonts w:cs="Times New Roman"/>
                <w:szCs w:val="24"/>
              </w:rPr>
            </w:pPr>
            <w:r>
              <w:rPr>
                <w:rFonts w:cs="Times New Roman"/>
                <w:szCs w:val="24"/>
              </w:rPr>
              <w:t>Government</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shd w:val="clear" w:color="auto" w:fill="DEEAF6" w:themeFill="accent1" w:themeFillTint="33"/>
          </w:tcPr>
          <w:p>
            <w:pPr>
              <w:spacing w:after="0"/>
              <w:jc w:val="center"/>
              <w:rPr>
                <w:rFonts w:cs="Times New Roman"/>
                <w:b/>
                <w:bCs/>
                <w:szCs w:val="24"/>
              </w:rPr>
            </w:pPr>
            <w:r>
              <w:rPr>
                <w:rFonts w:cs="Times New Roman"/>
                <w:b/>
                <w:bCs/>
                <w:szCs w:val="24"/>
              </w:rPr>
              <w:t>Students</w:t>
            </w:r>
          </w:p>
        </w:tc>
        <w:tc>
          <w:tcPr>
            <w:tcW w:w="4675" w:type="dxa"/>
            <w:shd w:val="clear" w:color="auto" w:fill="DEEAF6" w:themeFill="accent1" w:themeFillTint="33"/>
          </w:tcPr>
          <w:p>
            <w:pPr>
              <w:spacing w:after="0"/>
              <w:jc w:val="center"/>
              <w:rPr>
                <w:rFonts w:cs="Times New Roman"/>
                <w:szCs w:val="24"/>
              </w:rPr>
            </w:pPr>
            <w:r>
              <w:rPr>
                <w:rFonts w:cs="Times New Roman"/>
                <w:szCs w:val="24"/>
              </w:rPr>
              <w:t>Local communities</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tcPr>
          <w:p>
            <w:pPr>
              <w:spacing w:after="0"/>
              <w:jc w:val="center"/>
              <w:rPr>
                <w:rFonts w:cs="Times New Roman"/>
                <w:b/>
                <w:bCs/>
                <w:szCs w:val="24"/>
              </w:rPr>
            </w:pPr>
            <w:r>
              <w:rPr>
                <w:rFonts w:cs="Times New Roman"/>
                <w:b/>
                <w:bCs/>
                <w:szCs w:val="24"/>
              </w:rPr>
              <w:t>Teachers</w:t>
            </w:r>
          </w:p>
        </w:tc>
        <w:tc>
          <w:tcPr>
            <w:tcW w:w="4675" w:type="dxa"/>
          </w:tcPr>
          <w:p>
            <w:pPr>
              <w:spacing w:after="0"/>
              <w:jc w:val="center"/>
              <w:rPr>
                <w:rFonts w:cs="Times New Roman"/>
                <w:szCs w:val="24"/>
              </w:rPr>
            </w:pPr>
            <w:r>
              <w:rPr>
                <w:rFonts w:cs="Times New Roman"/>
                <w:szCs w:val="24"/>
              </w:rPr>
              <w:t>Guardians</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shd w:val="clear" w:color="auto" w:fill="DEEAF6" w:themeFill="accent1" w:themeFillTint="33"/>
          </w:tcPr>
          <w:p>
            <w:pPr>
              <w:pStyle w:val="22"/>
              <w:spacing w:after="0"/>
              <w:ind w:left="360"/>
              <w:jc w:val="center"/>
              <w:rPr>
                <w:rFonts w:cs="Times New Roman"/>
                <w:b/>
                <w:bCs/>
                <w:szCs w:val="24"/>
              </w:rPr>
            </w:pPr>
            <w:r>
              <w:rPr>
                <w:rFonts w:cs="Times New Roman"/>
                <w:b/>
                <w:bCs/>
                <w:szCs w:val="24"/>
              </w:rPr>
              <w:t>Management</w:t>
            </w:r>
          </w:p>
        </w:tc>
        <w:tc>
          <w:tcPr>
            <w:tcW w:w="4675" w:type="dxa"/>
            <w:shd w:val="clear" w:color="auto" w:fill="DEEAF6" w:themeFill="accent1" w:themeFillTint="33"/>
          </w:tcPr>
          <w:p>
            <w:pPr>
              <w:spacing w:after="0"/>
              <w:jc w:val="center"/>
              <w:rPr>
                <w:rFonts w:cs="Times New Roman"/>
                <w:szCs w:val="24"/>
              </w:rPr>
            </w:pPr>
            <w:r>
              <w:rPr>
                <w:rFonts w:cs="Times New Roman"/>
                <w:szCs w:val="24"/>
              </w:rPr>
              <w:t>New students Sponosrs</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c>
          <w:tcPr>
            <w:tcW w:w="4675" w:type="dxa"/>
          </w:tcPr>
          <w:p>
            <w:pPr>
              <w:pStyle w:val="22"/>
              <w:spacing w:after="0"/>
              <w:ind w:left="360"/>
              <w:rPr>
                <w:rFonts w:cs="Times New Roman"/>
                <w:b/>
                <w:bCs/>
                <w:szCs w:val="24"/>
              </w:rPr>
            </w:pPr>
          </w:p>
        </w:tc>
        <w:tc>
          <w:tcPr>
            <w:tcW w:w="4675" w:type="dxa"/>
          </w:tcPr>
          <w:p>
            <w:pPr>
              <w:spacing w:after="0"/>
              <w:jc w:val="center"/>
              <w:rPr>
                <w:rFonts w:cs="Times New Roman"/>
                <w:szCs w:val="24"/>
              </w:rPr>
            </w:pPr>
            <w:r>
              <w:rPr>
                <w:rFonts w:cs="Times New Roman"/>
                <w:szCs w:val="24"/>
              </w:rPr>
              <w:t>Labours and line managers</w:t>
            </w:r>
          </w:p>
        </w:tc>
      </w:tr>
    </w:tbl>
    <w:p/>
    <w:p>
      <w:r>
        <w:t xml:space="preserve">All the stakeholders can share significant plans and information with the project manager that can help to increase the quality and facility of the work. All the stakeholders are important to the project. The project outcome has both positive and negative effects on them and the stakeholder </w:t>
      </w:r>
    </w:p>
    <w:p>
      <w:r>
        <w:t>can also affect the outcome of the project. The main stakeholder is those who have authority and decision-making power such as the management, university governing body, investors and government (</w:t>
      </w:r>
      <w:r>
        <w:rPr>
          <w:shd w:val="clear" w:color="auto" w:fill="FFFFFF"/>
        </w:rPr>
        <w:t>Kordi et al., 2021)</w:t>
      </w:r>
      <w:r>
        <w:t xml:space="preserve">. The project manager has to ensure that all the stakeholders are satisfied with the project. The stakeholder power grid is given below: </w:t>
      </w:r>
    </w:p>
    <w:p>
      <w:r>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3039110" cy="2781300"/>
            <wp:effectExtent l="0" t="0" r="889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18" cstate="print"/>
                    <a:stretch>
                      <a:fillRect/>
                    </a:stretch>
                  </pic:blipFill>
                  <pic:spPr>
                    <a:xfrm>
                      <a:off x="0" y="0"/>
                      <a:ext cx="3039110" cy="2781300"/>
                    </a:xfrm>
                    <a:prstGeom prst="rect">
                      <a:avLst/>
                    </a:prstGeom>
                  </pic:spPr>
                </pic:pic>
              </a:graphicData>
            </a:graphic>
          </wp:anchor>
        </w:drawing>
      </w:r>
    </w:p>
    <w:p>
      <w:r>
        <w:rPr>
          <w:b/>
          <w:bCs/>
        </w:rPr>
        <w:t xml:space="preserve">High power and low interest: </w:t>
      </w:r>
      <w:r>
        <w:rPr>
          <w:bCs/>
        </w:rPr>
        <w:t>The government and the local authority may have high power but do not have a high interest in the project (</w:t>
      </w:r>
      <w:r>
        <w:rPr>
          <w:shd w:val="clear" w:color="auto" w:fill="FFFFFF"/>
        </w:rPr>
        <w:t>Fageha and Aibinu, 2016)</w:t>
      </w:r>
      <w:r>
        <w:rPr>
          <w:bCs/>
        </w:rPr>
        <w:t>. So, the project manager must not include them in the decision making.</w:t>
      </w:r>
      <w:r>
        <w:rPr>
          <w:b/>
          <w:bCs/>
        </w:rPr>
        <w:t xml:space="preserve"> </w:t>
      </w:r>
    </w:p>
    <w:p>
      <w:pPr>
        <w:rPr>
          <w:b/>
          <w:bCs/>
        </w:rPr>
      </w:pPr>
      <w:r>
        <w:rPr>
          <w:b/>
          <w:bCs/>
        </w:rPr>
        <w:t xml:space="preserve">High interest and high power: </w:t>
      </w:r>
      <w:r>
        <w:rPr>
          <w:bCs/>
        </w:rPr>
        <w:t>The employees and the management of the university have high power and a high interest in this project. The project manager should consult with them while taking any decision.</w:t>
      </w:r>
      <w:r>
        <w:rPr>
          <w:b/>
          <w:bCs/>
        </w:rPr>
        <w:t xml:space="preserve"> </w:t>
      </w:r>
    </w:p>
    <w:p>
      <w:pPr>
        <w:rPr>
          <w:b/>
          <w:bCs/>
        </w:rPr>
      </w:pPr>
      <w:r>
        <w:rPr>
          <w:b/>
          <w:bCs/>
        </w:rPr>
        <w:t xml:space="preserve">Low power and Low interest: </w:t>
      </w:r>
      <w:r>
        <w:rPr>
          <w:bCs/>
        </w:rPr>
        <w:t>The employers of the</w:t>
      </w:r>
      <w:r>
        <w:rPr>
          <w:b/>
          <w:bCs/>
        </w:rPr>
        <w:t xml:space="preserve"> </w:t>
      </w:r>
      <w:r>
        <w:rPr>
          <w:bCs/>
        </w:rPr>
        <w:t>university have low power and low interest in this project.</w:t>
      </w:r>
      <w:r>
        <w:rPr>
          <w:b/>
          <w:bCs/>
        </w:rPr>
        <w:t xml:space="preserve"> </w:t>
      </w:r>
    </w:p>
    <w:p>
      <w:r>
        <w:rPr>
          <w:b/>
          <w:bCs/>
        </w:rPr>
        <w:t xml:space="preserve">Low power and High Interest: </w:t>
      </w:r>
      <w:r>
        <w:rPr>
          <w:bCs/>
        </w:rPr>
        <w:t xml:space="preserve">The students have low power in the project but have high interest in the project. So, to consider them in the project manager should make the decision. </w:t>
      </w:r>
    </w:p>
    <w:p>
      <w:pPr>
        <w:spacing w:line="259" w:lineRule="auto"/>
        <w:jc w:val="left"/>
        <w:rPr>
          <w:rFonts w:eastAsiaTheme="majorEastAsia" w:cstheme="majorBidi"/>
          <w:b/>
          <w:sz w:val="32"/>
          <w:szCs w:val="32"/>
        </w:rPr>
      </w:pPr>
    </w:p>
    <w:p>
      <w:pPr>
        <w:pStyle w:val="2"/>
      </w:pPr>
      <w:bookmarkStart w:id="16" w:name="_Toc100784397"/>
      <w:r>
        <w:t>5.0 Constraints and Risks of the project:</w:t>
      </w:r>
      <w:bookmarkEnd w:id="15"/>
      <w:bookmarkEnd w:id="16"/>
    </w:p>
    <w:p>
      <w:pPr>
        <w:pStyle w:val="3"/>
      </w:pPr>
      <w:bookmarkStart w:id="17" w:name="_Toc87657493"/>
      <w:bookmarkStart w:id="18" w:name="_Toc100784398"/>
      <w:r>
        <w:t>5.1 Constraints of the Project:</w:t>
      </w:r>
      <w:bookmarkEnd w:id="17"/>
      <w:bookmarkEnd w:id="18"/>
    </w:p>
    <w:p>
      <w:r>
        <w:drawing>
          <wp:anchor distT="0" distB="0" distL="114300" distR="114300" simplePos="0" relativeHeight="251658240" behindDoc="0" locked="0" layoutInCell="1" allowOverlap="1">
            <wp:simplePos x="0" y="0"/>
            <wp:positionH relativeFrom="margin">
              <wp:posOffset>1200150</wp:posOffset>
            </wp:positionH>
            <wp:positionV relativeFrom="paragraph">
              <wp:posOffset>1641475</wp:posOffset>
            </wp:positionV>
            <wp:extent cx="3362325" cy="3219450"/>
            <wp:effectExtent l="0" t="0" r="9525" b="0"/>
            <wp:wrapTopAndBottom/>
            <wp:docPr id="3" name="Picture 3" descr="The Triple Constraint Theory of Project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Triple Constraint Theory of Projects | Smartsheet"/>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a:xfrm>
                      <a:off x="0" y="0"/>
                      <a:ext cx="3362325" cy="3219450"/>
                    </a:xfrm>
                    <a:prstGeom prst="rect">
                      <a:avLst/>
                    </a:prstGeom>
                    <a:noFill/>
                    <a:ln>
                      <a:noFill/>
                    </a:ln>
                  </pic:spPr>
                </pic:pic>
              </a:graphicData>
            </a:graphic>
          </wp:anchor>
        </w:drawing>
      </w:r>
      <w:r>
        <w:t>The project manager has to face a lot of constraints during the implementation of the plan. This section will describe the constraints of the project. The project limitation is the factor that constrains the project implementation (</w:t>
      </w:r>
      <w:r>
        <w:rPr>
          <w:shd w:val="clear" w:color="auto" w:fill="FFFFFF"/>
        </w:rPr>
        <w:t>Chitkara, 2019)</w:t>
      </w:r>
      <w:r>
        <w:t xml:space="preserve">. We have already discussed three important aspects of any project. These are time, cost and quality. So, there are three limitations which are known as the triangle of risk and constraints. The given figure shows the main constraints of the project. </w:t>
      </w:r>
    </w:p>
    <w:p>
      <w:pPr>
        <w:jc w:val="center"/>
        <w:rPr>
          <w:b/>
        </w:rPr>
      </w:pPr>
      <w:r>
        <w:rPr>
          <w:b/>
        </w:rPr>
        <w:t>Diagram: Constraints and Risks of the project;</w:t>
      </w:r>
      <w:r>
        <w:rPr>
          <w:b/>
          <w:shd w:val="clear" w:color="auto" w:fill="FFFFFF"/>
        </w:rPr>
        <w:t xml:space="preserve"> Source: Chitkara, 2019</w:t>
      </w:r>
    </w:p>
    <w:p>
      <w:r>
        <w:t>This project has several steps among them demolition of the older one is the prime phase, the design of the new one and the conglomerate of the new one and the older one. These three are the basic division of the whole project (</w:t>
      </w:r>
      <w:r>
        <w:rPr>
          <w:shd w:val="clear" w:color="auto" w:fill="FFFFFF"/>
        </w:rPr>
        <w:t>Van Wyngaard et al., 2012)</w:t>
      </w:r>
      <w:r>
        <w:t>. The time frame will help the project manager to accomplish the project in time and allocate time for each stage. The total budget of this project is calculated at 5.5 million euros. The manager has to collaborate on the budget and objectives of the project so that both are achieved within the given time. The budget can be changed if needed but the time cannot be changed. As a new semester, the new student will start in 2023 January. So the renovation must be done within the given time (</w:t>
      </w:r>
      <w:r>
        <w:rPr>
          <w:shd w:val="clear" w:color="auto" w:fill="FFFFFF"/>
        </w:rPr>
        <w:t>Wei et al., 2012)</w:t>
      </w:r>
      <w:r>
        <w:t xml:space="preserve">. The manager has to consider the goal, stakeholder expectations and the overall budget of the project. </w:t>
      </w:r>
      <w:r>
        <w:br w:type="page"/>
      </w:r>
    </w:p>
    <w:p>
      <w:pPr>
        <w:pStyle w:val="4"/>
      </w:pPr>
      <w:bookmarkStart w:id="19" w:name="_Toc87657494"/>
      <w:bookmarkStart w:id="20" w:name="_Toc100784399"/>
      <w:r>
        <w:t>5.2 Risks associated with the task:</w:t>
      </w:r>
      <w:bookmarkEnd w:id="19"/>
      <w:bookmarkEnd w:id="20"/>
    </w:p>
    <w:p>
      <w:r>
        <w:t>The risk refers to the happening of an accident in the project. The manager has to prepare a separate team for assessing and managing the risk of the project. Proper safety and precaution should be taken by the project manager. All the labour and the line manager must be trained with basic risk management techniques and tools (Cuellar, 2010). Proper awareness will reduce the chances of an accident in the project. An accident means increasing the project budget and costs and delays maybe happened to accomplish the project. The risk assessment of this project is given below:</w:t>
      </w:r>
    </w:p>
    <w:tbl>
      <w:tblPr>
        <w:tblStyle w:val="27"/>
        <w:tblpPr w:leftFromText="180" w:rightFromText="180" w:vertAnchor="text" w:horzAnchor="margin" w:tblpY="61"/>
        <w:tblW w:w="0" w:type="auto"/>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
      <w:tblGrid>
        <w:gridCol w:w="2303"/>
        <w:gridCol w:w="1403"/>
        <w:gridCol w:w="1354"/>
        <w:gridCol w:w="1193"/>
        <w:gridCol w:w="3097"/>
      </w:tblGrid>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widowControl w:val="0"/>
              <w:autoSpaceDE w:val="0"/>
              <w:autoSpaceDN w:val="0"/>
              <w:spacing w:before="50" w:after="0" w:line="271" w:lineRule="auto"/>
              <w:ind w:left="112" w:right="480"/>
              <w:jc w:val="center"/>
              <w:rPr>
                <w:rFonts w:eastAsia="Times New Roman" w:cs="Times New Roman"/>
                <w:b/>
                <w:bCs/>
                <w:color w:val="FFFFFF" w:themeColor="background1"/>
                <w:sz w:val="20"/>
                <w:szCs w:val="20"/>
                <w14:textFill>
                  <w14:solidFill>
                    <w14:schemeClr w14:val="bg1"/>
                  </w14:solidFill>
                </w14:textFill>
              </w:rPr>
            </w:pPr>
            <w:bookmarkStart w:id="21" w:name="_Hlk87636680"/>
            <w:r>
              <w:rPr>
                <w:rFonts w:eastAsia="Times New Roman" w:cs="Times New Roman"/>
                <w:b/>
                <w:bCs/>
                <w:color w:val="FFFFFF" w:themeColor="background1"/>
                <w:sz w:val="20"/>
                <w:szCs w:val="20"/>
                <w14:textFill>
                  <w14:solidFill>
                    <w14:schemeClr w14:val="bg1"/>
                  </w14:solidFill>
                </w14:textFill>
              </w:rPr>
              <w:t>Overview of the risk</w:t>
            </w:r>
          </w:p>
        </w:tc>
        <w:tc>
          <w:tcPr>
            <w:tcW w:w="1403" w:type="dxa"/>
            <w:tcBorders>
              <w:top w:val="single" w:color="5B9BD5" w:themeColor="accent1" w:sz="4" w:space="0"/>
              <w:bottom w:val="single" w:color="5B9BD5" w:themeColor="accent1" w:sz="4" w:space="0"/>
              <w:right w:val="nil"/>
              <w:insideH w:val="single" w:sz="4" w:space="0"/>
              <w:insideV w:val="nil"/>
            </w:tcBorders>
            <w:shd w:val="clear" w:color="auto" w:fill="5B9BD5" w:themeFill="accent1"/>
          </w:tcPr>
          <w:p>
            <w:pPr>
              <w:widowControl w:val="0"/>
              <w:autoSpaceDE w:val="0"/>
              <w:autoSpaceDN w:val="0"/>
              <w:spacing w:before="50" w:after="0" w:line="271" w:lineRule="auto"/>
              <w:ind w:left="115" w:right="81"/>
              <w:jc w:val="center"/>
              <w:rPr>
                <w:rFonts w:eastAsia="Times New Roman" w:cs="Times New Roman"/>
                <w:b/>
                <w:bCs/>
                <w:color w:val="FFFFFF" w:themeColor="background1"/>
                <w:sz w:val="20"/>
                <w:szCs w:val="20"/>
                <w14:textFill>
                  <w14:solidFill>
                    <w14:schemeClr w14:val="bg1"/>
                  </w14:solidFill>
                </w14:textFill>
              </w:rPr>
            </w:pPr>
            <w:r>
              <w:rPr>
                <w:rFonts w:eastAsia="Times New Roman" w:cs="Times New Roman"/>
                <w:b/>
                <w:bCs/>
                <w:color w:val="FFFFFF" w:themeColor="background1"/>
                <w:sz w:val="20"/>
                <w:szCs w:val="20"/>
                <w14:textFill>
                  <w14:solidFill>
                    <w14:schemeClr w14:val="bg1"/>
                  </w14:solidFill>
                </w14:textFill>
              </w:rPr>
              <w:t>Probability of Occurrence</w:t>
            </w:r>
          </w:p>
        </w:tc>
        <w:tc>
          <w:tcPr>
            <w:tcW w:w="1354" w:type="dxa"/>
            <w:tcBorders>
              <w:top w:val="single" w:color="5B9BD5" w:themeColor="accent1" w:sz="4" w:space="0"/>
              <w:bottom w:val="single" w:color="5B9BD5" w:themeColor="accent1" w:sz="4" w:space="0"/>
              <w:right w:val="nil"/>
              <w:insideH w:val="single" w:sz="4" w:space="0"/>
              <w:insideV w:val="nil"/>
            </w:tcBorders>
            <w:shd w:val="clear" w:color="auto" w:fill="5B9BD5" w:themeFill="accent1"/>
          </w:tcPr>
          <w:p>
            <w:pPr>
              <w:widowControl w:val="0"/>
              <w:tabs>
                <w:tab w:val="left" w:pos="1088"/>
              </w:tabs>
              <w:autoSpaceDE w:val="0"/>
              <w:autoSpaceDN w:val="0"/>
              <w:spacing w:before="50" w:after="0" w:line="271" w:lineRule="auto"/>
              <w:ind w:left="114" w:right="95"/>
              <w:jc w:val="center"/>
              <w:rPr>
                <w:rFonts w:eastAsia="Times New Roman" w:cs="Times New Roman"/>
                <w:b/>
                <w:bCs/>
                <w:color w:val="FFFFFF" w:themeColor="background1"/>
                <w:sz w:val="20"/>
                <w:szCs w:val="20"/>
                <w14:textFill>
                  <w14:solidFill>
                    <w14:schemeClr w14:val="bg1"/>
                  </w14:solidFill>
                </w14:textFill>
              </w:rPr>
            </w:pPr>
            <w:r>
              <w:rPr>
                <w:rFonts w:eastAsia="Times New Roman" w:cs="Times New Roman"/>
                <w:b/>
                <w:bCs/>
                <w:color w:val="FFFFFF" w:themeColor="background1"/>
                <w:sz w:val="20"/>
                <w:szCs w:val="20"/>
                <w14:textFill>
                  <w14:solidFill>
                    <w14:schemeClr w14:val="bg1"/>
                  </w14:solidFill>
                </w14:textFill>
              </w:rPr>
              <w:t xml:space="preserve">Impact of the occurrence </w:t>
            </w:r>
          </w:p>
        </w:tc>
        <w:tc>
          <w:tcPr>
            <w:tcW w:w="1193" w:type="dxa"/>
            <w:tcBorders>
              <w:top w:val="single" w:color="5B9BD5" w:themeColor="accent1" w:sz="4" w:space="0"/>
              <w:bottom w:val="single" w:color="5B9BD5" w:themeColor="accent1" w:sz="4" w:space="0"/>
              <w:right w:val="nil"/>
              <w:insideH w:val="single" w:sz="4" w:space="0"/>
              <w:insideV w:val="nil"/>
            </w:tcBorders>
            <w:shd w:val="clear" w:color="auto" w:fill="5B9BD5" w:themeFill="accent1"/>
          </w:tcPr>
          <w:p>
            <w:pPr>
              <w:widowControl w:val="0"/>
              <w:autoSpaceDE w:val="0"/>
              <w:autoSpaceDN w:val="0"/>
              <w:spacing w:before="50" w:after="0" w:line="271" w:lineRule="auto"/>
              <w:ind w:left="114" w:right="153"/>
              <w:jc w:val="center"/>
              <w:rPr>
                <w:rFonts w:eastAsia="Times New Roman" w:cs="Times New Roman"/>
                <w:b/>
                <w:bCs/>
                <w:color w:val="FFFFFF" w:themeColor="background1"/>
                <w:sz w:val="20"/>
                <w:szCs w:val="20"/>
                <w14:textFill>
                  <w14:solidFill>
                    <w14:schemeClr w14:val="bg1"/>
                  </w14:solidFill>
                </w14:textFill>
              </w:rPr>
            </w:pPr>
            <w:r>
              <w:rPr>
                <w:rFonts w:eastAsia="Times New Roman" w:cs="Times New Roman"/>
                <w:b/>
                <w:bCs/>
                <w:color w:val="FFFFFF" w:themeColor="background1"/>
                <w:sz w:val="20"/>
                <w:szCs w:val="20"/>
                <w14:textFill>
                  <w14:solidFill>
                    <w14:schemeClr w14:val="bg1"/>
                  </w14:solidFill>
                </w14:textFill>
              </w:rPr>
              <w:t>Response</w:t>
            </w:r>
            <w:r>
              <w:rPr>
                <w:rFonts w:eastAsia="Times New Roman" w:cs="Times New Roman"/>
                <w:b/>
                <w:bCs/>
                <w:color w:val="FFFFFF" w:themeColor="background1"/>
                <w:spacing w:val="-58"/>
                <w:sz w:val="20"/>
                <w:szCs w:val="20"/>
                <w14:textFill>
                  <w14:solidFill>
                    <w14:schemeClr w14:val="bg1"/>
                  </w14:solidFill>
                </w14:textFill>
              </w:rPr>
              <w:t xml:space="preserve"> </w:t>
            </w:r>
            <w:r>
              <w:rPr>
                <w:rFonts w:eastAsia="Times New Roman" w:cs="Times New Roman"/>
                <w:b/>
                <w:bCs/>
                <w:color w:val="FFFFFF" w:themeColor="background1"/>
                <w:sz w:val="20"/>
                <w:szCs w:val="20"/>
                <w14:textFill>
                  <w14:solidFill>
                    <w14:schemeClr w14:val="bg1"/>
                  </w14:solidFill>
                </w14:textFill>
              </w:rPr>
              <w:t>Strategy</w:t>
            </w:r>
          </w:p>
        </w:tc>
        <w:tc>
          <w:tcPr>
            <w:tcW w:w="3097"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widowControl w:val="0"/>
              <w:autoSpaceDE w:val="0"/>
              <w:autoSpaceDN w:val="0"/>
              <w:spacing w:before="50" w:after="0" w:line="240" w:lineRule="auto"/>
              <w:ind w:left="115"/>
              <w:jc w:val="center"/>
              <w:rPr>
                <w:rFonts w:eastAsia="Times New Roman" w:cs="Times New Roman"/>
                <w:b/>
                <w:bCs/>
                <w:color w:val="FFFFFF" w:themeColor="background1"/>
                <w:sz w:val="20"/>
                <w:szCs w:val="20"/>
                <w14:textFill>
                  <w14:solidFill>
                    <w14:schemeClr w14:val="bg1"/>
                  </w14:solidFill>
                </w14:textFill>
              </w:rPr>
            </w:pPr>
            <w:r>
              <w:rPr>
                <w:rFonts w:eastAsia="Times New Roman" w:cs="Times New Roman"/>
                <w:b/>
                <w:bCs/>
                <w:color w:val="FFFFFF" w:themeColor="background1"/>
                <w:sz w:val="20"/>
                <w:szCs w:val="20"/>
                <w14:textFill>
                  <w14:solidFill>
                    <w14:schemeClr w14:val="bg1"/>
                  </w14:solidFill>
                </w14:textFill>
              </w:rPr>
              <w:t>Proposed</w:t>
            </w:r>
            <w:r>
              <w:rPr>
                <w:rFonts w:eastAsia="Times New Roman" w:cs="Times New Roman"/>
                <w:b/>
                <w:bCs/>
                <w:color w:val="FFFFFF" w:themeColor="background1"/>
                <w:spacing w:val="-5"/>
                <w:sz w:val="20"/>
                <w:szCs w:val="20"/>
                <w14:textFill>
                  <w14:solidFill>
                    <w14:schemeClr w14:val="bg1"/>
                  </w14:solidFill>
                </w14:textFill>
              </w:rPr>
              <w:t xml:space="preserve"> </w:t>
            </w:r>
            <w:r>
              <w:rPr>
                <w:rFonts w:eastAsia="Times New Roman" w:cs="Times New Roman"/>
                <w:b/>
                <w:bCs/>
                <w:color w:val="FFFFFF" w:themeColor="background1"/>
                <w:sz w:val="20"/>
                <w:szCs w:val="20"/>
                <w14:textFill>
                  <w14:solidFill>
                    <w14:schemeClr w14:val="bg1"/>
                  </w14:solidFill>
                </w14:textFill>
              </w:rPr>
              <w:t>Response</w:t>
            </w:r>
            <w:r>
              <w:rPr>
                <w:rFonts w:eastAsia="Times New Roman" w:cs="Times New Roman"/>
                <w:b/>
                <w:bCs/>
                <w:color w:val="FFFFFF" w:themeColor="background1"/>
                <w:spacing w:val="-3"/>
                <w:sz w:val="20"/>
                <w:szCs w:val="20"/>
                <w14:textFill>
                  <w14:solidFill>
                    <w14:schemeClr w14:val="bg1"/>
                  </w14:solidFill>
                </w14:textFill>
              </w:rPr>
              <w:t xml:space="preserve"> </w:t>
            </w:r>
            <w:r>
              <w:rPr>
                <w:rFonts w:eastAsia="Times New Roman" w:cs="Times New Roman"/>
                <w:b/>
                <w:bCs/>
                <w:color w:val="FFFFFF" w:themeColor="background1"/>
                <w:sz w:val="20"/>
                <w:szCs w:val="20"/>
                <w14:textFill>
                  <w14:solidFill>
                    <w14:schemeClr w14:val="bg1"/>
                  </w14:solidFill>
                </w14:textFill>
              </w:rPr>
              <w:t>Plan</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shd w:val="clear" w:color="auto" w:fill="DEEAF6" w:themeFill="accent1" w:themeFillTint="33"/>
          </w:tcPr>
          <w:p>
            <w:pPr>
              <w:widowControl w:val="0"/>
              <w:autoSpaceDE w:val="0"/>
              <w:autoSpaceDN w:val="0"/>
              <w:spacing w:before="50" w:after="0" w:line="271" w:lineRule="auto"/>
              <w:ind w:left="112" w:right="94"/>
              <w:jc w:val="center"/>
              <w:rPr>
                <w:rFonts w:eastAsia="Times New Roman" w:cs="Times New Roman"/>
                <w:b/>
                <w:bCs/>
                <w:szCs w:val="24"/>
              </w:rPr>
            </w:pPr>
            <w:r>
              <w:rPr>
                <w:rFonts w:eastAsia="Times New Roman" w:cs="Times New Roman"/>
                <w:b/>
                <w:bCs/>
                <w:szCs w:val="24"/>
              </w:rPr>
              <w:t>Vague purpose and objective of the project.</w:t>
            </w:r>
          </w:p>
        </w:tc>
        <w:tc>
          <w:tcPr>
            <w:tcW w:w="1403" w:type="dxa"/>
            <w:shd w:val="clear" w:color="auto" w:fill="DEEAF6" w:themeFill="accent1" w:themeFillTint="33"/>
          </w:tcPr>
          <w:p>
            <w:pPr>
              <w:widowControl w:val="0"/>
              <w:autoSpaceDE w:val="0"/>
              <w:autoSpaceDN w:val="0"/>
              <w:spacing w:before="50" w:after="0" w:line="240" w:lineRule="auto"/>
              <w:ind w:left="115"/>
              <w:jc w:val="center"/>
              <w:rPr>
                <w:rFonts w:eastAsia="Times New Roman" w:cs="Times New Roman"/>
                <w:szCs w:val="24"/>
              </w:rPr>
            </w:pPr>
            <w:r>
              <w:rPr>
                <w:rFonts w:eastAsia="Times New Roman" w:cs="Times New Roman"/>
                <w:szCs w:val="24"/>
              </w:rPr>
              <w:t>Low</w:t>
            </w:r>
          </w:p>
        </w:tc>
        <w:tc>
          <w:tcPr>
            <w:tcW w:w="1354" w:type="dxa"/>
            <w:shd w:val="clear" w:color="auto" w:fill="DEEAF6" w:themeFill="accent1" w:themeFillTint="33"/>
          </w:tcPr>
          <w:p>
            <w:pPr>
              <w:widowControl w:val="0"/>
              <w:autoSpaceDE w:val="0"/>
              <w:autoSpaceDN w:val="0"/>
              <w:spacing w:before="50" w:after="0" w:line="240" w:lineRule="auto"/>
              <w:ind w:left="114"/>
              <w:jc w:val="left"/>
              <w:rPr>
                <w:rFonts w:eastAsia="Times New Roman" w:cs="Times New Roman"/>
                <w:szCs w:val="24"/>
              </w:rPr>
            </w:pPr>
            <w:r>
              <w:rPr>
                <w:rFonts w:eastAsia="Times New Roman" w:cs="Times New Roman"/>
                <w:szCs w:val="24"/>
              </w:rPr>
              <w:t>High</w:t>
            </w:r>
          </w:p>
        </w:tc>
        <w:tc>
          <w:tcPr>
            <w:tcW w:w="1193" w:type="dxa"/>
            <w:shd w:val="clear" w:color="auto" w:fill="DEEAF6" w:themeFill="accent1" w:themeFillTint="33"/>
          </w:tcPr>
          <w:p>
            <w:pPr>
              <w:widowControl w:val="0"/>
              <w:autoSpaceDE w:val="0"/>
              <w:autoSpaceDN w:val="0"/>
              <w:spacing w:before="50" w:after="0" w:line="240" w:lineRule="auto"/>
              <w:ind w:left="114"/>
              <w:jc w:val="left"/>
              <w:rPr>
                <w:rFonts w:eastAsia="Times New Roman" w:cs="Times New Roman"/>
                <w:szCs w:val="24"/>
              </w:rPr>
            </w:pPr>
            <w:r>
              <w:rPr>
                <w:rFonts w:eastAsia="Times New Roman" w:cs="Times New Roman"/>
                <w:szCs w:val="24"/>
              </w:rPr>
              <w:t>Avoid</w:t>
            </w:r>
          </w:p>
        </w:tc>
        <w:tc>
          <w:tcPr>
            <w:tcW w:w="3097" w:type="dxa"/>
            <w:shd w:val="clear" w:color="auto" w:fill="DEEAF6" w:themeFill="accent1" w:themeFillTint="33"/>
          </w:tcPr>
          <w:p>
            <w:pPr>
              <w:widowControl w:val="0"/>
              <w:autoSpaceDE w:val="0"/>
              <w:autoSpaceDN w:val="0"/>
              <w:spacing w:before="50" w:after="0"/>
              <w:ind w:left="115" w:right="96"/>
              <w:rPr>
                <w:rFonts w:eastAsia="Times New Roman" w:cs="Times New Roman"/>
                <w:b/>
                <w:bCs/>
                <w:szCs w:val="24"/>
              </w:rPr>
            </w:pPr>
            <w:r>
              <w:rPr>
                <w:rFonts w:eastAsia="Times New Roman" w:cs="Times New Roman"/>
                <w:b/>
                <w:bCs/>
                <w:szCs w:val="24"/>
              </w:rPr>
              <w:t>The project manager must revise the objective and purpose properly and prepare the breakdown of the strategic plan.</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tcPr>
          <w:p>
            <w:pPr>
              <w:widowControl w:val="0"/>
              <w:autoSpaceDE w:val="0"/>
              <w:autoSpaceDN w:val="0"/>
              <w:spacing w:before="50" w:after="0" w:line="240" w:lineRule="auto"/>
              <w:ind w:left="112"/>
              <w:jc w:val="center"/>
              <w:rPr>
                <w:rFonts w:eastAsia="Times New Roman" w:cs="Times New Roman"/>
                <w:b/>
                <w:bCs/>
                <w:szCs w:val="24"/>
              </w:rPr>
            </w:pPr>
            <w:r>
              <w:rPr>
                <w:rFonts w:eastAsia="Times New Roman" w:cs="Times New Roman"/>
                <w:b/>
                <w:bCs/>
                <w:szCs w:val="24"/>
              </w:rPr>
              <w:t>Exceed the budget of the project</w:t>
            </w:r>
          </w:p>
        </w:tc>
        <w:tc>
          <w:tcPr>
            <w:tcW w:w="1403" w:type="dxa"/>
            <w:shd w:val="clear" w:color="auto" w:fill="DEEAF6" w:themeFill="accent1" w:themeFillTint="33"/>
          </w:tcPr>
          <w:p>
            <w:pPr>
              <w:widowControl w:val="0"/>
              <w:autoSpaceDE w:val="0"/>
              <w:autoSpaceDN w:val="0"/>
              <w:spacing w:before="50" w:after="0" w:line="240" w:lineRule="auto"/>
              <w:ind w:left="115"/>
              <w:jc w:val="left"/>
              <w:rPr>
                <w:rFonts w:eastAsia="Times New Roman" w:cs="Times New Roman"/>
                <w:szCs w:val="24"/>
              </w:rPr>
            </w:pPr>
            <w:r>
              <w:rPr>
                <w:rFonts w:eastAsia="Times New Roman" w:cs="Times New Roman"/>
                <w:szCs w:val="24"/>
              </w:rPr>
              <w:t>Medium</w:t>
            </w:r>
          </w:p>
        </w:tc>
        <w:tc>
          <w:tcPr>
            <w:tcW w:w="1354" w:type="dxa"/>
          </w:tcPr>
          <w:p>
            <w:pPr>
              <w:widowControl w:val="0"/>
              <w:autoSpaceDE w:val="0"/>
              <w:autoSpaceDN w:val="0"/>
              <w:spacing w:before="50" w:after="0" w:line="240" w:lineRule="auto"/>
              <w:ind w:left="114"/>
              <w:jc w:val="left"/>
              <w:rPr>
                <w:rFonts w:eastAsia="Times New Roman" w:cs="Times New Roman"/>
                <w:szCs w:val="24"/>
              </w:rPr>
            </w:pPr>
            <w:r>
              <w:rPr>
                <w:rFonts w:eastAsia="Times New Roman" w:cs="Times New Roman"/>
                <w:szCs w:val="24"/>
              </w:rPr>
              <w:t>High</w:t>
            </w:r>
          </w:p>
        </w:tc>
        <w:tc>
          <w:tcPr>
            <w:tcW w:w="1193" w:type="dxa"/>
            <w:shd w:val="clear" w:color="auto" w:fill="DEEAF6" w:themeFill="accent1" w:themeFillTint="33"/>
          </w:tcPr>
          <w:p>
            <w:pPr>
              <w:widowControl w:val="0"/>
              <w:autoSpaceDE w:val="0"/>
              <w:autoSpaceDN w:val="0"/>
              <w:spacing w:before="50" w:after="0" w:line="240" w:lineRule="auto"/>
              <w:ind w:left="114"/>
              <w:jc w:val="left"/>
              <w:rPr>
                <w:rFonts w:eastAsia="Times New Roman" w:cs="Times New Roman"/>
                <w:szCs w:val="24"/>
              </w:rPr>
            </w:pPr>
            <w:r>
              <w:rPr>
                <w:rFonts w:eastAsia="Times New Roman" w:cs="Times New Roman"/>
                <w:szCs w:val="24"/>
              </w:rPr>
              <w:t>Avoid</w:t>
            </w:r>
          </w:p>
        </w:tc>
        <w:tc>
          <w:tcPr>
            <w:tcW w:w="3097" w:type="dxa"/>
          </w:tcPr>
          <w:p>
            <w:pPr>
              <w:widowControl w:val="0"/>
              <w:autoSpaceDE w:val="0"/>
              <w:autoSpaceDN w:val="0"/>
              <w:spacing w:after="0"/>
              <w:ind w:left="115"/>
              <w:rPr>
                <w:rFonts w:eastAsia="Times New Roman" w:cs="Times New Roman"/>
                <w:b/>
                <w:bCs/>
                <w:szCs w:val="24"/>
              </w:rPr>
            </w:pPr>
            <w:r>
              <w:rPr>
                <w:rFonts w:eastAsia="Times New Roman" w:cs="Times New Roman"/>
                <w:b/>
                <w:bCs/>
                <w:szCs w:val="24"/>
              </w:rPr>
              <w:t xml:space="preserve">The budget must be made properly with all suppliers and providers and an additional budget may be added within the actual budget. </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shd w:val="clear" w:color="auto" w:fill="DEEAF6" w:themeFill="accent1" w:themeFillTint="33"/>
          </w:tcPr>
          <w:p>
            <w:pPr>
              <w:widowControl w:val="0"/>
              <w:autoSpaceDE w:val="0"/>
              <w:autoSpaceDN w:val="0"/>
              <w:spacing w:before="46" w:after="0" w:line="271" w:lineRule="auto"/>
              <w:ind w:left="112"/>
              <w:jc w:val="center"/>
              <w:rPr>
                <w:rFonts w:eastAsia="Times New Roman" w:cs="Times New Roman"/>
                <w:b/>
                <w:bCs/>
                <w:szCs w:val="24"/>
              </w:rPr>
            </w:pPr>
            <w:r>
              <w:rPr>
                <w:rFonts w:eastAsia="Times New Roman" w:cs="Times New Roman"/>
                <w:b/>
                <w:bCs/>
                <w:szCs w:val="24"/>
              </w:rPr>
              <w:t>Exceed the time of the project</w:t>
            </w:r>
          </w:p>
        </w:tc>
        <w:tc>
          <w:tcPr>
            <w:tcW w:w="1403" w:type="dxa"/>
            <w:shd w:val="clear" w:color="auto" w:fill="DEEAF6" w:themeFill="accent1" w:themeFillTint="33"/>
          </w:tcPr>
          <w:p>
            <w:pPr>
              <w:widowControl w:val="0"/>
              <w:autoSpaceDE w:val="0"/>
              <w:autoSpaceDN w:val="0"/>
              <w:spacing w:before="46" w:after="0" w:line="240" w:lineRule="auto"/>
              <w:ind w:left="115"/>
              <w:jc w:val="left"/>
              <w:rPr>
                <w:rFonts w:eastAsia="Times New Roman" w:cs="Times New Roman"/>
                <w:szCs w:val="24"/>
              </w:rPr>
            </w:pPr>
            <w:r>
              <w:rPr>
                <w:rFonts w:eastAsia="Times New Roman" w:cs="Times New Roman"/>
                <w:szCs w:val="24"/>
              </w:rPr>
              <w:t>Medium</w:t>
            </w:r>
          </w:p>
        </w:tc>
        <w:tc>
          <w:tcPr>
            <w:tcW w:w="1354"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Medium</w:t>
            </w:r>
          </w:p>
        </w:tc>
        <w:tc>
          <w:tcPr>
            <w:tcW w:w="1193"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 xml:space="preserve">Mitigate </w:t>
            </w:r>
          </w:p>
        </w:tc>
        <w:tc>
          <w:tcPr>
            <w:tcW w:w="3097" w:type="dxa"/>
            <w:shd w:val="clear" w:color="auto" w:fill="DEEAF6" w:themeFill="accent1" w:themeFillTint="33"/>
          </w:tcPr>
          <w:p>
            <w:pPr>
              <w:widowControl w:val="0"/>
              <w:autoSpaceDE w:val="0"/>
              <w:autoSpaceDN w:val="0"/>
              <w:spacing w:before="46" w:after="0"/>
              <w:ind w:left="115" w:right="96"/>
              <w:rPr>
                <w:rFonts w:eastAsia="Times New Roman" w:cs="Times New Roman"/>
                <w:b/>
                <w:bCs/>
                <w:szCs w:val="24"/>
              </w:rPr>
            </w:pPr>
            <w:r>
              <w:rPr>
                <w:rFonts w:eastAsia="Times New Roman" w:cs="Times New Roman"/>
                <w:b/>
                <w:bCs/>
                <w:szCs w:val="24"/>
              </w:rPr>
              <w:t>The time should be revised before starting the project and dividing the whole work accordingly. Two or three shifts may be introduced.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tcPr>
          <w:p>
            <w:pPr>
              <w:widowControl w:val="0"/>
              <w:autoSpaceDE w:val="0"/>
              <w:autoSpaceDN w:val="0"/>
              <w:spacing w:before="46" w:after="0" w:line="271" w:lineRule="auto"/>
              <w:ind w:right="122"/>
              <w:jc w:val="center"/>
              <w:rPr>
                <w:rFonts w:eastAsia="Times New Roman" w:cs="Times New Roman"/>
                <w:b/>
                <w:bCs/>
                <w:szCs w:val="24"/>
              </w:rPr>
            </w:pPr>
            <w:r>
              <w:rPr>
                <w:rFonts w:eastAsia="Times New Roman" w:cs="Times New Roman"/>
                <w:b/>
                <w:bCs/>
                <w:szCs w:val="24"/>
              </w:rPr>
              <w:t>Failed to meet the promised quality of the work</w:t>
            </w:r>
          </w:p>
        </w:tc>
        <w:tc>
          <w:tcPr>
            <w:tcW w:w="1403" w:type="dxa"/>
            <w:shd w:val="clear" w:color="auto" w:fill="DEEAF6" w:themeFill="accent1" w:themeFillTint="33"/>
          </w:tcPr>
          <w:p>
            <w:pPr>
              <w:widowControl w:val="0"/>
              <w:autoSpaceDE w:val="0"/>
              <w:autoSpaceDN w:val="0"/>
              <w:spacing w:before="46" w:after="0" w:line="240" w:lineRule="auto"/>
              <w:ind w:left="115"/>
              <w:jc w:val="left"/>
              <w:rPr>
                <w:rFonts w:eastAsia="Times New Roman" w:cs="Times New Roman"/>
                <w:szCs w:val="24"/>
              </w:rPr>
            </w:pPr>
            <w:r>
              <w:rPr>
                <w:rFonts w:eastAsia="Times New Roman" w:cs="Times New Roman"/>
                <w:szCs w:val="24"/>
              </w:rPr>
              <w:t>Low</w:t>
            </w:r>
          </w:p>
        </w:tc>
        <w:tc>
          <w:tcPr>
            <w:tcW w:w="1354" w:type="dxa"/>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Medium</w:t>
            </w:r>
          </w:p>
        </w:tc>
        <w:tc>
          <w:tcPr>
            <w:tcW w:w="1193"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 xml:space="preserve">Mitigate </w:t>
            </w:r>
          </w:p>
        </w:tc>
        <w:tc>
          <w:tcPr>
            <w:tcW w:w="3097" w:type="dxa"/>
          </w:tcPr>
          <w:p>
            <w:pPr>
              <w:widowControl w:val="0"/>
              <w:autoSpaceDE w:val="0"/>
              <w:autoSpaceDN w:val="0"/>
              <w:spacing w:before="46" w:after="0"/>
              <w:ind w:left="115" w:right="95"/>
              <w:rPr>
                <w:rFonts w:eastAsia="Times New Roman" w:cs="Times New Roman"/>
                <w:b/>
                <w:bCs/>
                <w:szCs w:val="24"/>
              </w:rPr>
            </w:pPr>
            <w:r>
              <w:rPr>
                <w:rFonts w:eastAsia="Times New Roman" w:cs="Times New Roman"/>
                <w:b/>
                <w:bCs/>
                <w:szCs w:val="24"/>
              </w:rPr>
              <w:t xml:space="preserve">For proper benchmark and quality control, the team must be measured routinely and reported to the project manager </w:t>
            </w:r>
            <w:r>
              <w:rPr>
                <w:b/>
                <w:bCs/>
                <w:szCs w:val="24"/>
                <w:shd w:val="clear" w:color="auto" w:fill="FFFFFF"/>
              </w:rPr>
              <w:t>(Chapman &amp; Ward, 2018. )</w:t>
            </w:r>
            <w:r>
              <w:rPr>
                <w:rFonts w:eastAsia="Times New Roman" w:cs="Times New Roman"/>
                <w:b/>
                <w:bCs/>
                <w:szCs w:val="24"/>
              </w:rPr>
              <w:t>.</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shd w:val="clear" w:color="auto" w:fill="DEEAF6" w:themeFill="accent1" w:themeFillTint="33"/>
          </w:tcPr>
          <w:p>
            <w:pPr>
              <w:widowControl w:val="0"/>
              <w:tabs>
                <w:tab w:val="left" w:pos="1492"/>
              </w:tabs>
              <w:autoSpaceDE w:val="0"/>
              <w:autoSpaceDN w:val="0"/>
              <w:spacing w:before="46" w:after="0" w:line="271" w:lineRule="auto"/>
              <w:ind w:left="112" w:right="93"/>
              <w:jc w:val="center"/>
              <w:rPr>
                <w:rFonts w:eastAsia="Times New Roman" w:cs="Times New Roman"/>
                <w:b/>
                <w:bCs/>
                <w:szCs w:val="24"/>
              </w:rPr>
            </w:pPr>
            <w:r>
              <w:rPr>
                <w:rFonts w:eastAsia="Times New Roman" w:cs="Times New Roman"/>
                <w:b/>
                <w:bCs/>
                <w:szCs w:val="24"/>
              </w:rPr>
              <w:t>Communication lacking</w:t>
            </w:r>
          </w:p>
        </w:tc>
        <w:tc>
          <w:tcPr>
            <w:tcW w:w="1403" w:type="dxa"/>
            <w:shd w:val="clear" w:color="auto" w:fill="DEEAF6" w:themeFill="accent1" w:themeFillTint="33"/>
          </w:tcPr>
          <w:p>
            <w:pPr>
              <w:widowControl w:val="0"/>
              <w:autoSpaceDE w:val="0"/>
              <w:autoSpaceDN w:val="0"/>
              <w:spacing w:before="46" w:after="0" w:line="240" w:lineRule="auto"/>
              <w:ind w:left="115"/>
              <w:jc w:val="left"/>
              <w:rPr>
                <w:rFonts w:eastAsia="Times New Roman" w:cs="Times New Roman"/>
                <w:szCs w:val="24"/>
              </w:rPr>
            </w:pPr>
            <w:r>
              <w:rPr>
                <w:rFonts w:eastAsia="Times New Roman" w:cs="Times New Roman"/>
                <w:szCs w:val="24"/>
              </w:rPr>
              <w:t>Low</w:t>
            </w:r>
          </w:p>
        </w:tc>
        <w:tc>
          <w:tcPr>
            <w:tcW w:w="1354"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High</w:t>
            </w:r>
          </w:p>
        </w:tc>
        <w:tc>
          <w:tcPr>
            <w:tcW w:w="1193"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Avoid</w:t>
            </w:r>
          </w:p>
        </w:tc>
        <w:tc>
          <w:tcPr>
            <w:tcW w:w="3097" w:type="dxa"/>
            <w:shd w:val="clear" w:color="auto" w:fill="DEEAF6" w:themeFill="accent1" w:themeFillTint="33"/>
          </w:tcPr>
          <w:p>
            <w:pPr>
              <w:widowControl w:val="0"/>
              <w:autoSpaceDE w:val="0"/>
              <w:autoSpaceDN w:val="0"/>
              <w:spacing w:before="46" w:after="0"/>
              <w:ind w:left="115" w:right="95"/>
              <w:rPr>
                <w:rFonts w:eastAsia="Times New Roman" w:cs="Times New Roman"/>
                <w:b/>
                <w:bCs/>
                <w:szCs w:val="24"/>
              </w:rPr>
            </w:pPr>
            <w:r>
              <w:rPr>
                <w:rFonts w:eastAsia="Times New Roman" w:cs="Times New Roman"/>
                <w:b/>
                <w:bCs/>
                <w:szCs w:val="24"/>
              </w:rPr>
              <w:t xml:space="preserve">Coordination and harmony must be maintained in all departments. </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tcPr>
          <w:p>
            <w:pPr>
              <w:widowControl w:val="0"/>
              <w:autoSpaceDE w:val="0"/>
              <w:autoSpaceDN w:val="0"/>
              <w:spacing w:before="46" w:after="0" w:line="271" w:lineRule="auto"/>
              <w:ind w:right="639"/>
              <w:jc w:val="center"/>
              <w:rPr>
                <w:rFonts w:eastAsia="Times New Roman" w:cs="Times New Roman"/>
                <w:b/>
                <w:bCs/>
                <w:szCs w:val="24"/>
              </w:rPr>
            </w:pPr>
            <w:r>
              <w:rPr>
                <w:rFonts w:eastAsia="Times New Roman" w:cs="Times New Roman"/>
                <w:b/>
                <w:bCs/>
                <w:szCs w:val="24"/>
              </w:rPr>
              <w:t>Material shortage Proicuremnet delay</w:t>
            </w:r>
          </w:p>
        </w:tc>
        <w:tc>
          <w:tcPr>
            <w:tcW w:w="1403" w:type="dxa"/>
            <w:shd w:val="clear" w:color="auto" w:fill="DEEAF6" w:themeFill="accent1" w:themeFillTint="33"/>
          </w:tcPr>
          <w:p>
            <w:pPr>
              <w:widowControl w:val="0"/>
              <w:autoSpaceDE w:val="0"/>
              <w:autoSpaceDN w:val="0"/>
              <w:spacing w:before="46" w:after="0" w:line="240" w:lineRule="auto"/>
              <w:ind w:left="115"/>
              <w:jc w:val="left"/>
              <w:rPr>
                <w:rFonts w:eastAsia="Times New Roman" w:cs="Times New Roman"/>
                <w:szCs w:val="24"/>
              </w:rPr>
            </w:pPr>
            <w:r>
              <w:rPr>
                <w:rFonts w:eastAsia="Times New Roman" w:cs="Times New Roman"/>
                <w:szCs w:val="24"/>
              </w:rPr>
              <w:t>Medium</w:t>
            </w:r>
          </w:p>
        </w:tc>
        <w:tc>
          <w:tcPr>
            <w:tcW w:w="1354" w:type="dxa"/>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High</w:t>
            </w:r>
          </w:p>
        </w:tc>
        <w:tc>
          <w:tcPr>
            <w:tcW w:w="1193" w:type="dxa"/>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szCs w:val="24"/>
              </w:rPr>
            </w:pPr>
            <w:r>
              <w:rPr>
                <w:rFonts w:eastAsia="Times New Roman" w:cs="Times New Roman"/>
                <w:szCs w:val="24"/>
              </w:rPr>
              <w:t>Mitigate</w:t>
            </w:r>
          </w:p>
        </w:tc>
        <w:tc>
          <w:tcPr>
            <w:tcW w:w="3097" w:type="dxa"/>
          </w:tcPr>
          <w:p>
            <w:pPr>
              <w:widowControl w:val="0"/>
              <w:autoSpaceDE w:val="0"/>
              <w:autoSpaceDN w:val="0"/>
              <w:spacing w:before="46" w:after="0"/>
              <w:ind w:left="115"/>
              <w:rPr>
                <w:rFonts w:eastAsia="Times New Roman" w:cs="Times New Roman"/>
                <w:b/>
                <w:bCs/>
                <w:szCs w:val="24"/>
              </w:rPr>
            </w:pPr>
            <w:r>
              <w:rPr>
                <w:rFonts w:eastAsia="Times New Roman" w:cs="Times New Roman"/>
                <w:b/>
                <w:bCs/>
                <w:szCs w:val="24"/>
              </w:rPr>
              <w:t xml:space="preserve">The resource availability must be ensured by all the suppliers. </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trHeight w:val="1089" w:hRule="atLeast"/>
        </w:trPr>
        <w:tc>
          <w:tcPr>
            <w:tcW w:w="2303" w:type="dxa"/>
            <w:tcBorders>
              <w:top w:val="double" w:color="5B9BD5" w:themeColor="accent1" w:sz="4" w:space="0"/>
            </w:tcBorders>
          </w:tcPr>
          <w:p>
            <w:pPr>
              <w:widowControl w:val="0"/>
              <w:autoSpaceDE w:val="0"/>
              <w:autoSpaceDN w:val="0"/>
              <w:spacing w:before="46" w:after="0" w:line="271" w:lineRule="auto"/>
              <w:ind w:left="112" w:right="282"/>
              <w:jc w:val="center"/>
              <w:rPr>
                <w:rFonts w:eastAsia="Times New Roman" w:cs="Times New Roman"/>
                <w:b/>
                <w:bCs/>
                <w:szCs w:val="24"/>
              </w:rPr>
            </w:pPr>
            <w:r>
              <w:rPr>
                <w:rFonts w:eastAsia="Times New Roman" w:cs="Times New Roman"/>
                <w:b/>
                <w:bCs/>
                <w:spacing w:val="-1"/>
                <w:szCs w:val="24"/>
              </w:rPr>
              <w:t>Miscellaneous</w:t>
            </w:r>
            <w:r>
              <w:rPr>
                <w:rFonts w:eastAsia="Times New Roman" w:cs="Times New Roman"/>
                <w:b/>
                <w:bCs/>
                <w:spacing w:val="-57"/>
                <w:szCs w:val="24"/>
              </w:rPr>
              <w:t xml:space="preserve"> </w:t>
            </w:r>
            <w:r>
              <w:rPr>
                <w:rFonts w:eastAsia="Times New Roman" w:cs="Times New Roman"/>
                <w:b/>
                <w:bCs/>
                <w:szCs w:val="24"/>
              </w:rPr>
              <w:t>Risks</w:t>
            </w:r>
          </w:p>
        </w:tc>
        <w:tc>
          <w:tcPr>
            <w:tcW w:w="1403" w:type="dxa"/>
            <w:tcBorders>
              <w:top w:val="double" w:color="5B9BD5" w:themeColor="accent1" w:sz="4" w:space="0"/>
            </w:tcBorders>
            <w:shd w:val="clear" w:color="auto" w:fill="DEEAF6" w:themeFill="accent1" w:themeFillTint="33"/>
          </w:tcPr>
          <w:p>
            <w:pPr>
              <w:widowControl w:val="0"/>
              <w:autoSpaceDE w:val="0"/>
              <w:autoSpaceDN w:val="0"/>
              <w:spacing w:before="46" w:after="0" w:line="240" w:lineRule="auto"/>
              <w:ind w:left="115"/>
              <w:jc w:val="left"/>
              <w:rPr>
                <w:rFonts w:eastAsia="Times New Roman" w:cs="Times New Roman"/>
                <w:b/>
                <w:bCs/>
                <w:szCs w:val="24"/>
              </w:rPr>
            </w:pPr>
            <w:r>
              <w:rPr>
                <w:rFonts w:eastAsia="Times New Roman" w:cs="Times New Roman"/>
                <w:b/>
                <w:bCs/>
                <w:szCs w:val="24"/>
              </w:rPr>
              <w:t>High</w:t>
            </w:r>
          </w:p>
        </w:tc>
        <w:tc>
          <w:tcPr>
            <w:tcW w:w="1354" w:type="dxa"/>
            <w:tcBorders>
              <w:top w:val="double" w:color="5B9BD5" w:themeColor="accent1" w:sz="4" w:space="0"/>
            </w:tcBorders>
          </w:tcPr>
          <w:p>
            <w:pPr>
              <w:widowControl w:val="0"/>
              <w:autoSpaceDE w:val="0"/>
              <w:autoSpaceDN w:val="0"/>
              <w:spacing w:before="46" w:after="0" w:line="240" w:lineRule="auto"/>
              <w:ind w:left="114"/>
              <w:jc w:val="left"/>
              <w:rPr>
                <w:rFonts w:eastAsia="Times New Roman" w:cs="Times New Roman"/>
                <w:b/>
                <w:bCs/>
                <w:szCs w:val="24"/>
              </w:rPr>
            </w:pPr>
            <w:r>
              <w:rPr>
                <w:rFonts w:eastAsia="Times New Roman" w:cs="Times New Roman"/>
                <w:b/>
                <w:bCs/>
                <w:szCs w:val="24"/>
              </w:rPr>
              <w:t>Medium</w:t>
            </w:r>
          </w:p>
        </w:tc>
        <w:tc>
          <w:tcPr>
            <w:tcW w:w="1193" w:type="dxa"/>
            <w:tcBorders>
              <w:top w:val="double" w:color="5B9BD5" w:themeColor="accent1" w:sz="4" w:space="0"/>
            </w:tcBorders>
            <w:shd w:val="clear" w:color="auto" w:fill="DEEAF6" w:themeFill="accent1" w:themeFillTint="33"/>
          </w:tcPr>
          <w:p>
            <w:pPr>
              <w:widowControl w:val="0"/>
              <w:autoSpaceDE w:val="0"/>
              <w:autoSpaceDN w:val="0"/>
              <w:spacing w:before="46" w:after="0" w:line="240" w:lineRule="auto"/>
              <w:ind w:left="114"/>
              <w:jc w:val="left"/>
              <w:rPr>
                <w:rFonts w:eastAsia="Times New Roman" w:cs="Times New Roman"/>
                <w:b/>
                <w:bCs/>
                <w:szCs w:val="24"/>
              </w:rPr>
            </w:pPr>
            <w:r>
              <w:rPr>
                <w:rFonts w:eastAsia="Times New Roman" w:cs="Times New Roman"/>
                <w:b/>
                <w:bCs/>
                <w:szCs w:val="24"/>
              </w:rPr>
              <w:t>Mitigate</w:t>
            </w:r>
          </w:p>
        </w:tc>
        <w:tc>
          <w:tcPr>
            <w:tcW w:w="3097" w:type="dxa"/>
            <w:tcBorders>
              <w:top w:val="double" w:color="5B9BD5" w:themeColor="accent1" w:sz="4" w:space="0"/>
            </w:tcBorders>
          </w:tcPr>
          <w:p>
            <w:pPr>
              <w:widowControl w:val="0"/>
              <w:autoSpaceDE w:val="0"/>
              <w:autoSpaceDN w:val="0"/>
              <w:spacing w:before="46" w:after="0" w:line="271" w:lineRule="auto"/>
              <w:ind w:left="115" w:right="96"/>
              <w:rPr>
                <w:rFonts w:eastAsia="Times New Roman" w:cs="Times New Roman"/>
                <w:b/>
                <w:bCs/>
                <w:szCs w:val="24"/>
              </w:rPr>
            </w:pPr>
            <w:r>
              <w:rPr>
                <w:rFonts w:eastAsia="Times New Roman" w:cs="Times New Roman"/>
                <w:b/>
                <w:bCs/>
                <w:szCs w:val="24"/>
              </w:rPr>
              <w:t xml:space="preserve">The mechanical problem, dealy in presence of the labour must be mitigated by the line manager. </w:t>
            </w:r>
          </w:p>
        </w:tc>
      </w:tr>
      <w:bookmarkEnd w:id="21"/>
    </w:tbl>
    <w:p>
      <w:pPr>
        <w:pStyle w:val="2"/>
      </w:pPr>
      <w:bookmarkStart w:id="22" w:name="_Toc100784400"/>
      <w:bookmarkStart w:id="23" w:name="_Toc87657496"/>
      <w:r>
        <w:t>6.0 Project control Mechanism:</w:t>
      </w:r>
      <w:bookmarkEnd w:id="22"/>
      <w:bookmarkEnd w:id="23"/>
    </w:p>
    <w:p>
      <w:pPr>
        <w:pStyle w:val="3"/>
      </w:pPr>
      <w:bookmarkStart w:id="24" w:name="_Toc100784401"/>
      <w:bookmarkStart w:id="25" w:name="_Toc87657497"/>
      <w:r>
        <w:t>6.1 way of controlling the project:</w:t>
      </w:r>
      <w:bookmarkEnd w:id="24"/>
      <w:bookmarkEnd w:id="25"/>
      <w:r>
        <w:t xml:space="preserve"> </w:t>
      </w:r>
    </w:p>
    <w:p>
      <w:r>
        <w:drawing>
          <wp:anchor distT="0" distB="0" distL="114300" distR="114300" simplePos="0" relativeHeight="251659264" behindDoc="0" locked="0" layoutInCell="1" allowOverlap="1">
            <wp:simplePos x="0" y="0"/>
            <wp:positionH relativeFrom="margin">
              <wp:align>center</wp:align>
            </wp:positionH>
            <wp:positionV relativeFrom="paragraph">
              <wp:posOffset>1089025</wp:posOffset>
            </wp:positionV>
            <wp:extent cx="2466975" cy="226695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66975" cy="2266950"/>
                    </a:xfrm>
                    <a:prstGeom prst="rect">
                      <a:avLst/>
                    </a:prstGeom>
                    <a:noFill/>
                    <a:ln>
                      <a:noFill/>
                    </a:ln>
                  </pic:spPr>
                </pic:pic>
              </a:graphicData>
            </a:graphic>
          </wp:anchor>
        </w:drawing>
      </w:r>
      <w:r>
        <w:t>For controlling the project, the manager will use the plan, do, check and act model. By using the model, the manager can check whether everything goes according to the plan or not (</w:t>
      </w:r>
      <w:r>
        <w:rPr>
          <w:shd w:val="clear" w:color="auto" w:fill="FFFFFF"/>
        </w:rPr>
        <w:t>Azimi, and AbouRizk, 2012)</w:t>
      </w:r>
      <w:r>
        <w:t>. If anything goes the manager has to find it and take corrective action so that other departments can move together. The model graph is given below:</w:t>
      </w:r>
    </w:p>
    <w:p>
      <w:pPr>
        <w:jc w:val="center"/>
        <w:rPr>
          <w:b/>
        </w:rPr>
      </w:pPr>
      <w:r>
        <w:rPr>
          <w:b/>
        </w:rPr>
        <w:t xml:space="preserve">Figure: The way of controlling the project; Source: </w:t>
      </w:r>
      <w:r>
        <w:rPr>
          <w:b/>
          <w:shd w:val="clear" w:color="auto" w:fill="FFFFFF"/>
        </w:rPr>
        <w:t>Azimi, and AbouRizk, 2012</w:t>
      </w:r>
    </w:p>
    <w:p>
      <w:r>
        <w:t xml:space="preserve">Poor planning and execution can generate mistakes and failure in the project. Monitors and controllers will be liable for any mistake in the project and they have to take the responsibility of finishing the product in time. </w:t>
      </w:r>
    </w:p>
    <w:p>
      <w:pPr>
        <w:pStyle w:val="3"/>
        <w:spacing w:before="0"/>
      </w:pPr>
      <w:bookmarkStart w:id="26" w:name="_Toc100784402"/>
      <w:bookmarkStart w:id="27" w:name="_Toc87657498"/>
      <w:r>
        <w:t>6.2 Person who is involved in the project and how project control is done:</w:t>
      </w:r>
      <w:bookmarkEnd w:id="26"/>
      <w:bookmarkEnd w:id="27"/>
    </w:p>
    <w:p>
      <w:r>
        <w:t>There is a project team that monitors the project now and then and they are the responsible person for controlling the project. The involved person must relate them with all the documents and check them continuously. They should check the deadline and progress of the work and push the labour and line manager to finish it in time (</w:t>
      </w:r>
      <w:r>
        <w:rPr>
          <w:shd w:val="clear" w:color="auto" w:fill="FFFFFF"/>
        </w:rPr>
        <w:t>Sun and Aouad, 2019)</w:t>
      </w:r>
      <w:r>
        <w:t>. Numerous techniques can be applied by the managers to control the project. These techniques are given below:</w:t>
      </w:r>
    </w:p>
    <w:p>
      <w:pPr>
        <w:rPr>
          <w:rFonts w:cs="Times New Roman"/>
          <w:bCs/>
          <w:szCs w:val="24"/>
        </w:rPr>
      </w:pPr>
      <w:r>
        <w:drawing>
          <wp:anchor distT="0" distB="0" distL="114300" distR="114300" simplePos="0" relativeHeight="251660288" behindDoc="0" locked="0" layoutInCell="1" allowOverlap="1">
            <wp:simplePos x="0" y="0"/>
            <wp:positionH relativeFrom="margin">
              <wp:posOffset>123825</wp:posOffset>
            </wp:positionH>
            <wp:positionV relativeFrom="paragraph">
              <wp:posOffset>1565910</wp:posOffset>
            </wp:positionV>
            <wp:extent cx="5429250" cy="3448050"/>
            <wp:effectExtent l="0" t="0" r="0" b="0"/>
            <wp:wrapTopAndBottom/>
            <wp:docPr id="4" name="Picture 4" descr="Learning Objectives When you complete this chapter, you should be able to :  Identify or Define: Work breakdown structure Critical path AOA and AON  Network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earning Objectives When you complete this chapter, you should be able to :  Identify or Define: Work breakdown structure Critical path AOA and AON  Networks. - ppt download"/>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a:xfrm>
                      <a:off x="0" y="0"/>
                      <a:ext cx="5429250" cy="3448050"/>
                    </a:xfrm>
                    <a:prstGeom prst="rect">
                      <a:avLst/>
                    </a:prstGeom>
                    <a:noFill/>
                    <a:ln>
                      <a:noFill/>
                    </a:ln>
                  </pic:spPr>
                </pic:pic>
              </a:graphicData>
            </a:graphic>
          </wp:anchor>
        </w:drawing>
      </w:r>
      <w:r>
        <w:rPr>
          <w:rFonts w:cs="Times New Roman"/>
          <w:b/>
          <w:bCs/>
          <w:szCs w:val="24"/>
        </w:rPr>
        <w:t>Network diagram: (AON and AOA):</w:t>
      </w:r>
      <w:r>
        <w:rPr>
          <w:rFonts w:cs="Times New Roman"/>
          <w:szCs w:val="24"/>
        </w:rPr>
        <w:t xml:space="preserve"> </w:t>
      </w:r>
      <w:r>
        <w:rPr>
          <w:rFonts w:cs="Times New Roman"/>
          <w:b/>
          <w:bCs/>
          <w:szCs w:val="24"/>
        </w:rPr>
        <w:t xml:space="preserve">AON: </w:t>
      </w:r>
      <w:r>
        <w:rPr>
          <w:rFonts w:cs="Times New Roman"/>
          <w:bCs/>
          <w:szCs w:val="24"/>
        </w:rPr>
        <w:t>AON is the project management tool that refers to the preceding diagramming method. It is used to denote the scheduled activities of the project. It means the project manager cannot move forward without completing the previous nodes and boxes. For moving forward all the tasks of the previous have to accomplish first. In the AOA the critical path and PEST will be used (</w:t>
      </w:r>
      <w:r>
        <w:rPr>
          <w:shd w:val="clear" w:color="auto" w:fill="FFFFFF"/>
        </w:rPr>
        <w:t>Yang and Wang, 2010)</w:t>
      </w:r>
      <w:r>
        <w:rPr>
          <w:rFonts w:cs="Times New Roman"/>
          <w:bCs/>
          <w:szCs w:val="24"/>
        </w:rPr>
        <w:t>. The critical path refers to the shorter possible way to accomplish the project. The following figure of AOA and AON is given below:</w:t>
      </w:r>
    </w:p>
    <w:p>
      <w:pPr>
        <w:jc w:val="center"/>
        <w:rPr>
          <w:b/>
        </w:rPr>
      </w:pPr>
      <w:bookmarkStart w:id="28" w:name="_Toc87657499"/>
      <w:r>
        <w:rPr>
          <w:b/>
        </w:rPr>
        <w:t xml:space="preserve">Figure: </w:t>
      </w:r>
      <w:r>
        <w:rPr>
          <w:rFonts w:cs="Times New Roman"/>
          <w:b/>
          <w:bCs/>
          <w:szCs w:val="24"/>
        </w:rPr>
        <w:t xml:space="preserve">Network diagram: (AON and AOA); Source: </w:t>
      </w:r>
      <w:r>
        <w:rPr>
          <w:b/>
          <w:shd w:val="clear" w:color="auto" w:fill="FFFFFF"/>
        </w:rPr>
        <w:t>Yang and Wang,  2010</w:t>
      </w:r>
    </w:p>
    <w:p>
      <w:pPr>
        <w:pStyle w:val="2"/>
      </w:pPr>
      <w:bookmarkStart w:id="29" w:name="_Toc100784403"/>
      <w:r>
        <w:t>7.0 Reporting framework:</w:t>
      </w:r>
      <w:bookmarkEnd w:id="28"/>
      <w:bookmarkEnd w:id="29"/>
    </w:p>
    <w:p>
      <w:bookmarkStart w:id="30" w:name="_Toc87657500"/>
      <w:r>
        <w:t>The project manager must manage the communication with parties and integrate all the subproject and their line manager into the framework. So, all the subprojects have harmony and communication with each other. The project manager is the middleman and hub among the communication channel of the subgroups. Communication simply refers to passing a message to each other. The message of the stakeholder must be propagated properly to all the subgroups and line managers.  At the upper level, two-way communication and the written method will be used. So, any problem, with the site can be shared by the line managers. The project manager must ensure real-life feedback and response to the line managers so that work cannot be halted for a single time. In this way, any problems can be solved rapidly (</w:t>
      </w:r>
      <w:r>
        <w:rPr>
          <w:shd w:val="clear" w:color="auto" w:fill="FFFFFF"/>
        </w:rPr>
        <w:t>Palaneeswaran and Kumaraswamy, 2012).</w:t>
      </w:r>
      <w:r>
        <w:t xml:space="preserve"> Telecommunication, Email, mobile phone, and video conferencing can be used by the line managers. Walkie Talkie is useful for managing communication on the site.</w:t>
      </w:r>
    </w:p>
    <w:p>
      <w:r>
        <w:drawing>
          <wp:anchor distT="0" distB="0" distL="114300" distR="114300" simplePos="0" relativeHeight="251661312" behindDoc="0" locked="0" layoutInCell="1" allowOverlap="1">
            <wp:simplePos x="0" y="0"/>
            <wp:positionH relativeFrom="margin">
              <wp:posOffset>1314450</wp:posOffset>
            </wp:positionH>
            <wp:positionV relativeFrom="paragraph">
              <wp:posOffset>795020</wp:posOffset>
            </wp:positionV>
            <wp:extent cx="2743200" cy="2743200"/>
            <wp:effectExtent l="0" t="0" r="0" b="0"/>
            <wp:wrapTopAndBottom/>
            <wp:docPr id="5" name="Picture 5" descr="What Is Project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hat Is Project Hierarchy?"/>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a:xfrm>
                      <a:off x="0" y="0"/>
                      <a:ext cx="2743200" cy="2743200"/>
                    </a:xfrm>
                    <a:prstGeom prst="rect">
                      <a:avLst/>
                    </a:prstGeom>
                    <a:noFill/>
                    <a:ln>
                      <a:noFill/>
                    </a:ln>
                  </pic:spPr>
                </pic:pic>
              </a:graphicData>
            </a:graphic>
          </wp:anchor>
        </w:drawing>
      </w:r>
      <w:r>
        <w:t xml:space="preserve">The written communication will be sent to all the line manager if any importance or emergency notice need to give. It will later be attached to the final project management file of the project. Later, notice in the pad of the university or company is the way to share written communication. </w:t>
      </w:r>
    </w:p>
    <w:p>
      <w:pPr>
        <w:jc w:val="center"/>
        <w:rPr>
          <w:rFonts w:eastAsiaTheme="majorEastAsia"/>
          <w:b/>
          <w:sz w:val="32"/>
          <w:szCs w:val="32"/>
        </w:rPr>
      </w:pPr>
      <w:r>
        <w:rPr>
          <w:b/>
        </w:rPr>
        <w:t xml:space="preserve">Figure: (Reporting Framework; Source:  </w:t>
      </w:r>
      <w:r>
        <w:rPr>
          <w:b/>
          <w:shd w:val="clear" w:color="auto" w:fill="FFFFFF"/>
        </w:rPr>
        <w:t>Palaneeswaran and Kumaraswamy, 2012)</w:t>
      </w:r>
    </w:p>
    <w:p>
      <w:pPr>
        <w:spacing w:line="259" w:lineRule="auto"/>
        <w:jc w:val="left"/>
        <w:rPr>
          <w:rFonts w:cs="Times New Roman" w:eastAsiaTheme="majorEastAsia"/>
          <w:b/>
          <w:sz w:val="32"/>
          <w:szCs w:val="32"/>
        </w:rPr>
      </w:pPr>
      <w:r>
        <w:rPr>
          <w:rFonts w:cs="Times New Roman"/>
        </w:rPr>
        <w:br w:type="page"/>
      </w:r>
    </w:p>
    <w:p>
      <w:pPr>
        <w:pStyle w:val="2"/>
        <w:rPr>
          <w:rFonts w:cs="Times New Roman"/>
        </w:rPr>
      </w:pPr>
      <w:bookmarkStart w:id="31" w:name="_Toc100784404"/>
      <w:r>
        <w:rPr>
          <w:rFonts w:cs="Times New Roman"/>
        </w:rPr>
        <w:t>8.0 Project Planning with Milestones:</w:t>
      </w:r>
      <w:bookmarkEnd w:id="30"/>
      <w:bookmarkEnd w:id="31"/>
    </w:p>
    <w:p>
      <w:r>
        <w:t>This is the last phase where the project manager will track the progress and give feedback. This phase gives the notification of how much the project has already been completed and how much is left. What is going well and what is not going well must be visible. The project manager has to find the key milestone to know the total completion of the project (Wu and Simmons, 2010). If some big milestones are still incomplete the project manager can bring all resources and labour to that part and finish it as soon as possible. The manager must check out all the neglected work and keep them in work in time by seeing the planning and milestone chart. The milestone planning project of this project is presented below:</w:t>
      </w:r>
    </w:p>
    <w:tbl>
      <w:tblPr>
        <w:tblStyle w:val="24"/>
        <w:tblW w:w="10170" w:type="dxa"/>
        <w:tblInd w:w="-95"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autofit"/>
        <w:tblCellMar>
          <w:top w:w="0" w:type="dxa"/>
          <w:left w:w="108" w:type="dxa"/>
          <w:bottom w:w="0" w:type="dxa"/>
          <w:right w:w="108" w:type="dxa"/>
        </w:tblCellMar>
      </w:tblPr>
      <w:tblGrid>
        <w:gridCol w:w="4230"/>
        <w:gridCol w:w="1620"/>
        <w:gridCol w:w="2430"/>
        <w:gridCol w:w="1890"/>
      </w:tblGrid>
      <w:tr>
        <w:trPr>
          <w:trHeight w:val="334" w:hRule="atLeast"/>
        </w:trPr>
        <w:tc>
          <w:tcPr>
            <w:tcW w:w="4230" w:type="dxa"/>
            <w:tcBorders>
              <w:top w:val="single" w:color="4472C4" w:themeColor="accent5" w:sz="4" w:space="0"/>
              <w:left w:val="single" w:color="4472C4" w:themeColor="accent5" w:sz="4" w:space="0"/>
              <w:bottom w:val="single" w:color="4472C4" w:themeColor="accent5" w:sz="4" w:space="0"/>
              <w:right w:val="nil"/>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Project Name</w:t>
            </w:r>
          </w:p>
        </w:tc>
        <w:tc>
          <w:tcPr>
            <w:tcW w:w="1620" w:type="dxa"/>
            <w:tcBorders>
              <w:top w:val="single" w:color="4472C4" w:themeColor="accent5" w:sz="4" w:space="0"/>
              <w:bottom w:val="single" w:color="4472C4" w:themeColor="accent5" w:sz="4" w:space="0"/>
              <w:right w:val="nil"/>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 xml:space="preserve">Timeframe ( Month) </w:t>
            </w:r>
          </w:p>
        </w:tc>
        <w:tc>
          <w:tcPr>
            <w:tcW w:w="2430" w:type="dxa"/>
            <w:tcBorders>
              <w:top w:val="single" w:color="4472C4" w:themeColor="accent5" w:sz="4" w:space="0"/>
              <w:bottom w:val="single" w:color="4472C4" w:themeColor="accent5" w:sz="4" w:space="0"/>
              <w:right w:val="nil"/>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Start Date</w:t>
            </w:r>
          </w:p>
        </w:tc>
        <w:tc>
          <w:tcPr>
            <w:tcW w:w="1890" w:type="dxa"/>
            <w:tcBorders>
              <w:top w:val="single" w:color="4472C4" w:themeColor="accent5" w:sz="4" w:space="0"/>
              <w:bottom w:val="single" w:color="4472C4" w:themeColor="accent5" w:sz="4" w:space="0"/>
              <w:right w:val="single" w:color="4472C4" w:themeColor="accent5" w:sz="4" w:space="0"/>
              <w:insideH w:val="single" w:sz="4" w:space="0"/>
              <w:insideV w:val="nil"/>
            </w:tcBorders>
            <w:shd w:val="clear" w:color="auto" w:fill="4472C4" w:themeFill="accent5"/>
          </w:tcPr>
          <w:p>
            <w:pPr>
              <w:spacing w:after="0"/>
              <w:jc w:val="center"/>
              <w:rPr>
                <w:rFonts w:cs="Times New Roman"/>
                <w:b/>
                <w:bCs/>
                <w:color w:val="FFFFFF" w:themeColor="background1"/>
                <w:szCs w:val="24"/>
                <w14:textFill>
                  <w14:solidFill>
                    <w14:schemeClr w14:val="bg1"/>
                  </w14:solidFill>
                </w14:textFill>
              </w:rPr>
            </w:pPr>
            <w:r>
              <w:rPr>
                <w:rFonts w:cs="Times New Roman"/>
                <w:b/>
                <w:bCs/>
                <w:color w:val="FFFFFF" w:themeColor="background1"/>
                <w:szCs w:val="24"/>
                <w14:textFill>
                  <w14:solidFill>
                    <w14:schemeClr w14:val="bg1"/>
                  </w14:solidFill>
                </w14:textFill>
              </w:rPr>
              <w:t xml:space="preserve">Ending Date </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4" w:hRule="atLeast"/>
        </w:trPr>
        <w:tc>
          <w:tcPr>
            <w:tcW w:w="4230" w:type="dxa"/>
            <w:shd w:val="clear" w:color="auto" w:fill="D9E2F3" w:themeFill="accent5" w:themeFillTint="33"/>
          </w:tcPr>
          <w:p>
            <w:pPr>
              <w:spacing w:after="0"/>
              <w:jc w:val="center"/>
              <w:rPr>
                <w:rFonts w:cs="Times New Roman"/>
                <w:b/>
                <w:bCs/>
                <w:szCs w:val="24"/>
              </w:rPr>
            </w:pPr>
            <w:r>
              <w:rPr>
                <w:rFonts w:cs="Times New Roman"/>
                <w:b w:val="0"/>
                <w:bCs/>
                <w:szCs w:val="24"/>
              </w:rPr>
              <w:t>Structural re-design</w:t>
            </w:r>
          </w:p>
        </w:tc>
        <w:tc>
          <w:tcPr>
            <w:tcW w:w="1620" w:type="dxa"/>
            <w:shd w:val="clear" w:color="auto" w:fill="D9E2F3" w:themeFill="accent5" w:themeFillTint="33"/>
          </w:tcPr>
          <w:p>
            <w:pPr>
              <w:spacing w:after="0"/>
              <w:jc w:val="center"/>
              <w:rPr>
                <w:rFonts w:cs="Times New Roman"/>
                <w:szCs w:val="24"/>
              </w:rPr>
            </w:pPr>
            <w:r>
              <w:rPr>
                <w:rFonts w:cs="Times New Roman"/>
                <w:szCs w:val="24"/>
              </w:rPr>
              <w:t>2</w:t>
            </w:r>
          </w:p>
        </w:tc>
        <w:tc>
          <w:tcPr>
            <w:tcW w:w="2430" w:type="dxa"/>
            <w:shd w:val="clear" w:color="auto" w:fill="D9E2F3" w:themeFill="accent5" w:themeFillTint="33"/>
          </w:tcPr>
          <w:p>
            <w:pPr>
              <w:spacing w:after="0"/>
              <w:jc w:val="center"/>
              <w:rPr>
                <w:rFonts w:cs="Times New Roman"/>
                <w:szCs w:val="24"/>
              </w:rPr>
            </w:pPr>
            <w:r>
              <w:rPr>
                <w:rFonts w:cs="Times New Roman"/>
                <w:szCs w:val="24"/>
              </w:rPr>
              <w:t>1 July 2022</w:t>
            </w:r>
          </w:p>
        </w:tc>
        <w:tc>
          <w:tcPr>
            <w:tcW w:w="1890" w:type="dxa"/>
            <w:shd w:val="clear" w:color="auto" w:fill="D9E2F3" w:themeFill="accent5" w:themeFillTint="33"/>
          </w:tcPr>
          <w:p>
            <w:pPr>
              <w:spacing w:after="0"/>
              <w:jc w:val="center"/>
              <w:rPr>
                <w:rFonts w:cs="Times New Roman"/>
                <w:szCs w:val="24"/>
              </w:rPr>
            </w:pPr>
            <w:r>
              <w:rPr>
                <w:rFonts w:cs="Times New Roman"/>
                <w:szCs w:val="24"/>
              </w:rPr>
              <w:t>1 September 2022</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22" w:hRule="atLeast"/>
        </w:trPr>
        <w:tc>
          <w:tcPr>
            <w:tcW w:w="4230" w:type="dxa"/>
          </w:tcPr>
          <w:p>
            <w:pPr>
              <w:spacing w:after="0"/>
              <w:jc w:val="center"/>
              <w:rPr>
                <w:rFonts w:cs="Times New Roman"/>
                <w:b/>
                <w:bCs/>
                <w:szCs w:val="24"/>
              </w:rPr>
            </w:pPr>
            <w:r>
              <w:rPr>
                <w:rFonts w:cs="Times New Roman"/>
                <w:b w:val="0"/>
                <w:bCs/>
                <w:szCs w:val="24"/>
              </w:rPr>
              <w:t xml:space="preserve">Partition of the rooms </w:t>
            </w:r>
          </w:p>
        </w:tc>
        <w:tc>
          <w:tcPr>
            <w:tcW w:w="1620" w:type="dxa"/>
          </w:tcPr>
          <w:p>
            <w:pPr>
              <w:spacing w:after="0"/>
              <w:jc w:val="center"/>
              <w:rPr>
                <w:rFonts w:cs="Times New Roman"/>
                <w:szCs w:val="24"/>
              </w:rPr>
            </w:pPr>
            <w:r>
              <w:rPr>
                <w:rFonts w:cs="Times New Roman"/>
                <w:szCs w:val="24"/>
              </w:rPr>
              <w:t>2</w:t>
            </w:r>
          </w:p>
        </w:tc>
        <w:tc>
          <w:tcPr>
            <w:tcW w:w="2430" w:type="dxa"/>
          </w:tcPr>
          <w:p>
            <w:pPr>
              <w:spacing w:after="0"/>
              <w:jc w:val="center"/>
              <w:rPr>
                <w:rFonts w:cs="Times New Roman"/>
                <w:szCs w:val="24"/>
              </w:rPr>
            </w:pPr>
            <w:r>
              <w:rPr>
                <w:rFonts w:cs="Times New Roman"/>
                <w:szCs w:val="24"/>
              </w:rPr>
              <w:t>1 September 2022</w:t>
            </w:r>
          </w:p>
        </w:tc>
        <w:tc>
          <w:tcPr>
            <w:tcW w:w="1890" w:type="dxa"/>
          </w:tcPr>
          <w:p>
            <w:pPr>
              <w:spacing w:after="0"/>
              <w:jc w:val="center"/>
              <w:rPr>
                <w:rFonts w:cs="Times New Roman"/>
                <w:szCs w:val="24"/>
              </w:rPr>
            </w:pPr>
            <w:r>
              <w:rPr>
                <w:rFonts w:cs="Times New Roman"/>
                <w:szCs w:val="24"/>
              </w:rPr>
              <w:t>1 November 2022</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658" w:hRule="atLeast"/>
        </w:trPr>
        <w:tc>
          <w:tcPr>
            <w:tcW w:w="4230" w:type="dxa"/>
            <w:shd w:val="clear" w:color="auto" w:fill="D9E2F3" w:themeFill="accent5" w:themeFillTint="33"/>
          </w:tcPr>
          <w:p>
            <w:pPr>
              <w:spacing w:after="0"/>
              <w:jc w:val="center"/>
              <w:rPr>
                <w:rFonts w:cs="Times New Roman"/>
                <w:b/>
                <w:bCs/>
                <w:szCs w:val="24"/>
              </w:rPr>
            </w:pPr>
            <w:r>
              <w:rPr>
                <w:rFonts w:cs="Times New Roman"/>
                <w:b w:val="0"/>
                <w:bCs/>
                <w:szCs w:val="24"/>
              </w:rPr>
              <w:t>Construction of the new rooms according to the new design</w:t>
            </w:r>
          </w:p>
        </w:tc>
        <w:tc>
          <w:tcPr>
            <w:tcW w:w="1620" w:type="dxa"/>
            <w:shd w:val="clear" w:color="auto" w:fill="D9E2F3" w:themeFill="accent5" w:themeFillTint="33"/>
          </w:tcPr>
          <w:p>
            <w:pPr>
              <w:spacing w:after="0"/>
              <w:jc w:val="center"/>
              <w:rPr>
                <w:rFonts w:cs="Times New Roman"/>
                <w:szCs w:val="24"/>
              </w:rPr>
            </w:pPr>
            <w:r>
              <w:rPr>
                <w:rFonts w:cs="Times New Roman"/>
                <w:szCs w:val="24"/>
              </w:rPr>
              <w:t>6</w:t>
            </w:r>
          </w:p>
        </w:tc>
        <w:tc>
          <w:tcPr>
            <w:tcW w:w="2430" w:type="dxa"/>
            <w:shd w:val="clear" w:color="auto" w:fill="D9E2F3" w:themeFill="accent5" w:themeFillTint="33"/>
          </w:tcPr>
          <w:p>
            <w:pPr>
              <w:spacing w:after="0"/>
              <w:jc w:val="center"/>
              <w:rPr>
                <w:rFonts w:cs="Times New Roman"/>
                <w:szCs w:val="24"/>
              </w:rPr>
            </w:pPr>
            <w:r>
              <w:rPr>
                <w:rFonts w:cs="Times New Roman"/>
                <w:szCs w:val="24"/>
              </w:rPr>
              <w:t>1 November 2022</w:t>
            </w:r>
          </w:p>
        </w:tc>
        <w:tc>
          <w:tcPr>
            <w:tcW w:w="1890" w:type="dxa"/>
            <w:shd w:val="clear" w:color="auto" w:fill="D9E2F3" w:themeFill="accent5" w:themeFillTint="33"/>
          </w:tcPr>
          <w:p>
            <w:pPr>
              <w:spacing w:after="0"/>
              <w:jc w:val="center"/>
              <w:rPr>
                <w:rFonts w:cs="Times New Roman"/>
                <w:szCs w:val="24"/>
              </w:rPr>
            </w:pPr>
            <w:r>
              <w:rPr>
                <w:rFonts w:cs="Times New Roman"/>
                <w:szCs w:val="24"/>
              </w:rPr>
              <w:t>1 April 2023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22" w:hRule="atLeast"/>
        </w:trPr>
        <w:tc>
          <w:tcPr>
            <w:tcW w:w="4230" w:type="dxa"/>
          </w:tcPr>
          <w:p>
            <w:pPr>
              <w:spacing w:after="0"/>
              <w:jc w:val="center"/>
              <w:rPr>
                <w:rFonts w:cs="Times New Roman"/>
                <w:b/>
                <w:bCs/>
                <w:szCs w:val="24"/>
              </w:rPr>
            </w:pPr>
            <w:r>
              <w:rPr>
                <w:rFonts w:cs="Times New Roman"/>
                <w:b w:val="0"/>
                <w:bCs/>
                <w:szCs w:val="24"/>
              </w:rPr>
              <w:t>Add Doors, windows</w:t>
            </w:r>
          </w:p>
        </w:tc>
        <w:tc>
          <w:tcPr>
            <w:tcW w:w="1620" w:type="dxa"/>
          </w:tcPr>
          <w:p>
            <w:pPr>
              <w:spacing w:after="0"/>
              <w:jc w:val="center"/>
              <w:rPr>
                <w:rFonts w:cs="Times New Roman"/>
                <w:szCs w:val="24"/>
              </w:rPr>
            </w:pPr>
            <w:r>
              <w:rPr>
                <w:rFonts w:cs="Times New Roman"/>
                <w:szCs w:val="24"/>
              </w:rPr>
              <w:t>3</w:t>
            </w:r>
          </w:p>
        </w:tc>
        <w:tc>
          <w:tcPr>
            <w:tcW w:w="2430" w:type="dxa"/>
          </w:tcPr>
          <w:p>
            <w:pPr>
              <w:spacing w:after="0"/>
              <w:jc w:val="center"/>
              <w:rPr>
                <w:rFonts w:cs="Times New Roman"/>
                <w:szCs w:val="24"/>
              </w:rPr>
            </w:pPr>
            <w:r>
              <w:rPr>
                <w:rFonts w:cs="Times New Roman"/>
                <w:szCs w:val="24"/>
              </w:rPr>
              <w:t>1 April 2023</w:t>
            </w:r>
          </w:p>
        </w:tc>
        <w:tc>
          <w:tcPr>
            <w:tcW w:w="1890" w:type="dxa"/>
          </w:tcPr>
          <w:p>
            <w:pPr>
              <w:spacing w:after="0"/>
              <w:jc w:val="center"/>
              <w:rPr>
                <w:rFonts w:cs="Times New Roman"/>
                <w:szCs w:val="24"/>
              </w:rPr>
            </w:pPr>
            <w:r>
              <w:rPr>
                <w:rFonts w:cs="Times New Roman"/>
                <w:szCs w:val="24"/>
              </w:rPr>
              <w:t>1 June 2023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22" w:hRule="atLeast"/>
        </w:trPr>
        <w:tc>
          <w:tcPr>
            <w:tcW w:w="4230" w:type="dxa"/>
            <w:shd w:val="clear" w:color="auto" w:fill="D9E2F3" w:themeFill="accent5" w:themeFillTint="33"/>
          </w:tcPr>
          <w:p>
            <w:pPr>
              <w:spacing w:after="0"/>
              <w:jc w:val="center"/>
              <w:rPr>
                <w:rFonts w:cs="Times New Roman"/>
                <w:b/>
                <w:bCs/>
                <w:szCs w:val="24"/>
              </w:rPr>
            </w:pPr>
            <w:r>
              <w:rPr>
                <w:rFonts w:cs="Times New Roman"/>
                <w:b w:val="0"/>
                <w:bCs/>
                <w:szCs w:val="24"/>
              </w:rPr>
              <w:t>Plumbing and joining</w:t>
            </w:r>
          </w:p>
        </w:tc>
        <w:tc>
          <w:tcPr>
            <w:tcW w:w="1620" w:type="dxa"/>
            <w:shd w:val="clear" w:color="auto" w:fill="D9E2F3" w:themeFill="accent5" w:themeFillTint="33"/>
          </w:tcPr>
          <w:p>
            <w:pPr>
              <w:spacing w:after="0"/>
              <w:jc w:val="center"/>
              <w:rPr>
                <w:rFonts w:cs="Times New Roman"/>
                <w:szCs w:val="24"/>
              </w:rPr>
            </w:pPr>
            <w:r>
              <w:rPr>
                <w:rFonts w:cs="Times New Roman"/>
                <w:szCs w:val="24"/>
              </w:rPr>
              <w:t>1</w:t>
            </w:r>
          </w:p>
        </w:tc>
        <w:tc>
          <w:tcPr>
            <w:tcW w:w="2430" w:type="dxa"/>
            <w:shd w:val="clear" w:color="auto" w:fill="D9E2F3" w:themeFill="accent5" w:themeFillTint="33"/>
          </w:tcPr>
          <w:p>
            <w:pPr>
              <w:spacing w:after="0"/>
              <w:jc w:val="center"/>
              <w:rPr>
                <w:rFonts w:cs="Times New Roman"/>
                <w:szCs w:val="24"/>
              </w:rPr>
            </w:pPr>
            <w:r>
              <w:rPr>
                <w:rFonts w:cs="Times New Roman"/>
                <w:szCs w:val="24"/>
              </w:rPr>
              <w:t>1 June 2023</w:t>
            </w:r>
          </w:p>
        </w:tc>
        <w:tc>
          <w:tcPr>
            <w:tcW w:w="1890" w:type="dxa"/>
            <w:shd w:val="clear" w:color="auto" w:fill="D9E2F3" w:themeFill="accent5" w:themeFillTint="33"/>
          </w:tcPr>
          <w:p>
            <w:pPr>
              <w:spacing w:after="0"/>
              <w:jc w:val="center"/>
              <w:rPr>
                <w:rFonts w:cs="Times New Roman"/>
                <w:szCs w:val="24"/>
              </w:rPr>
            </w:pPr>
            <w:r>
              <w:rPr>
                <w:rFonts w:cs="Times New Roman"/>
                <w:szCs w:val="24"/>
              </w:rPr>
              <w:t>1 July 2023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22" w:hRule="atLeast"/>
        </w:trPr>
        <w:tc>
          <w:tcPr>
            <w:tcW w:w="4230" w:type="dxa"/>
          </w:tcPr>
          <w:p>
            <w:pPr>
              <w:spacing w:after="0"/>
              <w:jc w:val="center"/>
              <w:rPr>
                <w:rFonts w:cs="Times New Roman"/>
                <w:b/>
                <w:bCs/>
                <w:szCs w:val="24"/>
              </w:rPr>
            </w:pPr>
            <w:r>
              <w:rPr>
                <w:rFonts w:cs="Times New Roman"/>
                <w:b w:val="0"/>
                <w:bCs/>
                <w:szCs w:val="24"/>
              </w:rPr>
              <w:t>Electricity line establishment</w:t>
            </w:r>
          </w:p>
        </w:tc>
        <w:tc>
          <w:tcPr>
            <w:tcW w:w="1620" w:type="dxa"/>
          </w:tcPr>
          <w:p>
            <w:pPr>
              <w:spacing w:after="0"/>
              <w:jc w:val="center"/>
              <w:rPr>
                <w:rFonts w:cs="Times New Roman"/>
                <w:szCs w:val="24"/>
              </w:rPr>
            </w:pPr>
            <w:r>
              <w:rPr>
                <w:rFonts w:cs="Times New Roman"/>
                <w:szCs w:val="24"/>
              </w:rPr>
              <w:t>2</w:t>
            </w:r>
          </w:p>
        </w:tc>
        <w:tc>
          <w:tcPr>
            <w:tcW w:w="2430" w:type="dxa"/>
          </w:tcPr>
          <w:p>
            <w:pPr>
              <w:spacing w:after="0"/>
              <w:jc w:val="center"/>
              <w:rPr>
                <w:rFonts w:cs="Times New Roman"/>
                <w:szCs w:val="24"/>
              </w:rPr>
            </w:pPr>
            <w:r>
              <w:rPr>
                <w:rFonts w:cs="Times New Roman"/>
                <w:szCs w:val="24"/>
              </w:rPr>
              <w:t>1 July 2023</w:t>
            </w:r>
          </w:p>
        </w:tc>
        <w:tc>
          <w:tcPr>
            <w:tcW w:w="1890" w:type="dxa"/>
          </w:tcPr>
          <w:p>
            <w:pPr>
              <w:spacing w:after="0"/>
              <w:jc w:val="center"/>
              <w:rPr>
                <w:rFonts w:cs="Times New Roman"/>
                <w:szCs w:val="24"/>
              </w:rPr>
            </w:pPr>
            <w:r>
              <w:rPr>
                <w:rFonts w:cs="Times New Roman"/>
                <w:szCs w:val="24"/>
              </w:rPr>
              <w:t>1 September 2023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34" w:hRule="atLeast"/>
        </w:trPr>
        <w:tc>
          <w:tcPr>
            <w:tcW w:w="4230" w:type="dxa"/>
            <w:shd w:val="clear" w:color="auto" w:fill="D9E2F3" w:themeFill="accent5" w:themeFillTint="33"/>
          </w:tcPr>
          <w:p>
            <w:pPr>
              <w:spacing w:after="0"/>
              <w:jc w:val="center"/>
              <w:rPr>
                <w:rFonts w:cs="Times New Roman"/>
                <w:b/>
                <w:bCs/>
                <w:szCs w:val="24"/>
              </w:rPr>
            </w:pPr>
            <w:r>
              <w:rPr>
                <w:rFonts w:cs="Times New Roman"/>
                <w:b w:val="0"/>
                <w:bCs/>
                <w:szCs w:val="24"/>
              </w:rPr>
              <w:t xml:space="preserve">Painting both inside and outside of the building </w:t>
            </w:r>
          </w:p>
        </w:tc>
        <w:tc>
          <w:tcPr>
            <w:tcW w:w="1620" w:type="dxa"/>
            <w:shd w:val="clear" w:color="auto" w:fill="D9E2F3" w:themeFill="accent5" w:themeFillTint="33"/>
          </w:tcPr>
          <w:p>
            <w:pPr>
              <w:spacing w:after="0"/>
              <w:jc w:val="center"/>
              <w:rPr>
                <w:rFonts w:cs="Times New Roman"/>
                <w:szCs w:val="24"/>
              </w:rPr>
            </w:pPr>
            <w:r>
              <w:rPr>
                <w:rFonts w:cs="Times New Roman"/>
                <w:szCs w:val="24"/>
              </w:rPr>
              <w:t>1</w:t>
            </w:r>
          </w:p>
        </w:tc>
        <w:tc>
          <w:tcPr>
            <w:tcW w:w="2430" w:type="dxa"/>
            <w:shd w:val="clear" w:color="auto" w:fill="D9E2F3" w:themeFill="accent5" w:themeFillTint="33"/>
          </w:tcPr>
          <w:p>
            <w:pPr>
              <w:spacing w:after="0"/>
              <w:jc w:val="center"/>
              <w:rPr>
                <w:rFonts w:cs="Times New Roman"/>
                <w:szCs w:val="24"/>
              </w:rPr>
            </w:pPr>
            <w:r>
              <w:rPr>
                <w:rFonts w:cs="Times New Roman"/>
                <w:szCs w:val="24"/>
              </w:rPr>
              <w:t>1 September 2023</w:t>
            </w:r>
          </w:p>
        </w:tc>
        <w:tc>
          <w:tcPr>
            <w:tcW w:w="1890" w:type="dxa"/>
            <w:shd w:val="clear" w:color="auto" w:fill="D9E2F3" w:themeFill="accent5" w:themeFillTint="33"/>
          </w:tcPr>
          <w:p>
            <w:pPr>
              <w:spacing w:after="0"/>
              <w:jc w:val="center"/>
              <w:rPr>
                <w:rFonts w:cs="Times New Roman"/>
                <w:szCs w:val="24"/>
              </w:rPr>
            </w:pPr>
            <w:r>
              <w:rPr>
                <w:rFonts w:cs="Times New Roman"/>
                <w:szCs w:val="24"/>
              </w:rPr>
              <w:t>1 October 2023</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Ex>
        <w:trPr>
          <w:trHeight w:val="322" w:hRule="atLeast"/>
        </w:trPr>
        <w:tc>
          <w:tcPr>
            <w:tcW w:w="4230" w:type="dxa"/>
          </w:tcPr>
          <w:p>
            <w:pPr>
              <w:spacing w:after="0"/>
              <w:jc w:val="center"/>
              <w:rPr>
                <w:rFonts w:cs="Times New Roman"/>
                <w:b/>
                <w:bCs/>
                <w:szCs w:val="24"/>
              </w:rPr>
            </w:pPr>
            <w:r>
              <w:rPr>
                <w:rFonts w:cs="Times New Roman"/>
                <w:b w:val="0"/>
                <w:bCs/>
                <w:szCs w:val="24"/>
              </w:rPr>
              <w:t>Others</w:t>
            </w:r>
          </w:p>
        </w:tc>
        <w:tc>
          <w:tcPr>
            <w:tcW w:w="1620" w:type="dxa"/>
          </w:tcPr>
          <w:p>
            <w:pPr>
              <w:spacing w:after="0"/>
              <w:jc w:val="center"/>
              <w:rPr>
                <w:rFonts w:cs="Times New Roman"/>
                <w:szCs w:val="24"/>
              </w:rPr>
            </w:pPr>
            <w:r>
              <w:rPr>
                <w:rFonts w:cs="Times New Roman"/>
                <w:szCs w:val="24"/>
              </w:rPr>
              <w:t>1</w:t>
            </w:r>
          </w:p>
        </w:tc>
        <w:tc>
          <w:tcPr>
            <w:tcW w:w="2430" w:type="dxa"/>
          </w:tcPr>
          <w:p>
            <w:pPr>
              <w:spacing w:after="0"/>
              <w:jc w:val="center"/>
              <w:rPr>
                <w:rFonts w:cs="Times New Roman"/>
                <w:szCs w:val="24"/>
              </w:rPr>
            </w:pPr>
            <w:r>
              <w:rPr>
                <w:rFonts w:cs="Times New Roman"/>
                <w:szCs w:val="24"/>
              </w:rPr>
              <w:t>1 October 2023</w:t>
            </w:r>
          </w:p>
        </w:tc>
        <w:tc>
          <w:tcPr>
            <w:tcW w:w="1890" w:type="dxa"/>
          </w:tcPr>
          <w:p>
            <w:pPr>
              <w:spacing w:after="0"/>
              <w:jc w:val="center"/>
              <w:rPr>
                <w:rFonts w:cs="Times New Roman"/>
                <w:szCs w:val="24"/>
              </w:rPr>
            </w:pPr>
            <w:r>
              <w:rPr>
                <w:rFonts w:cs="Times New Roman"/>
                <w:szCs w:val="24"/>
              </w:rPr>
              <w:t>1 November 2023</w:t>
            </w:r>
          </w:p>
        </w:tc>
      </w:tr>
    </w:tbl>
    <w:p>
      <w:r>
        <w:br w:type="page"/>
      </w:r>
    </w:p>
    <w:p>
      <w:pPr>
        <w:pStyle w:val="2"/>
      </w:pPr>
      <w:bookmarkStart w:id="32" w:name="_Toc87657501"/>
      <w:bookmarkStart w:id="33" w:name="_Toc100784405"/>
      <w:r>
        <w:t>9.0 Conclusion:</w:t>
      </w:r>
      <w:bookmarkEnd w:id="32"/>
      <w:bookmarkEnd w:id="33"/>
    </w:p>
    <w:p>
      <w:pPr>
        <w:rPr>
          <w:rFonts w:eastAsiaTheme="majorEastAsia"/>
          <w:b/>
          <w:sz w:val="32"/>
          <w:szCs w:val="32"/>
        </w:rPr>
      </w:pPr>
      <w:r>
        <w:t xml:space="preserve">The project manager tries to move forward according to the plan. But some changes are always needed in this type of work. The manager must keep the plan flexible so that further renovation can be done in future. The number of students will be increased in the future and renovation may be needed. Every project manager tries to finish the work in time but it needs some extra time for delays in procurement and supplies. We have given 1-month extra time to finish all other activities which remain incomplete within the time. </w:t>
      </w:r>
      <w:r>
        <w:br w:type="page"/>
      </w:r>
    </w:p>
    <w:p>
      <w:pPr>
        <w:pStyle w:val="2"/>
        <w:rPr>
          <w:rFonts w:cs="Times New Roman"/>
        </w:rPr>
      </w:pPr>
      <w:bookmarkStart w:id="34" w:name="_Toc100784406"/>
      <w:r>
        <w:rPr>
          <w:rFonts w:cs="Times New Roman"/>
        </w:rPr>
        <w:t>References</w:t>
      </w:r>
      <w:bookmarkEnd w:id="34"/>
      <w:r>
        <w:rPr>
          <w:rFonts w:cs="Times New Roman"/>
        </w:rPr>
        <w:t xml:space="preserve"> </w:t>
      </w:r>
    </w:p>
    <w:p>
      <w:pPr>
        <w:rPr>
          <w:shd w:val="clear" w:color="auto" w:fill="FFFFFF"/>
        </w:rPr>
      </w:pPr>
      <w:r>
        <w:rPr>
          <w:shd w:val="clear" w:color="auto" w:fill="FFFFFF"/>
        </w:rPr>
        <w:t xml:space="preserve">Alexander, I. and Robertson, S., 2014. Understanding project sociology by modelling stakeholders. </w:t>
      </w:r>
      <w:r>
        <w:rPr>
          <w:i/>
          <w:iCs/>
          <w:shd w:val="clear" w:color="auto" w:fill="FFFFFF"/>
        </w:rPr>
        <w:t>IEEE software</w:t>
      </w:r>
      <w:r>
        <w:rPr>
          <w:shd w:val="clear" w:color="auto" w:fill="FFFFFF"/>
        </w:rPr>
        <w:t>, </w:t>
      </w:r>
      <w:r>
        <w:rPr>
          <w:i/>
          <w:iCs/>
          <w:shd w:val="clear" w:color="auto" w:fill="FFFFFF"/>
        </w:rPr>
        <w:t>21</w:t>
      </w:r>
      <w:r>
        <w:rPr>
          <w:shd w:val="clear" w:color="auto" w:fill="FFFFFF"/>
        </w:rPr>
        <w:t>(1), pp.23-27.</w:t>
      </w:r>
    </w:p>
    <w:p>
      <w:pPr>
        <w:rPr>
          <w:shd w:val="clear" w:color="auto" w:fill="FFFFFF"/>
        </w:rPr>
      </w:pPr>
      <w:r>
        <w:rPr>
          <w:shd w:val="clear" w:color="auto" w:fill="FFFFFF"/>
        </w:rPr>
        <w:t>Azimi, R., Lee, S. and AbouRizk, S.M., 2012. Applying basic control theory principles to project control: Case study of off-site construction shops. </w:t>
      </w:r>
      <w:r>
        <w:rPr>
          <w:i/>
          <w:iCs/>
          <w:shd w:val="clear" w:color="auto" w:fill="FFFFFF"/>
        </w:rPr>
        <w:t>Journal of computing in civil engineering</w:t>
      </w:r>
      <w:r>
        <w:rPr>
          <w:shd w:val="clear" w:color="auto" w:fill="FFFFFF"/>
        </w:rPr>
        <w:t>, </w:t>
      </w:r>
      <w:r>
        <w:rPr>
          <w:i/>
          <w:iCs/>
          <w:shd w:val="clear" w:color="auto" w:fill="FFFFFF"/>
        </w:rPr>
        <w:t>26</w:t>
      </w:r>
      <w:r>
        <w:rPr>
          <w:shd w:val="clear" w:color="auto" w:fill="FFFFFF"/>
        </w:rPr>
        <w:t>(6), pp.681-690.</w:t>
      </w:r>
    </w:p>
    <w:p>
      <w:pPr>
        <w:rPr>
          <w:shd w:val="clear" w:color="auto" w:fill="FFFFFF"/>
        </w:rPr>
      </w:pPr>
      <w:r>
        <w:rPr>
          <w:shd w:val="clear" w:color="auto" w:fill="FFFFFF"/>
        </w:rPr>
        <w:t>Chapman, C. and Ward, S., 2018. Project risk management: processes, techniques and insights. John Wiley.</w:t>
      </w:r>
    </w:p>
    <w:p>
      <w:pPr>
        <w:rPr>
          <w:shd w:val="clear" w:color="auto" w:fill="FFFFFF"/>
        </w:rPr>
      </w:pPr>
      <w:r>
        <w:rPr>
          <w:shd w:val="clear" w:color="auto" w:fill="FFFFFF"/>
        </w:rPr>
        <w:t>Chitkara, K.K., 2019. </w:t>
      </w:r>
      <w:r>
        <w:rPr>
          <w:i/>
          <w:iCs/>
          <w:shd w:val="clear" w:color="auto" w:fill="FFFFFF"/>
        </w:rPr>
        <w:t>Construction project management</w:t>
      </w:r>
      <w:r>
        <w:rPr>
          <w:shd w:val="clear" w:color="auto" w:fill="FFFFFF"/>
        </w:rPr>
        <w:t>. Tata McGraw-Hill Education.</w:t>
      </w:r>
    </w:p>
    <w:p>
      <w:pPr>
        <w:rPr>
          <w:rFonts w:ascii="Arial" w:hAnsi="Arial" w:cs="Arial"/>
          <w:color w:val="222222"/>
          <w:sz w:val="20"/>
          <w:szCs w:val="20"/>
          <w:shd w:val="clear" w:color="auto" w:fill="FFFFFF"/>
        </w:rPr>
      </w:pPr>
      <w:r>
        <w:t>Cuellar, M., 2010. Assessing project success: Moving beyond the triple constraint</w:t>
      </w:r>
      <w:r>
        <w:rPr>
          <w:rFonts w:ascii="Arial" w:hAnsi="Arial" w:cs="Arial"/>
          <w:color w:val="222222"/>
          <w:sz w:val="20"/>
          <w:szCs w:val="20"/>
          <w:shd w:val="clear" w:color="auto" w:fill="FFFFFF"/>
        </w:rPr>
        <w:t>.</w:t>
      </w:r>
    </w:p>
    <w:p>
      <w:pPr>
        <w:rPr>
          <w:shd w:val="clear" w:color="auto" w:fill="FFFFFF"/>
        </w:rPr>
      </w:pPr>
      <w:r>
        <w:rPr>
          <w:shd w:val="clear" w:color="auto" w:fill="FFFFFF"/>
        </w:rPr>
        <w:t>Fageha, M.K. and Aibinu, A.A., 2016. Identifying stakeholders’ involvement that enhances project scope definition completeness in Saudi Arabian public building projects. </w:t>
      </w:r>
      <w:r>
        <w:rPr>
          <w:i/>
          <w:iCs/>
          <w:shd w:val="clear" w:color="auto" w:fill="FFFFFF"/>
        </w:rPr>
        <w:t>Built Environment Project and Asset Management</w:t>
      </w:r>
      <w:r>
        <w:rPr>
          <w:shd w:val="clear" w:color="auto" w:fill="FFFFFF"/>
        </w:rPr>
        <w:t>.</w:t>
      </w:r>
    </w:p>
    <w:p>
      <w:pPr>
        <w:rPr>
          <w:shd w:val="clear" w:color="auto" w:fill="FFFFFF"/>
        </w:rPr>
      </w:pPr>
      <w:r>
        <w:rPr>
          <w:shd w:val="clear" w:color="auto" w:fill="FFFFFF"/>
        </w:rPr>
        <w:t>Gido, J. and Clements, J., 2014. </w:t>
      </w:r>
      <w:r>
        <w:rPr>
          <w:i/>
          <w:iCs/>
          <w:shd w:val="clear" w:color="auto" w:fill="FFFFFF"/>
        </w:rPr>
        <w:t>Successful project management</w:t>
      </w:r>
      <w:r>
        <w:rPr>
          <w:shd w:val="clear" w:color="auto" w:fill="FFFFFF"/>
        </w:rPr>
        <w:t>. Cengage Learning.</w:t>
      </w:r>
    </w:p>
    <w:p>
      <w:pPr>
        <w:rPr>
          <w:shd w:val="clear" w:color="auto" w:fill="FFFFFF"/>
        </w:rPr>
      </w:pPr>
      <w:r>
        <w:rPr>
          <w:shd w:val="clear" w:color="auto" w:fill="FFFFFF"/>
        </w:rPr>
        <w:t>Heerkens, G.R., 2012. </w:t>
      </w:r>
      <w:r>
        <w:rPr>
          <w:i/>
          <w:iCs/>
          <w:shd w:val="clear" w:color="auto" w:fill="FFFFFF"/>
        </w:rPr>
        <w:t>Project management</w:t>
      </w:r>
      <w:r>
        <w:rPr>
          <w:shd w:val="clear" w:color="auto" w:fill="FFFFFF"/>
        </w:rPr>
        <w:t>. McGraw Hill Professional.</w:t>
      </w:r>
    </w:p>
    <w:p>
      <w:pPr>
        <w:rPr>
          <w:shd w:val="clear" w:color="auto" w:fill="FFFFFF"/>
        </w:rPr>
      </w:pPr>
      <w:r>
        <w:rPr>
          <w:shd w:val="clear" w:color="auto" w:fill="FFFFFF"/>
        </w:rPr>
        <w:t>Kordi, N.E., Belayutham, S. and Che Ibrahim, C.K.I., 2021. Mapping of social sustainability attributes to stakeholders’ involvement in construction project life cycle. </w:t>
      </w:r>
      <w:r>
        <w:rPr>
          <w:i/>
          <w:iCs/>
          <w:shd w:val="clear" w:color="auto" w:fill="FFFFFF"/>
        </w:rPr>
        <w:t>Construction management and economics</w:t>
      </w:r>
      <w:r>
        <w:rPr>
          <w:shd w:val="clear" w:color="auto" w:fill="FFFFFF"/>
        </w:rPr>
        <w:t>, </w:t>
      </w:r>
      <w:r>
        <w:rPr>
          <w:i/>
          <w:iCs/>
          <w:shd w:val="clear" w:color="auto" w:fill="FFFFFF"/>
        </w:rPr>
        <w:t>39</w:t>
      </w:r>
      <w:r>
        <w:rPr>
          <w:shd w:val="clear" w:color="auto" w:fill="FFFFFF"/>
        </w:rPr>
        <w:t>(6), pp.513-532.</w:t>
      </w:r>
    </w:p>
    <w:p>
      <w:pPr>
        <w:rPr>
          <w:shd w:val="clear" w:color="auto" w:fill="FFFFFF"/>
        </w:rPr>
      </w:pPr>
      <w:r>
        <w:rPr>
          <w:shd w:val="clear" w:color="auto" w:fill="FFFFFF"/>
        </w:rPr>
        <w:t>Ng, S.T., Palaneeswaran, E. and Kumaraswamy, M.M., 2012. A dynamic e-Reporting system for contractor's performance appraisal. </w:t>
      </w:r>
      <w:r>
        <w:rPr>
          <w:i/>
          <w:iCs/>
          <w:shd w:val="clear" w:color="auto" w:fill="FFFFFF"/>
        </w:rPr>
        <w:t>Advances in Engineering software</w:t>
      </w:r>
      <w:r>
        <w:rPr>
          <w:shd w:val="clear" w:color="auto" w:fill="FFFFFF"/>
        </w:rPr>
        <w:t>, </w:t>
      </w:r>
      <w:r>
        <w:rPr>
          <w:i/>
          <w:iCs/>
          <w:shd w:val="clear" w:color="auto" w:fill="FFFFFF"/>
        </w:rPr>
        <w:t>33</w:t>
      </w:r>
      <w:r>
        <w:rPr>
          <w:shd w:val="clear" w:color="auto" w:fill="FFFFFF"/>
        </w:rPr>
        <w:t>(6), pp.339-349.</w:t>
      </w:r>
    </w:p>
    <w:p>
      <w:pPr>
        <w:rPr>
          <w:rFonts w:ascii="Arial" w:hAnsi="Arial" w:cs="Arial"/>
          <w:color w:val="222222"/>
          <w:sz w:val="20"/>
          <w:szCs w:val="20"/>
          <w:shd w:val="clear" w:color="auto" w:fill="FFFFFF"/>
        </w:rPr>
      </w:pPr>
      <w:r>
        <w:t>Schwalbe, K., 2019. Introduction to project management. Boston: Course Technology Cengage Learning</w:t>
      </w:r>
      <w:r>
        <w:rPr>
          <w:rFonts w:ascii="Arial" w:hAnsi="Arial" w:cs="Arial"/>
          <w:color w:val="222222"/>
          <w:sz w:val="20"/>
          <w:szCs w:val="20"/>
          <w:shd w:val="clear" w:color="auto" w:fill="FFFFFF"/>
        </w:rPr>
        <w:t>.</w:t>
      </w:r>
    </w:p>
    <w:p>
      <w:pPr>
        <w:rPr>
          <w:shd w:val="clear" w:color="auto" w:fill="FFFFFF"/>
        </w:rPr>
      </w:pPr>
      <w:r>
        <w:rPr>
          <w:shd w:val="clear" w:color="auto" w:fill="FFFFFF"/>
        </w:rPr>
        <w:t>Sun, M. and Aouad, G., 2019. Control mechanism for information sharing in an integrated construction environment. </w:t>
      </w:r>
      <w:r>
        <w:rPr>
          <w:i/>
          <w:iCs/>
          <w:shd w:val="clear" w:color="auto" w:fill="FFFFFF"/>
        </w:rPr>
        <w:t>CIB REPORT</w:t>
      </w:r>
      <w:r>
        <w:rPr>
          <w:shd w:val="clear" w:color="auto" w:fill="FFFFFF"/>
        </w:rPr>
        <w:t>, pp.121-130.</w:t>
      </w:r>
    </w:p>
    <w:p>
      <w:pPr>
        <w:rPr>
          <w:shd w:val="clear" w:color="auto" w:fill="FFFFFF"/>
        </w:rPr>
      </w:pPr>
      <w:r>
        <w:rPr>
          <w:shd w:val="clear" w:color="auto" w:fill="FFFFFF"/>
        </w:rPr>
        <w:t>Van Wyngaard, C.J., Pretorius, J.H.C. and Pretorius, L., 2012, December. Theory of the triple constraint—A conceptual review. In </w:t>
      </w:r>
      <w:r>
        <w:rPr>
          <w:i/>
          <w:iCs/>
          <w:shd w:val="clear" w:color="auto" w:fill="FFFFFF"/>
        </w:rPr>
        <w:t>2012 IEEE International Conference on Industrial Engineering and Engineering Management</w:t>
      </w:r>
      <w:r>
        <w:rPr>
          <w:shd w:val="clear" w:color="auto" w:fill="FFFFFF"/>
        </w:rPr>
        <w:t> (pp. 1991-1997). IEEE.</w:t>
      </w:r>
    </w:p>
    <w:p>
      <w:pPr>
        <w:rPr>
          <w:shd w:val="clear" w:color="auto" w:fill="FFFFFF"/>
        </w:rPr>
      </w:pPr>
      <w:r>
        <w:rPr>
          <w:shd w:val="clear" w:color="auto" w:fill="FFFFFF"/>
        </w:rPr>
        <w:t>Walker, A., 2015. </w:t>
      </w:r>
      <w:r>
        <w:rPr>
          <w:i/>
          <w:iCs/>
          <w:shd w:val="clear" w:color="auto" w:fill="FFFFFF"/>
        </w:rPr>
        <w:t>Project management in construction</w:t>
      </w:r>
      <w:r>
        <w:rPr>
          <w:shd w:val="clear" w:color="auto" w:fill="FFFFFF"/>
        </w:rPr>
        <w:t>. John Wiley &amp; Sons.</w:t>
      </w:r>
    </w:p>
    <w:p>
      <w:pPr>
        <w:rPr>
          <w:shd w:val="clear" w:color="auto" w:fill="FFFFFF"/>
        </w:rPr>
      </w:pPr>
      <w:r>
        <w:rPr>
          <w:shd w:val="clear" w:color="auto" w:fill="FFFFFF"/>
        </w:rPr>
        <w:t>Wei, C.C., Liu, P.H. and Tsai, Y.C., 2012. Resource-constrained project management using enhanced theory of constraint. </w:t>
      </w:r>
      <w:r>
        <w:rPr>
          <w:i/>
          <w:iCs/>
          <w:shd w:val="clear" w:color="auto" w:fill="FFFFFF"/>
        </w:rPr>
        <w:t>International Journal of Project Management</w:t>
      </w:r>
      <w:r>
        <w:rPr>
          <w:shd w:val="clear" w:color="auto" w:fill="FFFFFF"/>
        </w:rPr>
        <w:t>, </w:t>
      </w:r>
      <w:r>
        <w:rPr>
          <w:i/>
          <w:iCs/>
          <w:shd w:val="clear" w:color="auto" w:fill="FFFFFF"/>
        </w:rPr>
        <w:t>20</w:t>
      </w:r>
      <w:r>
        <w:rPr>
          <w:shd w:val="clear" w:color="auto" w:fill="FFFFFF"/>
        </w:rPr>
        <w:t>(7), pp.561-567.</w:t>
      </w:r>
    </w:p>
    <w:p>
      <w:pPr>
        <w:rPr>
          <w:shd w:val="clear" w:color="auto" w:fill="FFFFFF"/>
        </w:rPr>
      </w:pPr>
      <w:r>
        <w:rPr>
          <w:shd w:val="clear" w:color="auto" w:fill="FFFFFF"/>
        </w:rPr>
        <w:t>White, D. and Fortune, J., 2012. Current practice in project management—An empirical study. </w:t>
      </w:r>
      <w:r>
        <w:rPr>
          <w:i/>
          <w:iCs/>
          <w:shd w:val="clear" w:color="auto" w:fill="FFFFFF"/>
        </w:rPr>
        <w:t>International journal of project management</w:t>
      </w:r>
      <w:r>
        <w:rPr>
          <w:shd w:val="clear" w:color="auto" w:fill="FFFFFF"/>
        </w:rPr>
        <w:t>, </w:t>
      </w:r>
      <w:r>
        <w:rPr>
          <w:i/>
          <w:iCs/>
          <w:shd w:val="clear" w:color="auto" w:fill="FFFFFF"/>
        </w:rPr>
        <w:t>20</w:t>
      </w:r>
      <w:r>
        <w:rPr>
          <w:shd w:val="clear" w:color="auto" w:fill="FFFFFF"/>
        </w:rPr>
        <w:t>(1), pp.1-11.</w:t>
      </w:r>
    </w:p>
    <w:p>
      <w:r>
        <w:t>Wu, C.S. and Simmons, D.B., 2010, October. Software Project Planning Associate (SPPA): a knowledge-based approach for dynamic software project planning and tracking. In Proceedings 24th Annual International Computer Software and Applications Conference. COMPSAC2000 (pp. 305-310). IEEE</w:t>
      </w:r>
      <w:r>
        <w:rPr>
          <w:rFonts w:ascii="Arial" w:hAnsi="Arial" w:cs="Arial"/>
          <w:color w:val="222222"/>
          <w:sz w:val="20"/>
          <w:szCs w:val="20"/>
          <w:shd w:val="clear" w:color="auto" w:fill="FFFFFF"/>
        </w:rPr>
        <w:t>.</w:t>
      </w:r>
    </w:p>
    <w:p>
      <w:pPr>
        <w:rPr>
          <w:shd w:val="clear" w:color="auto" w:fill="FFFFFF"/>
        </w:rPr>
      </w:pPr>
      <w:r>
        <w:rPr>
          <w:shd w:val="clear" w:color="auto" w:fill="FFFFFF"/>
        </w:rPr>
        <w:t>Yang, Z.Y. and Wang, Z.F., 2010, October. Comparison between AON and AOA network diagrams. In </w:t>
      </w:r>
      <w:r>
        <w:rPr>
          <w:i/>
          <w:iCs/>
          <w:shd w:val="clear" w:color="auto" w:fill="FFFFFF"/>
        </w:rPr>
        <w:t>2010 IEEE 17Th International Conference on Industrial Engineering and Engineering Management</w:t>
      </w:r>
      <w:r>
        <w:rPr>
          <w:shd w:val="clear" w:color="auto" w:fill="FFFFFF"/>
        </w:rPr>
        <w:t> (pp. 1507-1509). IEEE.</w:t>
      </w:r>
    </w:p>
    <w:p/>
    <w:p/>
    <w:sectPr>
      <w:headerReference r:id="rId5" w:type="first"/>
      <w:footerReference r:id="rId8" w:type="first"/>
      <w:headerReference r:id="rId3" w:type="default"/>
      <w:footerReference r:id="rId6" w:type="default"/>
      <w:headerReference r:id="rId4" w:type="even"/>
      <w:footerReference r:id="rId7" w:type="even"/>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80000000" w:csb1="00000000"/>
  </w:font>
  <w:font w:name="Symbol">
    <w:altName w:val="Kingsoft Sign"/>
    <w:panose1 w:val="05050102010706020507"/>
    <w:charset w:val="02"/>
    <w:family w:val="decorative"/>
    <w:pitch w:val="default"/>
    <w:sig w:usb0="00000000" w:usb1="00000000" w:usb2="00000000" w:usb3="00000000" w:csb0="80000000" w:csb1="00000000"/>
  </w:font>
  <w:font w:name="Calibri">
    <w:altName w:val="Helvetica Neue"/>
    <w:panose1 w:val="020F0502020204030204"/>
    <w:charset w:val="CC"/>
    <w:family w:val="swiss"/>
    <w:pitch w:val="default"/>
    <w:sig w:usb0="00000000" w:usb1="00000000" w:usb2="00000009" w:usb3="00000000" w:csb0="000001FF" w:csb1="00000000"/>
  </w:font>
  <w:font w:name="Vrinda">
    <w:altName w:val="苹方-简"/>
    <w:panose1 w:val="020B0502040204020203"/>
    <w:charset w:val="00"/>
    <w:family w:val="swiss"/>
    <w:pitch w:val="default"/>
    <w:sig w:usb0="00000000" w:usb1="00000000" w:usb2="00000000" w:usb3="00000000" w:csb0="00000001" w:csb1="00000000"/>
  </w:font>
  <w:font w:name="Segoe UI">
    <w:altName w:val="苹方-简"/>
    <w:panose1 w:val="020B0502040204020203"/>
    <w:charset w:val="00"/>
    <w:family w:val="swiss"/>
    <w:pitch w:val="default"/>
    <w:sig w:usb0="00000000" w:usb1="00000000" w:usb2="00000009" w:usb3="00000000" w:csb0="000001FF" w:csb1="00000000"/>
  </w:font>
  <w:font w:name="Calibri Light">
    <w:altName w:val="Helvetica Neue"/>
    <w:panose1 w:val="020F0302020204030204"/>
    <w:charset w:val="CC"/>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Hiragino Sans CNS">
    <w:panose1 w:val="020B0300000000000000"/>
    <w:charset w:val="88"/>
    <w:family w:val="auto"/>
    <w:pitch w:val="default"/>
    <w:sig w:usb0="A00002FF" w:usb1="28CFFDFA" w:usb2="00000016" w:usb3="00000000" w:csb0="00120005" w:csb1="00000000"/>
  </w:font>
  <w:font w:name="Calibri Light">
    <w:altName w:val="Helvetica Neue"/>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46292475"/>
    </w:sdtPr>
    <w:sdtContent>
      <w:p>
        <w:pPr>
          <w:pStyle w:val="6"/>
          <w:jc w:val="center"/>
        </w:pPr>
        <w:r>
          <w:fldChar w:fldCharType="begin"/>
        </w:r>
        <w:r>
          <w:instrText xml:space="preserve"> PAGE   \* MERGEFORMAT </w:instrText>
        </w:r>
        <w:r>
          <w:fldChar w:fldCharType="separate"/>
        </w:r>
        <w:r>
          <w:t>17</w:t>
        </w:r>
        <w:r>
          <w:fldChar w:fldCharType="end"/>
        </w:r>
      </w:p>
    </w:sdtContent>
  </w:sdt>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71DB7"/>
    <w:multiLevelType w:val="multilevel"/>
    <w:tmpl w:val="3BB71DB7"/>
    <w:lvl w:ilvl="0" w:tentative="0">
      <w:start w:val="3"/>
      <w:numFmt w:val="decimal"/>
      <w:lvlText w:val="%1.0"/>
      <w:lvlJc w:val="left"/>
      <w:pPr>
        <w:ind w:left="720" w:hanging="720"/>
      </w:pPr>
      <w:rPr>
        <w:rFonts w:hint="default"/>
      </w:rPr>
    </w:lvl>
    <w:lvl w:ilvl="1" w:tentative="0">
      <w:start w:val="1"/>
      <w:numFmt w:val="decimal"/>
      <w:lvlText w:val="%1.%2"/>
      <w:lvlJc w:val="left"/>
      <w:pPr>
        <w:ind w:left="1440" w:hanging="7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4320" w:hanging="144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6120" w:hanging="1800"/>
      </w:pPr>
      <w:rPr>
        <w:rFonts w:hint="default"/>
      </w:rPr>
    </w:lvl>
    <w:lvl w:ilvl="7" w:tentative="0">
      <w:start w:val="1"/>
      <w:numFmt w:val="decimal"/>
      <w:lvlText w:val="%1.%2.%3.%4.%5.%6.%7.%8"/>
      <w:lvlJc w:val="left"/>
      <w:pPr>
        <w:ind w:left="7200" w:hanging="2160"/>
      </w:pPr>
      <w:rPr>
        <w:rFonts w:hint="default"/>
      </w:rPr>
    </w:lvl>
    <w:lvl w:ilvl="8" w:tentative="0">
      <w:start w:val="1"/>
      <w:numFmt w:val="decimal"/>
      <w:lvlText w:val="%1.%2.%3.%4.%5.%6.%7.%8.%9"/>
      <w:lvlJc w:val="left"/>
      <w:pPr>
        <w:ind w:left="7920" w:hanging="2160"/>
      </w:pPr>
      <w:rPr>
        <w:rFonts w:hint="default"/>
      </w:rPr>
    </w:lvl>
  </w:abstractNum>
  <w:abstractNum w:abstractNumId="1">
    <w:nsid w:val="4C6626AE"/>
    <w:multiLevelType w:val="multilevel"/>
    <w:tmpl w:val="4C6626A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CBD5139"/>
    <w:multiLevelType w:val="multilevel"/>
    <w:tmpl w:val="6CBD513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7B0079CA"/>
    <w:multiLevelType w:val="multilevel"/>
    <w:tmpl w:val="7B0079CA"/>
    <w:lvl w:ilvl="0" w:tentative="0">
      <w:start w:val="1"/>
      <w:numFmt w:val="decimal"/>
      <w:lvlText w:val="%1.0"/>
      <w:lvlJc w:val="left"/>
      <w:pPr>
        <w:ind w:left="480" w:hanging="480"/>
      </w:pPr>
      <w:rPr>
        <w:rFonts w:hint="default"/>
      </w:rPr>
    </w:lvl>
    <w:lvl w:ilvl="1" w:tentative="0">
      <w:start w:val="1"/>
      <w:numFmt w:val="decimal"/>
      <w:lvlText w:val="%1.%2"/>
      <w:lvlJc w:val="left"/>
      <w:pPr>
        <w:ind w:left="1200" w:hanging="48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E2NDY3NzK1AHIMjJR0lIJTi4sz8/NACoxqAdKNIwIsAAAA"/>
  </w:docVars>
  <w:rsids>
    <w:rsidRoot w:val="003A4F47"/>
    <w:rsid w:val="00047768"/>
    <w:rsid w:val="00054AB4"/>
    <w:rsid w:val="000A602A"/>
    <w:rsid w:val="00106016"/>
    <w:rsid w:val="00250C69"/>
    <w:rsid w:val="0027675F"/>
    <w:rsid w:val="00295E48"/>
    <w:rsid w:val="002C035A"/>
    <w:rsid w:val="002D5E34"/>
    <w:rsid w:val="002E63B8"/>
    <w:rsid w:val="002F2CCA"/>
    <w:rsid w:val="002F7D60"/>
    <w:rsid w:val="00356D69"/>
    <w:rsid w:val="00385093"/>
    <w:rsid w:val="00386772"/>
    <w:rsid w:val="003A4F47"/>
    <w:rsid w:val="00411F3A"/>
    <w:rsid w:val="004125B6"/>
    <w:rsid w:val="0046477F"/>
    <w:rsid w:val="0048009E"/>
    <w:rsid w:val="004866E5"/>
    <w:rsid w:val="00513B6B"/>
    <w:rsid w:val="005255C8"/>
    <w:rsid w:val="00534991"/>
    <w:rsid w:val="00537EB0"/>
    <w:rsid w:val="00551DF1"/>
    <w:rsid w:val="00556C66"/>
    <w:rsid w:val="005740DB"/>
    <w:rsid w:val="00595164"/>
    <w:rsid w:val="005F5BAA"/>
    <w:rsid w:val="00615FB9"/>
    <w:rsid w:val="00654D02"/>
    <w:rsid w:val="00673161"/>
    <w:rsid w:val="006E5A61"/>
    <w:rsid w:val="00720737"/>
    <w:rsid w:val="007E5A92"/>
    <w:rsid w:val="00805701"/>
    <w:rsid w:val="00836590"/>
    <w:rsid w:val="008504C3"/>
    <w:rsid w:val="00874A6F"/>
    <w:rsid w:val="0087634D"/>
    <w:rsid w:val="008C59DA"/>
    <w:rsid w:val="00906391"/>
    <w:rsid w:val="00915CDC"/>
    <w:rsid w:val="0095565A"/>
    <w:rsid w:val="009B0ECA"/>
    <w:rsid w:val="009B6605"/>
    <w:rsid w:val="00A32842"/>
    <w:rsid w:val="00A32AA1"/>
    <w:rsid w:val="00A67DDD"/>
    <w:rsid w:val="00AA1714"/>
    <w:rsid w:val="00B1485E"/>
    <w:rsid w:val="00B55D55"/>
    <w:rsid w:val="00B67A8E"/>
    <w:rsid w:val="00B7392B"/>
    <w:rsid w:val="00B76F13"/>
    <w:rsid w:val="00B92E7C"/>
    <w:rsid w:val="00B94AC0"/>
    <w:rsid w:val="00BB734D"/>
    <w:rsid w:val="00BF1024"/>
    <w:rsid w:val="00C3547E"/>
    <w:rsid w:val="00C42DF9"/>
    <w:rsid w:val="00C639E0"/>
    <w:rsid w:val="00DA28CD"/>
    <w:rsid w:val="00DA6072"/>
    <w:rsid w:val="00E13CBD"/>
    <w:rsid w:val="00E15EF6"/>
    <w:rsid w:val="00E203F9"/>
    <w:rsid w:val="00E21D13"/>
    <w:rsid w:val="00E8505D"/>
    <w:rsid w:val="00E95AFE"/>
    <w:rsid w:val="00EC515D"/>
    <w:rsid w:val="00EE1B50"/>
    <w:rsid w:val="00F84FEF"/>
    <w:rsid w:val="00FC1233"/>
    <w:rsid w:val="00FD52D2"/>
    <w:rsid w:val="07BF281B"/>
    <w:rsid w:val="717A053D"/>
    <w:rsid w:val="FFBF15B7"/>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5"/>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6"/>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link w:val="17"/>
    <w:unhideWhenUsed/>
    <w:qFormat/>
    <w:uiPriority w:val="9"/>
    <w:pPr>
      <w:keepNext/>
      <w:keepLines/>
      <w:spacing w:before="40" w:after="0"/>
      <w:outlineLvl w:val="2"/>
    </w:pPr>
    <w:rPr>
      <w:rFonts w:eastAsiaTheme="majorEastAsia" w:cstheme="majorBidi"/>
      <w:b/>
      <w:szCs w:val="24"/>
    </w:rPr>
  </w:style>
  <w:style w:type="character" w:default="1" w:styleId="11">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Balloon Text"/>
    <w:basedOn w:val="1"/>
    <w:link w:val="18"/>
    <w:unhideWhenUsed/>
    <w:qFormat/>
    <w:uiPriority w:val="99"/>
    <w:pPr>
      <w:spacing w:after="0" w:line="240" w:lineRule="auto"/>
    </w:pPr>
    <w:rPr>
      <w:rFonts w:ascii="Segoe UI" w:hAnsi="Segoe UI" w:cs="Segoe UI"/>
      <w:sz w:val="18"/>
      <w:szCs w:val="18"/>
    </w:rPr>
  </w:style>
  <w:style w:type="paragraph" w:styleId="6">
    <w:name w:val="footer"/>
    <w:basedOn w:val="1"/>
    <w:link w:val="21"/>
    <w:unhideWhenUsed/>
    <w:qFormat/>
    <w:uiPriority w:val="99"/>
    <w:pPr>
      <w:tabs>
        <w:tab w:val="center" w:pos="4680"/>
        <w:tab w:val="right" w:pos="9360"/>
      </w:tabs>
      <w:spacing w:after="0" w:line="240" w:lineRule="auto"/>
    </w:pPr>
  </w:style>
  <w:style w:type="paragraph" w:styleId="7">
    <w:name w:val="header"/>
    <w:basedOn w:val="1"/>
    <w:link w:val="20"/>
    <w:unhideWhenUsed/>
    <w:qFormat/>
    <w:uiPriority w:val="99"/>
    <w:pPr>
      <w:tabs>
        <w:tab w:val="center" w:pos="4680"/>
        <w:tab w:val="right" w:pos="9360"/>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40"/>
    </w:pPr>
  </w:style>
  <w:style w:type="paragraph" w:styleId="10">
    <w:name w:val="toc 3"/>
    <w:basedOn w:val="1"/>
    <w:next w:val="1"/>
    <w:unhideWhenUsed/>
    <w:qFormat/>
    <w:uiPriority w:val="39"/>
    <w:pPr>
      <w:spacing w:after="100"/>
      <w:ind w:left="48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table" w:styleId="14">
    <w:name w:val="Table Grid"/>
    <w:basedOn w:val="1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Heading 1 Char"/>
    <w:basedOn w:val="11"/>
    <w:link w:val="2"/>
    <w:qFormat/>
    <w:uiPriority w:val="9"/>
    <w:rPr>
      <w:rFonts w:ascii="Times New Roman" w:hAnsi="Times New Roman" w:eastAsiaTheme="majorEastAsia" w:cstheme="majorBidi"/>
      <w:b/>
      <w:sz w:val="32"/>
      <w:szCs w:val="32"/>
    </w:rPr>
  </w:style>
  <w:style w:type="character" w:customStyle="1" w:styleId="16">
    <w:name w:val="Heading 2 Char"/>
    <w:basedOn w:val="11"/>
    <w:link w:val="3"/>
    <w:qFormat/>
    <w:uiPriority w:val="9"/>
    <w:rPr>
      <w:rFonts w:ascii="Times New Roman" w:hAnsi="Times New Roman" w:eastAsiaTheme="majorEastAsia" w:cstheme="majorBidi"/>
      <w:b/>
      <w:sz w:val="28"/>
      <w:szCs w:val="26"/>
    </w:rPr>
  </w:style>
  <w:style w:type="character" w:customStyle="1" w:styleId="17">
    <w:name w:val="Heading 3 Char"/>
    <w:basedOn w:val="11"/>
    <w:link w:val="4"/>
    <w:qFormat/>
    <w:uiPriority w:val="9"/>
    <w:rPr>
      <w:rFonts w:ascii="Times New Roman" w:hAnsi="Times New Roman" w:eastAsiaTheme="majorEastAsia" w:cstheme="majorBidi"/>
      <w:b/>
      <w:sz w:val="24"/>
      <w:szCs w:val="24"/>
    </w:rPr>
  </w:style>
  <w:style w:type="character" w:customStyle="1" w:styleId="18">
    <w:name w:val="Balloon Text Char"/>
    <w:basedOn w:val="11"/>
    <w:link w:val="5"/>
    <w:semiHidden/>
    <w:qFormat/>
    <w:uiPriority w:val="99"/>
    <w:rPr>
      <w:rFonts w:ascii="Segoe UI" w:hAnsi="Segoe UI" w:cs="Segoe UI"/>
      <w:sz w:val="18"/>
      <w:szCs w:val="18"/>
    </w:rPr>
  </w:style>
  <w:style w:type="paragraph" w:customStyle="1" w:styleId="19">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rPr>
  </w:style>
  <w:style w:type="character" w:customStyle="1" w:styleId="20">
    <w:name w:val="Header Char"/>
    <w:basedOn w:val="11"/>
    <w:link w:val="7"/>
    <w:qFormat/>
    <w:uiPriority w:val="99"/>
    <w:rPr>
      <w:rFonts w:ascii="Times New Roman" w:hAnsi="Times New Roman"/>
      <w:sz w:val="24"/>
    </w:rPr>
  </w:style>
  <w:style w:type="character" w:customStyle="1" w:styleId="21">
    <w:name w:val="Footer Char"/>
    <w:basedOn w:val="11"/>
    <w:link w:val="6"/>
    <w:qFormat/>
    <w:uiPriority w:val="99"/>
    <w:rPr>
      <w:rFonts w:ascii="Times New Roman" w:hAnsi="Times New Roman"/>
      <w:sz w:val="24"/>
    </w:rPr>
  </w:style>
  <w:style w:type="paragraph" w:customStyle="1" w:styleId="22">
    <w:name w:val="List Paragraph"/>
    <w:basedOn w:val="1"/>
    <w:qFormat/>
    <w:uiPriority w:val="34"/>
    <w:pPr>
      <w:ind w:left="720"/>
      <w:contextualSpacing/>
    </w:pPr>
  </w:style>
  <w:style w:type="table" w:customStyle="1" w:styleId="23">
    <w:name w:val="Grid Table 1 Light"/>
    <w:basedOn w:val="13"/>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4">
    <w:name w:val="Grid Table 4 Accent 5"/>
    <w:basedOn w:val="13"/>
    <w:qFormat/>
    <w:uiPriority w:val="49"/>
    <w:pPr>
      <w:spacing w:after="0" w:line="240" w:lineRule="auto"/>
    </w:pPr>
    <w:tblPr>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14:textFill>
          <w14:solidFill>
            <w14:schemeClr w14:val="bg1"/>
          </w14:solidFill>
        </w14:textFill>
      </w:r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cPr>
        <w:tcBorders>
          <w:top w:val="double" w:color="4472C4" w:themeColor="accent5" w:sz="4" w:space="0"/>
        </w:tcBorders>
      </w:tcPr>
    </w:tblStylePr>
    <w:tblStylePr w:type="firstCol">
      <w:rPr>
        <w:b/>
        <w:bCs/>
      </w:rPr>
    </w:tblStylePr>
    <w:tblStylePr w:type="lastCol">
      <w:rPr>
        <w:b/>
        <w:bCs/>
      </w:rPr>
    </w:tblStylePr>
    <w:tblStylePr w:type="band1Vert">
      <w:tcPr>
        <w:shd w:val="clear" w:color="auto" w:fill="D9E2F3" w:themeFill="accent5" w:themeFillTint="33"/>
      </w:tcPr>
    </w:tblStylePr>
    <w:tblStylePr w:type="band1Horz">
      <w:tcPr>
        <w:shd w:val="clear" w:color="auto" w:fill="D9E2F3" w:themeFill="accent5" w:themeFillTint="33"/>
      </w:tcPr>
    </w:tblStylePr>
  </w:style>
  <w:style w:type="table" w:customStyle="1" w:styleId="25">
    <w:name w:val="Grid Table 4 Accent 2"/>
    <w:basedOn w:val="13"/>
    <w:qFormat/>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26">
    <w:name w:val="Grid Table 3 Accent 1"/>
    <w:basedOn w:val="13"/>
    <w:qFormat/>
    <w:uiPriority w:val="48"/>
    <w:pPr>
      <w:spacing w:after="0" w:line="240" w:lineRule="auto"/>
    </w:p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1" w:themeFillTint="33"/>
      </w:tcPr>
    </w:tblStylePr>
    <w:tblStylePr w:type="band1Horz">
      <w:tcPr>
        <w:shd w:val="clear" w:color="auto" w:fill="DEEAF6" w:themeFill="accent1" w:themeFillTint="33"/>
      </w:tcPr>
    </w:tblStylePr>
    <w:tblStylePr w:type="neCell">
      <w:tcPr>
        <w:tcBorders>
          <w:bottom w:val="single" w:color="9CC2E5" w:themeColor="accent1" w:themeTint="99" w:sz="4" w:space="0"/>
        </w:tcBorders>
      </w:tcPr>
    </w:tblStylePr>
    <w:tblStylePr w:type="nwCell">
      <w:tcPr>
        <w:tcBorders>
          <w:bottom w:val="single" w:color="9CC2E5" w:themeColor="accent1" w:themeTint="99" w:sz="4" w:space="0"/>
        </w:tcBorders>
      </w:tcPr>
    </w:tblStylePr>
    <w:tblStylePr w:type="seCell">
      <w:tcPr>
        <w:tcBorders>
          <w:top w:val="single" w:color="9CC2E5" w:themeColor="accent1" w:themeTint="99" w:sz="4" w:space="0"/>
        </w:tcBorders>
      </w:tcPr>
    </w:tblStylePr>
    <w:tblStylePr w:type="swCell">
      <w:tcPr>
        <w:tcBorders>
          <w:top w:val="single" w:color="9CC2E5" w:themeColor="accent1" w:themeTint="99" w:sz="4" w:space="0"/>
        </w:tcBorders>
      </w:tcPr>
    </w:tblStylePr>
  </w:style>
  <w:style w:type="table" w:customStyle="1" w:styleId="27">
    <w:name w:val="Grid Table 4 Accent 1"/>
    <w:basedOn w:val="13"/>
    <w:qFormat/>
    <w:uiPriority w:val="49"/>
    <w:pPr>
      <w:spacing w:after="0" w:line="240" w:lineRule="auto"/>
    </w:p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cPr>
        <w:tcBorders>
          <w:top w:val="double" w:color="5B9BD5" w:themeColor="accent1"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diagramColors" Target="diagrams/colors2.xml"/><Relationship Id="rId16" Type="http://schemas.openxmlformats.org/officeDocument/2006/relationships/diagramQuickStyle" Target="diagrams/quickStyle2.xml"/><Relationship Id="rId15" Type="http://schemas.openxmlformats.org/officeDocument/2006/relationships/diagramLayout" Target="diagrams/layout2.xml"/><Relationship Id="rId14" Type="http://schemas.openxmlformats.org/officeDocument/2006/relationships/diagramData" Target="diagrams/data2.xml"/><Relationship Id="rId13" Type="http://schemas.openxmlformats.org/officeDocument/2006/relationships/diagramColors" Target="diagrams/colors1.xml"/><Relationship Id="rId12" Type="http://schemas.openxmlformats.org/officeDocument/2006/relationships/diagramQuickStyle" Target="diagrams/quickStyle1.xml"/><Relationship Id="rId11" Type="http://schemas.openxmlformats.org/officeDocument/2006/relationships/diagramLayout" Target="diagrams/layout1.xml"/><Relationship Id="rId10" Type="http://schemas.openxmlformats.org/officeDocument/2006/relationships/diagramData" Target="diagrams/data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6538EE5-DE82-470A-953C-ACD498905598}" type="doc">
      <dgm:prSet loTypeId="urn:microsoft.com/office/officeart/2009/3/layout/StepUpProcess#1" loCatId="process" qsTypeId="urn:microsoft.com/office/officeart/2005/8/quickstyle/simple1" qsCatId="simple" csTypeId="urn:microsoft.com/office/officeart/2005/8/colors/colorful3" csCatId="colorful" phldr="1"/>
      <dgm:spPr/>
      <dgm:t>
        <a:bodyPr/>
        <a:p>
          <a:endParaRPr lang="en-US"/>
        </a:p>
      </dgm:t>
    </dgm:pt>
    <dgm:pt modelId="{75DE1879-36E4-41E8-8810-B7919ED72E03}">
      <dgm:prSet phldrT="[Text]" custT="1"/>
      <dgm:spPr/>
      <dgm:t>
        <a:bodyPr/>
        <a:p>
          <a:r>
            <a:rPr lang="en-US" sz="1200">
              <a:latin typeface="Times New Roman" panose="02020503050405090304" charset="0"/>
              <a:cs typeface="Times New Roman" panose="02020503050405090304" charset="0"/>
            </a:rPr>
            <a:t>Project scope </a:t>
          </a:r>
        </a:p>
      </dgm:t>
    </dgm:pt>
    <dgm:pt modelId="{64E35748-C52F-4F3E-A13F-F65D55CB18D5}" cxnId="{1EF09E1E-A352-4C3E-AC80-613EEA8FACB9}" type="parTrans">
      <dgm:prSet/>
      <dgm:spPr/>
      <dgm:t>
        <a:bodyPr/>
        <a:p>
          <a:endParaRPr lang="en-US"/>
        </a:p>
      </dgm:t>
    </dgm:pt>
    <dgm:pt modelId="{5725775A-A661-475D-8FAB-32FC31B4DFFC}" cxnId="{1EF09E1E-A352-4C3E-AC80-613EEA8FACB9}" type="sibTrans">
      <dgm:prSet/>
      <dgm:spPr/>
      <dgm:t>
        <a:bodyPr/>
        <a:p>
          <a:endParaRPr lang="en-US"/>
        </a:p>
      </dgm:t>
    </dgm:pt>
    <dgm:pt modelId="{2F2AB354-F3BE-4A8B-91BD-65DB9FC0EA57}">
      <dgm:prSet phldrT="[Text]" custT="1"/>
      <dgm:spPr/>
      <dgm:t>
        <a:bodyPr/>
        <a:p>
          <a:r>
            <a:rPr lang="en-US" sz="1200">
              <a:latin typeface="Times New Roman" panose="02020503050405090304" charset="0"/>
              <a:cs typeface="Times New Roman" panose="02020503050405090304" charset="0"/>
            </a:rPr>
            <a:t>Budget assumpations </a:t>
          </a:r>
        </a:p>
      </dgm:t>
    </dgm:pt>
    <dgm:pt modelId="{65BB477A-3E61-49E2-BAEC-7DC3595948C9}" cxnId="{EAADB81A-4917-43EF-844B-13D460B18BB2}" type="parTrans">
      <dgm:prSet/>
      <dgm:spPr/>
      <dgm:t>
        <a:bodyPr/>
        <a:p>
          <a:endParaRPr lang="en-US"/>
        </a:p>
      </dgm:t>
    </dgm:pt>
    <dgm:pt modelId="{8AC81A2B-1C38-4357-A0F1-47F495E78778}" cxnId="{EAADB81A-4917-43EF-844B-13D460B18BB2}" type="sibTrans">
      <dgm:prSet/>
      <dgm:spPr/>
      <dgm:t>
        <a:bodyPr/>
        <a:p>
          <a:endParaRPr lang="en-US"/>
        </a:p>
      </dgm:t>
    </dgm:pt>
    <dgm:pt modelId="{C4548A99-128B-496F-A805-7E5A1119CCC2}">
      <dgm:prSet phldrT="[Text]" custT="1"/>
      <dgm:spPr/>
      <dgm:t>
        <a:bodyPr/>
        <a:p>
          <a:r>
            <a:rPr lang="en-US" sz="1200">
              <a:latin typeface="Times New Roman" panose="02020503050405090304" charset="0"/>
              <a:cs typeface="Times New Roman" panose="02020503050405090304" charset="0"/>
            </a:rPr>
            <a:t>Assumpations </a:t>
          </a:r>
        </a:p>
      </dgm:t>
    </dgm:pt>
    <dgm:pt modelId="{046CA2BB-C3DA-45F5-8E5F-54AE76B8C9F9}" cxnId="{E60AA333-E511-4949-8943-88C033A807B9}" type="parTrans">
      <dgm:prSet/>
      <dgm:spPr/>
      <dgm:t>
        <a:bodyPr/>
        <a:p>
          <a:endParaRPr lang="en-US"/>
        </a:p>
      </dgm:t>
    </dgm:pt>
    <dgm:pt modelId="{FF3DC1A3-00CF-49C5-BB24-CDCEB2A596AE}" cxnId="{E60AA333-E511-4949-8943-88C033A807B9}" type="sibTrans">
      <dgm:prSet/>
      <dgm:spPr/>
      <dgm:t>
        <a:bodyPr/>
        <a:p>
          <a:endParaRPr lang="en-US"/>
        </a:p>
      </dgm:t>
    </dgm:pt>
    <dgm:pt modelId="{E3D3B160-5007-42CD-81B5-65954561DD30}">
      <dgm:prSet phldrT="[Text]" custT="1"/>
      <dgm:spPr/>
      <dgm:t>
        <a:bodyPr/>
        <a:p>
          <a:r>
            <a:rPr lang="en-US" sz="1200">
              <a:latin typeface="Times New Roman" panose="02020503050405090304" charset="0"/>
              <a:cs typeface="Times New Roman" panose="02020503050405090304" charset="0"/>
            </a:rPr>
            <a:t>Constraints </a:t>
          </a:r>
        </a:p>
      </dgm:t>
    </dgm:pt>
    <dgm:pt modelId="{F66D77E2-C8AF-464D-AF5F-FFCA3720B046}" cxnId="{11CD1097-D342-4ACF-B162-F7EBFC605EFB}" type="parTrans">
      <dgm:prSet/>
      <dgm:spPr/>
      <dgm:t>
        <a:bodyPr/>
        <a:p>
          <a:endParaRPr lang="en-US"/>
        </a:p>
      </dgm:t>
    </dgm:pt>
    <dgm:pt modelId="{5B285FC2-EF52-401E-B151-AB606B600BE2}" cxnId="{11CD1097-D342-4ACF-B162-F7EBFC605EFB}" type="sibTrans">
      <dgm:prSet/>
      <dgm:spPr/>
      <dgm:t>
        <a:bodyPr/>
        <a:p>
          <a:endParaRPr lang="en-US"/>
        </a:p>
      </dgm:t>
    </dgm:pt>
    <dgm:pt modelId="{D1BF796F-DF17-4231-849B-055CB4DE0AF7}">
      <dgm:prSet phldrT="[Text]" custT="1"/>
      <dgm:spPr/>
      <dgm:t>
        <a:bodyPr/>
        <a:p>
          <a:r>
            <a:rPr lang="en-US" sz="1200">
              <a:latin typeface="Times New Roman" panose="02020503050405090304" charset="0"/>
              <a:cs typeface="Times New Roman" panose="02020503050405090304" charset="0"/>
            </a:rPr>
            <a:t>Stakeholders </a:t>
          </a:r>
        </a:p>
      </dgm:t>
    </dgm:pt>
    <dgm:pt modelId="{90849462-6670-47FB-B4D6-1C3573A53E54}" cxnId="{DE7F8C70-E7B1-4633-BC6B-D568BE054FEB}" type="parTrans">
      <dgm:prSet/>
      <dgm:spPr/>
      <dgm:t>
        <a:bodyPr/>
        <a:p>
          <a:endParaRPr lang="en-US"/>
        </a:p>
      </dgm:t>
    </dgm:pt>
    <dgm:pt modelId="{81B5DE22-DB06-43BD-9054-2E58F87D77F8}" cxnId="{DE7F8C70-E7B1-4633-BC6B-D568BE054FEB}" type="sibTrans">
      <dgm:prSet/>
      <dgm:spPr/>
      <dgm:t>
        <a:bodyPr/>
        <a:p>
          <a:endParaRPr lang="en-US"/>
        </a:p>
      </dgm:t>
    </dgm:pt>
    <dgm:pt modelId="{A1D73107-F4AE-404B-889A-02F51B72C1A9}">
      <dgm:prSet phldrT="[Text]" custT="1"/>
      <dgm:spPr/>
      <dgm:t>
        <a:bodyPr/>
        <a:p>
          <a:r>
            <a:rPr lang="en-US" sz="1200">
              <a:latin typeface="Times New Roman" panose="02020503050405090304" charset="0"/>
              <a:cs typeface="Times New Roman" panose="02020503050405090304" charset="0"/>
            </a:rPr>
            <a:t>Project controlling framwork </a:t>
          </a:r>
        </a:p>
      </dgm:t>
    </dgm:pt>
    <dgm:pt modelId="{E1ABAF94-B1CC-4349-B570-F5A80A78323D}" cxnId="{8ED68E14-B563-4431-903B-E034C743D909}" type="parTrans">
      <dgm:prSet/>
      <dgm:spPr/>
      <dgm:t>
        <a:bodyPr/>
        <a:p>
          <a:endParaRPr lang="en-US"/>
        </a:p>
      </dgm:t>
    </dgm:pt>
    <dgm:pt modelId="{5432A93B-0A77-4495-B7B0-15B880453174}" cxnId="{8ED68E14-B563-4431-903B-E034C743D909}" type="sibTrans">
      <dgm:prSet/>
      <dgm:spPr/>
      <dgm:t>
        <a:bodyPr/>
        <a:p>
          <a:endParaRPr lang="en-US"/>
        </a:p>
      </dgm:t>
    </dgm:pt>
    <dgm:pt modelId="{4BF697D6-1679-4418-8BA3-A5042AB8D5B5}">
      <dgm:prSet phldrT="[Text]" custT="1"/>
      <dgm:spPr/>
      <dgm:t>
        <a:bodyPr/>
        <a:p>
          <a:r>
            <a:rPr lang="en-US" sz="1200">
              <a:latin typeface="Times New Roman" panose="02020503050405090304" charset="0"/>
              <a:cs typeface="Times New Roman" panose="02020503050405090304" charset="0"/>
            </a:rPr>
            <a:t>Reporting framwork </a:t>
          </a:r>
        </a:p>
      </dgm:t>
    </dgm:pt>
    <dgm:pt modelId="{EBBC6A69-68AD-4F41-A67C-8C76AD2B2A35}" cxnId="{C73A9338-9072-45D6-B24C-5860E422B295}" type="parTrans">
      <dgm:prSet/>
      <dgm:spPr/>
      <dgm:t>
        <a:bodyPr/>
        <a:p>
          <a:endParaRPr lang="en-US"/>
        </a:p>
      </dgm:t>
    </dgm:pt>
    <dgm:pt modelId="{22BD1D31-ECA2-44E2-B4E4-A7EB5F46B64A}" cxnId="{C73A9338-9072-45D6-B24C-5860E422B295}" type="sibTrans">
      <dgm:prSet/>
      <dgm:spPr/>
      <dgm:t>
        <a:bodyPr/>
        <a:p>
          <a:endParaRPr lang="en-US"/>
        </a:p>
      </dgm:t>
    </dgm:pt>
    <dgm:pt modelId="{F01D3F82-5626-400C-AECD-6FA510230627}">
      <dgm:prSet phldrT="[Text]" custT="1"/>
      <dgm:spPr/>
      <dgm:t>
        <a:bodyPr/>
        <a:p>
          <a:r>
            <a:rPr lang="en-US" sz="1200">
              <a:latin typeface="Times New Roman" panose="02020503050405090304" charset="0"/>
              <a:cs typeface="Times New Roman" panose="02020503050405090304" charset="0"/>
            </a:rPr>
            <a:t>Project Planning with Milestones </a:t>
          </a:r>
        </a:p>
      </dgm:t>
    </dgm:pt>
    <dgm:pt modelId="{472AA019-C789-431A-8383-12CAB59F73C3}" cxnId="{8D7AA05A-0EA2-4C41-A80C-12DEC4A03F94}" type="parTrans">
      <dgm:prSet/>
      <dgm:spPr/>
      <dgm:t>
        <a:bodyPr/>
        <a:p>
          <a:endParaRPr lang="en-US"/>
        </a:p>
      </dgm:t>
    </dgm:pt>
    <dgm:pt modelId="{C3C15A80-64E2-4037-B67F-7CA22C34769F}" cxnId="{8D7AA05A-0EA2-4C41-A80C-12DEC4A03F94}" type="sibTrans">
      <dgm:prSet/>
      <dgm:spPr/>
      <dgm:t>
        <a:bodyPr/>
        <a:p>
          <a:endParaRPr lang="en-US"/>
        </a:p>
      </dgm:t>
    </dgm:pt>
    <dgm:pt modelId="{520BC091-4E5A-49AB-BD79-FC4A288A08E3}" type="pres">
      <dgm:prSet presAssocID="{46538EE5-DE82-470A-953C-ACD498905598}" presName="rootnode" presStyleCnt="0">
        <dgm:presLayoutVars>
          <dgm:chMax/>
          <dgm:chPref/>
          <dgm:dir/>
          <dgm:animLvl val="lvl"/>
        </dgm:presLayoutVars>
      </dgm:prSet>
      <dgm:spPr/>
    </dgm:pt>
    <dgm:pt modelId="{BC8AE00B-EED4-4A35-985D-127EB41B61AF}" type="pres">
      <dgm:prSet presAssocID="{75DE1879-36E4-41E8-8810-B7919ED72E03}" presName="composite" presStyleCnt="0"/>
      <dgm:spPr/>
    </dgm:pt>
    <dgm:pt modelId="{67B60DC7-9924-4864-A468-E22BFE841D79}" type="pres">
      <dgm:prSet presAssocID="{75DE1879-36E4-41E8-8810-B7919ED72E03}" presName="LShape" presStyleLbl="alignNode1" presStyleIdx="0" presStyleCnt="15"/>
      <dgm:spPr/>
    </dgm:pt>
    <dgm:pt modelId="{0B841E02-09A1-4720-877E-38FA79C82EDF}" type="pres">
      <dgm:prSet presAssocID="{75DE1879-36E4-41E8-8810-B7919ED72E03}" presName="ParentText" presStyleLbl="revTx" presStyleIdx="0" presStyleCnt="8">
        <dgm:presLayoutVars>
          <dgm:chMax val="0"/>
          <dgm:chPref val="0"/>
          <dgm:bulletEnabled val="1"/>
        </dgm:presLayoutVars>
      </dgm:prSet>
      <dgm:spPr/>
    </dgm:pt>
    <dgm:pt modelId="{30F46CF7-5E0F-4939-9BFD-CF6D2D485198}" type="pres">
      <dgm:prSet presAssocID="{75DE1879-36E4-41E8-8810-B7919ED72E03}" presName="Triangle" presStyleLbl="alignNode1" presStyleIdx="1" presStyleCnt="15"/>
      <dgm:spPr/>
    </dgm:pt>
    <dgm:pt modelId="{A33D201E-6BF4-4DBA-91A8-02B0E6CE5070}" type="pres">
      <dgm:prSet presAssocID="{5725775A-A661-475D-8FAB-32FC31B4DFFC}" presName="sibTrans" presStyleCnt="0"/>
      <dgm:spPr/>
    </dgm:pt>
    <dgm:pt modelId="{F2733633-4F99-4B3C-8C57-28FD2DEF991F}" type="pres">
      <dgm:prSet presAssocID="{5725775A-A661-475D-8FAB-32FC31B4DFFC}" presName="space" presStyleCnt="0"/>
      <dgm:spPr/>
    </dgm:pt>
    <dgm:pt modelId="{81C9F8DC-0270-446E-BD02-E97BB8C72628}" type="pres">
      <dgm:prSet presAssocID="{2F2AB354-F3BE-4A8B-91BD-65DB9FC0EA57}" presName="composite" presStyleCnt="0"/>
      <dgm:spPr/>
    </dgm:pt>
    <dgm:pt modelId="{EA02F691-2F57-4079-99ED-94FCD4241119}" type="pres">
      <dgm:prSet presAssocID="{2F2AB354-F3BE-4A8B-91BD-65DB9FC0EA57}" presName="LShape" presStyleLbl="alignNode1" presStyleIdx="2" presStyleCnt="15"/>
      <dgm:spPr/>
    </dgm:pt>
    <dgm:pt modelId="{47AF4FB1-3C8F-465C-BF2B-BADB00537808}" type="pres">
      <dgm:prSet presAssocID="{2F2AB354-F3BE-4A8B-91BD-65DB9FC0EA57}" presName="ParentText" presStyleLbl="revTx" presStyleIdx="1" presStyleCnt="8">
        <dgm:presLayoutVars>
          <dgm:chMax val="0"/>
          <dgm:chPref val="0"/>
          <dgm:bulletEnabled val="1"/>
        </dgm:presLayoutVars>
      </dgm:prSet>
      <dgm:spPr/>
    </dgm:pt>
    <dgm:pt modelId="{6EDF27CA-6918-41E7-8FA1-6B90CD809EAB}" type="pres">
      <dgm:prSet presAssocID="{2F2AB354-F3BE-4A8B-91BD-65DB9FC0EA57}" presName="Triangle" presStyleLbl="alignNode1" presStyleIdx="3" presStyleCnt="15"/>
      <dgm:spPr/>
    </dgm:pt>
    <dgm:pt modelId="{67F4FEF8-CD50-48DF-A2B8-278C5CDE353C}" type="pres">
      <dgm:prSet presAssocID="{8AC81A2B-1C38-4357-A0F1-47F495E78778}" presName="sibTrans" presStyleCnt="0"/>
      <dgm:spPr/>
    </dgm:pt>
    <dgm:pt modelId="{5C9C79DE-219F-42CC-94DD-CE5E929E99B6}" type="pres">
      <dgm:prSet presAssocID="{8AC81A2B-1C38-4357-A0F1-47F495E78778}" presName="space" presStyleCnt="0"/>
      <dgm:spPr/>
    </dgm:pt>
    <dgm:pt modelId="{5CC7394A-9450-4F2B-85FC-E8A35EBA0CD8}" type="pres">
      <dgm:prSet presAssocID="{C4548A99-128B-496F-A805-7E5A1119CCC2}" presName="composite" presStyleCnt="0"/>
      <dgm:spPr/>
    </dgm:pt>
    <dgm:pt modelId="{6F8901A2-7608-446C-B259-7CED825C6311}" type="pres">
      <dgm:prSet presAssocID="{C4548A99-128B-496F-A805-7E5A1119CCC2}" presName="LShape" presStyleLbl="alignNode1" presStyleIdx="4" presStyleCnt="15"/>
      <dgm:spPr/>
    </dgm:pt>
    <dgm:pt modelId="{BA323857-636D-46DA-835A-91CD6A247858}" type="pres">
      <dgm:prSet presAssocID="{C4548A99-128B-496F-A805-7E5A1119CCC2}" presName="ParentText" presStyleLbl="revTx" presStyleIdx="2" presStyleCnt="8">
        <dgm:presLayoutVars>
          <dgm:chMax val="0"/>
          <dgm:chPref val="0"/>
          <dgm:bulletEnabled val="1"/>
        </dgm:presLayoutVars>
      </dgm:prSet>
      <dgm:spPr/>
    </dgm:pt>
    <dgm:pt modelId="{46FAF674-F2CD-4FE4-B1C5-FFC87AF3B6BA}" type="pres">
      <dgm:prSet presAssocID="{C4548A99-128B-496F-A805-7E5A1119CCC2}" presName="Triangle" presStyleLbl="alignNode1" presStyleIdx="5" presStyleCnt="15"/>
      <dgm:spPr/>
    </dgm:pt>
    <dgm:pt modelId="{F80B3982-460F-4698-AFAC-27FE9835AA1E}" type="pres">
      <dgm:prSet presAssocID="{FF3DC1A3-00CF-49C5-BB24-CDCEB2A596AE}" presName="sibTrans" presStyleCnt="0"/>
      <dgm:spPr/>
    </dgm:pt>
    <dgm:pt modelId="{9017DC81-0A49-43F8-87C9-80F3CCEED1F4}" type="pres">
      <dgm:prSet presAssocID="{FF3DC1A3-00CF-49C5-BB24-CDCEB2A596AE}" presName="space" presStyleCnt="0"/>
      <dgm:spPr/>
    </dgm:pt>
    <dgm:pt modelId="{DDA696AC-413E-49B1-B494-2549134AA2BB}" type="pres">
      <dgm:prSet presAssocID="{E3D3B160-5007-42CD-81B5-65954561DD30}" presName="composite" presStyleCnt="0"/>
      <dgm:spPr/>
    </dgm:pt>
    <dgm:pt modelId="{772F8C16-7FAD-43CE-8F01-1836DCEA58B4}" type="pres">
      <dgm:prSet presAssocID="{E3D3B160-5007-42CD-81B5-65954561DD30}" presName="LShape" presStyleLbl="alignNode1" presStyleIdx="6" presStyleCnt="15"/>
      <dgm:spPr/>
    </dgm:pt>
    <dgm:pt modelId="{80DF5031-BEBC-48FC-9036-9F072E2F3981}" type="pres">
      <dgm:prSet presAssocID="{E3D3B160-5007-42CD-81B5-65954561DD30}" presName="ParentText" presStyleLbl="revTx" presStyleIdx="3" presStyleCnt="8">
        <dgm:presLayoutVars>
          <dgm:chMax val="0"/>
          <dgm:chPref val="0"/>
          <dgm:bulletEnabled val="1"/>
        </dgm:presLayoutVars>
      </dgm:prSet>
      <dgm:spPr/>
    </dgm:pt>
    <dgm:pt modelId="{A556578D-3479-4BEE-B9BD-24AF53D1B866}" type="pres">
      <dgm:prSet presAssocID="{E3D3B160-5007-42CD-81B5-65954561DD30}" presName="Triangle" presStyleLbl="alignNode1" presStyleIdx="7" presStyleCnt="15"/>
      <dgm:spPr/>
    </dgm:pt>
    <dgm:pt modelId="{FB6792AD-6493-43E7-B416-97080861FD9D}" type="pres">
      <dgm:prSet presAssocID="{5B285FC2-EF52-401E-B151-AB606B600BE2}" presName="sibTrans" presStyleCnt="0"/>
      <dgm:spPr/>
    </dgm:pt>
    <dgm:pt modelId="{73CD91CC-388E-4A02-AA37-4CFE764237E6}" type="pres">
      <dgm:prSet presAssocID="{5B285FC2-EF52-401E-B151-AB606B600BE2}" presName="space" presStyleCnt="0"/>
      <dgm:spPr/>
    </dgm:pt>
    <dgm:pt modelId="{C790B1F3-F1A2-436D-8425-57C2482ADE7F}" type="pres">
      <dgm:prSet presAssocID="{D1BF796F-DF17-4231-849B-055CB4DE0AF7}" presName="composite" presStyleCnt="0"/>
      <dgm:spPr/>
    </dgm:pt>
    <dgm:pt modelId="{7137189B-3D09-4CB2-8AEC-1AC2AA51CA98}" type="pres">
      <dgm:prSet presAssocID="{D1BF796F-DF17-4231-849B-055CB4DE0AF7}" presName="LShape" presStyleLbl="alignNode1" presStyleIdx="8" presStyleCnt="15"/>
      <dgm:spPr/>
    </dgm:pt>
    <dgm:pt modelId="{CDE19C3A-9D04-4F04-9B04-D9078F2962F1}" type="pres">
      <dgm:prSet presAssocID="{D1BF796F-DF17-4231-849B-055CB4DE0AF7}" presName="ParentText" presStyleLbl="revTx" presStyleIdx="4" presStyleCnt="8">
        <dgm:presLayoutVars>
          <dgm:chMax val="0"/>
          <dgm:chPref val="0"/>
          <dgm:bulletEnabled val="1"/>
        </dgm:presLayoutVars>
      </dgm:prSet>
      <dgm:spPr/>
    </dgm:pt>
    <dgm:pt modelId="{1B489515-6FE7-4A35-BAB2-879E9773EEB8}" type="pres">
      <dgm:prSet presAssocID="{D1BF796F-DF17-4231-849B-055CB4DE0AF7}" presName="Triangle" presStyleLbl="alignNode1" presStyleIdx="9" presStyleCnt="15"/>
      <dgm:spPr/>
    </dgm:pt>
    <dgm:pt modelId="{A47EB349-90A0-4F78-B55F-E9A1A0101057}" type="pres">
      <dgm:prSet presAssocID="{81B5DE22-DB06-43BD-9054-2E58F87D77F8}" presName="sibTrans" presStyleCnt="0"/>
      <dgm:spPr/>
    </dgm:pt>
    <dgm:pt modelId="{F41D96F6-90F3-4B32-A12B-A69931AE242B}" type="pres">
      <dgm:prSet presAssocID="{81B5DE22-DB06-43BD-9054-2E58F87D77F8}" presName="space" presStyleCnt="0"/>
      <dgm:spPr/>
    </dgm:pt>
    <dgm:pt modelId="{6151E83A-A401-4728-840F-04AE8054B0E7}" type="pres">
      <dgm:prSet presAssocID="{A1D73107-F4AE-404B-889A-02F51B72C1A9}" presName="composite" presStyleCnt="0"/>
      <dgm:spPr/>
    </dgm:pt>
    <dgm:pt modelId="{C2C02E0A-BD84-4947-BCFD-4E1926E7A181}" type="pres">
      <dgm:prSet presAssocID="{A1D73107-F4AE-404B-889A-02F51B72C1A9}" presName="LShape" presStyleLbl="alignNode1" presStyleIdx="10" presStyleCnt="15"/>
      <dgm:spPr/>
    </dgm:pt>
    <dgm:pt modelId="{F4283156-F753-45C8-9CF8-E6641DD655C6}" type="pres">
      <dgm:prSet presAssocID="{A1D73107-F4AE-404B-889A-02F51B72C1A9}" presName="ParentText" presStyleLbl="revTx" presStyleIdx="5" presStyleCnt="8">
        <dgm:presLayoutVars>
          <dgm:chMax val="0"/>
          <dgm:chPref val="0"/>
          <dgm:bulletEnabled val="1"/>
        </dgm:presLayoutVars>
      </dgm:prSet>
      <dgm:spPr/>
    </dgm:pt>
    <dgm:pt modelId="{EE42F8E2-338F-4DE8-913F-9A3D906AD516}" type="pres">
      <dgm:prSet presAssocID="{A1D73107-F4AE-404B-889A-02F51B72C1A9}" presName="Triangle" presStyleLbl="alignNode1" presStyleIdx="11" presStyleCnt="15"/>
      <dgm:spPr/>
    </dgm:pt>
    <dgm:pt modelId="{851A1A79-2827-4ECE-A06F-E533FEF0D791}" type="pres">
      <dgm:prSet presAssocID="{5432A93B-0A77-4495-B7B0-15B880453174}" presName="sibTrans" presStyleCnt="0"/>
      <dgm:spPr/>
    </dgm:pt>
    <dgm:pt modelId="{7F71E5D2-00B0-4957-A3B6-02D069B003EB}" type="pres">
      <dgm:prSet presAssocID="{5432A93B-0A77-4495-B7B0-15B880453174}" presName="space" presStyleCnt="0"/>
      <dgm:spPr/>
    </dgm:pt>
    <dgm:pt modelId="{35B92714-07A7-49A7-9FD1-7FEC497A887E}" type="pres">
      <dgm:prSet presAssocID="{4BF697D6-1679-4418-8BA3-A5042AB8D5B5}" presName="composite" presStyleCnt="0"/>
      <dgm:spPr/>
    </dgm:pt>
    <dgm:pt modelId="{FFEFE83B-8AC6-48CD-B0E0-677B88F5A963}" type="pres">
      <dgm:prSet presAssocID="{4BF697D6-1679-4418-8BA3-A5042AB8D5B5}" presName="LShape" presStyleLbl="alignNode1" presStyleIdx="12" presStyleCnt="15"/>
      <dgm:spPr/>
    </dgm:pt>
    <dgm:pt modelId="{FF75792C-2D63-46E1-92B0-C2D0D0D61321}" type="pres">
      <dgm:prSet presAssocID="{4BF697D6-1679-4418-8BA3-A5042AB8D5B5}" presName="ParentText" presStyleLbl="revTx" presStyleIdx="6" presStyleCnt="8">
        <dgm:presLayoutVars>
          <dgm:chMax val="0"/>
          <dgm:chPref val="0"/>
          <dgm:bulletEnabled val="1"/>
        </dgm:presLayoutVars>
      </dgm:prSet>
      <dgm:spPr/>
    </dgm:pt>
    <dgm:pt modelId="{FFE03464-D172-427E-8846-D3C49C426799}" type="pres">
      <dgm:prSet presAssocID="{4BF697D6-1679-4418-8BA3-A5042AB8D5B5}" presName="Triangle" presStyleLbl="alignNode1" presStyleIdx="13" presStyleCnt="15"/>
      <dgm:spPr/>
    </dgm:pt>
    <dgm:pt modelId="{1AE3AC4D-5857-4F74-B8BC-D55E3142CEEB}" type="pres">
      <dgm:prSet presAssocID="{22BD1D31-ECA2-44E2-B4E4-A7EB5F46B64A}" presName="sibTrans" presStyleCnt="0"/>
      <dgm:spPr/>
    </dgm:pt>
    <dgm:pt modelId="{D27D1F55-AD91-457B-B8B2-BB5F8F71E26A}" type="pres">
      <dgm:prSet presAssocID="{22BD1D31-ECA2-44E2-B4E4-A7EB5F46B64A}" presName="space" presStyleCnt="0"/>
      <dgm:spPr/>
    </dgm:pt>
    <dgm:pt modelId="{8F40DDB5-3C02-4C2C-B696-048591936AD6}" type="pres">
      <dgm:prSet presAssocID="{F01D3F82-5626-400C-AECD-6FA510230627}" presName="composite" presStyleCnt="0"/>
      <dgm:spPr/>
    </dgm:pt>
    <dgm:pt modelId="{BC8C6E73-E843-4E54-9EA7-DE212CCC5FA5}" type="pres">
      <dgm:prSet presAssocID="{F01D3F82-5626-400C-AECD-6FA510230627}" presName="LShape" presStyleLbl="alignNode1" presStyleIdx="14" presStyleCnt="15"/>
      <dgm:spPr/>
    </dgm:pt>
    <dgm:pt modelId="{0D328CD3-AE91-48BF-89FF-609D92C67C7B}" type="pres">
      <dgm:prSet presAssocID="{F01D3F82-5626-400C-AECD-6FA510230627}" presName="ParentText" presStyleLbl="revTx" presStyleIdx="7" presStyleCnt="8">
        <dgm:presLayoutVars>
          <dgm:chMax val="0"/>
          <dgm:chPref val="0"/>
          <dgm:bulletEnabled val="1"/>
        </dgm:presLayoutVars>
      </dgm:prSet>
      <dgm:spPr/>
    </dgm:pt>
  </dgm:ptLst>
  <dgm:cxnLst>
    <dgm:cxn modelId="{38791306-0233-412C-B921-813BFF8C1E53}" type="presOf" srcId="{2F2AB354-F3BE-4A8B-91BD-65DB9FC0EA57}" destId="{47AF4FB1-3C8F-465C-BF2B-BADB00537808}" srcOrd="0" destOrd="0" presId="urn:microsoft.com/office/officeart/2009/3/layout/StepUpProcess#1"/>
    <dgm:cxn modelId="{8ED68E14-B563-4431-903B-E034C743D909}" srcId="{46538EE5-DE82-470A-953C-ACD498905598}" destId="{A1D73107-F4AE-404B-889A-02F51B72C1A9}" srcOrd="5" destOrd="0" parTransId="{E1ABAF94-B1CC-4349-B570-F5A80A78323D}" sibTransId="{5432A93B-0A77-4495-B7B0-15B880453174}"/>
    <dgm:cxn modelId="{039E0615-98F7-46A5-A432-3A4AC52D4E80}" type="presOf" srcId="{D1BF796F-DF17-4231-849B-055CB4DE0AF7}" destId="{CDE19C3A-9D04-4F04-9B04-D9078F2962F1}" srcOrd="0" destOrd="0" presId="urn:microsoft.com/office/officeart/2009/3/layout/StepUpProcess#1"/>
    <dgm:cxn modelId="{EAADB81A-4917-43EF-844B-13D460B18BB2}" srcId="{46538EE5-DE82-470A-953C-ACD498905598}" destId="{2F2AB354-F3BE-4A8B-91BD-65DB9FC0EA57}" srcOrd="1" destOrd="0" parTransId="{65BB477A-3E61-49E2-BAEC-7DC3595948C9}" sibTransId="{8AC81A2B-1C38-4357-A0F1-47F495E78778}"/>
    <dgm:cxn modelId="{1EF09E1E-A352-4C3E-AC80-613EEA8FACB9}" srcId="{46538EE5-DE82-470A-953C-ACD498905598}" destId="{75DE1879-36E4-41E8-8810-B7919ED72E03}" srcOrd="0" destOrd="0" parTransId="{64E35748-C52F-4F3E-A13F-F65D55CB18D5}" sibTransId="{5725775A-A661-475D-8FAB-32FC31B4DFFC}"/>
    <dgm:cxn modelId="{E60AA333-E511-4949-8943-88C033A807B9}" srcId="{46538EE5-DE82-470A-953C-ACD498905598}" destId="{C4548A99-128B-496F-A805-7E5A1119CCC2}" srcOrd="2" destOrd="0" parTransId="{046CA2BB-C3DA-45F5-8E5F-54AE76B8C9F9}" sibTransId="{FF3DC1A3-00CF-49C5-BB24-CDCEB2A596AE}"/>
    <dgm:cxn modelId="{C73A9338-9072-45D6-B24C-5860E422B295}" srcId="{46538EE5-DE82-470A-953C-ACD498905598}" destId="{4BF697D6-1679-4418-8BA3-A5042AB8D5B5}" srcOrd="6" destOrd="0" parTransId="{EBBC6A69-68AD-4F41-A67C-8C76AD2B2A35}" sibTransId="{22BD1D31-ECA2-44E2-B4E4-A7EB5F46B64A}"/>
    <dgm:cxn modelId="{B3952A4E-AACE-476C-88A9-3F1A794DA2CA}" type="presOf" srcId="{F01D3F82-5626-400C-AECD-6FA510230627}" destId="{0D328CD3-AE91-48BF-89FF-609D92C67C7B}" srcOrd="0" destOrd="0" presId="urn:microsoft.com/office/officeart/2009/3/layout/StepUpProcess#1"/>
    <dgm:cxn modelId="{8D7AA05A-0EA2-4C41-A80C-12DEC4A03F94}" srcId="{46538EE5-DE82-470A-953C-ACD498905598}" destId="{F01D3F82-5626-400C-AECD-6FA510230627}" srcOrd="7" destOrd="0" parTransId="{472AA019-C789-431A-8383-12CAB59F73C3}" sibTransId="{C3C15A80-64E2-4037-B67F-7CA22C34769F}"/>
    <dgm:cxn modelId="{DE7F8C70-E7B1-4633-BC6B-D568BE054FEB}" srcId="{46538EE5-DE82-470A-953C-ACD498905598}" destId="{D1BF796F-DF17-4231-849B-055CB4DE0AF7}" srcOrd="4" destOrd="0" parTransId="{90849462-6670-47FB-B4D6-1C3573A53E54}" sibTransId="{81B5DE22-DB06-43BD-9054-2E58F87D77F8}"/>
    <dgm:cxn modelId="{11CD1097-D342-4ACF-B162-F7EBFC605EFB}" srcId="{46538EE5-DE82-470A-953C-ACD498905598}" destId="{E3D3B160-5007-42CD-81B5-65954561DD30}" srcOrd="3" destOrd="0" parTransId="{F66D77E2-C8AF-464D-AF5F-FFCA3720B046}" sibTransId="{5B285FC2-EF52-401E-B151-AB606B600BE2}"/>
    <dgm:cxn modelId="{248DA6AA-85C5-4E8E-BA67-C54AF4A0B5BB}" type="presOf" srcId="{A1D73107-F4AE-404B-889A-02F51B72C1A9}" destId="{F4283156-F753-45C8-9CF8-E6641DD655C6}" srcOrd="0" destOrd="0" presId="urn:microsoft.com/office/officeart/2009/3/layout/StepUpProcess#1"/>
    <dgm:cxn modelId="{643AF7B0-EC16-4990-A816-4EE04DF4F36A}" type="presOf" srcId="{E3D3B160-5007-42CD-81B5-65954561DD30}" destId="{80DF5031-BEBC-48FC-9036-9F072E2F3981}" srcOrd="0" destOrd="0" presId="urn:microsoft.com/office/officeart/2009/3/layout/StepUpProcess#1"/>
    <dgm:cxn modelId="{EE3D5BB5-6142-486D-9401-0F100713464C}" type="presOf" srcId="{46538EE5-DE82-470A-953C-ACD498905598}" destId="{520BC091-4E5A-49AB-BD79-FC4A288A08E3}" srcOrd="0" destOrd="0" presId="urn:microsoft.com/office/officeart/2009/3/layout/StepUpProcess#1"/>
    <dgm:cxn modelId="{E4A962BD-EC19-449A-A49E-FCB093594D53}" type="presOf" srcId="{C4548A99-128B-496F-A805-7E5A1119CCC2}" destId="{BA323857-636D-46DA-835A-91CD6A247858}" srcOrd="0" destOrd="0" presId="urn:microsoft.com/office/officeart/2009/3/layout/StepUpProcess#1"/>
    <dgm:cxn modelId="{9F4B20BF-6510-4936-9EF5-E1B47300235C}" type="presOf" srcId="{75DE1879-36E4-41E8-8810-B7919ED72E03}" destId="{0B841E02-09A1-4720-877E-38FA79C82EDF}" srcOrd="0" destOrd="0" presId="urn:microsoft.com/office/officeart/2009/3/layout/StepUpProcess#1"/>
    <dgm:cxn modelId="{5C365FF9-E6D0-4FE4-97A1-9C41A3C73CEC}" type="presOf" srcId="{4BF697D6-1679-4418-8BA3-A5042AB8D5B5}" destId="{FF75792C-2D63-46E1-92B0-C2D0D0D61321}" srcOrd="0" destOrd="0" presId="urn:microsoft.com/office/officeart/2009/3/layout/StepUpProcess#1"/>
    <dgm:cxn modelId="{48A224F1-BAD5-41C1-A438-D31EE0562543}" type="presParOf" srcId="{520BC091-4E5A-49AB-BD79-FC4A288A08E3}" destId="{BC8AE00B-EED4-4A35-985D-127EB41B61AF}" srcOrd="0" destOrd="0" presId="urn:microsoft.com/office/officeart/2009/3/layout/StepUpProcess#1"/>
    <dgm:cxn modelId="{44A40CF7-DAE4-4592-9971-3BD040E50D26}" type="presParOf" srcId="{BC8AE00B-EED4-4A35-985D-127EB41B61AF}" destId="{67B60DC7-9924-4864-A468-E22BFE841D79}" srcOrd="0" destOrd="0" presId="urn:microsoft.com/office/officeart/2009/3/layout/StepUpProcess#1"/>
    <dgm:cxn modelId="{74FF86A4-2FDD-424C-9BDD-83A16476535E}" type="presParOf" srcId="{BC8AE00B-EED4-4A35-985D-127EB41B61AF}" destId="{0B841E02-09A1-4720-877E-38FA79C82EDF}" srcOrd="1" destOrd="0" presId="urn:microsoft.com/office/officeart/2009/3/layout/StepUpProcess#1"/>
    <dgm:cxn modelId="{8F53FCA9-9EB5-46C5-AF09-0FA437764CD3}" type="presParOf" srcId="{BC8AE00B-EED4-4A35-985D-127EB41B61AF}" destId="{30F46CF7-5E0F-4939-9BFD-CF6D2D485198}" srcOrd="2" destOrd="0" presId="urn:microsoft.com/office/officeart/2009/3/layout/StepUpProcess#1"/>
    <dgm:cxn modelId="{213C31F0-8C2A-4CAE-B08E-355AB2723365}" type="presParOf" srcId="{520BC091-4E5A-49AB-BD79-FC4A288A08E3}" destId="{A33D201E-6BF4-4DBA-91A8-02B0E6CE5070}" srcOrd="1" destOrd="0" presId="urn:microsoft.com/office/officeart/2009/3/layout/StepUpProcess#1"/>
    <dgm:cxn modelId="{C896896B-184C-49E5-921E-B3999A076B65}" type="presParOf" srcId="{A33D201E-6BF4-4DBA-91A8-02B0E6CE5070}" destId="{F2733633-4F99-4B3C-8C57-28FD2DEF991F}" srcOrd="0" destOrd="0" presId="urn:microsoft.com/office/officeart/2009/3/layout/StepUpProcess#1"/>
    <dgm:cxn modelId="{87B0ABE5-6F68-472F-B8CE-95AB8DA987E9}" type="presParOf" srcId="{520BC091-4E5A-49AB-BD79-FC4A288A08E3}" destId="{81C9F8DC-0270-446E-BD02-E97BB8C72628}" srcOrd="2" destOrd="0" presId="urn:microsoft.com/office/officeart/2009/3/layout/StepUpProcess#1"/>
    <dgm:cxn modelId="{66ED7CC1-9623-4C3F-8A28-F53B78936658}" type="presParOf" srcId="{81C9F8DC-0270-446E-BD02-E97BB8C72628}" destId="{EA02F691-2F57-4079-99ED-94FCD4241119}" srcOrd="0" destOrd="0" presId="urn:microsoft.com/office/officeart/2009/3/layout/StepUpProcess#1"/>
    <dgm:cxn modelId="{63450B2A-878C-4DC8-92F1-3051FA327E7C}" type="presParOf" srcId="{81C9F8DC-0270-446E-BD02-E97BB8C72628}" destId="{47AF4FB1-3C8F-465C-BF2B-BADB00537808}" srcOrd="1" destOrd="0" presId="urn:microsoft.com/office/officeart/2009/3/layout/StepUpProcess#1"/>
    <dgm:cxn modelId="{2520532D-3412-45E4-B8D8-453727C848C2}" type="presParOf" srcId="{81C9F8DC-0270-446E-BD02-E97BB8C72628}" destId="{6EDF27CA-6918-41E7-8FA1-6B90CD809EAB}" srcOrd="2" destOrd="0" presId="urn:microsoft.com/office/officeart/2009/3/layout/StepUpProcess#1"/>
    <dgm:cxn modelId="{6D98E1FE-EDD1-49DA-8471-AF27C7DAC9C3}" type="presParOf" srcId="{520BC091-4E5A-49AB-BD79-FC4A288A08E3}" destId="{67F4FEF8-CD50-48DF-A2B8-278C5CDE353C}" srcOrd="3" destOrd="0" presId="urn:microsoft.com/office/officeart/2009/3/layout/StepUpProcess#1"/>
    <dgm:cxn modelId="{12EF45ED-669A-4E0B-B0EF-80847407C1F6}" type="presParOf" srcId="{67F4FEF8-CD50-48DF-A2B8-278C5CDE353C}" destId="{5C9C79DE-219F-42CC-94DD-CE5E929E99B6}" srcOrd="0" destOrd="0" presId="urn:microsoft.com/office/officeart/2009/3/layout/StepUpProcess#1"/>
    <dgm:cxn modelId="{3E1F353B-8D27-4175-A325-93986309ADAF}" type="presParOf" srcId="{520BC091-4E5A-49AB-BD79-FC4A288A08E3}" destId="{5CC7394A-9450-4F2B-85FC-E8A35EBA0CD8}" srcOrd="4" destOrd="0" presId="urn:microsoft.com/office/officeart/2009/3/layout/StepUpProcess#1"/>
    <dgm:cxn modelId="{1E3549D9-9E71-4518-8459-0EB38A36E45D}" type="presParOf" srcId="{5CC7394A-9450-4F2B-85FC-E8A35EBA0CD8}" destId="{6F8901A2-7608-446C-B259-7CED825C6311}" srcOrd="0" destOrd="0" presId="urn:microsoft.com/office/officeart/2009/3/layout/StepUpProcess#1"/>
    <dgm:cxn modelId="{301EC59D-9213-40F1-AC5E-F461F5294D5D}" type="presParOf" srcId="{5CC7394A-9450-4F2B-85FC-E8A35EBA0CD8}" destId="{BA323857-636D-46DA-835A-91CD6A247858}" srcOrd="1" destOrd="0" presId="urn:microsoft.com/office/officeart/2009/3/layout/StepUpProcess#1"/>
    <dgm:cxn modelId="{F1BA67CB-640B-469E-AEA8-A99B62E4546F}" type="presParOf" srcId="{5CC7394A-9450-4F2B-85FC-E8A35EBA0CD8}" destId="{46FAF674-F2CD-4FE4-B1C5-FFC87AF3B6BA}" srcOrd="2" destOrd="0" presId="urn:microsoft.com/office/officeart/2009/3/layout/StepUpProcess#1"/>
    <dgm:cxn modelId="{323FC23D-C3E6-41AD-9C3B-074B5F5BB627}" type="presParOf" srcId="{520BC091-4E5A-49AB-BD79-FC4A288A08E3}" destId="{F80B3982-460F-4698-AFAC-27FE9835AA1E}" srcOrd="5" destOrd="0" presId="urn:microsoft.com/office/officeart/2009/3/layout/StepUpProcess#1"/>
    <dgm:cxn modelId="{94108DE7-8E65-4C74-9DE5-0EE70FDB5ABE}" type="presParOf" srcId="{F80B3982-460F-4698-AFAC-27FE9835AA1E}" destId="{9017DC81-0A49-43F8-87C9-80F3CCEED1F4}" srcOrd="0" destOrd="0" presId="urn:microsoft.com/office/officeart/2009/3/layout/StepUpProcess#1"/>
    <dgm:cxn modelId="{EBD4D1BD-3F71-406D-8516-67F90F78C60B}" type="presParOf" srcId="{520BC091-4E5A-49AB-BD79-FC4A288A08E3}" destId="{DDA696AC-413E-49B1-B494-2549134AA2BB}" srcOrd="6" destOrd="0" presId="urn:microsoft.com/office/officeart/2009/3/layout/StepUpProcess#1"/>
    <dgm:cxn modelId="{C4749BCC-B904-4937-A65D-1852FE9B1531}" type="presParOf" srcId="{DDA696AC-413E-49B1-B494-2549134AA2BB}" destId="{772F8C16-7FAD-43CE-8F01-1836DCEA58B4}" srcOrd="0" destOrd="0" presId="urn:microsoft.com/office/officeart/2009/3/layout/StepUpProcess#1"/>
    <dgm:cxn modelId="{45170A55-3C45-4BCA-9D3E-9076C7F5BB0B}" type="presParOf" srcId="{DDA696AC-413E-49B1-B494-2549134AA2BB}" destId="{80DF5031-BEBC-48FC-9036-9F072E2F3981}" srcOrd="1" destOrd="0" presId="urn:microsoft.com/office/officeart/2009/3/layout/StepUpProcess#1"/>
    <dgm:cxn modelId="{6014B89B-1DF8-45D8-B035-BD34FFA4E698}" type="presParOf" srcId="{DDA696AC-413E-49B1-B494-2549134AA2BB}" destId="{A556578D-3479-4BEE-B9BD-24AF53D1B866}" srcOrd="2" destOrd="0" presId="urn:microsoft.com/office/officeart/2009/3/layout/StepUpProcess#1"/>
    <dgm:cxn modelId="{C719413A-D810-44EA-B732-42A4E7923B1A}" type="presParOf" srcId="{520BC091-4E5A-49AB-BD79-FC4A288A08E3}" destId="{FB6792AD-6493-43E7-B416-97080861FD9D}" srcOrd="7" destOrd="0" presId="urn:microsoft.com/office/officeart/2009/3/layout/StepUpProcess#1"/>
    <dgm:cxn modelId="{0B7C9490-6D7F-438E-A1B3-D29BC4593435}" type="presParOf" srcId="{FB6792AD-6493-43E7-B416-97080861FD9D}" destId="{73CD91CC-388E-4A02-AA37-4CFE764237E6}" srcOrd="0" destOrd="0" presId="urn:microsoft.com/office/officeart/2009/3/layout/StepUpProcess#1"/>
    <dgm:cxn modelId="{9E440FAC-395F-47C2-89ED-11D7C6092893}" type="presParOf" srcId="{520BC091-4E5A-49AB-BD79-FC4A288A08E3}" destId="{C790B1F3-F1A2-436D-8425-57C2482ADE7F}" srcOrd="8" destOrd="0" presId="urn:microsoft.com/office/officeart/2009/3/layout/StepUpProcess#1"/>
    <dgm:cxn modelId="{BC60D12D-C82C-4798-8F9A-35327C6FDC31}" type="presParOf" srcId="{C790B1F3-F1A2-436D-8425-57C2482ADE7F}" destId="{7137189B-3D09-4CB2-8AEC-1AC2AA51CA98}" srcOrd="0" destOrd="0" presId="urn:microsoft.com/office/officeart/2009/3/layout/StepUpProcess#1"/>
    <dgm:cxn modelId="{9A911B7F-D2DD-439D-9584-7954E59E58F5}" type="presParOf" srcId="{C790B1F3-F1A2-436D-8425-57C2482ADE7F}" destId="{CDE19C3A-9D04-4F04-9B04-D9078F2962F1}" srcOrd="1" destOrd="0" presId="urn:microsoft.com/office/officeart/2009/3/layout/StepUpProcess#1"/>
    <dgm:cxn modelId="{87CAD062-D345-4114-9830-7220F54BE71D}" type="presParOf" srcId="{C790B1F3-F1A2-436D-8425-57C2482ADE7F}" destId="{1B489515-6FE7-4A35-BAB2-879E9773EEB8}" srcOrd="2" destOrd="0" presId="urn:microsoft.com/office/officeart/2009/3/layout/StepUpProcess#1"/>
    <dgm:cxn modelId="{2EEB2A3A-4465-4CA2-98A0-F8C11176360F}" type="presParOf" srcId="{520BC091-4E5A-49AB-BD79-FC4A288A08E3}" destId="{A47EB349-90A0-4F78-B55F-E9A1A0101057}" srcOrd="9" destOrd="0" presId="urn:microsoft.com/office/officeart/2009/3/layout/StepUpProcess#1"/>
    <dgm:cxn modelId="{702D1860-6B93-4935-BEF4-5D4899EC4DC0}" type="presParOf" srcId="{A47EB349-90A0-4F78-B55F-E9A1A0101057}" destId="{F41D96F6-90F3-4B32-A12B-A69931AE242B}" srcOrd="0" destOrd="0" presId="urn:microsoft.com/office/officeart/2009/3/layout/StepUpProcess#1"/>
    <dgm:cxn modelId="{F7FC4746-EEF3-4ED9-9A7A-4E4D503A7F6C}" type="presParOf" srcId="{520BC091-4E5A-49AB-BD79-FC4A288A08E3}" destId="{6151E83A-A401-4728-840F-04AE8054B0E7}" srcOrd="10" destOrd="0" presId="urn:microsoft.com/office/officeart/2009/3/layout/StepUpProcess#1"/>
    <dgm:cxn modelId="{DC377933-F1B8-4EB7-840B-75B402955015}" type="presParOf" srcId="{6151E83A-A401-4728-840F-04AE8054B0E7}" destId="{C2C02E0A-BD84-4947-BCFD-4E1926E7A181}" srcOrd="0" destOrd="0" presId="urn:microsoft.com/office/officeart/2009/3/layout/StepUpProcess#1"/>
    <dgm:cxn modelId="{DE6F9B92-4B2B-4025-B6F0-19B781FD3067}" type="presParOf" srcId="{6151E83A-A401-4728-840F-04AE8054B0E7}" destId="{F4283156-F753-45C8-9CF8-E6641DD655C6}" srcOrd="1" destOrd="0" presId="urn:microsoft.com/office/officeart/2009/3/layout/StepUpProcess#1"/>
    <dgm:cxn modelId="{3049EE00-47C8-43C2-BD90-28DB1B5D86EA}" type="presParOf" srcId="{6151E83A-A401-4728-840F-04AE8054B0E7}" destId="{EE42F8E2-338F-4DE8-913F-9A3D906AD516}" srcOrd="2" destOrd="0" presId="urn:microsoft.com/office/officeart/2009/3/layout/StepUpProcess#1"/>
    <dgm:cxn modelId="{DD94DE45-A63D-4D40-8045-51D344EB9B93}" type="presParOf" srcId="{520BC091-4E5A-49AB-BD79-FC4A288A08E3}" destId="{851A1A79-2827-4ECE-A06F-E533FEF0D791}" srcOrd="11" destOrd="0" presId="urn:microsoft.com/office/officeart/2009/3/layout/StepUpProcess#1"/>
    <dgm:cxn modelId="{4DC0279E-2A6E-4247-BA19-76D480324E61}" type="presParOf" srcId="{851A1A79-2827-4ECE-A06F-E533FEF0D791}" destId="{7F71E5D2-00B0-4957-A3B6-02D069B003EB}" srcOrd="0" destOrd="0" presId="urn:microsoft.com/office/officeart/2009/3/layout/StepUpProcess#1"/>
    <dgm:cxn modelId="{EBA9C9D1-38F1-4AE7-A4D2-28E2D21B06A7}" type="presParOf" srcId="{520BC091-4E5A-49AB-BD79-FC4A288A08E3}" destId="{35B92714-07A7-49A7-9FD1-7FEC497A887E}" srcOrd="12" destOrd="0" presId="urn:microsoft.com/office/officeart/2009/3/layout/StepUpProcess#1"/>
    <dgm:cxn modelId="{35C9A28E-312B-47BE-AD1C-0109D5090AA9}" type="presParOf" srcId="{35B92714-07A7-49A7-9FD1-7FEC497A887E}" destId="{FFEFE83B-8AC6-48CD-B0E0-677B88F5A963}" srcOrd="0" destOrd="0" presId="urn:microsoft.com/office/officeart/2009/3/layout/StepUpProcess#1"/>
    <dgm:cxn modelId="{DDA571E5-6249-4BEB-BAC9-011B12F89BDB}" type="presParOf" srcId="{35B92714-07A7-49A7-9FD1-7FEC497A887E}" destId="{FF75792C-2D63-46E1-92B0-C2D0D0D61321}" srcOrd="1" destOrd="0" presId="urn:microsoft.com/office/officeart/2009/3/layout/StepUpProcess#1"/>
    <dgm:cxn modelId="{232DB8C7-FD4D-44F6-96B5-AAD5076F3885}" type="presParOf" srcId="{35B92714-07A7-49A7-9FD1-7FEC497A887E}" destId="{FFE03464-D172-427E-8846-D3C49C426799}" srcOrd="2" destOrd="0" presId="urn:microsoft.com/office/officeart/2009/3/layout/StepUpProcess#1"/>
    <dgm:cxn modelId="{EDF99B71-C7F4-4232-BD20-778169A787E2}" type="presParOf" srcId="{520BC091-4E5A-49AB-BD79-FC4A288A08E3}" destId="{1AE3AC4D-5857-4F74-B8BC-D55E3142CEEB}" srcOrd="13" destOrd="0" presId="urn:microsoft.com/office/officeart/2009/3/layout/StepUpProcess#1"/>
    <dgm:cxn modelId="{434B9D02-2443-4CA7-9E7C-E762670E5920}" type="presParOf" srcId="{1AE3AC4D-5857-4F74-B8BC-D55E3142CEEB}" destId="{D27D1F55-AD91-457B-B8B2-BB5F8F71E26A}" srcOrd="0" destOrd="0" presId="urn:microsoft.com/office/officeart/2009/3/layout/StepUpProcess#1"/>
    <dgm:cxn modelId="{8606E92C-7BC4-4A20-A2CE-1B5CA1839E8A}" type="presParOf" srcId="{520BC091-4E5A-49AB-BD79-FC4A288A08E3}" destId="{8F40DDB5-3C02-4C2C-B696-048591936AD6}" srcOrd="14" destOrd="0" presId="urn:microsoft.com/office/officeart/2009/3/layout/StepUpProcess#1"/>
    <dgm:cxn modelId="{5D5A5D84-B25B-4584-878F-DFBA183FD0D1}" type="presParOf" srcId="{8F40DDB5-3C02-4C2C-B696-048591936AD6}" destId="{BC8C6E73-E843-4E54-9EA7-DE212CCC5FA5}" srcOrd="0" destOrd="0" presId="urn:microsoft.com/office/officeart/2009/3/layout/StepUpProcess#1"/>
    <dgm:cxn modelId="{429D010B-7721-4177-97EB-7D30077755A0}" type="presParOf" srcId="{8F40DDB5-3C02-4C2C-B696-048591936AD6}" destId="{0D328CD3-AE91-48BF-89FF-609D92C67C7B}" srcOrd="1" destOrd="0" presId="urn:microsoft.com/office/officeart/2009/3/layout/StepUpProcess#1"/>
  </dgm:cxnLst>
  <dgm:bg/>
  <dgm:whole/>
</dgm:dataModel>
</file>

<file path=word/diagrams/data2.xml><?xml version="1.0" encoding="utf-8"?>
<dgm:dataModel xmlns:dgm="http://schemas.openxmlformats.org/drawingml/2006/diagram" xmlns:a="http://schemas.openxmlformats.org/drawingml/2006/main">
  <dgm:ptLst>
    <dgm:pt modelId="{9B78892B-C89A-4A47-8339-518550992740}" type="doc">
      <dgm:prSet loTypeId="urn:microsoft.com/office/officeart/2005/8/layout/cycle6#1" loCatId="cycle" qsTypeId="urn:microsoft.com/office/officeart/2005/8/quickstyle/simple1" qsCatId="simple" csTypeId="urn:microsoft.com/office/officeart/2005/8/colors/colorful3" csCatId="colorful" phldr="1"/>
      <dgm:spPr/>
      <dgm:t>
        <a:bodyPr/>
        <a:p>
          <a:endParaRPr lang="en-US"/>
        </a:p>
      </dgm:t>
    </dgm:pt>
    <dgm:pt modelId="{C2FFBF0F-6D9E-43D9-B626-68976C3DDCF9}">
      <dgm:prSet phldrT="[Text]" custT="1"/>
      <dgm:spPr/>
      <dgm:t>
        <a:bodyPr/>
        <a:p>
          <a:pPr algn="ctr"/>
          <a:r>
            <a:rPr lang="en-US" sz="1200" b="0">
              <a:latin typeface="Times New Roman" panose="02020503050405090304" charset="0"/>
              <a:cs typeface="Times New Roman" panose="02020503050405090304" charset="0"/>
            </a:rPr>
            <a:t>Time </a:t>
          </a:r>
        </a:p>
      </dgm:t>
    </dgm:pt>
    <dgm:pt modelId="{5A24864F-FDCC-414B-9591-C3DF62D228A0}" cxnId="{5DFEE0A5-773D-4054-9AF8-9D79B92F7DB2}" type="parTrans">
      <dgm:prSet/>
      <dgm:spPr/>
      <dgm:t>
        <a:bodyPr/>
        <a:p>
          <a:pPr algn="ctr"/>
          <a:endParaRPr lang="en-US" sz="1200">
            <a:solidFill>
              <a:sysClr val="windowText" lastClr="000000"/>
            </a:solidFill>
          </a:endParaRPr>
        </a:p>
      </dgm:t>
    </dgm:pt>
    <dgm:pt modelId="{45B1A759-07B9-460C-8672-138FD147B258}" cxnId="{5DFEE0A5-773D-4054-9AF8-9D79B92F7DB2}" type="sibTrans">
      <dgm:prSet/>
      <dgm:spPr/>
      <dgm:t>
        <a:bodyPr/>
        <a:p>
          <a:pPr algn="ctr"/>
          <a:endParaRPr lang="en-US" sz="1200">
            <a:solidFill>
              <a:sysClr val="windowText" lastClr="000000"/>
            </a:solidFill>
          </a:endParaRPr>
        </a:p>
      </dgm:t>
    </dgm:pt>
    <dgm:pt modelId="{8D8E32E4-D5CB-47F3-BFAF-AC8A0432CE05}">
      <dgm:prSet phldrT="[Text]" custT="1"/>
      <dgm:spPr/>
      <dgm:t>
        <a:bodyPr/>
        <a:p>
          <a:pPr algn="ctr"/>
          <a:r>
            <a:rPr lang="en-US" sz="1200" b="0">
              <a:latin typeface="Times New Roman" panose="02020503050405090304" charset="0"/>
              <a:cs typeface="Times New Roman" panose="02020503050405090304" charset="0"/>
            </a:rPr>
            <a:t>Quality </a:t>
          </a:r>
        </a:p>
      </dgm:t>
    </dgm:pt>
    <dgm:pt modelId="{6A743683-AC2D-47BA-A214-6B6F1845DA21}" cxnId="{675701A8-0645-4876-8675-2717DC9F862A}" type="parTrans">
      <dgm:prSet/>
      <dgm:spPr/>
      <dgm:t>
        <a:bodyPr/>
        <a:p>
          <a:pPr algn="ctr"/>
          <a:endParaRPr lang="en-US" sz="1200">
            <a:solidFill>
              <a:sysClr val="windowText" lastClr="000000"/>
            </a:solidFill>
          </a:endParaRPr>
        </a:p>
      </dgm:t>
    </dgm:pt>
    <dgm:pt modelId="{86A75522-3CB1-4E1A-9A79-AB03AB76F014}" cxnId="{675701A8-0645-4876-8675-2717DC9F862A}" type="sibTrans">
      <dgm:prSet/>
      <dgm:spPr/>
      <dgm:t>
        <a:bodyPr/>
        <a:p>
          <a:pPr algn="ctr"/>
          <a:endParaRPr lang="en-US" sz="1200">
            <a:solidFill>
              <a:sysClr val="windowText" lastClr="000000"/>
            </a:solidFill>
          </a:endParaRPr>
        </a:p>
      </dgm:t>
    </dgm:pt>
    <dgm:pt modelId="{AE96A237-9CCB-4939-AFA1-1E70912ADB35}">
      <dgm:prSet phldrT="[Text]" custT="1"/>
      <dgm:spPr/>
      <dgm:t>
        <a:bodyPr/>
        <a:p>
          <a:pPr algn="ctr"/>
          <a:r>
            <a:rPr lang="en-US" sz="1200" b="0">
              <a:latin typeface="Times New Roman" panose="02020503050405090304" charset="0"/>
              <a:cs typeface="Times New Roman" panose="02020503050405090304" charset="0"/>
            </a:rPr>
            <a:t>Cost </a:t>
          </a:r>
        </a:p>
      </dgm:t>
    </dgm:pt>
    <dgm:pt modelId="{90A9155B-344B-4B53-B9F2-3922C7B0C56E}" cxnId="{FE2464D4-0298-42C2-8514-7744FEAE5546}" type="parTrans">
      <dgm:prSet/>
      <dgm:spPr/>
      <dgm:t>
        <a:bodyPr/>
        <a:p>
          <a:pPr algn="ctr"/>
          <a:endParaRPr lang="en-US" sz="1200">
            <a:solidFill>
              <a:sysClr val="windowText" lastClr="000000"/>
            </a:solidFill>
          </a:endParaRPr>
        </a:p>
      </dgm:t>
    </dgm:pt>
    <dgm:pt modelId="{5AE209D3-47D3-4C1E-844D-A73BDB3D2C36}" cxnId="{FE2464D4-0298-42C2-8514-7744FEAE5546}" type="sibTrans">
      <dgm:prSet/>
      <dgm:spPr/>
      <dgm:t>
        <a:bodyPr/>
        <a:p>
          <a:pPr algn="ctr"/>
          <a:endParaRPr lang="en-US" sz="1200">
            <a:solidFill>
              <a:sysClr val="windowText" lastClr="000000"/>
            </a:solidFill>
          </a:endParaRPr>
        </a:p>
      </dgm:t>
    </dgm:pt>
    <dgm:pt modelId="{21DAE730-BCAC-44EF-AB18-4F41A4F500B0}" type="pres">
      <dgm:prSet presAssocID="{9B78892B-C89A-4A47-8339-518550992740}" presName="cycle" presStyleCnt="0">
        <dgm:presLayoutVars>
          <dgm:dir/>
          <dgm:resizeHandles val="exact"/>
        </dgm:presLayoutVars>
      </dgm:prSet>
      <dgm:spPr/>
    </dgm:pt>
    <dgm:pt modelId="{EA87B0C0-1C25-4CF7-BD1C-04D4BC492408}" type="pres">
      <dgm:prSet presAssocID="{C2FFBF0F-6D9E-43D9-B626-68976C3DDCF9}" presName="node" presStyleLbl="node1" presStyleIdx="0" presStyleCnt="3">
        <dgm:presLayoutVars>
          <dgm:bulletEnabled val="1"/>
        </dgm:presLayoutVars>
      </dgm:prSet>
      <dgm:spPr/>
    </dgm:pt>
    <dgm:pt modelId="{9395EF89-F07B-44F8-A101-919D93EADD6C}" type="pres">
      <dgm:prSet presAssocID="{C2FFBF0F-6D9E-43D9-B626-68976C3DDCF9}" presName="spNode" presStyleCnt="0"/>
      <dgm:spPr/>
    </dgm:pt>
    <dgm:pt modelId="{A51A4F0D-F180-4375-B680-7167DA402563}" type="pres">
      <dgm:prSet presAssocID="{45B1A759-07B9-460C-8672-138FD147B258}" presName="sibTrans" presStyleLbl="sibTrans1D1" presStyleIdx="0" presStyleCnt="3"/>
      <dgm:spPr/>
    </dgm:pt>
    <dgm:pt modelId="{6E9FB62A-1C00-4F14-B486-174406B749BC}" type="pres">
      <dgm:prSet presAssocID="{8D8E32E4-D5CB-47F3-BFAF-AC8A0432CE05}" presName="node" presStyleLbl="node1" presStyleIdx="1" presStyleCnt="3">
        <dgm:presLayoutVars>
          <dgm:bulletEnabled val="1"/>
        </dgm:presLayoutVars>
      </dgm:prSet>
      <dgm:spPr/>
    </dgm:pt>
    <dgm:pt modelId="{2AE67776-2AA4-4695-A3E0-6A5C77805A90}" type="pres">
      <dgm:prSet presAssocID="{8D8E32E4-D5CB-47F3-BFAF-AC8A0432CE05}" presName="spNode" presStyleCnt="0"/>
      <dgm:spPr/>
    </dgm:pt>
    <dgm:pt modelId="{B570D10C-783A-42D8-83F3-82B64038F834}" type="pres">
      <dgm:prSet presAssocID="{86A75522-3CB1-4E1A-9A79-AB03AB76F014}" presName="sibTrans" presStyleLbl="sibTrans1D1" presStyleIdx="1" presStyleCnt="3"/>
      <dgm:spPr/>
    </dgm:pt>
    <dgm:pt modelId="{52CBE973-3375-4257-8327-018EA350DDCB}" type="pres">
      <dgm:prSet presAssocID="{AE96A237-9CCB-4939-AFA1-1E70912ADB35}" presName="node" presStyleLbl="node1" presStyleIdx="2" presStyleCnt="3">
        <dgm:presLayoutVars>
          <dgm:bulletEnabled val="1"/>
        </dgm:presLayoutVars>
      </dgm:prSet>
      <dgm:spPr/>
    </dgm:pt>
    <dgm:pt modelId="{3637E655-AB27-4272-B0A0-88DDE7BB2587}" type="pres">
      <dgm:prSet presAssocID="{AE96A237-9CCB-4939-AFA1-1E70912ADB35}" presName="spNode" presStyleCnt="0"/>
      <dgm:spPr/>
    </dgm:pt>
    <dgm:pt modelId="{DE901734-3394-4279-9C4D-3860E2E27A08}" type="pres">
      <dgm:prSet presAssocID="{5AE209D3-47D3-4C1E-844D-A73BDB3D2C36}" presName="sibTrans" presStyleLbl="sibTrans1D1" presStyleIdx="2" presStyleCnt="3"/>
      <dgm:spPr/>
    </dgm:pt>
  </dgm:ptLst>
  <dgm:cxnLst>
    <dgm:cxn modelId="{4A0AE504-74CF-4492-B355-97963FD0E4BD}" type="presOf" srcId="{AE96A237-9CCB-4939-AFA1-1E70912ADB35}" destId="{52CBE973-3375-4257-8327-018EA350DDCB}" srcOrd="0" destOrd="0" presId="urn:microsoft.com/office/officeart/2005/8/layout/cycle6#1"/>
    <dgm:cxn modelId="{230A5F26-A8ED-43B3-81D6-22FE7EAE6A33}" type="presOf" srcId="{C2FFBF0F-6D9E-43D9-B626-68976C3DDCF9}" destId="{EA87B0C0-1C25-4CF7-BD1C-04D4BC492408}" srcOrd="0" destOrd="0" presId="urn:microsoft.com/office/officeart/2005/8/layout/cycle6#1"/>
    <dgm:cxn modelId="{53B64A2D-783E-491A-B179-3AA01E4B54A2}" type="presOf" srcId="{8D8E32E4-D5CB-47F3-BFAF-AC8A0432CE05}" destId="{6E9FB62A-1C00-4F14-B486-174406B749BC}" srcOrd="0" destOrd="0" presId="urn:microsoft.com/office/officeart/2005/8/layout/cycle6#1"/>
    <dgm:cxn modelId="{FA87B070-0953-4756-B777-D7C0BD704542}" type="presOf" srcId="{5AE209D3-47D3-4C1E-844D-A73BDB3D2C36}" destId="{DE901734-3394-4279-9C4D-3860E2E27A08}" srcOrd="0" destOrd="0" presId="urn:microsoft.com/office/officeart/2005/8/layout/cycle6#1"/>
    <dgm:cxn modelId="{1E6B0B90-641D-4018-B763-EECBC4EF4686}" type="presOf" srcId="{45B1A759-07B9-460C-8672-138FD147B258}" destId="{A51A4F0D-F180-4375-B680-7167DA402563}" srcOrd="0" destOrd="0" presId="urn:microsoft.com/office/officeart/2005/8/layout/cycle6#1"/>
    <dgm:cxn modelId="{5DFEE0A5-773D-4054-9AF8-9D79B92F7DB2}" srcId="{9B78892B-C89A-4A47-8339-518550992740}" destId="{C2FFBF0F-6D9E-43D9-B626-68976C3DDCF9}" srcOrd="0" destOrd="0" parTransId="{5A24864F-FDCC-414B-9591-C3DF62D228A0}" sibTransId="{45B1A759-07B9-460C-8672-138FD147B258}"/>
    <dgm:cxn modelId="{78416FA6-EF3D-4C1E-AB02-5C6DC61250D3}" type="presOf" srcId="{9B78892B-C89A-4A47-8339-518550992740}" destId="{21DAE730-BCAC-44EF-AB18-4F41A4F500B0}" srcOrd="0" destOrd="0" presId="urn:microsoft.com/office/officeart/2005/8/layout/cycle6#1"/>
    <dgm:cxn modelId="{675701A8-0645-4876-8675-2717DC9F862A}" srcId="{9B78892B-C89A-4A47-8339-518550992740}" destId="{8D8E32E4-D5CB-47F3-BFAF-AC8A0432CE05}" srcOrd="1" destOrd="0" parTransId="{6A743683-AC2D-47BA-A214-6B6F1845DA21}" sibTransId="{86A75522-3CB1-4E1A-9A79-AB03AB76F014}"/>
    <dgm:cxn modelId="{03553ACE-5757-4735-9C00-4E340357033C}" type="presOf" srcId="{86A75522-3CB1-4E1A-9A79-AB03AB76F014}" destId="{B570D10C-783A-42D8-83F3-82B64038F834}" srcOrd="0" destOrd="0" presId="urn:microsoft.com/office/officeart/2005/8/layout/cycle6#1"/>
    <dgm:cxn modelId="{FE2464D4-0298-42C2-8514-7744FEAE5546}" srcId="{9B78892B-C89A-4A47-8339-518550992740}" destId="{AE96A237-9CCB-4939-AFA1-1E70912ADB35}" srcOrd="2" destOrd="0" parTransId="{90A9155B-344B-4B53-B9F2-3922C7B0C56E}" sibTransId="{5AE209D3-47D3-4C1E-844D-A73BDB3D2C36}"/>
    <dgm:cxn modelId="{1E01D524-300B-49CD-B819-7ECA7A086C46}" type="presParOf" srcId="{21DAE730-BCAC-44EF-AB18-4F41A4F500B0}" destId="{EA87B0C0-1C25-4CF7-BD1C-04D4BC492408}" srcOrd="0" destOrd="0" presId="urn:microsoft.com/office/officeart/2005/8/layout/cycle6#1"/>
    <dgm:cxn modelId="{A2E97208-3746-47AD-A61E-DCAFCF92A3AA}" type="presParOf" srcId="{21DAE730-BCAC-44EF-AB18-4F41A4F500B0}" destId="{9395EF89-F07B-44F8-A101-919D93EADD6C}" srcOrd="1" destOrd="0" presId="urn:microsoft.com/office/officeart/2005/8/layout/cycle6#1"/>
    <dgm:cxn modelId="{82530F50-8FAF-4C42-A7DB-B14BCAFADB64}" type="presParOf" srcId="{21DAE730-BCAC-44EF-AB18-4F41A4F500B0}" destId="{A51A4F0D-F180-4375-B680-7167DA402563}" srcOrd="2" destOrd="0" presId="urn:microsoft.com/office/officeart/2005/8/layout/cycle6#1"/>
    <dgm:cxn modelId="{C440077B-1DF9-48C6-AAED-E041AB456741}" type="presParOf" srcId="{21DAE730-BCAC-44EF-AB18-4F41A4F500B0}" destId="{6E9FB62A-1C00-4F14-B486-174406B749BC}" srcOrd="3" destOrd="0" presId="urn:microsoft.com/office/officeart/2005/8/layout/cycle6#1"/>
    <dgm:cxn modelId="{25EB1D85-2BE9-4594-9C29-F043A051E235}" type="presParOf" srcId="{21DAE730-BCAC-44EF-AB18-4F41A4F500B0}" destId="{2AE67776-2AA4-4695-A3E0-6A5C77805A90}" srcOrd="4" destOrd="0" presId="urn:microsoft.com/office/officeart/2005/8/layout/cycle6#1"/>
    <dgm:cxn modelId="{3684F265-6F15-4525-904E-0AC408E0BDC2}" type="presParOf" srcId="{21DAE730-BCAC-44EF-AB18-4F41A4F500B0}" destId="{B570D10C-783A-42D8-83F3-82B64038F834}" srcOrd="5" destOrd="0" presId="urn:microsoft.com/office/officeart/2005/8/layout/cycle6#1"/>
    <dgm:cxn modelId="{B73A6180-FB53-47C1-ABD7-23CFC464C486}" type="presParOf" srcId="{21DAE730-BCAC-44EF-AB18-4F41A4F500B0}" destId="{52CBE973-3375-4257-8327-018EA350DDCB}" srcOrd="6" destOrd="0" presId="urn:microsoft.com/office/officeart/2005/8/layout/cycle6#1"/>
    <dgm:cxn modelId="{530415F6-E4F6-40FC-9CF7-E428BDDD00E2}" type="presParOf" srcId="{21DAE730-BCAC-44EF-AB18-4F41A4F500B0}" destId="{3637E655-AB27-4272-B0A0-88DDE7BB2587}" srcOrd="7" destOrd="0" presId="urn:microsoft.com/office/officeart/2005/8/layout/cycle6#1"/>
    <dgm:cxn modelId="{9A57E062-396E-4081-A6CE-CBDF94894552}" type="presParOf" srcId="{21DAE730-BCAC-44EF-AB18-4F41A4F500B0}" destId="{DE901734-3394-4279-9C4D-3860E2E27A08}" srcOrd="8" destOrd="0" presId="urn:microsoft.com/office/officeart/2005/8/layout/cycle6#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B60DC7-9924-4864-A468-E22BFE841D79}">
      <dsp:nvSpPr>
        <dsp:cNvPr id="0" name=""/>
        <dsp:cNvSpPr/>
      </dsp:nvSpPr>
      <dsp:spPr>
        <a:xfrm rot="5400000">
          <a:off x="139094" y="1950752"/>
          <a:ext cx="417878" cy="695341"/>
        </a:xfrm>
        <a:prstGeom prst="corner">
          <a:avLst>
            <a:gd name="adj1" fmla="val 16000"/>
            <a:gd name="adj2" fmla="val 16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841E02-09A1-4720-877E-38FA79C82EDF}">
      <dsp:nvSpPr>
        <dsp:cNvPr id="0" name=""/>
        <dsp:cNvSpPr/>
      </dsp:nvSpPr>
      <dsp:spPr>
        <a:xfrm>
          <a:off x="69339" y="2158509"/>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Project scope </a:t>
          </a:r>
        </a:p>
      </dsp:txBody>
      <dsp:txXfrm>
        <a:off x="69339" y="2158509"/>
        <a:ext cx="627757" cy="550266"/>
      </dsp:txXfrm>
    </dsp:sp>
    <dsp:sp modelId="{30F46CF7-5E0F-4939-9BFD-CF6D2D485198}">
      <dsp:nvSpPr>
        <dsp:cNvPr id="0" name=""/>
        <dsp:cNvSpPr/>
      </dsp:nvSpPr>
      <dsp:spPr>
        <a:xfrm>
          <a:off x="578653" y="1899560"/>
          <a:ext cx="118444" cy="118444"/>
        </a:xfrm>
        <a:prstGeom prst="triangle">
          <a:avLst>
            <a:gd name="adj" fmla="val 100000"/>
          </a:avLst>
        </a:prstGeom>
        <a:solidFill>
          <a:schemeClr val="accent3">
            <a:hueOff val="193614"/>
            <a:satOff val="7143"/>
            <a:lumOff val="-1050"/>
            <a:alphaOff val="0"/>
          </a:schemeClr>
        </a:solidFill>
        <a:ln w="12700" cap="flat" cmpd="sng" algn="ctr">
          <a:solidFill>
            <a:schemeClr val="accent3">
              <a:hueOff val="193614"/>
              <a:satOff val="7143"/>
              <a:lumOff val="-105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02F691-2F57-4079-99ED-94FCD4241119}">
      <dsp:nvSpPr>
        <dsp:cNvPr id="0" name=""/>
        <dsp:cNvSpPr/>
      </dsp:nvSpPr>
      <dsp:spPr>
        <a:xfrm rot="5400000">
          <a:off x="907592" y="1760586"/>
          <a:ext cx="417878" cy="695341"/>
        </a:xfrm>
        <a:prstGeom prst="corner">
          <a:avLst>
            <a:gd name="adj1" fmla="val 16000"/>
            <a:gd name="adj2" fmla="val 16000"/>
          </a:avLst>
        </a:prstGeom>
        <a:solidFill>
          <a:schemeClr val="accent3">
            <a:hueOff val="387228"/>
            <a:satOff val="14286"/>
            <a:lumOff val="-2101"/>
            <a:alphaOff val="0"/>
          </a:schemeClr>
        </a:solidFill>
        <a:ln w="12700" cap="flat" cmpd="sng" algn="ctr">
          <a:solidFill>
            <a:schemeClr val="accent3">
              <a:hueOff val="387228"/>
              <a:satOff val="14286"/>
              <a:lumOff val="-210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AF4FB1-3C8F-465C-BF2B-BADB00537808}">
      <dsp:nvSpPr>
        <dsp:cNvPr id="0" name=""/>
        <dsp:cNvSpPr/>
      </dsp:nvSpPr>
      <dsp:spPr>
        <a:xfrm>
          <a:off x="837838" y="1968343"/>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Budget assumpations </a:t>
          </a:r>
        </a:p>
      </dsp:txBody>
      <dsp:txXfrm>
        <a:off x="837838" y="1968343"/>
        <a:ext cx="627757" cy="550266"/>
      </dsp:txXfrm>
    </dsp:sp>
    <dsp:sp modelId="{6EDF27CA-6918-41E7-8FA1-6B90CD809EAB}">
      <dsp:nvSpPr>
        <dsp:cNvPr id="0" name=""/>
        <dsp:cNvSpPr/>
      </dsp:nvSpPr>
      <dsp:spPr>
        <a:xfrm>
          <a:off x="1347151" y="1709394"/>
          <a:ext cx="118444" cy="118444"/>
        </a:xfrm>
        <a:prstGeom prst="triangle">
          <a:avLst>
            <a:gd name="adj" fmla="val 100000"/>
          </a:avLst>
        </a:prstGeom>
        <a:solidFill>
          <a:schemeClr val="accent3">
            <a:hueOff val="580843"/>
            <a:satOff val="21429"/>
            <a:lumOff val="-3151"/>
            <a:alphaOff val="0"/>
          </a:schemeClr>
        </a:solidFill>
        <a:ln w="12700" cap="flat" cmpd="sng" algn="ctr">
          <a:solidFill>
            <a:schemeClr val="accent3">
              <a:hueOff val="580843"/>
              <a:satOff val="21429"/>
              <a:lumOff val="-315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8901A2-7608-446C-B259-7CED825C6311}">
      <dsp:nvSpPr>
        <dsp:cNvPr id="0" name=""/>
        <dsp:cNvSpPr/>
      </dsp:nvSpPr>
      <dsp:spPr>
        <a:xfrm rot="5400000">
          <a:off x="1676091" y="1570421"/>
          <a:ext cx="417878" cy="695341"/>
        </a:xfrm>
        <a:prstGeom prst="corner">
          <a:avLst>
            <a:gd name="adj1" fmla="val 16000"/>
            <a:gd name="adj2" fmla="val 16000"/>
          </a:avLst>
        </a:prstGeom>
        <a:solidFill>
          <a:schemeClr val="accent3">
            <a:hueOff val="774457"/>
            <a:satOff val="28571"/>
            <a:lumOff val="-4202"/>
            <a:alphaOff val="0"/>
          </a:schemeClr>
        </a:solidFill>
        <a:ln w="12700" cap="flat" cmpd="sng" algn="ctr">
          <a:solidFill>
            <a:schemeClr val="accent3">
              <a:hueOff val="774457"/>
              <a:satOff val="28571"/>
              <a:lumOff val="-42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323857-636D-46DA-835A-91CD6A247858}">
      <dsp:nvSpPr>
        <dsp:cNvPr id="0" name=""/>
        <dsp:cNvSpPr/>
      </dsp:nvSpPr>
      <dsp:spPr>
        <a:xfrm>
          <a:off x="1606336" y="1778178"/>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Assumpations </a:t>
          </a:r>
        </a:p>
      </dsp:txBody>
      <dsp:txXfrm>
        <a:off x="1606336" y="1778178"/>
        <a:ext cx="627757" cy="550266"/>
      </dsp:txXfrm>
    </dsp:sp>
    <dsp:sp modelId="{46FAF674-F2CD-4FE4-B1C5-FFC87AF3B6BA}">
      <dsp:nvSpPr>
        <dsp:cNvPr id="0" name=""/>
        <dsp:cNvSpPr/>
      </dsp:nvSpPr>
      <dsp:spPr>
        <a:xfrm>
          <a:off x="2115649" y="1519229"/>
          <a:ext cx="118444" cy="118444"/>
        </a:xfrm>
        <a:prstGeom prst="triangle">
          <a:avLst>
            <a:gd name="adj" fmla="val 100000"/>
          </a:avLst>
        </a:prstGeom>
        <a:solidFill>
          <a:schemeClr val="accent3">
            <a:hueOff val="968071"/>
            <a:satOff val="35714"/>
            <a:lumOff val="-5252"/>
            <a:alphaOff val="0"/>
          </a:schemeClr>
        </a:solidFill>
        <a:ln w="12700" cap="flat" cmpd="sng" algn="ctr">
          <a:solidFill>
            <a:schemeClr val="accent3">
              <a:hueOff val="968071"/>
              <a:satOff val="35714"/>
              <a:lumOff val="-525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72F8C16-7FAD-43CE-8F01-1836DCEA58B4}">
      <dsp:nvSpPr>
        <dsp:cNvPr id="0" name=""/>
        <dsp:cNvSpPr/>
      </dsp:nvSpPr>
      <dsp:spPr>
        <a:xfrm rot="5400000">
          <a:off x="2444589" y="1380255"/>
          <a:ext cx="417878" cy="695341"/>
        </a:xfrm>
        <a:prstGeom prst="corner">
          <a:avLst>
            <a:gd name="adj1" fmla="val 16000"/>
            <a:gd name="adj2" fmla="val 16000"/>
          </a:avLst>
        </a:prstGeom>
        <a:solidFill>
          <a:schemeClr val="accent3">
            <a:hueOff val="1161685"/>
            <a:satOff val="42857"/>
            <a:lumOff val="-6303"/>
            <a:alphaOff val="0"/>
          </a:schemeClr>
        </a:solidFill>
        <a:ln w="12700" cap="flat" cmpd="sng" algn="ctr">
          <a:solidFill>
            <a:schemeClr val="accent3">
              <a:hueOff val="1161685"/>
              <a:satOff val="42857"/>
              <a:lumOff val="-630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DF5031-BEBC-48FC-9036-9F072E2F3981}">
      <dsp:nvSpPr>
        <dsp:cNvPr id="0" name=""/>
        <dsp:cNvSpPr/>
      </dsp:nvSpPr>
      <dsp:spPr>
        <a:xfrm>
          <a:off x="2374835" y="1588012"/>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Constraints </a:t>
          </a:r>
        </a:p>
      </dsp:txBody>
      <dsp:txXfrm>
        <a:off x="2374835" y="1588012"/>
        <a:ext cx="627757" cy="550266"/>
      </dsp:txXfrm>
    </dsp:sp>
    <dsp:sp modelId="{A556578D-3479-4BEE-B9BD-24AF53D1B866}">
      <dsp:nvSpPr>
        <dsp:cNvPr id="0" name=""/>
        <dsp:cNvSpPr/>
      </dsp:nvSpPr>
      <dsp:spPr>
        <a:xfrm>
          <a:off x="2884148" y="1329063"/>
          <a:ext cx="118444" cy="118444"/>
        </a:xfrm>
        <a:prstGeom prst="triangle">
          <a:avLst>
            <a:gd name="adj" fmla="val 100000"/>
          </a:avLst>
        </a:prstGeom>
        <a:solidFill>
          <a:schemeClr val="accent3">
            <a:hueOff val="1355300"/>
            <a:satOff val="50000"/>
            <a:lumOff val="-7353"/>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37189B-3D09-4CB2-8AEC-1AC2AA51CA98}">
      <dsp:nvSpPr>
        <dsp:cNvPr id="0" name=""/>
        <dsp:cNvSpPr/>
      </dsp:nvSpPr>
      <dsp:spPr>
        <a:xfrm rot="5400000">
          <a:off x="3213087" y="1190089"/>
          <a:ext cx="417878" cy="695341"/>
        </a:xfrm>
        <a:prstGeom prst="corner">
          <a:avLst>
            <a:gd name="adj1" fmla="val 16000"/>
            <a:gd name="adj2" fmla="val 16000"/>
          </a:avLst>
        </a:prstGeom>
        <a:solidFill>
          <a:schemeClr val="accent3">
            <a:hueOff val="1548914"/>
            <a:satOff val="57143"/>
            <a:lumOff val="-8403"/>
            <a:alphaOff val="0"/>
          </a:schemeClr>
        </a:solidFill>
        <a:ln w="12700" cap="flat" cmpd="sng" algn="ctr">
          <a:solidFill>
            <a:schemeClr val="accent3">
              <a:hueOff val="1548914"/>
              <a:satOff val="57143"/>
              <a:lumOff val="-840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E19C3A-9D04-4F04-9B04-D9078F2962F1}">
      <dsp:nvSpPr>
        <dsp:cNvPr id="0" name=""/>
        <dsp:cNvSpPr/>
      </dsp:nvSpPr>
      <dsp:spPr>
        <a:xfrm>
          <a:off x="3143333" y="1397846"/>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Stakeholders </a:t>
          </a:r>
        </a:p>
      </dsp:txBody>
      <dsp:txXfrm>
        <a:off x="3143333" y="1397846"/>
        <a:ext cx="627757" cy="550266"/>
      </dsp:txXfrm>
    </dsp:sp>
    <dsp:sp modelId="{1B489515-6FE7-4A35-BAB2-879E9773EEB8}">
      <dsp:nvSpPr>
        <dsp:cNvPr id="0" name=""/>
        <dsp:cNvSpPr/>
      </dsp:nvSpPr>
      <dsp:spPr>
        <a:xfrm>
          <a:off x="3652646" y="1138897"/>
          <a:ext cx="118444" cy="118444"/>
        </a:xfrm>
        <a:prstGeom prst="triangle">
          <a:avLst>
            <a:gd name="adj" fmla="val 100000"/>
          </a:avLst>
        </a:prstGeom>
        <a:solidFill>
          <a:schemeClr val="accent3">
            <a:hueOff val="1742528"/>
            <a:satOff val="64286"/>
            <a:lumOff val="-9454"/>
            <a:alphaOff val="0"/>
          </a:schemeClr>
        </a:solidFill>
        <a:ln w="12700" cap="flat" cmpd="sng" algn="ctr">
          <a:solidFill>
            <a:schemeClr val="accent3">
              <a:hueOff val="1742528"/>
              <a:satOff val="64286"/>
              <a:lumOff val="-945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C02E0A-BD84-4947-BCFD-4E1926E7A181}">
      <dsp:nvSpPr>
        <dsp:cNvPr id="0" name=""/>
        <dsp:cNvSpPr/>
      </dsp:nvSpPr>
      <dsp:spPr>
        <a:xfrm rot="5400000">
          <a:off x="3981586" y="999923"/>
          <a:ext cx="417878" cy="695341"/>
        </a:xfrm>
        <a:prstGeom prst="corner">
          <a:avLst>
            <a:gd name="adj1" fmla="val 16000"/>
            <a:gd name="adj2" fmla="val 16000"/>
          </a:avLst>
        </a:prstGeom>
        <a:solidFill>
          <a:schemeClr val="accent3">
            <a:hueOff val="1936142"/>
            <a:satOff val="71429"/>
            <a:lumOff val="-10504"/>
            <a:alphaOff val="0"/>
          </a:schemeClr>
        </a:solidFill>
        <a:ln w="12700" cap="flat" cmpd="sng" algn="ctr">
          <a:solidFill>
            <a:schemeClr val="accent3">
              <a:hueOff val="1936142"/>
              <a:satOff val="71429"/>
              <a:lumOff val="-105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283156-F753-45C8-9CF8-E6641DD655C6}">
      <dsp:nvSpPr>
        <dsp:cNvPr id="0" name=""/>
        <dsp:cNvSpPr/>
      </dsp:nvSpPr>
      <dsp:spPr>
        <a:xfrm>
          <a:off x="3911831" y="1207681"/>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Project controlling framwork </a:t>
          </a:r>
        </a:p>
      </dsp:txBody>
      <dsp:txXfrm>
        <a:off x="3911831" y="1207681"/>
        <a:ext cx="627757" cy="550266"/>
      </dsp:txXfrm>
    </dsp:sp>
    <dsp:sp modelId="{EE42F8E2-338F-4DE8-913F-9A3D906AD516}">
      <dsp:nvSpPr>
        <dsp:cNvPr id="0" name=""/>
        <dsp:cNvSpPr/>
      </dsp:nvSpPr>
      <dsp:spPr>
        <a:xfrm>
          <a:off x="4421145" y="948732"/>
          <a:ext cx="118444" cy="118444"/>
        </a:xfrm>
        <a:prstGeom prst="triangle">
          <a:avLst>
            <a:gd name="adj" fmla="val 100000"/>
          </a:avLst>
        </a:prstGeom>
        <a:solidFill>
          <a:schemeClr val="accent3">
            <a:hueOff val="2129756"/>
            <a:satOff val="78571"/>
            <a:lumOff val="-11555"/>
            <a:alphaOff val="0"/>
          </a:schemeClr>
        </a:solidFill>
        <a:ln w="12700" cap="flat" cmpd="sng" algn="ctr">
          <a:solidFill>
            <a:schemeClr val="accent3">
              <a:hueOff val="2129756"/>
              <a:satOff val="78571"/>
              <a:lumOff val="-1155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EFE83B-8AC6-48CD-B0E0-677B88F5A963}">
      <dsp:nvSpPr>
        <dsp:cNvPr id="0" name=""/>
        <dsp:cNvSpPr/>
      </dsp:nvSpPr>
      <dsp:spPr>
        <a:xfrm rot="5400000">
          <a:off x="4750084" y="809758"/>
          <a:ext cx="417878" cy="695341"/>
        </a:xfrm>
        <a:prstGeom prst="corner">
          <a:avLst>
            <a:gd name="adj1" fmla="val 16000"/>
            <a:gd name="adj2" fmla="val 16000"/>
          </a:avLst>
        </a:prstGeom>
        <a:solidFill>
          <a:schemeClr val="accent3">
            <a:hueOff val="2323371"/>
            <a:satOff val="85714"/>
            <a:lumOff val="-12605"/>
            <a:alphaOff val="0"/>
          </a:schemeClr>
        </a:solidFill>
        <a:ln w="12700" cap="flat" cmpd="sng" algn="ctr">
          <a:solidFill>
            <a:schemeClr val="accent3">
              <a:hueOff val="2323371"/>
              <a:satOff val="85714"/>
              <a:lumOff val="-1260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75792C-2D63-46E1-92B0-C2D0D0D61321}">
      <dsp:nvSpPr>
        <dsp:cNvPr id="0" name=""/>
        <dsp:cNvSpPr/>
      </dsp:nvSpPr>
      <dsp:spPr>
        <a:xfrm>
          <a:off x="4680330" y="1017515"/>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Reporting framwork </a:t>
          </a:r>
        </a:p>
      </dsp:txBody>
      <dsp:txXfrm>
        <a:off x="4680330" y="1017515"/>
        <a:ext cx="627757" cy="550266"/>
      </dsp:txXfrm>
    </dsp:sp>
    <dsp:sp modelId="{FFE03464-D172-427E-8846-D3C49C426799}">
      <dsp:nvSpPr>
        <dsp:cNvPr id="0" name=""/>
        <dsp:cNvSpPr/>
      </dsp:nvSpPr>
      <dsp:spPr>
        <a:xfrm>
          <a:off x="5189643" y="758566"/>
          <a:ext cx="118444" cy="118444"/>
        </a:xfrm>
        <a:prstGeom prst="triangle">
          <a:avLst>
            <a:gd name="adj" fmla="val 100000"/>
          </a:avLst>
        </a:prstGeom>
        <a:solidFill>
          <a:schemeClr val="accent3">
            <a:hueOff val="2516985"/>
            <a:satOff val="92857"/>
            <a:lumOff val="-13656"/>
            <a:alphaOff val="0"/>
          </a:schemeClr>
        </a:solidFill>
        <a:ln w="12700" cap="flat" cmpd="sng" algn="ctr">
          <a:solidFill>
            <a:schemeClr val="accent3">
              <a:hueOff val="2516985"/>
              <a:satOff val="92857"/>
              <a:lumOff val="-1365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8C6E73-E843-4E54-9EA7-DE212CCC5FA5}">
      <dsp:nvSpPr>
        <dsp:cNvPr id="0" name=""/>
        <dsp:cNvSpPr/>
      </dsp:nvSpPr>
      <dsp:spPr>
        <a:xfrm rot="5400000">
          <a:off x="5518583" y="619592"/>
          <a:ext cx="417878" cy="695341"/>
        </a:xfrm>
        <a:prstGeom prst="corner">
          <a:avLst>
            <a:gd name="adj1" fmla="val 16000"/>
            <a:gd name="adj2" fmla="val 16000"/>
          </a:avLst>
        </a:prstGeom>
        <a:solidFill>
          <a:schemeClr val="accent3">
            <a:hueOff val="2710599"/>
            <a:satOff val="100000"/>
            <a:lumOff val="-14706"/>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328CD3-AE91-48BF-89FF-609D92C67C7B}">
      <dsp:nvSpPr>
        <dsp:cNvPr id="0" name=""/>
        <dsp:cNvSpPr/>
      </dsp:nvSpPr>
      <dsp:spPr>
        <a:xfrm>
          <a:off x="5448828" y="827349"/>
          <a:ext cx="627757" cy="5502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Project Planning with Milestones </a:t>
          </a:r>
        </a:p>
      </dsp:txBody>
      <dsp:txXfrm>
        <a:off x="5448828" y="827349"/>
        <a:ext cx="627757" cy="5502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87B0C0-1C25-4CF7-BD1C-04D4BC492408}">
      <dsp:nvSpPr>
        <dsp:cNvPr id="0" name=""/>
        <dsp:cNvSpPr/>
      </dsp:nvSpPr>
      <dsp:spPr>
        <a:xfrm>
          <a:off x="2498024" y="1051"/>
          <a:ext cx="947551" cy="61590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Time </a:t>
          </a:r>
        </a:p>
      </dsp:txBody>
      <dsp:txXfrm>
        <a:off x="2528090" y="31117"/>
        <a:ext cx="887419" cy="555776"/>
      </dsp:txXfrm>
    </dsp:sp>
    <dsp:sp modelId="{A51A4F0D-F180-4375-B680-7167DA402563}">
      <dsp:nvSpPr>
        <dsp:cNvPr id="0" name=""/>
        <dsp:cNvSpPr/>
      </dsp:nvSpPr>
      <dsp:spPr>
        <a:xfrm>
          <a:off x="2150219" y="309005"/>
          <a:ext cx="1643161" cy="1643161"/>
        </a:xfrm>
        <a:custGeom>
          <a:avLst/>
          <a:gdLst/>
          <a:ahLst/>
          <a:cxnLst/>
          <a:rect l="0" t="0" r="0" b="0"/>
          <a:pathLst>
            <a:path>
              <a:moveTo>
                <a:pt x="1302242" y="155278"/>
              </a:moveTo>
              <a:arcTo wR="821580" hR="821580" stAng="18348371" swAng="3647660"/>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E9FB62A-1C00-4F14-B486-174406B749BC}">
      <dsp:nvSpPr>
        <dsp:cNvPr id="0" name=""/>
        <dsp:cNvSpPr/>
      </dsp:nvSpPr>
      <dsp:spPr>
        <a:xfrm>
          <a:off x="3209534" y="1233422"/>
          <a:ext cx="947551" cy="615908"/>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Quality </a:t>
          </a:r>
        </a:p>
      </dsp:txBody>
      <dsp:txXfrm>
        <a:off x="3239600" y="1263488"/>
        <a:ext cx="887419" cy="555776"/>
      </dsp:txXfrm>
    </dsp:sp>
    <dsp:sp modelId="{B570D10C-783A-42D8-83F3-82B64038F834}">
      <dsp:nvSpPr>
        <dsp:cNvPr id="0" name=""/>
        <dsp:cNvSpPr/>
      </dsp:nvSpPr>
      <dsp:spPr>
        <a:xfrm>
          <a:off x="2150219" y="309005"/>
          <a:ext cx="1643161" cy="1643161"/>
        </a:xfrm>
        <a:custGeom>
          <a:avLst/>
          <a:gdLst/>
          <a:ahLst/>
          <a:cxnLst/>
          <a:rect l="0" t="0" r="0" b="0"/>
          <a:pathLst>
            <a:path>
              <a:moveTo>
                <a:pt x="1212595" y="1544147"/>
              </a:moveTo>
              <a:arcTo wR="821580" hR="821580" stAng="3694808" swAng="3410384"/>
            </a:path>
          </a:pathLst>
        </a:custGeom>
        <a:noFill/>
        <a:ln w="6350" cap="flat" cmpd="sng" algn="ctr">
          <a:solidFill>
            <a:schemeClr val="accent3">
              <a:hueOff val="1355300"/>
              <a:satOff val="50000"/>
              <a:lumOff val="-7353"/>
              <a:alphaOff val="0"/>
            </a:schemeClr>
          </a:solidFill>
          <a:prstDash val="solid"/>
          <a:miter lim="800000"/>
        </a:ln>
        <a:effectLst/>
      </dsp:spPr>
      <dsp:style>
        <a:lnRef idx="1">
          <a:scrgbClr r="0" g="0" b="0"/>
        </a:lnRef>
        <a:fillRef idx="0">
          <a:scrgbClr r="0" g="0" b="0"/>
        </a:fillRef>
        <a:effectRef idx="0">
          <a:scrgbClr r="0" g="0" b="0"/>
        </a:effectRef>
        <a:fontRef idx="minor"/>
      </dsp:style>
    </dsp:sp>
    <dsp:sp modelId="{52CBE973-3375-4257-8327-018EA350DDCB}">
      <dsp:nvSpPr>
        <dsp:cNvPr id="0" name=""/>
        <dsp:cNvSpPr/>
      </dsp:nvSpPr>
      <dsp:spPr>
        <a:xfrm>
          <a:off x="1786514" y="1233422"/>
          <a:ext cx="947551" cy="615908"/>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Cost </a:t>
          </a:r>
        </a:p>
      </dsp:txBody>
      <dsp:txXfrm>
        <a:off x="1816580" y="1263488"/>
        <a:ext cx="887419" cy="555776"/>
      </dsp:txXfrm>
    </dsp:sp>
    <dsp:sp modelId="{DE901734-3394-4279-9C4D-3860E2E27A08}">
      <dsp:nvSpPr>
        <dsp:cNvPr id="0" name=""/>
        <dsp:cNvSpPr/>
      </dsp:nvSpPr>
      <dsp:spPr>
        <a:xfrm>
          <a:off x="2150219" y="309005"/>
          <a:ext cx="1643161" cy="1643161"/>
        </a:xfrm>
        <a:custGeom>
          <a:avLst/>
          <a:gdLst/>
          <a:ahLst/>
          <a:cxnLst/>
          <a:rect l="0" t="0" r="0" b="0"/>
          <a:pathLst>
            <a:path>
              <a:moveTo>
                <a:pt x="5445" y="916018"/>
              </a:moveTo>
              <a:arcTo wR="821580" hR="821580" stAng="10403968" swAng="3647660"/>
            </a:path>
          </a:pathLst>
        </a:custGeom>
        <a:no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9/3/layout/StepUpProcess#1">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bkpt" val="fixed"/>
          <dgm:param type="bkPtFixedVal" val="1"/>
          <dgm:param type="off" val="off"/>
          <dgm:param type="grDir" val="bL"/>
          <dgm:param type="flowDir" val="row"/>
        </dgm:alg>
      </dgm:if>
      <dgm:else name="Name2">
        <dgm:alg type="snake">
          <dgm:param type="bkpt" val="fixed"/>
          <dgm:param type="bkPtFixedVal" val="1"/>
          <dgm:param type="off" val="off"/>
          <dgm:param type="grDir" val="bR"/>
          <dgm:param type="flowDir" val="row"/>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type="corner" r:blip="" rot="90">
                <dgm:adjLst>
                  <dgm:adj idx="1" val="0.16"/>
                  <dgm:adj idx="2" val="0.16"/>
                </dgm:adjLst>
              </dgm:shape>
            </dgm:if>
            <dgm:else name="Name8">
              <dgm:shape xmlns:r="http://schemas.openxmlformats.org/officeDocument/2006/relationships" type="corner" r:blip="" rot="180">
                <dgm:adjLst>
                  <dgm:adj idx="1" val="0.16"/>
                  <dgm:adj idx="2" val="0.16"/>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type="triangle" r:blip="" rot="90">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endSty" val="noArr"/>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3120</Words>
  <Characters>16317</Characters>
  <Lines>432</Lines>
  <Paragraphs>229</Paragraphs>
  <ScaleCrop>false</ScaleCrop>
  <LinksUpToDate>false</LinksUpToDate>
  <CharactersWithSpaces>19261</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2022-04-14T16:47:00Z</dcterms:created>
  <dcterms:modified xsi:type="dcterms:W3CDTF">2022-05-02T21:21:27Z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