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9AA4ED" w14:textId="42FC714E" w:rsidR="003E7FA8" w:rsidRDefault="006E3173" w:rsidP="006E3173">
      <w:pPr>
        <w:jc w:val="center"/>
        <w:rPr>
          <w:b/>
          <w:bCs/>
          <w:u w:val="single"/>
        </w:rPr>
      </w:pPr>
      <w:r w:rsidRPr="006E3173">
        <w:rPr>
          <w:b/>
          <w:bCs/>
          <w:u w:val="single"/>
        </w:rPr>
        <w:t xml:space="preserve">Primary source analysis, Testimony of Manuel </w:t>
      </w:r>
      <w:proofErr w:type="spellStart"/>
      <w:r w:rsidRPr="006E3173">
        <w:rPr>
          <w:b/>
          <w:bCs/>
          <w:u w:val="single"/>
        </w:rPr>
        <w:t>Timbu</w:t>
      </w:r>
      <w:proofErr w:type="spellEnd"/>
      <w:r w:rsidRPr="006E3173">
        <w:rPr>
          <w:b/>
          <w:bCs/>
          <w:u w:val="single"/>
        </w:rPr>
        <w:t xml:space="preserve">, Report </w:t>
      </w:r>
      <w:proofErr w:type="gramStart"/>
      <w:r w:rsidRPr="006E3173">
        <w:rPr>
          <w:b/>
          <w:bCs/>
          <w:u w:val="single"/>
        </w:rPr>
        <w:t>On</w:t>
      </w:r>
      <w:proofErr w:type="gramEnd"/>
      <w:r w:rsidRPr="006E3173">
        <w:rPr>
          <w:b/>
          <w:bCs/>
          <w:u w:val="single"/>
        </w:rPr>
        <w:t xml:space="preserve"> The Natives Of South-West Africa And Their Treatment By Germany, 1918.</w:t>
      </w:r>
    </w:p>
    <w:p w14:paraId="074C5405" w14:textId="77777777" w:rsidR="006E3173" w:rsidRDefault="006E3173" w:rsidP="006E3173">
      <w:pPr>
        <w:jc w:val="center"/>
        <w:rPr>
          <w:b/>
          <w:bCs/>
          <w:u w:val="single"/>
        </w:rPr>
      </w:pPr>
    </w:p>
    <w:p w14:paraId="30DED452" w14:textId="77777777" w:rsidR="006E3173" w:rsidRPr="006E3173" w:rsidRDefault="006E3173" w:rsidP="006E3173">
      <w:pPr>
        <w:jc w:val="center"/>
        <w:rPr>
          <w:b/>
          <w:bCs/>
        </w:rPr>
      </w:pPr>
    </w:p>
    <w:p w14:paraId="443C8705" w14:textId="483B7151" w:rsidR="006E3173" w:rsidRDefault="006E3173" w:rsidP="006E3173">
      <w:r w:rsidRPr="006E3173">
        <w:rPr>
          <w:b/>
          <w:bCs/>
        </w:rPr>
        <w:tab/>
      </w:r>
      <w:r>
        <w:t>Although it has been subject to debate over the decades, the killing of the Herero and Nama people in German South-west Africa from 1904-1908, has become widely regarded as the first genocide of the 20</w:t>
      </w:r>
      <w:r w:rsidRPr="006E3173">
        <w:rPr>
          <w:vertAlign w:val="superscript"/>
        </w:rPr>
        <w:t>th</w:t>
      </w:r>
      <w:r>
        <w:t xml:space="preserve"> century. Much of the information surrounding this genocide emanates</w:t>
      </w:r>
      <w:r w:rsidRPr="006E3173">
        <w:t xml:space="preserve"> </w:t>
      </w:r>
      <w:r>
        <w:t>from a small collection of sources</w:t>
      </w:r>
      <w:r>
        <w:t>.</w:t>
      </w:r>
      <w:r>
        <w:rPr>
          <w:rStyle w:val="FootnoteReference"/>
        </w:rPr>
        <w:footnoteReference w:id="1"/>
      </w:r>
      <w:r>
        <w:t xml:space="preserve"> In 1945, the archives of the </w:t>
      </w:r>
      <w:proofErr w:type="spellStart"/>
      <w:r w:rsidR="00591824">
        <w:t>S</w:t>
      </w:r>
      <w:r>
        <w:t>chutztruppe</w:t>
      </w:r>
      <w:proofErr w:type="spellEnd"/>
      <w:r>
        <w:t xml:space="preserve"> were largely destroyed in the bombing of the central military archives in Berlin, leaving only four original files surviving from the National Archives of Namibia.</w:t>
      </w:r>
      <w:r w:rsidR="00102859">
        <w:rPr>
          <w:rStyle w:val="FootnoteReference"/>
        </w:rPr>
        <w:footnoteReference w:id="2"/>
      </w:r>
      <w:r>
        <w:t xml:space="preserve"> For this reason, there is a general lack of primary sources. A large portion of the information around the Herero and Nama genocide comes from two publications, the </w:t>
      </w:r>
      <w:proofErr w:type="spellStart"/>
      <w:r>
        <w:t>Generalstabswerk</w:t>
      </w:r>
      <w:proofErr w:type="spellEnd"/>
      <w:r>
        <w:t xml:space="preserve"> published in 1906 under the title </w:t>
      </w:r>
      <w:r w:rsidRPr="006E3173">
        <w:rPr>
          <w:i/>
          <w:iCs/>
        </w:rPr>
        <w:t xml:space="preserve">‘Die </w:t>
      </w:r>
      <w:proofErr w:type="spellStart"/>
      <w:r w:rsidRPr="006E3173">
        <w:rPr>
          <w:i/>
          <w:iCs/>
        </w:rPr>
        <w:t>Kämpfe</w:t>
      </w:r>
      <w:proofErr w:type="spellEnd"/>
      <w:r w:rsidRPr="006E3173">
        <w:rPr>
          <w:i/>
          <w:iCs/>
        </w:rPr>
        <w:t xml:space="preserve"> der </w:t>
      </w:r>
      <w:proofErr w:type="spellStart"/>
      <w:r w:rsidRPr="006E3173">
        <w:rPr>
          <w:i/>
          <w:iCs/>
        </w:rPr>
        <w:t>deutschen</w:t>
      </w:r>
      <w:proofErr w:type="spellEnd"/>
      <w:r w:rsidRPr="006E3173">
        <w:rPr>
          <w:i/>
          <w:iCs/>
        </w:rPr>
        <w:t xml:space="preserve"> </w:t>
      </w:r>
      <w:proofErr w:type="spellStart"/>
      <w:r w:rsidRPr="006E3173">
        <w:rPr>
          <w:i/>
          <w:iCs/>
        </w:rPr>
        <w:t>Truppen</w:t>
      </w:r>
      <w:proofErr w:type="spellEnd"/>
      <w:r w:rsidRPr="006E3173">
        <w:rPr>
          <w:i/>
          <w:iCs/>
        </w:rPr>
        <w:t xml:space="preserve"> in </w:t>
      </w:r>
      <w:proofErr w:type="spellStart"/>
      <w:r w:rsidRPr="006E3173">
        <w:rPr>
          <w:i/>
          <w:iCs/>
        </w:rPr>
        <w:t>Südwestafrika</w:t>
      </w:r>
      <w:proofErr w:type="spellEnd"/>
      <w:r w:rsidRPr="006E3173">
        <w:rPr>
          <w:i/>
          <w:iCs/>
        </w:rPr>
        <w:t>’</w:t>
      </w:r>
      <w:r>
        <w:t xml:space="preserve">, and the 1918 British </w:t>
      </w:r>
      <w:r w:rsidRPr="006E3173">
        <w:rPr>
          <w:i/>
          <w:iCs/>
        </w:rPr>
        <w:t>‘Report on the Natives of South-West Africa and their Treatment at the hands of Germany’</w:t>
      </w:r>
      <w:r>
        <w:rPr>
          <w:i/>
          <w:iCs/>
        </w:rPr>
        <w:t xml:space="preserve"> </w:t>
      </w:r>
      <w:r>
        <w:t>known as the ‘</w:t>
      </w:r>
      <w:r w:rsidRPr="006E3173">
        <w:rPr>
          <w:i/>
          <w:iCs/>
        </w:rPr>
        <w:t>Blue Book’</w:t>
      </w:r>
      <w:r>
        <w:t>.</w:t>
      </w:r>
      <w:r>
        <w:rPr>
          <w:rStyle w:val="FootnoteReference"/>
        </w:rPr>
        <w:footnoteReference w:id="3"/>
      </w:r>
      <w:r>
        <w:t xml:space="preserve"> Considering the scarcity of primary information outside of these reports,</w:t>
      </w:r>
      <w:r>
        <w:t xml:space="preserve"> </w:t>
      </w:r>
      <w:r>
        <w:t xml:space="preserve">careful </w:t>
      </w:r>
      <w:r>
        <w:t>scrutiny</w:t>
      </w:r>
      <w:r>
        <w:t xml:space="preserve"> is required when handling them. This primary source analysis will focus on the eyewitness testimony of Manuel </w:t>
      </w:r>
      <w:proofErr w:type="spellStart"/>
      <w:r>
        <w:t>Timbu</w:t>
      </w:r>
      <w:proofErr w:type="spellEnd"/>
      <w:r>
        <w:t>, a “Cape Bastard” whose  testimony is recorded in the British ‘</w:t>
      </w:r>
      <w:r w:rsidRPr="006E3173">
        <w:rPr>
          <w:i/>
          <w:iCs/>
        </w:rPr>
        <w:t>Blue Book</w:t>
      </w:r>
      <w:r>
        <w:t xml:space="preserve">’ as one of ten witness accounts recorded under Chapter XV </w:t>
      </w:r>
      <w:r w:rsidRPr="006E3173">
        <w:rPr>
          <w:i/>
          <w:iCs/>
        </w:rPr>
        <w:t>‘How the Herero were Exterminated</w:t>
      </w:r>
      <w:r>
        <w:rPr>
          <w:i/>
          <w:iCs/>
        </w:rPr>
        <w:t>.</w:t>
      </w:r>
      <w:r w:rsidRPr="006E3173">
        <w:rPr>
          <w:i/>
          <w:iCs/>
        </w:rPr>
        <w:t>’</w:t>
      </w:r>
      <w:r>
        <w:rPr>
          <w:rStyle w:val="FootnoteReference"/>
        </w:rPr>
        <w:footnoteReference w:id="4"/>
      </w:r>
      <w:r>
        <w:rPr>
          <w:i/>
          <w:iCs/>
        </w:rPr>
        <w:t xml:space="preserve"> </w:t>
      </w:r>
      <w:r w:rsidRPr="006E3173">
        <w:t xml:space="preserve">This analysis will </w:t>
      </w:r>
      <w:r>
        <w:t>examine the testimonies content, the context within which it was procured and the wider context of the report, examining its strengths and weaknesses and what it tells us about the Namibian genocide.</w:t>
      </w:r>
    </w:p>
    <w:p w14:paraId="2505832D" w14:textId="77777777" w:rsidR="006E3173" w:rsidRDefault="006E3173" w:rsidP="006E3173"/>
    <w:p w14:paraId="3F9A1D59" w14:textId="7A192A1E" w:rsidR="006E3173" w:rsidRDefault="006E3173" w:rsidP="006E3173">
      <w:r>
        <w:tab/>
        <w:t xml:space="preserve">Before examining the events listed in </w:t>
      </w:r>
      <w:proofErr w:type="spellStart"/>
      <w:r>
        <w:t>Timbu’s</w:t>
      </w:r>
      <w:proofErr w:type="spellEnd"/>
      <w:r>
        <w:t xml:space="preserve"> statement it is first important to assess the context of the </w:t>
      </w:r>
      <w:r w:rsidR="00920BDB">
        <w:t>‘</w:t>
      </w:r>
      <w:r w:rsidRPr="00920BDB">
        <w:rPr>
          <w:i/>
          <w:iCs/>
        </w:rPr>
        <w:t>Blue Book</w:t>
      </w:r>
      <w:r w:rsidR="00920BDB">
        <w:rPr>
          <w:i/>
          <w:iCs/>
        </w:rPr>
        <w:t>’</w:t>
      </w:r>
      <w:r>
        <w:t>. Published in 1918, it documents the genocide and the treatment of the native population by the German occupation</w:t>
      </w:r>
      <w:r w:rsidR="00E80DCF">
        <w:t>.</w:t>
      </w:r>
      <w:r>
        <w:t xml:space="preserve"> </w:t>
      </w:r>
      <w:r w:rsidR="00E80DCF">
        <w:t>It</w:t>
      </w:r>
      <w:r>
        <w:t xml:space="preserve"> takes a very sympathetic position to the Herero and Nama people, seeing their treatment as barbaric and cruel. To analyse it properly however, it is important to place the report within its diplomatic historical narrative. British colonial interests in South-West Africa were long established before the genocide and before the invasion of 1915. From as early as 1889, a group of British capitalists, eventually named </w:t>
      </w:r>
      <w:r w:rsidR="00E80DCF">
        <w:t>‘</w:t>
      </w:r>
      <w:r>
        <w:t>The British South West African Colonization Company</w:t>
      </w:r>
      <w:r w:rsidR="00E80DCF">
        <w:t>’</w:t>
      </w:r>
      <w:r>
        <w:t>, had been working towards, as the British ambassador to Germany believed, “nothing less in its entirety than the ultimate acquisition by Great Britain of the whole of South Africa</w:t>
      </w:r>
      <w:r w:rsidR="004F7854">
        <w:t>.</w:t>
      </w:r>
      <w:r>
        <w:t>”</w:t>
      </w:r>
      <w:r>
        <w:rPr>
          <w:rStyle w:val="FootnoteReference"/>
        </w:rPr>
        <w:footnoteReference w:id="5"/>
      </w:r>
      <w:r>
        <w:t xml:space="preserve"> South-west Africa would remain an area of foreign diplomatic interest to the British, however it would not be until the First World War, when in 1915, British forces would invade South-west Africa. After the war concluded in 1918, it was naturally imperative to the British that Germany lost its colonial possession, and that British interests in the region would be protected. The purpose of </w:t>
      </w:r>
      <w:r>
        <w:lastRenderedPageBreak/>
        <w:t>the report was not humanitarian but political.</w:t>
      </w:r>
      <w:r w:rsidR="00C107B3">
        <w:rPr>
          <w:rStyle w:val="FootnoteReference"/>
        </w:rPr>
        <w:footnoteReference w:id="6"/>
      </w:r>
      <w:r>
        <w:t xml:space="preserve"> The </w:t>
      </w:r>
      <w:r w:rsidR="00920BDB">
        <w:t>‘</w:t>
      </w:r>
      <w:r w:rsidRPr="00920BDB">
        <w:rPr>
          <w:i/>
          <w:iCs/>
        </w:rPr>
        <w:t>Blue Book</w:t>
      </w:r>
      <w:r w:rsidR="00920BDB">
        <w:t>’</w:t>
      </w:r>
      <w:r>
        <w:t xml:space="preserve"> weakened Germanys claim to the territory by illustrating their maladministration to the international community, and by doing so, strengthened Britain’s own claim.</w:t>
      </w:r>
      <w:r>
        <w:rPr>
          <w:rStyle w:val="FootnoteReference"/>
        </w:rPr>
        <w:footnoteReference w:id="7"/>
      </w:r>
      <w:r>
        <w:t xml:space="preserve"> The report was controversial enough that in 1926 the South-West African legislative assembly adopted a resolution that branded it a ‘weapon of war’ and asked for its removal from the public domain.</w:t>
      </w:r>
      <w:r>
        <w:rPr>
          <w:rStyle w:val="FootnoteReference"/>
        </w:rPr>
        <w:footnoteReference w:id="8"/>
      </w:r>
      <w:r>
        <w:t xml:space="preserve"> The reports sincerity has also been more generally questioned as</w:t>
      </w:r>
      <w:r w:rsidRPr="006E3173">
        <w:t xml:space="preserve"> </w:t>
      </w:r>
      <w:r>
        <w:t>British claims of ignorance to the events of the genocide before 1915 ring incredibly hollow in the face of the evidence</w:t>
      </w:r>
      <w:r>
        <w:t>.</w:t>
      </w:r>
      <w:r>
        <w:rPr>
          <w:rStyle w:val="FootnoteReference"/>
        </w:rPr>
        <w:footnoteReference w:id="9"/>
      </w:r>
      <w:r>
        <w:t xml:space="preserve"> Techniques such as the </w:t>
      </w:r>
      <w:r w:rsidRPr="003E6E91">
        <w:t>concentration camps</w:t>
      </w:r>
      <w:r>
        <w:t xml:space="preserve"> used by the Germans were arguably even inspired by British methods during the Anglo-Boer war just two years prior.</w:t>
      </w:r>
      <w:r>
        <w:rPr>
          <w:rStyle w:val="FootnoteReference"/>
        </w:rPr>
        <w:footnoteReference w:id="10"/>
      </w:r>
      <w:r>
        <w:t xml:space="preserve"> There is wide scholarly consensus on the colonial ambitions of the </w:t>
      </w:r>
      <w:r w:rsidR="00920BDB">
        <w:t>‘</w:t>
      </w:r>
      <w:r w:rsidRPr="00920BDB">
        <w:rPr>
          <w:i/>
          <w:iCs/>
        </w:rPr>
        <w:t>Blue Book</w:t>
      </w:r>
      <w:r w:rsidR="00920BDB">
        <w:t>’</w:t>
      </w:r>
      <w:r>
        <w:t xml:space="preserve">, however the evidence within, especially the witness testimonies such as </w:t>
      </w:r>
      <w:proofErr w:type="spellStart"/>
      <w:r>
        <w:t>Timbu’s</w:t>
      </w:r>
      <w:proofErr w:type="spellEnd"/>
      <w:r>
        <w:t xml:space="preserve"> have been less critically analysed.</w:t>
      </w:r>
    </w:p>
    <w:p w14:paraId="5BA375C9" w14:textId="77777777" w:rsidR="006E3173" w:rsidRDefault="006E3173" w:rsidP="006E3173"/>
    <w:p w14:paraId="471B50E7" w14:textId="00C97C4B" w:rsidR="006E3173" w:rsidRDefault="006E3173" w:rsidP="006E3173">
      <w:r>
        <w:tab/>
        <w:t xml:space="preserve">As established, the </w:t>
      </w:r>
      <w:r w:rsidR="00D109AF" w:rsidRPr="00D109AF">
        <w:rPr>
          <w:i/>
          <w:iCs/>
        </w:rPr>
        <w:t>‘</w:t>
      </w:r>
      <w:r w:rsidRPr="00D109AF">
        <w:rPr>
          <w:i/>
          <w:iCs/>
        </w:rPr>
        <w:t>Blue Book</w:t>
      </w:r>
      <w:r w:rsidR="00D109AF">
        <w:t>’</w:t>
      </w:r>
      <w:r>
        <w:t xml:space="preserve"> report is one of numerous biases, it is important to also more specifically</w:t>
      </w:r>
      <w:r w:rsidR="00D109AF">
        <w:t>,</w:t>
      </w:r>
      <w:r>
        <w:t xml:space="preserve"> dissect the ways this could affect the witness statements such as </w:t>
      </w:r>
      <w:proofErr w:type="spellStart"/>
      <w:r>
        <w:t>Timbu’s</w:t>
      </w:r>
      <w:proofErr w:type="spellEnd"/>
      <w:r>
        <w:t xml:space="preserve">. The </w:t>
      </w:r>
      <w:r w:rsidR="00DD684F">
        <w:t>‘</w:t>
      </w:r>
      <w:r w:rsidRPr="00DD684F">
        <w:rPr>
          <w:i/>
          <w:iCs/>
        </w:rPr>
        <w:t>Blue Book</w:t>
      </w:r>
      <w:r w:rsidR="00DD684F">
        <w:t>’</w:t>
      </w:r>
      <w:r>
        <w:t xml:space="preserve"> is one of the few sources containing testimonies from black African witnesses</w:t>
      </w:r>
      <w:r w:rsidR="00DD684F">
        <w:t>. A</w:t>
      </w:r>
      <w:r>
        <w:t>lthough only three are from Herero survivors, a unique and human perspective is provided. The later German ‘</w:t>
      </w:r>
      <w:r w:rsidRPr="006E3173">
        <w:rPr>
          <w:i/>
          <w:iCs/>
        </w:rPr>
        <w:t xml:space="preserve">White </w:t>
      </w:r>
      <w:r>
        <w:rPr>
          <w:i/>
          <w:iCs/>
        </w:rPr>
        <w:t>B</w:t>
      </w:r>
      <w:r w:rsidRPr="006E3173">
        <w:rPr>
          <w:i/>
          <w:iCs/>
        </w:rPr>
        <w:t>ook</w:t>
      </w:r>
      <w:r>
        <w:rPr>
          <w:i/>
          <w:iCs/>
        </w:rPr>
        <w:t>’</w:t>
      </w:r>
      <w:r>
        <w:t xml:space="preserve"> written in a direct response to the British report would claim that the report’s authors should simply have “recognised the plain fact that the natives were lying.”</w:t>
      </w:r>
      <w:r>
        <w:rPr>
          <w:rStyle w:val="FootnoteReference"/>
        </w:rPr>
        <w:footnoteReference w:id="11"/>
      </w:r>
      <w:r>
        <w:t xml:space="preserve"> There was expressed dismay at the lack of witness statements from white settlers.</w:t>
      </w:r>
      <w:r>
        <w:rPr>
          <w:rStyle w:val="FootnoteReference"/>
        </w:rPr>
        <w:footnoteReference w:id="12"/>
      </w:r>
      <w:r>
        <w:t xml:space="preserve"> For reasons that will be clear, this view is not popular in the sphere of modern academia. It is unlikely the witnesses were fabricating their testimony as they generally fit with the wider historical record, however there is much relating to the testimonies that is left unclear by the report. We are told that the statements were made under oath and voluntarily, however </w:t>
      </w:r>
      <w:r w:rsidR="00757FA8">
        <w:t xml:space="preserve">there is no elaboration on </w:t>
      </w:r>
      <w:r>
        <w:t>the conditions under which the statements were given, how the witnesses were chosen, the motivations behind witnesses coming forward, the questions they were asked, or the language the interviews were originally recorded in.</w:t>
      </w:r>
      <w:r>
        <w:rPr>
          <w:rStyle w:val="FootnoteReference"/>
        </w:rPr>
        <w:footnoteReference w:id="13"/>
      </w:r>
      <w:r>
        <w:t xml:space="preserve"> With no complete original transcripts, there is some scholarly debate over how useful the testimonies are. Silvester and </w:t>
      </w:r>
      <w:proofErr w:type="spellStart"/>
      <w:r>
        <w:t>Gewald</w:t>
      </w:r>
      <w:proofErr w:type="spellEnd"/>
      <w:r>
        <w:t xml:space="preserve"> argue that the biased context of the </w:t>
      </w:r>
      <w:r w:rsidR="00757FA8">
        <w:t>‘</w:t>
      </w:r>
      <w:r w:rsidRPr="00757FA8">
        <w:rPr>
          <w:i/>
          <w:iCs/>
        </w:rPr>
        <w:t>Blue Book</w:t>
      </w:r>
      <w:r w:rsidR="00757FA8">
        <w:rPr>
          <w:i/>
          <w:iCs/>
        </w:rPr>
        <w:t>’</w:t>
      </w:r>
      <w:r>
        <w:t xml:space="preserve"> does not mean the evidence presented should be judged as false,</w:t>
      </w:r>
      <w:r>
        <w:rPr>
          <w:rStyle w:val="FootnoteReference"/>
        </w:rPr>
        <w:footnoteReference w:id="14"/>
      </w:r>
      <w:r>
        <w:t xml:space="preserve"> </w:t>
      </w:r>
      <w:proofErr w:type="spellStart"/>
      <w:r>
        <w:t>Eckle</w:t>
      </w:r>
      <w:proofErr w:type="spellEnd"/>
      <w:r>
        <w:t xml:space="preserve"> argues however that the evidence should also not be judged to be right. A critical analysis over the plausibility, consistency and cohesion of the interviews is possible and important.</w:t>
      </w:r>
      <w:r>
        <w:rPr>
          <w:rStyle w:val="FootnoteReference"/>
        </w:rPr>
        <w:footnoteReference w:id="15"/>
      </w:r>
    </w:p>
    <w:p w14:paraId="25748AA2" w14:textId="11DCF85A" w:rsidR="006E3173" w:rsidRDefault="006E3173" w:rsidP="006E3173">
      <w:pPr>
        <w:ind w:firstLine="720"/>
      </w:pPr>
      <w:proofErr w:type="spellStart"/>
      <w:r>
        <w:lastRenderedPageBreak/>
        <w:t>Timbu</w:t>
      </w:r>
      <w:proofErr w:type="spellEnd"/>
      <w:r>
        <w:t xml:space="preserve"> is described as a “cape bastard” possibly </w:t>
      </w:r>
      <w:proofErr w:type="spellStart"/>
      <w:r>
        <w:t>refering</w:t>
      </w:r>
      <w:proofErr w:type="spellEnd"/>
      <w:r>
        <w:t xml:space="preserve"> to the Rehoboth basters, group, a small community the offspring of German or Boer men and Nama women.</w:t>
      </w:r>
      <w:r>
        <w:rPr>
          <w:rStyle w:val="FootnoteReference"/>
        </w:rPr>
        <w:footnoteReference w:id="16"/>
      </w:r>
      <w:r>
        <w:t xml:space="preserve"> This community at the time of the genocide, does not appear to have had any strong convictions against either side. In the Herero attacks of 1904, Samuel </w:t>
      </w:r>
      <w:proofErr w:type="spellStart"/>
      <w:r>
        <w:t>Maherero</w:t>
      </w:r>
      <w:proofErr w:type="spellEnd"/>
      <w:r>
        <w:t xml:space="preserve"> gave specific instructions for the Basters to not be harmed (also listed are the Englishmen, Boers, Berg-Damaras and Namas).</w:t>
      </w:r>
      <w:r>
        <w:rPr>
          <w:rStyle w:val="FootnoteReference"/>
        </w:rPr>
        <w:footnoteReference w:id="17"/>
      </w:r>
      <w:r>
        <w:t xml:space="preserve"> Although an important inconsistency in translations from the </w:t>
      </w:r>
      <w:r w:rsidR="006B5628">
        <w:t>‘</w:t>
      </w:r>
      <w:r w:rsidRPr="006B5628">
        <w:rPr>
          <w:i/>
          <w:iCs/>
        </w:rPr>
        <w:t>Blue Book</w:t>
      </w:r>
      <w:r w:rsidR="006B5628">
        <w:t>’</w:t>
      </w:r>
      <w:r>
        <w:t xml:space="preserve"> and governor </w:t>
      </w:r>
      <w:proofErr w:type="spellStart"/>
      <w:r>
        <w:t>Leutwins</w:t>
      </w:r>
      <w:proofErr w:type="spellEnd"/>
      <w:r>
        <w:t xml:space="preserve"> rendition, is that in </w:t>
      </w:r>
      <w:proofErr w:type="spellStart"/>
      <w:r>
        <w:t>Leutwin</w:t>
      </w:r>
      <w:proofErr w:type="spellEnd"/>
      <w:r>
        <w:t xml:space="preserve">, </w:t>
      </w:r>
      <w:proofErr w:type="spellStart"/>
      <w:r>
        <w:t>Maherero</w:t>
      </w:r>
      <w:proofErr w:type="spellEnd"/>
      <w:r>
        <w:t xml:space="preserve"> states that the Herero will </w:t>
      </w:r>
      <w:r w:rsidR="002B49F3">
        <w:t>“</w:t>
      </w:r>
      <w:r>
        <w:rPr>
          <w:i/>
          <w:iCs/>
        </w:rPr>
        <w:t>no longer</w:t>
      </w:r>
      <w:r w:rsidR="002B49F3">
        <w:rPr>
          <w:i/>
          <w:iCs/>
        </w:rPr>
        <w:t xml:space="preserve">” </w:t>
      </w:r>
      <w:r>
        <w:t xml:space="preserve"> lay their hands on these people.</w:t>
      </w:r>
      <w:r>
        <w:rPr>
          <w:rStyle w:val="FootnoteReference"/>
        </w:rPr>
        <w:footnoteReference w:id="18"/>
      </w:r>
      <w:r>
        <w:t xml:space="preserve"> The Germans appear to have generally viewed them as a more ‘Europeanised’ ethnic group, however due to eugenic theories on the mixing of races, basters were not seen in an exclusively positive light.</w:t>
      </w:r>
      <w:r>
        <w:rPr>
          <w:rStyle w:val="FootnoteReference"/>
        </w:rPr>
        <w:footnoteReference w:id="19"/>
      </w:r>
      <w:r>
        <w:t xml:space="preserve"> They did enjoy a high degree of autonomy since the protection treaty of 1885, although it is important to note the Hereros signed a similar treaty that same year.</w:t>
      </w:r>
      <w:r>
        <w:rPr>
          <w:rStyle w:val="FootnoteReference"/>
        </w:rPr>
        <w:footnoteReference w:id="20"/>
      </w:r>
      <w:r>
        <w:t xml:space="preserve"> </w:t>
      </w:r>
      <w:proofErr w:type="spellStart"/>
      <w:r>
        <w:t>Timbu</w:t>
      </w:r>
      <w:proofErr w:type="spellEnd"/>
      <w:r>
        <w:t xml:space="preserve"> is introduced as a court interpreter in native languages at </w:t>
      </w:r>
      <w:proofErr w:type="spellStart"/>
      <w:r>
        <w:t>Omaruru</w:t>
      </w:r>
      <w:proofErr w:type="spellEnd"/>
      <w:r>
        <w:t xml:space="preserve">, and likely for these skills, he describes how he was sent to Okahandja and appointed groom to the German commander General Lothar von </w:t>
      </w:r>
      <w:proofErr w:type="spellStart"/>
      <w:r>
        <w:t>Trotha</w:t>
      </w:r>
      <w:proofErr w:type="spellEnd"/>
      <w:r>
        <w:t>.</w:t>
      </w:r>
      <w:r>
        <w:rPr>
          <w:rStyle w:val="FootnoteReference"/>
        </w:rPr>
        <w:footnoteReference w:id="21"/>
      </w:r>
      <w:r>
        <w:t xml:space="preserve"> He describes his duties in this role as “to look after the horses and to do odd jobs at his headquarters.”</w:t>
      </w:r>
      <w:r>
        <w:rPr>
          <w:rStyle w:val="FootnoteReference"/>
        </w:rPr>
        <w:footnoteReference w:id="22"/>
      </w:r>
      <w:r>
        <w:t xml:space="preserve"> General von </w:t>
      </w:r>
      <w:proofErr w:type="spellStart"/>
      <w:r>
        <w:t>Trotha</w:t>
      </w:r>
      <w:proofErr w:type="spellEnd"/>
      <w:r>
        <w:t xml:space="preserve"> had been chosen in Berlin to replace </w:t>
      </w:r>
      <w:proofErr w:type="spellStart"/>
      <w:r>
        <w:t>Leutwein</w:t>
      </w:r>
      <w:proofErr w:type="spellEnd"/>
      <w:r>
        <w:t xml:space="preserve"> as commander of the </w:t>
      </w:r>
      <w:proofErr w:type="spellStart"/>
      <w:r w:rsidR="00591824">
        <w:t>S</w:t>
      </w:r>
      <w:r>
        <w:t>chutztruppe</w:t>
      </w:r>
      <w:proofErr w:type="spellEnd"/>
      <w:r>
        <w:t xml:space="preserve"> and end</w:t>
      </w:r>
      <w:r w:rsidR="00165A28">
        <w:t xml:space="preserve"> </w:t>
      </w:r>
      <w:r>
        <w:t xml:space="preserve">the conflict, </w:t>
      </w:r>
      <w:r w:rsidR="00165A28">
        <w:t>he</w:t>
      </w:r>
      <w:r>
        <w:t xml:space="preserve"> arrived in June 1904, five months from the beginning of </w:t>
      </w:r>
      <w:proofErr w:type="spellStart"/>
      <w:r>
        <w:t>Maherero’s</w:t>
      </w:r>
      <w:proofErr w:type="spellEnd"/>
      <w:r>
        <w:t xml:space="preserve"> offensive.</w:t>
      </w:r>
      <w:r>
        <w:rPr>
          <w:rStyle w:val="FootnoteReference"/>
        </w:rPr>
        <w:footnoteReference w:id="23"/>
      </w:r>
      <w:r>
        <w:t xml:space="preserve"> Von </w:t>
      </w:r>
      <w:proofErr w:type="spellStart"/>
      <w:r>
        <w:t>Trotha</w:t>
      </w:r>
      <w:proofErr w:type="spellEnd"/>
      <w:r>
        <w:t xml:space="preserve"> rejected </w:t>
      </w:r>
      <w:proofErr w:type="spellStart"/>
      <w:r>
        <w:t>Leutwein’s</w:t>
      </w:r>
      <w:proofErr w:type="spellEnd"/>
      <w:r>
        <w:t xml:space="preserve"> aims of a peaceful balance, he saw the conflict in terms of </w:t>
      </w:r>
      <w:proofErr w:type="spellStart"/>
      <w:r w:rsidR="00425505">
        <w:rPr>
          <w:i/>
          <w:iCs/>
        </w:rPr>
        <w:t>r</w:t>
      </w:r>
      <w:r>
        <w:rPr>
          <w:i/>
          <w:iCs/>
        </w:rPr>
        <w:t>assenkampf</w:t>
      </w:r>
      <w:proofErr w:type="spellEnd"/>
      <w:r>
        <w:t>, or race war.</w:t>
      </w:r>
      <w:r>
        <w:rPr>
          <w:rStyle w:val="FootnoteReference"/>
        </w:rPr>
        <w:footnoteReference w:id="24"/>
      </w:r>
      <w:r>
        <w:t xml:space="preserve"> And that peace could only be assured through the annihilation of the opposing party. Corroborating this view, </w:t>
      </w:r>
      <w:proofErr w:type="spellStart"/>
      <w:r>
        <w:t>Timbu’s</w:t>
      </w:r>
      <w:proofErr w:type="spellEnd"/>
      <w:r>
        <w:t xml:space="preserve"> statement quotes von </w:t>
      </w:r>
      <w:proofErr w:type="spellStart"/>
      <w:r>
        <w:t>Trotha</w:t>
      </w:r>
      <w:proofErr w:type="spellEnd"/>
      <w:r>
        <w:t xml:space="preserve"> saying “We must exterminate them, so that we won’t be bothered by rebellions in the future.”</w:t>
      </w:r>
      <w:r>
        <w:rPr>
          <w:rStyle w:val="FootnoteReference"/>
        </w:rPr>
        <w:footnoteReference w:id="25"/>
      </w:r>
      <w:r>
        <w:t xml:space="preserve"> Before they left Okahandja to pursue the Hereros to Waterberg. He issued orders to his troops that “no prisoners were to be taken, but all, regardless of age or sex were to be killed.”</w:t>
      </w:r>
      <w:r>
        <w:rPr>
          <w:rStyle w:val="FootnoteReference"/>
        </w:rPr>
        <w:footnoteReference w:id="26"/>
      </w:r>
      <w:r>
        <w:t xml:space="preserve"> This is recorded by </w:t>
      </w:r>
      <w:proofErr w:type="spellStart"/>
      <w:r>
        <w:t>Timbu</w:t>
      </w:r>
      <w:proofErr w:type="spellEnd"/>
      <w:r>
        <w:t xml:space="preserve"> as taking place before von </w:t>
      </w:r>
      <w:proofErr w:type="spellStart"/>
      <w:r>
        <w:t>Trothas</w:t>
      </w:r>
      <w:proofErr w:type="spellEnd"/>
      <w:r>
        <w:t xml:space="preserve"> infamous extermination order of October 2</w:t>
      </w:r>
      <w:r w:rsidRPr="006E3173">
        <w:rPr>
          <w:vertAlign w:val="superscript"/>
        </w:rPr>
        <w:t>nd</w:t>
      </w:r>
      <w:r>
        <w:t>,</w:t>
      </w:r>
      <w:r>
        <w:rPr>
          <w:rStyle w:val="FootnoteReference"/>
        </w:rPr>
        <w:footnoteReference w:id="27"/>
      </w:r>
      <w:r>
        <w:t xml:space="preserve"> and before the Germans even reached the Waterberg, meaning extermination was the policy of the German </w:t>
      </w:r>
      <w:proofErr w:type="spellStart"/>
      <w:r w:rsidR="00EA4094">
        <w:t>S</w:t>
      </w:r>
      <w:r>
        <w:t>chutztruppe</w:t>
      </w:r>
      <w:proofErr w:type="spellEnd"/>
      <w:r>
        <w:t xml:space="preserve"> from as early as August. </w:t>
      </w:r>
      <w:proofErr w:type="spellStart"/>
      <w:r>
        <w:t>Timbu</w:t>
      </w:r>
      <w:proofErr w:type="spellEnd"/>
      <w:r>
        <w:t xml:space="preserve"> recalls this march to </w:t>
      </w:r>
      <w:r w:rsidR="00342FCF">
        <w:t>W</w:t>
      </w:r>
      <w:r>
        <w:t>aterberg, as the soldiers shot all the natives they came across, including those who had not left their homes to fight.</w:t>
      </w:r>
      <w:r>
        <w:rPr>
          <w:rStyle w:val="FootnoteReference"/>
        </w:rPr>
        <w:footnoteReference w:id="28"/>
      </w:r>
      <w:r>
        <w:t xml:space="preserve"> What follows next in his statement skips the siege of the Waterberg and recalls the events pursuing the Herero </w:t>
      </w:r>
      <w:r>
        <w:lastRenderedPageBreak/>
        <w:t xml:space="preserve">into the </w:t>
      </w:r>
      <w:proofErr w:type="spellStart"/>
      <w:r>
        <w:t>Omahake</w:t>
      </w:r>
      <w:proofErr w:type="spellEnd"/>
      <w:r>
        <w:t xml:space="preserve"> desert. He goes on to detail a series of events where he witnessed the slaughter of Hereros who had fallen behind.</w:t>
      </w:r>
      <w:r>
        <w:rPr>
          <w:rStyle w:val="FootnoteReference"/>
        </w:rPr>
        <w:footnoteReference w:id="29"/>
      </w:r>
      <w:r>
        <w:t xml:space="preserve"> He details the deaths he saw of two elderly </w:t>
      </w:r>
      <w:r w:rsidR="008E410F">
        <w:t>H</w:t>
      </w:r>
      <w:r>
        <w:t>erero</w:t>
      </w:r>
      <w:r w:rsidR="006A529A">
        <w:t xml:space="preserve"> women</w:t>
      </w:r>
      <w:r>
        <w:t xml:space="preserve"> who had made shelter by a waterhole, a young exhausted woman who after being questioned by von </w:t>
      </w:r>
      <w:proofErr w:type="spellStart"/>
      <w:r>
        <w:t>Trotha</w:t>
      </w:r>
      <w:proofErr w:type="spellEnd"/>
      <w:r>
        <w:t xml:space="preserve"> was ordered bayonetted, and a young boy who </w:t>
      </w:r>
      <w:proofErr w:type="spellStart"/>
      <w:r>
        <w:t>Timbu</w:t>
      </w:r>
      <w:proofErr w:type="spellEnd"/>
      <w:r>
        <w:t xml:space="preserve"> was forbidden to aid, and who was left to die of thirst in the desert after a decision was made it was not worthwhile to kill him. He also recalls the separate deaths of two more women on the return journey.</w:t>
      </w:r>
      <w:r>
        <w:rPr>
          <w:rStyle w:val="FootnoteReference"/>
        </w:rPr>
        <w:footnoteReference w:id="30"/>
      </w:r>
      <w:r>
        <w:t xml:space="preserve"> Out of the six victims </w:t>
      </w:r>
      <w:proofErr w:type="spellStart"/>
      <w:r>
        <w:t>Timbu</w:t>
      </w:r>
      <w:proofErr w:type="spellEnd"/>
      <w:r>
        <w:t xml:space="preserve"> recalls, five were women, two are referred to as young, one being a boy around the age of ten, and three are described as elderly. For four of the victims, </w:t>
      </w:r>
      <w:proofErr w:type="spellStart"/>
      <w:r>
        <w:t>Timbu</w:t>
      </w:r>
      <w:proofErr w:type="spellEnd"/>
      <w:r>
        <w:t xml:space="preserve"> explicitly mentions that von </w:t>
      </w:r>
      <w:proofErr w:type="spellStart"/>
      <w:r>
        <w:t>Trotha</w:t>
      </w:r>
      <w:proofErr w:type="spellEnd"/>
      <w:r>
        <w:t xml:space="preserve"> and his staff were involved or were witness to the killings, and for the remaining two, it is still implied. </w:t>
      </w:r>
      <w:proofErr w:type="spellStart"/>
      <w:r>
        <w:t>Timbu</w:t>
      </w:r>
      <w:proofErr w:type="spellEnd"/>
      <w:r>
        <w:t xml:space="preserve"> ends his statement by stating that in addition to these events to which he was eyewitness, he had also “[seen] the bleeding bodies of hundreds of men, women, and children, old and young, lying along the road as we passed, they had been killed by our advanced guard.”</w:t>
      </w:r>
      <w:r>
        <w:rPr>
          <w:rStyle w:val="FootnoteReference"/>
        </w:rPr>
        <w:footnoteReference w:id="31"/>
      </w:r>
      <w:r>
        <w:t xml:space="preserve"> This is consistent with his earlier description of the death of the young girl </w:t>
      </w:r>
      <w:proofErr w:type="spellStart"/>
      <w:r>
        <w:t>Trotha</w:t>
      </w:r>
      <w:proofErr w:type="spellEnd"/>
      <w:r>
        <w:t xml:space="preserve"> had ordered to be bayonetted. “</w:t>
      </w:r>
      <w:r w:rsidRPr="006E3173">
        <w:t>Her body was not buried, but like others they killed, simply allowed to lie and rot and be eaten by wild animals.</w:t>
      </w:r>
      <w:r>
        <w:t xml:space="preserve">” There was no attempt to bury the dead or even to remove them from the side of the road, it is probable that this constituted a deliberate policy to send a message to any survivors. </w:t>
      </w:r>
      <w:proofErr w:type="spellStart"/>
      <w:r>
        <w:t>Timbu</w:t>
      </w:r>
      <w:proofErr w:type="spellEnd"/>
      <w:r>
        <w:t xml:space="preserve"> finishes his statement by claiming that in the two years he was with von </w:t>
      </w:r>
      <w:proofErr w:type="spellStart"/>
      <w:r>
        <w:t>Trotha</w:t>
      </w:r>
      <w:proofErr w:type="spellEnd"/>
      <w:r>
        <w:t xml:space="preserve"> he knew of no instance where prisoners were spared.</w:t>
      </w:r>
      <w:r>
        <w:rPr>
          <w:rStyle w:val="FootnoteReference"/>
        </w:rPr>
        <w:footnoteReference w:id="32"/>
      </w:r>
    </w:p>
    <w:p w14:paraId="357185FD" w14:textId="77777777" w:rsidR="006E3173" w:rsidRDefault="006E3173" w:rsidP="006E3173"/>
    <w:p w14:paraId="021BE6C0" w14:textId="37938383" w:rsidR="006E3173" w:rsidRDefault="006E3173" w:rsidP="006E3173">
      <w:r>
        <w:tab/>
        <w:t xml:space="preserve">In conclusion, </w:t>
      </w:r>
      <w:proofErr w:type="spellStart"/>
      <w:r>
        <w:t>Timbu’s</w:t>
      </w:r>
      <w:proofErr w:type="spellEnd"/>
      <w:r>
        <w:t xml:space="preserve"> story offers an insight in to the first stage of the genocide. Working as groom to von </w:t>
      </w:r>
      <w:proofErr w:type="spellStart"/>
      <w:r>
        <w:t>Trotha</w:t>
      </w:r>
      <w:proofErr w:type="spellEnd"/>
      <w:r>
        <w:t>, he is a rare black African voice from within the German camp. There are strengths and weaknesses to the testimony, with there being no original transcript,</w:t>
      </w:r>
      <w:r w:rsidR="00AF326B">
        <w:t xml:space="preserve"> and</w:t>
      </w:r>
      <w:r>
        <w:t xml:space="preserve"> it is impossible to know certain background information about the interview.</w:t>
      </w:r>
      <w:r>
        <w:rPr>
          <w:rStyle w:val="FootnoteReference"/>
        </w:rPr>
        <w:footnoteReference w:id="33"/>
      </w:r>
      <w:r>
        <w:t xml:space="preserve"> After the genocide had concluded, there was a ban on mixed marriages in German South-west Africa, this of course directly impacted Basters such as </w:t>
      </w:r>
      <w:proofErr w:type="spellStart"/>
      <w:r>
        <w:t>Timbu</w:t>
      </w:r>
      <w:proofErr w:type="spellEnd"/>
      <w:r>
        <w:t xml:space="preserve"> who were of mixed race, so it is impossible to call him an unbiased source. His experience from within the German camp and close to von </w:t>
      </w:r>
      <w:proofErr w:type="spellStart"/>
      <w:r>
        <w:t>Trotha</w:t>
      </w:r>
      <w:proofErr w:type="spellEnd"/>
      <w:r>
        <w:t xml:space="preserve">, allows us to witness the brutality of the Germans through sympathetic human eyes. </w:t>
      </w:r>
      <w:proofErr w:type="spellStart"/>
      <w:r>
        <w:t>Timbu</w:t>
      </w:r>
      <w:proofErr w:type="spellEnd"/>
      <w:r>
        <w:t xml:space="preserve"> recalls the laughter and depravity of the </w:t>
      </w:r>
      <w:proofErr w:type="spellStart"/>
      <w:r>
        <w:t>Schutztruppe</w:t>
      </w:r>
      <w:proofErr w:type="spellEnd"/>
      <w:r>
        <w:t xml:space="preserve"> as they carried out their acts of murder, the disturbing dehumanisation is apparent from the glee the soldiers repeatedly appear to derive from the killing. While there are questionable elements to the wider report, the testimonies remain invaluable to our understanding of the Namibian genocide.</w:t>
      </w:r>
    </w:p>
    <w:p w14:paraId="3CE9FD63" w14:textId="77777777" w:rsidR="002856A9" w:rsidRDefault="002856A9" w:rsidP="006E3173"/>
    <w:p w14:paraId="7F8D5087" w14:textId="77777777" w:rsidR="002856A9" w:rsidRDefault="002856A9" w:rsidP="006E3173"/>
    <w:p w14:paraId="0DBAEF66" w14:textId="77777777" w:rsidR="002856A9" w:rsidRDefault="002856A9" w:rsidP="006E3173"/>
    <w:p w14:paraId="39B54602" w14:textId="77777777" w:rsidR="002856A9" w:rsidRDefault="002856A9" w:rsidP="006E3173"/>
    <w:sdt>
      <w:sdtPr>
        <w:id w:val="-981914405"/>
        <w:docPartObj>
          <w:docPartGallery w:val="Bibliographies"/>
          <w:docPartUnique/>
        </w:docPartObj>
      </w:sdtPr>
      <w:sdtEndPr>
        <w:rPr>
          <w:rFonts w:asciiTheme="minorHAnsi" w:eastAsiaTheme="minorHAnsi" w:hAnsiTheme="minorHAnsi" w:cstheme="minorBidi"/>
          <w:color w:val="auto"/>
          <w:sz w:val="28"/>
          <w:szCs w:val="28"/>
        </w:rPr>
      </w:sdtEndPr>
      <w:sdtContent>
        <w:p w14:paraId="74A195A5" w14:textId="2D244024" w:rsidR="002856A9" w:rsidRDefault="002856A9">
          <w:pPr>
            <w:pStyle w:val="Heading1"/>
          </w:pPr>
          <w:r>
            <w:t>Bibliography</w:t>
          </w:r>
        </w:p>
        <w:sdt>
          <w:sdtPr>
            <w:id w:val="111145805"/>
            <w:bibliography/>
          </w:sdtPr>
          <w:sdtEndPr>
            <w:rPr>
              <w:sz w:val="28"/>
              <w:szCs w:val="28"/>
            </w:rPr>
          </w:sdtEndPr>
          <w:sdtContent>
            <w:p w14:paraId="47F19850" w14:textId="63D5BA5C" w:rsidR="00920C99" w:rsidRDefault="005F5989" w:rsidP="004D4C45">
              <w:pPr>
                <w:pStyle w:val="ListParagraph"/>
                <w:numPr>
                  <w:ilvl w:val="0"/>
                  <w:numId w:val="1"/>
                </w:numPr>
                <w:rPr>
                  <w:sz w:val="28"/>
                  <w:szCs w:val="28"/>
                </w:rPr>
              </w:pPr>
              <w:r w:rsidRPr="00485563">
                <w:rPr>
                  <w:sz w:val="28"/>
                  <w:szCs w:val="28"/>
                </w:rPr>
                <w:t xml:space="preserve">Andreas </w:t>
              </w:r>
              <w:proofErr w:type="spellStart"/>
              <w:r w:rsidRPr="00485563">
                <w:rPr>
                  <w:sz w:val="28"/>
                  <w:szCs w:val="28"/>
                </w:rPr>
                <w:t>Eckl</w:t>
              </w:r>
              <w:proofErr w:type="spellEnd"/>
              <w:r w:rsidRPr="00485563">
                <w:rPr>
                  <w:sz w:val="28"/>
                  <w:szCs w:val="28"/>
                </w:rPr>
                <w:t xml:space="preserve">, ‘The Herero genocide of 1904: Source-critical and methodological considerations’, </w:t>
              </w:r>
              <w:r w:rsidRPr="00485563">
                <w:rPr>
                  <w:i/>
                  <w:iCs/>
                  <w:sz w:val="28"/>
                  <w:szCs w:val="28"/>
                </w:rPr>
                <w:t>Journal of Namibian Studies</w:t>
              </w:r>
              <w:r w:rsidRPr="00485563">
                <w:rPr>
                  <w:sz w:val="28"/>
                  <w:szCs w:val="28"/>
                </w:rPr>
                <w:t>, 3 (2008), 31-61</w:t>
              </w:r>
              <w:r w:rsidR="00B76DC6" w:rsidRPr="00485563">
                <w:rPr>
                  <w:sz w:val="28"/>
                  <w:szCs w:val="28"/>
                </w:rPr>
                <w:t>.</w:t>
              </w:r>
            </w:p>
            <w:p w14:paraId="77D2D9FB" w14:textId="77777777" w:rsidR="004741F6" w:rsidRDefault="004741F6" w:rsidP="004741F6">
              <w:pPr>
                <w:pStyle w:val="ListParagraph"/>
                <w:rPr>
                  <w:sz w:val="28"/>
                  <w:szCs w:val="28"/>
                </w:rPr>
              </w:pPr>
            </w:p>
            <w:p w14:paraId="2388A8FE" w14:textId="05717AEB" w:rsidR="004741F6" w:rsidRDefault="004741F6" w:rsidP="004741F6">
              <w:pPr>
                <w:pStyle w:val="ListParagraph"/>
                <w:numPr>
                  <w:ilvl w:val="0"/>
                  <w:numId w:val="1"/>
                </w:numPr>
                <w:rPr>
                  <w:sz w:val="28"/>
                  <w:szCs w:val="28"/>
                </w:rPr>
              </w:pPr>
              <w:r w:rsidRPr="004741F6">
                <w:rPr>
                  <w:sz w:val="28"/>
                  <w:szCs w:val="28"/>
                </w:rPr>
                <w:t>Jon Bridgman and Leslie J. Worley, ‘Genocide of the Hereros’ in Samuel Totten and William S. Parsons (eds.), Century of Genocide: Critical Essays and Eyewitness Accounts, (New York: Routledge, 2009), pp. 14-42.</w:t>
              </w:r>
            </w:p>
            <w:p w14:paraId="5B78484E" w14:textId="77777777" w:rsidR="009348E5" w:rsidRPr="009348E5" w:rsidRDefault="009348E5" w:rsidP="009348E5">
              <w:pPr>
                <w:pStyle w:val="ListParagraph"/>
                <w:rPr>
                  <w:sz w:val="28"/>
                  <w:szCs w:val="28"/>
                </w:rPr>
              </w:pPr>
            </w:p>
            <w:p w14:paraId="11D96159" w14:textId="18710041" w:rsidR="009348E5" w:rsidRPr="009348E5" w:rsidRDefault="009348E5" w:rsidP="009348E5">
              <w:pPr>
                <w:pStyle w:val="ListParagraph"/>
                <w:numPr>
                  <w:ilvl w:val="0"/>
                  <w:numId w:val="1"/>
                </w:numPr>
                <w:rPr>
                  <w:sz w:val="28"/>
                  <w:szCs w:val="28"/>
                </w:rPr>
              </w:pPr>
              <w:r w:rsidRPr="009348E5">
                <w:rPr>
                  <w:sz w:val="28"/>
                  <w:szCs w:val="28"/>
                </w:rPr>
                <w:t xml:space="preserve">Matthias </w:t>
              </w:r>
              <w:proofErr w:type="spellStart"/>
              <w:r w:rsidRPr="009348E5">
                <w:rPr>
                  <w:sz w:val="28"/>
                  <w:szCs w:val="28"/>
                </w:rPr>
                <w:t>Häußler</w:t>
              </w:r>
              <w:proofErr w:type="spellEnd"/>
              <w:r w:rsidRPr="009348E5">
                <w:rPr>
                  <w:sz w:val="28"/>
                  <w:szCs w:val="28"/>
                </w:rPr>
                <w:t xml:space="preserve">, ‘From destruction to extermination: Genocidal escalation in Germany’s war against the Herero, 1904.’ </w:t>
              </w:r>
              <w:r w:rsidRPr="009348E5">
                <w:rPr>
                  <w:i/>
                  <w:iCs/>
                  <w:sz w:val="28"/>
                  <w:szCs w:val="28"/>
                </w:rPr>
                <w:t>Journal of Namibian Studies: History Politics Culture</w:t>
              </w:r>
              <w:r w:rsidRPr="009348E5">
                <w:rPr>
                  <w:sz w:val="28"/>
                  <w:szCs w:val="28"/>
                </w:rPr>
                <w:t>, 10 (2011) 55-81.</w:t>
              </w:r>
            </w:p>
            <w:p w14:paraId="58B094AE" w14:textId="77777777" w:rsidR="009D57B8" w:rsidRPr="009D57B8" w:rsidRDefault="009D57B8" w:rsidP="009D57B8">
              <w:pPr>
                <w:pStyle w:val="ListParagraph"/>
                <w:rPr>
                  <w:sz w:val="28"/>
                  <w:szCs w:val="28"/>
                </w:rPr>
              </w:pPr>
            </w:p>
            <w:p w14:paraId="7E1076F5" w14:textId="33FB71CD" w:rsidR="009D57B8" w:rsidRPr="009D57B8" w:rsidRDefault="009D57B8" w:rsidP="009D57B8">
              <w:pPr>
                <w:pStyle w:val="ListParagraph"/>
                <w:numPr>
                  <w:ilvl w:val="0"/>
                  <w:numId w:val="1"/>
                </w:numPr>
                <w:rPr>
                  <w:sz w:val="28"/>
                  <w:szCs w:val="28"/>
                </w:rPr>
              </w:pPr>
              <w:r w:rsidRPr="009D57B8">
                <w:rPr>
                  <w:sz w:val="28"/>
                  <w:szCs w:val="28"/>
                </w:rPr>
                <w:t xml:space="preserve">Mads </w:t>
              </w:r>
              <w:proofErr w:type="spellStart"/>
              <w:r w:rsidRPr="009D57B8">
                <w:rPr>
                  <w:sz w:val="28"/>
                  <w:szCs w:val="28"/>
                </w:rPr>
                <w:t>Bomholt</w:t>
              </w:r>
              <w:proofErr w:type="spellEnd"/>
              <w:r w:rsidRPr="009D57B8">
                <w:rPr>
                  <w:sz w:val="28"/>
                  <w:szCs w:val="28"/>
                </w:rPr>
                <w:t xml:space="preserve"> Nielsen, ‘Selective Memory: British Perceptions of the Herero-Nama Genocide, 1904-1908 and 1918’, </w:t>
              </w:r>
              <w:r w:rsidRPr="009D57B8">
                <w:rPr>
                  <w:i/>
                  <w:iCs/>
                  <w:sz w:val="28"/>
                  <w:szCs w:val="28"/>
                </w:rPr>
                <w:t>Journal of Southern African Studies</w:t>
              </w:r>
              <w:r w:rsidRPr="009D57B8">
                <w:rPr>
                  <w:sz w:val="28"/>
                  <w:szCs w:val="28"/>
                </w:rPr>
                <w:t xml:space="preserve">, 43.2 (2017), 315–330, </w:t>
              </w:r>
              <w:hyperlink r:id="rId8" w:history="1">
                <w:r w:rsidRPr="000B0F16">
                  <w:rPr>
                    <w:rStyle w:val="Hyperlink"/>
                    <w:sz w:val="28"/>
                    <w:szCs w:val="28"/>
                  </w:rPr>
                  <w:t>https://doi.org/10.1080/03057070.2017.1286843</w:t>
                </w:r>
              </w:hyperlink>
              <w:r w:rsidRPr="009D57B8">
                <w:rPr>
                  <w:sz w:val="28"/>
                  <w:szCs w:val="28"/>
                </w:rPr>
                <w:t>.</w:t>
              </w:r>
              <w:r>
                <w:rPr>
                  <w:sz w:val="28"/>
                  <w:szCs w:val="28"/>
                </w:rPr>
                <w:t xml:space="preserve"> </w:t>
              </w:r>
            </w:p>
            <w:p w14:paraId="7109B4F4" w14:textId="77777777" w:rsidR="004741F6" w:rsidRDefault="004741F6" w:rsidP="004741F6">
              <w:pPr>
                <w:pStyle w:val="ListParagraph"/>
                <w:rPr>
                  <w:sz w:val="28"/>
                  <w:szCs w:val="28"/>
                </w:rPr>
              </w:pPr>
            </w:p>
            <w:p w14:paraId="044EAADA" w14:textId="11A577C5" w:rsidR="004741F6" w:rsidRPr="004741F6" w:rsidRDefault="004741F6" w:rsidP="004741F6">
              <w:pPr>
                <w:pStyle w:val="ListParagraph"/>
                <w:numPr>
                  <w:ilvl w:val="0"/>
                  <w:numId w:val="1"/>
                </w:numPr>
                <w:rPr>
                  <w:sz w:val="28"/>
                  <w:szCs w:val="28"/>
                </w:rPr>
              </w:pPr>
              <w:r w:rsidRPr="004741F6">
                <w:rPr>
                  <w:sz w:val="28"/>
                  <w:szCs w:val="28"/>
                </w:rPr>
                <w:t xml:space="preserve">Jeremy Silvester, Jan-Bart </w:t>
              </w:r>
              <w:proofErr w:type="spellStart"/>
              <w:r w:rsidRPr="004741F6">
                <w:rPr>
                  <w:sz w:val="28"/>
                  <w:szCs w:val="28"/>
                </w:rPr>
                <w:t>Geweld</w:t>
              </w:r>
              <w:proofErr w:type="spellEnd"/>
              <w:r w:rsidRPr="004741F6">
                <w:rPr>
                  <w:sz w:val="28"/>
                  <w:szCs w:val="28"/>
                </w:rPr>
                <w:t>, ‘Footsteps and Tears, An introduction to the Construction and Context of the 1918 ‘Blue Book’.’ Words Cannot be Found: German Colonial Rule in Namibia. An Annotated Reprint of the 1918 Blue Book (Leiden: Brill, 2003).</w:t>
              </w:r>
            </w:p>
            <w:p w14:paraId="5F360D8C" w14:textId="77777777" w:rsidR="00920C99" w:rsidRDefault="00920C99" w:rsidP="004D4C45">
              <w:pPr>
                <w:rPr>
                  <w:sz w:val="28"/>
                  <w:szCs w:val="28"/>
                </w:rPr>
              </w:pPr>
            </w:p>
            <w:p w14:paraId="19498A90" w14:textId="0FC10584" w:rsidR="009348E5" w:rsidRDefault="009348E5" w:rsidP="009348E5">
              <w:pPr>
                <w:pStyle w:val="ListParagraph"/>
                <w:numPr>
                  <w:ilvl w:val="0"/>
                  <w:numId w:val="1"/>
                </w:numPr>
                <w:rPr>
                  <w:sz w:val="28"/>
                  <w:szCs w:val="28"/>
                </w:rPr>
              </w:pPr>
              <w:r w:rsidRPr="009348E5">
                <w:rPr>
                  <w:sz w:val="28"/>
                  <w:szCs w:val="28"/>
                </w:rPr>
                <w:t>South-West Africa. Administrative Office., Report on the natives of South-west Africa and their treatment by Germany (London: His Majesty’s Stationary Office, 1918).</w:t>
              </w:r>
            </w:p>
            <w:p w14:paraId="62026E49" w14:textId="77777777" w:rsidR="009348E5" w:rsidRPr="009348E5" w:rsidRDefault="009348E5" w:rsidP="009348E5">
              <w:pPr>
                <w:rPr>
                  <w:sz w:val="28"/>
                  <w:szCs w:val="28"/>
                </w:rPr>
              </w:pPr>
            </w:p>
            <w:p w14:paraId="468240DE" w14:textId="75C613AA" w:rsidR="00920C99" w:rsidRPr="00485563" w:rsidRDefault="00920C99" w:rsidP="004D4C45">
              <w:pPr>
                <w:pStyle w:val="ListParagraph"/>
                <w:numPr>
                  <w:ilvl w:val="0"/>
                  <w:numId w:val="1"/>
                </w:numPr>
                <w:rPr>
                  <w:sz w:val="28"/>
                  <w:szCs w:val="28"/>
                </w:rPr>
              </w:pPr>
              <w:proofErr w:type="spellStart"/>
              <w:r w:rsidRPr="00485563">
                <w:rPr>
                  <w:sz w:val="28"/>
                  <w:szCs w:val="28"/>
                </w:rPr>
                <w:t>Jarmila</w:t>
              </w:r>
              <w:proofErr w:type="spellEnd"/>
              <w:r w:rsidRPr="00485563">
                <w:rPr>
                  <w:sz w:val="28"/>
                  <w:szCs w:val="28"/>
                </w:rPr>
                <w:t xml:space="preserve"> </w:t>
              </w:r>
              <w:proofErr w:type="spellStart"/>
              <w:r w:rsidRPr="00485563">
                <w:rPr>
                  <w:sz w:val="28"/>
                  <w:szCs w:val="28"/>
                </w:rPr>
                <w:t>Brezinová</w:t>
              </w:r>
              <w:proofErr w:type="spellEnd"/>
              <w:r w:rsidRPr="00485563">
                <w:rPr>
                  <w:sz w:val="28"/>
                  <w:szCs w:val="28"/>
                </w:rPr>
                <w:t xml:space="preserve"> </w:t>
              </w:r>
              <w:proofErr w:type="spellStart"/>
              <w:r w:rsidRPr="00485563">
                <w:rPr>
                  <w:sz w:val="28"/>
                  <w:szCs w:val="28"/>
                </w:rPr>
                <w:t>Švihranová</w:t>
              </w:r>
              <w:proofErr w:type="spellEnd"/>
              <w:r w:rsidRPr="00485563">
                <w:rPr>
                  <w:sz w:val="28"/>
                  <w:szCs w:val="28"/>
                </w:rPr>
                <w:t xml:space="preserve">, ‘Germans and Rehoboth Basters in the German </w:t>
              </w:r>
              <w:proofErr w:type="spellStart"/>
              <w:r w:rsidRPr="00485563">
                <w:rPr>
                  <w:sz w:val="28"/>
                  <w:szCs w:val="28"/>
                </w:rPr>
                <w:t>Soutwest</w:t>
              </w:r>
              <w:proofErr w:type="spellEnd"/>
              <w:r w:rsidRPr="00485563">
                <w:rPr>
                  <w:sz w:val="28"/>
                  <w:szCs w:val="28"/>
                </w:rPr>
                <w:t xml:space="preserve"> Africa’</w:t>
              </w:r>
              <w:r w:rsidRPr="004741F6">
                <w:rPr>
                  <w:i/>
                  <w:iCs/>
                  <w:sz w:val="28"/>
                  <w:szCs w:val="28"/>
                </w:rPr>
                <w:t xml:space="preserve">, Studia </w:t>
              </w:r>
              <w:proofErr w:type="spellStart"/>
              <w:r w:rsidRPr="004741F6">
                <w:rPr>
                  <w:i/>
                  <w:iCs/>
                  <w:sz w:val="28"/>
                  <w:szCs w:val="28"/>
                </w:rPr>
                <w:t>Historica</w:t>
              </w:r>
              <w:proofErr w:type="spellEnd"/>
              <w:r w:rsidRPr="004741F6">
                <w:rPr>
                  <w:i/>
                  <w:iCs/>
                  <w:sz w:val="28"/>
                  <w:szCs w:val="28"/>
                </w:rPr>
                <w:t xml:space="preserve"> </w:t>
              </w:r>
              <w:proofErr w:type="spellStart"/>
              <w:r w:rsidRPr="004741F6">
                <w:rPr>
                  <w:i/>
                  <w:iCs/>
                  <w:sz w:val="28"/>
                  <w:szCs w:val="28"/>
                </w:rPr>
                <w:t>Gedanensia</w:t>
              </w:r>
              <w:proofErr w:type="spellEnd"/>
              <w:r w:rsidRPr="00485563">
                <w:rPr>
                  <w:sz w:val="28"/>
                  <w:szCs w:val="28"/>
                </w:rPr>
                <w:t>, Tom 8 (2017) 42-58</w:t>
              </w:r>
              <w:r w:rsidRPr="00485563">
                <w:rPr>
                  <w:sz w:val="28"/>
                  <w:szCs w:val="28"/>
                </w:rPr>
                <w:t>.</w:t>
              </w:r>
            </w:p>
            <w:p w14:paraId="3CD1403C" w14:textId="77777777" w:rsidR="004D4C45" w:rsidRPr="004D4C45" w:rsidRDefault="004D4C45" w:rsidP="004D4C45">
              <w:pPr>
                <w:rPr>
                  <w:sz w:val="28"/>
                  <w:szCs w:val="28"/>
                </w:rPr>
              </w:pPr>
            </w:p>
            <w:p w14:paraId="7814F7F5" w14:textId="149CBD8B" w:rsidR="00B76DC6" w:rsidRDefault="00B76DC6" w:rsidP="004D4C45">
              <w:pPr>
                <w:pStyle w:val="ListParagraph"/>
                <w:numPr>
                  <w:ilvl w:val="0"/>
                  <w:numId w:val="1"/>
                </w:numPr>
                <w:rPr>
                  <w:sz w:val="28"/>
                  <w:szCs w:val="28"/>
                </w:rPr>
              </w:pPr>
              <w:r w:rsidRPr="00485563">
                <w:rPr>
                  <w:sz w:val="28"/>
                  <w:szCs w:val="28"/>
                </w:rPr>
                <w:t xml:space="preserve">Richard A. </w:t>
              </w:r>
              <w:proofErr w:type="spellStart"/>
              <w:r w:rsidRPr="00485563">
                <w:rPr>
                  <w:sz w:val="28"/>
                  <w:szCs w:val="28"/>
                </w:rPr>
                <w:t>Voeltz</w:t>
              </w:r>
              <w:proofErr w:type="spellEnd"/>
              <w:r w:rsidRPr="00485563">
                <w:rPr>
                  <w:sz w:val="28"/>
                  <w:szCs w:val="28"/>
                </w:rPr>
                <w:t xml:space="preserve">, ‘The European Economic and Political Penetration of South West Africa, 1884-1892’, </w:t>
              </w:r>
              <w:r w:rsidRPr="009348E5">
                <w:rPr>
                  <w:i/>
                  <w:iCs/>
                  <w:sz w:val="28"/>
                  <w:szCs w:val="28"/>
                </w:rPr>
                <w:t>The International Journal for African Historical Studies</w:t>
              </w:r>
              <w:r w:rsidRPr="00485563">
                <w:rPr>
                  <w:sz w:val="28"/>
                  <w:szCs w:val="28"/>
                </w:rPr>
                <w:t>, 17.4 (1984) 623-639</w:t>
              </w:r>
              <w:r w:rsidR="004D4C45">
                <w:rPr>
                  <w:sz w:val="28"/>
                  <w:szCs w:val="28"/>
                </w:rPr>
                <w:t>.</w:t>
              </w:r>
            </w:p>
            <w:p w14:paraId="5C8D34E6" w14:textId="1E98A278" w:rsidR="004D4C45" w:rsidRPr="004D4C45" w:rsidRDefault="009348E5" w:rsidP="004D4C45">
              <w:pPr>
                <w:rPr>
                  <w:sz w:val="28"/>
                  <w:szCs w:val="28"/>
                </w:rPr>
              </w:pPr>
            </w:p>
          </w:sdtContent>
        </w:sdt>
      </w:sdtContent>
    </w:sdt>
    <w:p w14:paraId="6630AE74" w14:textId="77777777" w:rsidR="002856A9" w:rsidRPr="006E3173" w:rsidRDefault="002856A9" w:rsidP="006E3173"/>
    <w:sectPr w:rsidR="002856A9" w:rsidRPr="006E31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4595E9" w14:textId="77777777" w:rsidR="00112AC5" w:rsidRDefault="00112AC5" w:rsidP="006E3173">
      <w:r>
        <w:separator/>
      </w:r>
    </w:p>
  </w:endnote>
  <w:endnote w:type="continuationSeparator" w:id="0">
    <w:p w14:paraId="275AFB19" w14:textId="77777777" w:rsidR="00112AC5" w:rsidRDefault="00112AC5" w:rsidP="006E31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25917A" w14:textId="77777777" w:rsidR="00112AC5" w:rsidRDefault="00112AC5" w:rsidP="006E3173">
      <w:r>
        <w:separator/>
      </w:r>
    </w:p>
  </w:footnote>
  <w:footnote w:type="continuationSeparator" w:id="0">
    <w:p w14:paraId="277F9430" w14:textId="77777777" w:rsidR="00112AC5" w:rsidRDefault="00112AC5" w:rsidP="006E3173">
      <w:r>
        <w:continuationSeparator/>
      </w:r>
    </w:p>
  </w:footnote>
  <w:footnote w:id="1">
    <w:p w14:paraId="5FA0C03F" w14:textId="550485EE" w:rsidR="006E3173" w:rsidRPr="006E3173" w:rsidRDefault="006E3173">
      <w:pPr>
        <w:pStyle w:val="FootnoteText"/>
      </w:pPr>
      <w:r>
        <w:rPr>
          <w:rStyle w:val="FootnoteReference"/>
        </w:rPr>
        <w:footnoteRef/>
      </w:r>
      <w:r>
        <w:t xml:space="preserve"> Andreas </w:t>
      </w:r>
      <w:proofErr w:type="spellStart"/>
      <w:r>
        <w:t>Eckl</w:t>
      </w:r>
      <w:proofErr w:type="spellEnd"/>
      <w:r>
        <w:t xml:space="preserve">, ‘The Herero genocide of 1904: Source-critical and methodological considerations’, </w:t>
      </w:r>
      <w:r>
        <w:rPr>
          <w:i/>
          <w:iCs/>
        </w:rPr>
        <w:t>Journal of Namibian Studies</w:t>
      </w:r>
      <w:r>
        <w:t>, 3 (2008), 31-61 (p. 33-34).</w:t>
      </w:r>
    </w:p>
  </w:footnote>
  <w:footnote w:id="2">
    <w:p w14:paraId="106510C0" w14:textId="5F1AEE1C" w:rsidR="00102859" w:rsidRDefault="00102859">
      <w:pPr>
        <w:pStyle w:val="FootnoteText"/>
      </w:pPr>
      <w:r>
        <w:rPr>
          <w:rStyle w:val="FootnoteReference"/>
        </w:rPr>
        <w:footnoteRef/>
      </w:r>
      <w:r>
        <w:t xml:space="preserve"> Ibid.</w:t>
      </w:r>
    </w:p>
  </w:footnote>
  <w:footnote w:id="3">
    <w:p w14:paraId="71388321" w14:textId="25E00A8F" w:rsidR="006E3173" w:rsidRDefault="006E3173">
      <w:pPr>
        <w:pStyle w:val="FootnoteText"/>
      </w:pPr>
      <w:r>
        <w:rPr>
          <w:rStyle w:val="FootnoteReference"/>
        </w:rPr>
        <w:footnoteRef/>
      </w:r>
      <w:r>
        <w:t xml:space="preserve"> Ibid.</w:t>
      </w:r>
    </w:p>
  </w:footnote>
  <w:footnote w:id="4">
    <w:p w14:paraId="5184F44B" w14:textId="0D899304" w:rsidR="006E3173" w:rsidRPr="006E3173" w:rsidRDefault="006E3173">
      <w:pPr>
        <w:pStyle w:val="FootnoteText"/>
      </w:pPr>
      <w:r>
        <w:rPr>
          <w:rStyle w:val="FootnoteReference"/>
        </w:rPr>
        <w:footnoteRef/>
      </w:r>
      <w:r>
        <w:t xml:space="preserve"> South-West Africa. Administrative Office.,</w:t>
      </w:r>
      <w:r w:rsidRPr="006E3173">
        <w:rPr>
          <w:i/>
          <w:iCs/>
        </w:rPr>
        <w:t xml:space="preserve"> </w:t>
      </w:r>
      <w:r w:rsidRPr="006E3173">
        <w:rPr>
          <w:i/>
          <w:iCs/>
        </w:rPr>
        <w:t>Report on the natives of South-west Africa and their treatment by Germany</w:t>
      </w:r>
      <w:r>
        <w:t xml:space="preserve"> (London: His Majesty’s Stationary Office, 1918) p. 63-64.</w:t>
      </w:r>
    </w:p>
  </w:footnote>
  <w:footnote w:id="5">
    <w:p w14:paraId="186DE994" w14:textId="52DC53A9" w:rsidR="006E3173" w:rsidRDefault="006E3173">
      <w:pPr>
        <w:pStyle w:val="FootnoteText"/>
      </w:pPr>
      <w:r>
        <w:rPr>
          <w:rStyle w:val="FootnoteReference"/>
        </w:rPr>
        <w:footnoteRef/>
      </w:r>
      <w:r>
        <w:t xml:space="preserve"> </w:t>
      </w:r>
      <w:r w:rsidRPr="006E3173">
        <w:t xml:space="preserve">Richard A. </w:t>
      </w:r>
      <w:proofErr w:type="spellStart"/>
      <w:r w:rsidRPr="006E3173">
        <w:t>Voeltz</w:t>
      </w:r>
      <w:proofErr w:type="spellEnd"/>
      <w:r w:rsidRPr="006E3173">
        <w:t>, ‘The European Economic and Political Penetration of South West Africa, 1884-1892’, The International Journal for African Historical Studies, 17.4 (1984) 623-639 (p. 626-623).</w:t>
      </w:r>
    </w:p>
  </w:footnote>
  <w:footnote w:id="6">
    <w:p w14:paraId="5407ECD1" w14:textId="7C503968" w:rsidR="00C107B3" w:rsidRDefault="00C107B3">
      <w:pPr>
        <w:pStyle w:val="FootnoteText"/>
      </w:pPr>
      <w:r>
        <w:rPr>
          <w:rStyle w:val="FootnoteReference"/>
        </w:rPr>
        <w:footnoteRef/>
      </w:r>
      <w:r>
        <w:t xml:space="preserve"> </w:t>
      </w:r>
      <w:r w:rsidR="00E44DDB" w:rsidRPr="00E44DDB">
        <w:t xml:space="preserve">Jon Bridgman and Leslie J. Worley, ‘Genocide of the Hereros’ in Samuel Totten and William S. Parsons (eds.), Century of Genocide: Critical Essays and Eyewitness Accounts, (New York: Routledge, 2009), pp. 14-42 </w:t>
      </w:r>
      <w:r w:rsidR="001B0F7E">
        <w:t>(</w:t>
      </w:r>
      <w:r w:rsidR="00E44DDB" w:rsidRPr="00E44DDB">
        <w:t>p. 28</w:t>
      </w:r>
      <w:r w:rsidR="001B0F7E">
        <w:t>)</w:t>
      </w:r>
      <w:r w:rsidR="00E44DDB" w:rsidRPr="00E44DDB">
        <w:t>.</w:t>
      </w:r>
    </w:p>
  </w:footnote>
  <w:footnote w:id="7">
    <w:p w14:paraId="01398BB3" w14:textId="4D465639" w:rsidR="006E3173" w:rsidRDefault="006E3173">
      <w:pPr>
        <w:pStyle w:val="FootnoteText"/>
      </w:pPr>
      <w:r>
        <w:rPr>
          <w:rStyle w:val="FootnoteReference"/>
        </w:rPr>
        <w:footnoteRef/>
      </w:r>
      <w:r>
        <w:t xml:space="preserve"> </w:t>
      </w:r>
      <w:r w:rsidR="001B0F7E">
        <w:t>Ibid.</w:t>
      </w:r>
      <w:r>
        <w:t xml:space="preserve"> </w:t>
      </w:r>
    </w:p>
  </w:footnote>
  <w:footnote w:id="8">
    <w:p w14:paraId="439E0C93" w14:textId="32DEC521" w:rsidR="006E3173" w:rsidRDefault="006E3173">
      <w:pPr>
        <w:pStyle w:val="FootnoteText"/>
      </w:pPr>
      <w:r>
        <w:rPr>
          <w:rStyle w:val="FootnoteReference"/>
        </w:rPr>
        <w:footnoteRef/>
      </w:r>
      <w:r>
        <w:t xml:space="preserve"> Ibid.</w:t>
      </w:r>
    </w:p>
  </w:footnote>
  <w:footnote w:id="9">
    <w:p w14:paraId="584CF060" w14:textId="3CED0409" w:rsidR="006E3173" w:rsidRDefault="006E3173">
      <w:pPr>
        <w:pStyle w:val="FootnoteText"/>
      </w:pPr>
      <w:r>
        <w:rPr>
          <w:rStyle w:val="FootnoteReference"/>
        </w:rPr>
        <w:footnoteRef/>
      </w:r>
      <w:r>
        <w:t xml:space="preserve"> </w:t>
      </w:r>
      <w:r w:rsidRPr="006E3173">
        <w:t xml:space="preserve">Mads </w:t>
      </w:r>
      <w:proofErr w:type="spellStart"/>
      <w:r w:rsidRPr="006E3173">
        <w:t>Bomholt</w:t>
      </w:r>
      <w:proofErr w:type="spellEnd"/>
      <w:r w:rsidRPr="006E3173">
        <w:t xml:space="preserve"> Nielsen, ‘Selective Memory: British Perceptions of the Herero-Nama Genocide, 1904-1908 and 1918’, </w:t>
      </w:r>
      <w:r w:rsidRPr="006E3173">
        <w:rPr>
          <w:i/>
          <w:iCs/>
        </w:rPr>
        <w:t>Journal of Southern African Studies</w:t>
      </w:r>
      <w:r w:rsidRPr="006E3173">
        <w:t>, 43.2 (2017), 315–</w:t>
      </w:r>
      <w:r>
        <w:t>3</w:t>
      </w:r>
      <w:r w:rsidRPr="006E3173">
        <w:t>30</w:t>
      </w:r>
      <w:r>
        <w:t>.</w:t>
      </w:r>
      <w:r w:rsidRPr="006E3173">
        <w:t xml:space="preserve"> </w:t>
      </w:r>
      <w:hyperlink r:id="rId1" w:history="1">
        <w:r w:rsidRPr="000B0F16">
          <w:rPr>
            <w:rStyle w:val="Hyperlink"/>
          </w:rPr>
          <w:t>https://doi.org/10.1080/03057070.2017.1286843</w:t>
        </w:r>
      </w:hyperlink>
      <w:r>
        <w:t xml:space="preserve"> </w:t>
      </w:r>
    </w:p>
  </w:footnote>
  <w:footnote w:id="10">
    <w:p w14:paraId="0701A94B" w14:textId="0FDB7858" w:rsidR="006E3173" w:rsidRDefault="006E3173">
      <w:pPr>
        <w:pStyle w:val="FootnoteText"/>
      </w:pPr>
      <w:r>
        <w:rPr>
          <w:rStyle w:val="FootnoteReference"/>
        </w:rPr>
        <w:footnoteRef/>
      </w:r>
      <w:r>
        <w:t xml:space="preserve"> Ibid, p.1.</w:t>
      </w:r>
    </w:p>
  </w:footnote>
  <w:footnote w:id="11">
    <w:p w14:paraId="1B8EC759" w14:textId="58486052" w:rsidR="006E3173" w:rsidRPr="006E3173" w:rsidRDefault="006E3173">
      <w:pPr>
        <w:pStyle w:val="FootnoteText"/>
      </w:pPr>
      <w:r>
        <w:rPr>
          <w:rStyle w:val="FootnoteReference"/>
        </w:rPr>
        <w:footnoteRef/>
      </w:r>
      <w:r>
        <w:t xml:space="preserve"> Jeremy Silvester, Jan-Bart </w:t>
      </w:r>
      <w:proofErr w:type="spellStart"/>
      <w:r>
        <w:t>Geweld</w:t>
      </w:r>
      <w:proofErr w:type="spellEnd"/>
      <w:r>
        <w:t xml:space="preserve">, ‘Footsteps and Tears, An introduction to the Construction and Context of the 1918 ‘Blue Book’.’ </w:t>
      </w:r>
      <w:r w:rsidRPr="006E3173">
        <w:rPr>
          <w:i/>
          <w:iCs/>
        </w:rPr>
        <w:t>Words Cannot be Found: German Colonial Rule in Namibia. An Annotated Reprint of the 1918 Blue Book</w:t>
      </w:r>
      <w:r>
        <w:t xml:space="preserve"> (Leiden: Brill, 2003) pp. xiii-xxxvii, p. xx. </w:t>
      </w:r>
    </w:p>
  </w:footnote>
  <w:footnote w:id="12">
    <w:p w14:paraId="7E7B4A4F" w14:textId="319788C2" w:rsidR="006E3173" w:rsidRDefault="006E3173">
      <w:pPr>
        <w:pStyle w:val="FootnoteText"/>
      </w:pPr>
      <w:r>
        <w:rPr>
          <w:rStyle w:val="FootnoteReference"/>
        </w:rPr>
        <w:footnoteRef/>
      </w:r>
      <w:r>
        <w:t xml:space="preserve"> Ibid.</w:t>
      </w:r>
    </w:p>
  </w:footnote>
  <w:footnote w:id="13">
    <w:p w14:paraId="12BA094E" w14:textId="3BCFFBC8" w:rsidR="006E3173" w:rsidRDefault="006E3173">
      <w:pPr>
        <w:pStyle w:val="FootnoteText"/>
      </w:pPr>
      <w:r>
        <w:rPr>
          <w:rStyle w:val="FootnoteReference"/>
        </w:rPr>
        <w:footnoteRef/>
      </w:r>
      <w:r>
        <w:t xml:space="preserve"> </w:t>
      </w:r>
      <w:proofErr w:type="spellStart"/>
      <w:r>
        <w:t>Eckl</w:t>
      </w:r>
      <w:proofErr w:type="spellEnd"/>
      <w:r>
        <w:t>, ‘The Herero genocide of 1904’</w:t>
      </w:r>
      <w:r>
        <w:t xml:space="preserve">, p. 38. </w:t>
      </w:r>
    </w:p>
  </w:footnote>
  <w:footnote w:id="14">
    <w:p w14:paraId="28A1793E" w14:textId="402803C5" w:rsidR="006E3173" w:rsidRPr="006E3173" w:rsidRDefault="006E3173">
      <w:pPr>
        <w:pStyle w:val="FootnoteText"/>
      </w:pPr>
      <w:r>
        <w:rPr>
          <w:rStyle w:val="FootnoteReference"/>
        </w:rPr>
        <w:footnoteRef/>
      </w:r>
      <w:r>
        <w:t xml:space="preserve"> Silvester &amp; </w:t>
      </w:r>
      <w:proofErr w:type="spellStart"/>
      <w:r>
        <w:t>Gewald</w:t>
      </w:r>
      <w:proofErr w:type="spellEnd"/>
      <w:r>
        <w:t xml:space="preserve">, </w:t>
      </w:r>
      <w:r>
        <w:rPr>
          <w:i/>
          <w:iCs/>
        </w:rPr>
        <w:t>Words Cannot be Found’</w:t>
      </w:r>
      <w:r>
        <w:t xml:space="preserve">, p. xxii. </w:t>
      </w:r>
    </w:p>
  </w:footnote>
  <w:footnote w:id="15">
    <w:p w14:paraId="1DDBFF03" w14:textId="68AC79F8" w:rsidR="006E3173" w:rsidRDefault="006E3173" w:rsidP="006E3173">
      <w:pPr>
        <w:pStyle w:val="FootnoteText"/>
      </w:pPr>
      <w:r>
        <w:rPr>
          <w:rStyle w:val="FootnoteReference"/>
        </w:rPr>
        <w:footnoteRef/>
      </w:r>
      <w:r>
        <w:t xml:space="preserve"> </w:t>
      </w:r>
      <w:proofErr w:type="spellStart"/>
      <w:r>
        <w:t>Eckl</w:t>
      </w:r>
      <w:proofErr w:type="spellEnd"/>
      <w:r>
        <w:t xml:space="preserve">, ‘The Herero genocide of 1904’, p. 38. </w:t>
      </w:r>
    </w:p>
  </w:footnote>
  <w:footnote w:id="16">
    <w:p w14:paraId="1FFA6116" w14:textId="78A3E9D0" w:rsidR="006E3173" w:rsidRPr="006E3173" w:rsidRDefault="006E3173">
      <w:pPr>
        <w:pStyle w:val="FootnoteText"/>
      </w:pPr>
      <w:r>
        <w:rPr>
          <w:rStyle w:val="FootnoteReference"/>
        </w:rPr>
        <w:footnoteRef/>
      </w:r>
      <w:r>
        <w:t xml:space="preserve"> </w:t>
      </w:r>
      <w:proofErr w:type="spellStart"/>
      <w:r w:rsidRPr="006E3173">
        <w:t>Jarmila</w:t>
      </w:r>
      <w:proofErr w:type="spellEnd"/>
      <w:r w:rsidRPr="006E3173">
        <w:t xml:space="preserve"> </w:t>
      </w:r>
      <w:proofErr w:type="spellStart"/>
      <w:r w:rsidRPr="006E3173">
        <w:t>Brezinová</w:t>
      </w:r>
      <w:proofErr w:type="spellEnd"/>
      <w:r w:rsidRPr="006E3173">
        <w:t xml:space="preserve"> </w:t>
      </w:r>
      <w:proofErr w:type="spellStart"/>
      <w:r w:rsidRPr="006E3173">
        <w:t>Švihranová</w:t>
      </w:r>
      <w:proofErr w:type="spellEnd"/>
      <w:r>
        <w:t xml:space="preserve">, ‘Germans and Rehoboth Basters in the German </w:t>
      </w:r>
      <w:proofErr w:type="spellStart"/>
      <w:r>
        <w:t>Soutwest</w:t>
      </w:r>
      <w:proofErr w:type="spellEnd"/>
      <w:r>
        <w:t xml:space="preserve"> Africa’, </w:t>
      </w:r>
      <w:r>
        <w:rPr>
          <w:i/>
          <w:iCs/>
        </w:rPr>
        <w:t xml:space="preserve">Studia </w:t>
      </w:r>
      <w:proofErr w:type="spellStart"/>
      <w:r>
        <w:rPr>
          <w:i/>
          <w:iCs/>
        </w:rPr>
        <w:t>Historica</w:t>
      </w:r>
      <w:proofErr w:type="spellEnd"/>
      <w:r>
        <w:rPr>
          <w:i/>
          <w:iCs/>
        </w:rPr>
        <w:t xml:space="preserve"> </w:t>
      </w:r>
      <w:proofErr w:type="spellStart"/>
      <w:r>
        <w:rPr>
          <w:i/>
          <w:iCs/>
        </w:rPr>
        <w:t>Gedanensia</w:t>
      </w:r>
      <w:proofErr w:type="spellEnd"/>
      <w:r>
        <w:t>, Tom 8 (2017) 42-58 (p. 42)</w:t>
      </w:r>
    </w:p>
  </w:footnote>
  <w:footnote w:id="17">
    <w:p w14:paraId="0C28399B" w14:textId="3E929F47" w:rsidR="006E3173" w:rsidRDefault="006E3173">
      <w:pPr>
        <w:pStyle w:val="FootnoteText"/>
      </w:pPr>
      <w:r>
        <w:rPr>
          <w:rStyle w:val="FootnoteReference"/>
        </w:rPr>
        <w:footnoteRef/>
      </w:r>
      <w:r>
        <w:t xml:space="preserve"> </w:t>
      </w:r>
      <w:proofErr w:type="spellStart"/>
      <w:r>
        <w:t>Eckle</w:t>
      </w:r>
      <w:proofErr w:type="spellEnd"/>
      <w:r>
        <w:t>, ‘The Herero Genocide of 1904’, p. 43.</w:t>
      </w:r>
    </w:p>
  </w:footnote>
  <w:footnote w:id="18">
    <w:p w14:paraId="601A3488" w14:textId="4ADD8460" w:rsidR="006E3173" w:rsidRDefault="006E3173">
      <w:pPr>
        <w:pStyle w:val="FootnoteText"/>
      </w:pPr>
      <w:r>
        <w:rPr>
          <w:rStyle w:val="FootnoteReference"/>
        </w:rPr>
        <w:footnoteRef/>
      </w:r>
      <w:r>
        <w:t xml:space="preserve"> Ibid. p. 44.</w:t>
      </w:r>
    </w:p>
  </w:footnote>
  <w:footnote w:id="19">
    <w:p w14:paraId="5706E983" w14:textId="50BF62BC" w:rsidR="006E3173" w:rsidRDefault="006E3173">
      <w:pPr>
        <w:pStyle w:val="FootnoteText"/>
      </w:pPr>
      <w:r>
        <w:rPr>
          <w:rStyle w:val="FootnoteReference"/>
        </w:rPr>
        <w:footnoteRef/>
      </w:r>
      <w:r>
        <w:t xml:space="preserve"> </w:t>
      </w:r>
      <w:proofErr w:type="spellStart"/>
      <w:r w:rsidRPr="006E3173">
        <w:t>Švihranová</w:t>
      </w:r>
      <w:proofErr w:type="spellEnd"/>
      <w:r>
        <w:t xml:space="preserve">, ‘Germans and Rehoboth Basters in the German </w:t>
      </w:r>
      <w:proofErr w:type="spellStart"/>
      <w:r>
        <w:t>Soutwest</w:t>
      </w:r>
      <w:proofErr w:type="spellEnd"/>
      <w:r>
        <w:t xml:space="preserve"> Africa’</w:t>
      </w:r>
      <w:r>
        <w:t xml:space="preserve">, p. 46. </w:t>
      </w:r>
    </w:p>
  </w:footnote>
  <w:footnote w:id="20">
    <w:p w14:paraId="0978A128" w14:textId="7CE194B2" w:rsidR="006E3173" w:rsidRDefault="006E3173">
      <w:pPr>
        <w:pStyle w:val="FootnoteText"/>
      </w:pPr>
      <w:r>
        <w:rPr>
          <w:rStyle w:val="FootnoteReference"/>
        </w:rPr>
        <w:footnoteRef/>
      </w:r>
      <w:r>
        <w:t xml:space="preserve"> Ibid. p. 47- 48. </w:t>
      </w:r>
    </w:p>
  </w:footnote>
  <w:footnote w:id="21">
    <w:p w14:paraId="431ABE40" w14:textId="32A4E28E" w:rsidR="006E3173" w:rsidRDefault="006E3173">
      <w:pPr>
        <w:pStyle w:val="FootnoteText"/>
      </w:pPr>
      <w:r>
        <w:rPr>
          <w:rStyle w:val="FootnoteReference"/>
        </w:rPr>
        <w:footnoteRef/>
      </w:r>
      <w:r>
        <w:t xml:space="preserve"> </w:t>
      </w:r>
      <w:r w:rsidRPr="006E3173">
        <w:t>South-West Africa. Administrative Office, Report on the natives of South-west Africa and their treatment by Germany</w:t>
      </w:r>
      <w:r>
        <w:t xml:space="preserve">, </w:t>
      </w:r>
      <w:r w:rsidRPr="006E3173">
        <w:t>p. 63</w:t>
      </w:r>
      <w:r>
        <w:t>.</w:t>
      </w:r>
    </w:p>
  </w:footnote>
  <w:footnote w:id="22">
    <w:p w14:paraId="78D51C32" w14:textId="7375B48B" w:rsidR="006E3173" w:rsidRDefault="006E3173">
      <w:pPr>
        <w:pStyle w:val="FootnoteText"/>
      </w:pPr>
      <w:r>
        <w:rPr>
          <w:rStyle w:val="FootnoteReference"/>
        </w:rPr>
        <w:footnoteRef/>
      </w:r>
      <w:r>
        <w:t xml:space="preserve"> Ibid. </w:t>
      </w:r>
    </w:p>
  </w:footnote>
  <w:footnote w:id="23">
    <w:p w14:paraId="30ABD020" w14:textId="3EF9D9E7" w:rsidR="006E3173" w:rsidRDefault="006E3173">
      <w:pPr>
        <w:pStyle w:val="FootnoteText"/>
      </w:pPr>
      <w:r>
        <w:rPr>
          <w:rStyle w:val="FootnoteReference"/>
        </w:rPr>
        <w:footnoteRef/>
      </w:r>
      <w:r>
        <w:t xml:space="preserve"> Matthias </w:t>
      </w:r>
      <w:proofErr w:type="spellStart"/>
      <w:r w:rsidRPr="006E3173">
        <w:t>Häußler</w:t>
      </w:r>
      <w:proofErr w:type="spellEnd"/>
      <w:r>
        <w:t>, ‘</w:t>
      </w:r>
      <w:r w:rsidRPr="006E3173">
        <w:t>From destruction to extermination: Genocidal escalation in Germany’s war against the Herero, 1904.</w:t>
      </w:r>
      <w:r>
        <w:t xml:space="preserve">’ </w:t>
      </w:r>
      <w:r w:rsidRPr="006E3173">
        <w:rPr>
          <w:i/>
          <w:iCs/>
        </w:rPr>
        <w:t>Journal of Namibian Studies: History Politics Culture</w:t>
      </w:r>
      <w:r>
        <w:t>,</w:t>
      </w:r>
      <w:r w:rsidRPr="006E3173">
        <w:t xml:space="preserve"> 10 (2011</w:t>
      </w:r>
      <w:r>
        <w:t>) 55-81 (p. 64).</w:t>
      </w:r>
    </w:p>
  </w:footnote>
  <w:footnote w:id="24">
    <w:p w14:paraId="1E1B11D8" w14:textId="311C8944" w:rsidR="006E3173" w:rsidRDefault="006E3173">
      <w:pPr>
        <w:pStyle w:val="FootnoteText"/>
      </w:pPr>
      <w:r>
        <w:rPr>
          <w:rStyle w:val="FootnoteReference"/>
        </w:rPr>
        <w:footnoteRef/>
      </w:r>
      <w:r>
        <w:t xml:space="preserve"> Ibid. p. 65.</w:t>
      </w:r>
    </w:p>
  </w:footnote>
  <w:footnote w:id="25">
    <w:p w14:paraId="00776EAD" w14:textId="50FC7D1F" w:rsidR="006E3173" w:rsidRDefault="006E3173">
      <w:pPr>
        <w:pStyle w:val="FootnoteText"/>
      </w:pPr>
      <w:r>
        <w:rPr>
          <w:rStyle w:val="FootnoteReference"/>
        </w:rPr>
        <w:footnoteRef/>
      </w:r>
      <w:r>
        <w:t xml:space="preserve"> </w:t>
      </w:r>
      <w:r w:rsidRPr="006E3173">
        <w:t>South-West Africa. Administrative Office, Report on the natives of South-west Africa and their treatment by Germany</w:t>
      </w:r>
      <w:r>
        <w:t xml:space="preserve">, </w:t>
      </w:r>
      <w:r w:rsidRPr="006E3173">
        <w:t>p. 63</w:t>
      </w:r>
      <w:r>
        <w:t>.</w:t>
      </w:r>
    </w:p>
  </w:footnote>
  <w:footnote w:id="26">
    <w:p w14:paraId="78715BE2" w14:textId="4737DF2F" w:rsidR="006E3173" w:rsidRDefault="006E3173">
      <w:pPr>
        <w:pStyle w:val="FootnoteText"/>
      </w:pPr>
      <w:r>
        <w:rPr>
          <w:rStyle w:val="FootnoteReference"/>
        </w:rPr>
        <w:footnoteRef/>
      </w:r>
      <w:r>
        <w:t xml:space="preserve"> Ibid.</w:t>
      </w:r>
    </w:p>
  </w:footnote>
  <w:footnote w:id="27">
    <w:p w14:paraId="06BAF73B" w14:textId="0EC97024" w:rsidR="006E3173" w:rsidRDefault="006E3173">
      <w:pPr>
        <w:pStyle w:val="FootnoteText"/>
      </w:pPr>
      <w:r>
        <w:rPr>
          <w:rStyle w:val="FootnoteReference"/>
        </w:rPr>
        <w:footnoteRef/>
      </w:r>
      <w:r>
        <w:t xml:space="preserve"> Bridgeman &amp; </w:t>
      </w:r>
      <w:proofErr w:type="spellStart"/>
      <w:r>
        <w:t>Worely</w:t>
      </w:r>
      <w:proofErr w:type="spellEnd"/>
      <w:r>
        <w:t xml:space="preserve">, </w:t>
      </w:r>
      <w:r w:rsidRPr="006E3173">
        <w:t>‘Genocide of the Hereros’</w:t>
      </w:r>
      <w:r w:rsidR="00A7592C">
        <w:t>, p. 23.</w:t>
      </w:r>
    </w:p>
  </w:footnote>
  <w:footnote w:id="28">
    <w:p w14:paraId="17DEF06C" w14:textId="321830C0" w:rsidR="006E3173" w:rsidRDefault="006E3173">
      <w:pPr>
        <w:pStyle w:val="FootnoteText"/>
      </w:pPr>
      <w:r>
        <w:rPr>
          <w:rStyle w:val="FootnoteReference"/>
        </w:rPr>
        <w:footnoteRef/>
      </w:r>
      <w:r>
        <w:t xml:space="preserve"> </w:t>
      </w:r>
      <w:r w:rsidRPr="006E3173">
        <w:t>South-West Africa. Administrative Office, Report on the natives of South-west Africa and their treatment by Germany</w:t>
      </w:r>
      <w:r>
        <w:t xml:space="preserve">, </w:t>
      </w:r>
      <w:r w:rsidRPr="006E3173">
        <w:t>p. 63</w:t>
      </w:r>
      <w:r>
        <w:t>.</w:t>
      </w:r>
    </w:p>
  </w:footnote>
  <w:footnote w:id="29">
    <w:p w14:paraId="1FC5C503" w14:textId="1C21A761" w:rsidR="006E3173" w:rsidRDefault="006E3173">
      <w:pPr>
        <w:pStyle w:val="FootnoteText"/>
      </w:pPr>
      <w:r>
        <w:rPr>
          <w:rStyle w:val="FootnoteReference"/>
        </w:rPr>
        <w:footnoteRef/>
      </w:r>
      <w:r>
        <w:t xml:space="preserve"> Ibid. p. 63-64.</w:t>
      </w:r>
    </w:p>
  </w:footnote>
  <w:footnote w:id="30">
    <w:p w14:paraId="2BCD89FB" w14:textId="1690526F" w:rsidR="006E3173" w:rsidRDefault="006E3173">
      <w:pPr>
        <w:pStyle w:val="FootnoteText"/>
      </w:pPr>
      <w:r>
        <w:rPr>
          <w:rStyle w:val="FootnoteReference"/>
        </w:rPr>
        <w:footnoteRef/>
      </w:r>
      <w:r>
        <w:t xml:space="preserve"> Ibid. p. 64.</w:t>
      </w:r>
    </w:p>
  </w:footnote>
  <w:footnote w:id="31">
    <w:p w14:paraId="6A0D2C64" w14:textId="7FB137AC" w:rsidR="006E3173" w:rsidRDefault="006E3173">
      <w:pPr>
        <w:pStyle w:val="FootnoteText"/>
      </w:pPr>
      <w:r>
        <w:rPr>
          <w:rStyle w:val="FootnoteReference"/>
        </w:rPr>
        <w:footnoteRef/>
      </w:r>
      <w:r>
        <w:t xml:space="preserve"> Ibid.</w:t>
      </w:r>
    </w:p>
  </w:footnote>
  <w:footnote w:id="32">
    <w:p w14:paraId="0EE68B6B" w14:textId="75A112A3" w:rsidR="006E3173" w:rsidRDefault="006E3173">
      <w:pPr>
        <w:pStyle w:val="FootnoteText"/>
      </w:pPr>
      <w:r>
        <w:rPr>
          <w:rStyle w:val="FootnoteReference"/>
        </w:rPr>
        <w:footnoteRef/>
      </w:r>
      <w:r>
        <w:t xml:space="preserve"> Ibid.</w:t>
      </w:r>
    </w:p>
  </w:footnote>
  <w:footnote w:id="33">
    <w:p w14:paraId="6B72A19B" w14:textId="7B10B8BF" w:rsidR="006E3173" w:rsidRDefault="006E3173">
      <w:pPr>
        <w:pStyle w:val="FootnoteText"/>
      </w:pPr>
      <w:r>
        <w:rPr>
          <w:rStyle w:val="FootnoteReference"/>
        </w:rPr>
        <w:footnoteRef/>
      </w:r>
      <w:r>
        <w:t xml:space="preserve"> </w:t>
      </w:r>
      <w:proofErr w:type="spellStart"/>
      <w:r w:rsidRPr="006E3173">
        <w:t>Švihranová</w:t>
      </w:r>
      <w:proofErr w:type="spellEnd"/>
      <w:r w:rsidRPr="006E3173">
        <w:t xml:space="preserve">, ‘Germans and Rehoboth Basters in the German </w:t>
      </w:r>
      <w:proofErr w:type="spellStart"/>
      <w:r w:rsidRPr="006E3173">
        <w:t>Soutwest</w:t>
      </w:r>
      <w:proofErr w:type="spellEnd"/>
      <w:r w:rsidRPr="006E3173">
        <w:t xml:space="preserve"> Africa’, p. </w:t>
      </w:r>
      <w:r>
        <w:t>48-55.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6E0DA0"/>
    <w:multiLevelType w:val="hybridMultilevel"/>
    <w:tmpl w:val="D2D6E180"/>
    <w:lvl w:ilvl="0" w:tplc="1B34014A">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4041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173"/>
    <w:rsid w:val="00102859"/>
    <w:rsid w:val="00112AC5"/>
    <w:rsid w:val="00165A28"/>
    <w:rsid w:val="001B0F7E"/>
    <w:rsid w:val="002856A9"/>
    <w:rsid w:val="002B49F3"/>
    <w:rsid w:val="00342FCF"/>
    <w:rsid w:val="00393833"/>
    <w:rsid w:val="003C12B3"/>
    <w:rsid w:val="003E6E91"/>
    <w:rsid w:val="003E7FA8"/>
    <w:rsid w:val="00425505"/>
    <w:rsid w:val="004741F6"/>
    <w:rsid w:val="00485563"/>
    <w:rsid w:val="004D4C45"/>
    <w:rsid w:val="004F7854"/>
    <w:rsid w:val="00591824"/>
    <w:rsid w:val="005E6A0A"/>
    <w:rsid w:val="005F5989"/>
    <w:rsid w:val="006A529A"/>
    <w:rsid w:val="006B5628"/>
    <w:rsid w:val="006E3173"/>
    <w:rsid w:val="007468C6"/>
    <w:rsid w:val="00757FA8"/>
    <w:rsid w:val="008E410F"/>
    <w:rsid w:val="00920BDB"/>
    <w:rsid w:val="00920C99"/>
    <w:rsid w:val="009348E5"/>
    <w:rsid w:val="009D57B8"/>
    <w:rsid w:val="00A7592C"/>
    <w:rsid w:val="00AF326B"/>
    <w:rsid w:val="00B53361"/>
    <w:rsid w:val="00B76DC6"/>
    <w:rsid w:val="00BD3F6B"/>
    <w:rsid w:val="00C107B3"/>
    <w:rsid w:val="00C14817"/>
    <w:rsid w:val="00D00FA2"/>
    <w:rsid w:val="00D109AF"/>
    <w:rsid w:val="00DD684F"/>
    <w:rsid w:val="00E02150"/>
    <w:rsid w:val="00E44DDB"/>
    <w:rsid w:val="00E44F4A"/>
    <w:rsid w:val="00E80DCF"/>
    <w:rsid w:val="00EA4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523CE1"/>
  <w15:chartTrackingRefBased/>
  <w15:docId w15:val="{0EFAEAD4-BFC8-AD4D-894D-8DDE1C095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1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1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1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1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1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17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17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17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17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1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31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1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1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1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1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1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1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173"/>
    <w:rPr>
      <w:rFonts w:eastAsiaTheme="majorEastAsia" w:cstheme="majorBidi"/>
      <w:color w:val="272727" w:themeColor="text1" w:themeTint="D8"/>
    </w:rPr>
  </w:style>
  <w:style w:type="paragraph" w:styleId="Title">
    <w:name w:val="Title"/>
    <w:basedOn w:val="Normal"/>
    <w:next w:val="Normal"/>
    <w:link w:val="TitleChar"/>
    <w:uiPriority w:val="10"/>
    <w:qFormat/>
    <w:rsid w:val="006E317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1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17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1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17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3173"/>
    <w:rPr>
      <w:i/>
      <w:iCs/>
      <w:color w:val="404040" w:themeColor="text1" w:themeTint="BF"/>
    </w:rPr>
  </w:style>
  <w:style w:type="paragraph" w:styleId="ListParagraph">
    <w:name w:val="List Paragraph"/>
    <w:basedOn w:val="Normal"/>
    <w:uiPriority w:val="34"/>
    <w:qFormat/>
    <w:rsid w:val="006E3173"/>
    <w:pPr>
      <w:ind w:left="720"/>
      <w:contextualSpacing/>
    </w:pPr>
  </w:style>
  <w:style w:type="character" w:styleId="IntenseEmphasis">
    <w:name w:val="Intense Emphasis"/>
    <w:basedOn w:val="DefaultParagraphFont"/>
    <w:uiPriority w:val="21"/>
    <w:qFormat/>
    <w:rsid w:val="006E3173"/>
    <w:rPr>
      <w:i/>
      <w:iCs/>
      <w:color w:val="0F4761" w:themeColor="accent1" w:themeShade="BF"/>
    </w:rPr>
  </w:style>
  <w:style w:type="paragraph" w:styleId="IntenseQuote">
    <w:name w:val="Intense Quote"/>
    <w:basedOn w:val="Normal"/>
    <w:next w:val="Normal"/>
    <w:link w:val="IntenseQuoteChar"/>
    <w:uiPriority w:val="30"/>
    <w:qFormat/>
    <w:rsid w:val="006E31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173"/>
    <w:rPr>
      <w:i/>
      <w:iCs/>
      <w:color w:val="0F4761" w:themeColor="accent1" w:themeShade="BF"/>
    </w:rPr>
  </w:style>
  <w:style w:type="character" w:styleId="IntenseReference">
    <w:name w:val="Intense Reference"/>
    <w:basedOn w:val="DefaultParagraphFont"/>
    <w:uiPriority w:val="32"/>
    <w:qFormat/>
    <w:rsid w:val="006E3173"/>
    <w:rPr>
      <w:b/>
      <w:bCs/>
      <w:smallCaps/>
      <w:color w:val="0F4761" w:themeColor="accent1" w:themeShade="BF"/>
      <w:spacing w:val="5"/>
    </w:rPr>
  </w:style>
  <w:style w:type="paragraph" w:styleId="FootnoteText">
    <w:name w:val="footnote text"/>
    <w:basedOn w:val="Normal"/>
    <w:link w:val="FootnoteTextChar"/>
    <w:uiPriority w:val="99"/>
    <w:semiHidden/>
    <w:unhideWhenUsed/>
    <w:rsid w:val="006E3173"/>
    <w:rPr>
      <w:sz w:val="20"/>
      <w:szCs w:val="20"/>
    </w:rPr>
  </w:style>
  <w:style w:type="character" w:customStyle="1" w:styleId="FootnoteTextChar">
    <w:name w:val="Footnote Text Char"/>
    <w:basedOn w:val="DefaultParagraphFont"/>
    <w:link w:val="FootnoteText"/>
    <w:uiPriority w:val="99"/>
    <w:semiHidden/>
    <w:rsid w:val="006E3173"/>
    <w:rPr>
      <w:sz w:val="20"/>
      <w:szCs w:val="20"/>
    </w:rPr>
  </w:style>
  <w:style w:type="character" w:styleId="FootnoteReference">
    <w:name w:val="footnote reference"/>
    <w:basedOn w:val="DefaultParagraphFont"/>
    <w:uiPriority w:val="99"/>
    <w:semiHidden/>
    <w:unhideWhenUsed/>
    <w:rsid w:val="006E3173"/>
    <w:rPr>
      <w:vertAlign w:val="superscript"/>
    </w:rPr>
  </w:style>
  <w:style w:type="character" w:styleId="Hyperlink">
    <w:name w:val="Hyperlink"/>
    <w:basedOn w:val="DefaultParagraphFont"/>
    <w:uiPriority w:val="99"/>
    <w:unhideWhenUsed/>
    <w:rsid w:val="006E3173"/>
    <w:rPr>
      <w:color w:val="467886" w:themeColor="hyperlink"/>
      <w:u w:val="single"/>
    </w:rPr>
  </w:style>
  <w:style w:type="character" w:styleId="UnresolvedMention">
    <w:name w:val="Unresolved Mention"/>
    <w:basedOn w:val="DefaultParagraphFont"/>
    <w:uiPriority w:val="99"/>
    <w:semiHidden/>
    <w:unhideWhenUsed/>
    <w:rsid w:val="006E31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3845311">
      <w:bodyDiv w:val="1"/>
      <w:marLeft w:val="0"/>
      <w:marRight w:val="0"/>
      <w:marTop w:val="0"/>
      <w:marBottom w:val="0"/>
      <w:divBdr>
        <w:top w:val="none" w:sz="0" w:space="0" w:color="auto"/>
        <w:left w:val="none" w:sz="0" w:space="0" w:color="auto"/>
        <w:bottom w:val="none" w:sz="0" w:space="0" w:color="auto"/>
        <w:right w:val="none" w:sz="0" w:space="0" w:color="auto"/>
      </w:divBdr>
      <w:divsChild>
        <w:div w:id="1348169657">
          <w:marLeft w:val="0"/>
          <w:marRight w:val="0"/>
          <w:marTop w:val="0"/>
          <w:marBottom w:val="0"/>
          <w:divBdr>
            <w:top w:val="none" w:sz="0" w:space="0" w:color="auto"/>
            <w:left w:val="none" w:sz="0" w:space="0" w:color="auto"/>
            <w:bottom w:val="none" w:sz="0" w:space="0" w:color="auto"/>
            <w:right w:val="none" w:sz="0" w:space="0" w:color="auto"/>
          </w:divBdr>
          <w:divsChild>
            <w:div w:id="1523132834">
              <w:marLeft w:val="0"/>
              <w:marRight w:val="0"/>
              <w:marTop w:val="0"/>
              <w:marBottom w:val="0"/>
              <w:divBdr>
                <w:top w:val="none" w:sz="0" w:space="0" w:color="auto"/>
                <w:left w:val="none" w:sz="0" w:space="0" w:color="auto"/>
                <w:bottom w:val="none" w:sz="0" w:space="0" w:color="auto"/>
                <w:right w:val="none" w:sz="0" w:space="0" w:color="auto"/>
              </w:divBdr>
              <w:divsChild>
                <w:div w:id="195933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289202">
      <w:bodyDiv w:val="1"/>
      <w:marLeft w:val="0"/>
      <w:marRight w:val="0"/>
      <w:marTop w:val="0"/>
      <w:marBottom w:val="0"/>
      <w:divBdr>
        <w:top w:val="none" w:sz="0" w:space="0" w:color="auto"/>
        <w:left w:val="none" w:sz="0" w:space="0" w:color="auto"/>
        <w:bottom w:val="none" w:sz="0" w:space="0" w:color="auto"/>
        <w:right w:val="none" w:sz="0" w:space="0" w:color="auto"/>
      </w:divBdr>
      <w:divsChild>
        <w:div w:id="10498418">
          <w:marLeft w:val="0"/>
          <w:marRight w:val="0"/>
          <w:marTop w:val="0"/>
          <w:marBottom w:val="0"/>
          <w:divBdr>
            <w:top w:val="none" w:sz="0" w:space="0" w:color="auto"/>
            <w:left w:val="none" w:sz="0" w:space="0" w:color="auto"/>
            <w:bottom w:val="none" w:sz="0" w:space="0" w:color="auto"/>
            <w:right w:val="none" w:sz="0" w:space="0" w:color="auto"/>
          </w:divBdr>
          <w:divsChild>
            <w:div w:id="1602030883">
              <w:marLeft w:val="0"/>
              <w:marRight w:val="0"/>
              <w:marTop w:val="0"/>
              <w:marBottom w:val="0"/>
              <w:divBdr>
                <w:top w:val="none" w:sz="0" w:space="0" w:color="auto"/>
                <w:left w:val="none" w:sz="0" w:space="0" w:color="auto"/>
                <w:bottom w:val="none" w:sz="0" w:space="0" w:color="auto"/>
                <w:right w:val="none" w:sz="0" w:space="0" w:color="auto"/>
              </w:divBdr>
              <w:divsChild>
                <w:div w:id="23301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57070.2017.128684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1080/03057070.2017.12868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58F79-312B-3247-A3B4-61C480073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570</TotalTime>
  <Pages>5</Pages>
  <Words>1884</Words>
  <Characters>10742</Characters>
  <Application>Microsoft Office Word</Application>
  <DocSecurity>0</DocSecurity>
  <Lines>89</Lines>
  <Paragraphs>25</Paragraphs>
  <ScaleCrop>false</ScaleCrop>
  <Company/>
  <LinksUpToDate>false</LinksUpToDate>
  <CharactersWithSpaces>12601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39</cp:revision>
  <dcterms:created xsi:type="dcterms:W3CDTF">2025-02-03T15:22:00Z</dcterms:created>
  <dcterms:modified xsi:type="dcterms:W3CDTF">2025-02-09T15:26:00Z</dcterms:modified>
</cp:coreProperties>
</file>