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9E218C" w14:textId="77777777" w:rsidR="0026246C" w:rsidRPr="0026246C" w:rsidRDefault="0026246C" w:rsidP="0026246C">
      <w:r w:rsidRPr="0026246C">
        <w:t>Detailed Summary: Ryman Hospitality Properties, Inc. – Performance &amp; Financial Profile (2016–2020)</w:t>
      </w:r>
    </w:p>
    <w:p w14:paraId="5D79DF8F" w14:textId="77777777" w:rsidR="0026246C" w:rsidRPr="0026246C" w:rsidRDefault="0026246C" w:rsidP="0026246C">
      <w:r w:rsidRPr="0026246C">
        <w:t>Business Overview</w:t>
      </w:r>
    </w:p>
    <w:p w14:paraId="278259C7" w14:textId="77777777" w:rsidR="0026246C" w:rsidRPr="0026246C" w:rsidRDefault="0026246C" w:rsidP="0026246C">
      <w:r w:rsidRPr="0026246C">
        <w:t>Ryman Hospitality Properties (NYSE: RHP) is a self</w:t>
      </w:r>
      <w:r w:rsidRPr="0026246C">
        <w:noBreakHyphen/>
        <w:t>advised real estate investment trust (REIT) focused on upscale convention</w:t>
      </w:r>
      <w:r w:rsidRPr="0026246C">
        <w:noBreakHyphen/>
        <w:t>focused resorts and country</w:t>
      </w:r>
      <w:r w:rsidRPr="0026246C">
        <w:noBreakHyphen/>
        <w:t>music entertainment. Its core assets include five Gaylord Hotels properties managed by Marriott International, plus iconic brands: the Grand Ole Opry, Ryman Auditorium, WSM</w:t>
      </w:r>
      <w:r w:rsidRPr="0026246C">
        <w:noBreakHyphen/>
        <w:t>AM, Ole Red venues, and the Circle media network (launched Jan</w:t>
      </w:r>
      <w:r w:rsidRPr="0026246C">
        <w:rPr>
          <w:rFonts w:ascii="Arial" w:hAnsi="Arial" w:cs="Arial"/>
        </w:rPr>
        <w:t> </w:t>
      </w:r>
      <w:r w:rsidRPr="0026246C">
        <w:t>2020 via a 50/50 joint venture). The Hospitality segment contributed ~89</w:t>
      </w:r>
      <w:r w:rsidRPr="0026246C">
        <w:rPr>
          <w:rFonts w:ascii="Arial" w:hAnsi="Arial" w:cs="Arial"/>
        </w:rPr>
        <w:t> </w:t>
      </w:r>
      <w:r w:rsidRPr="0026246C">
        <w:t>% of total revenue, with Entertainment accounting for ~11</w:t>
      </w:r>
      <w:r w:rsidRPr="0026246C">
        <w:rPr>
          <w:rFonts w:ascii="Arial" w:hAnsi="Arial" w:cs="Arial"/>
        </w:rPr>
        <w:t> </w:t>
      </w:r>
      <w:r w:rsidRPr="0026246C">
        <w:t>%.</w:t>
      </w:r>
    </w:p>
    <w:p w14:paraId="4EBADF30" w14:textId="77777777" w:rsidR="0026246C" w:rsidRPr="0026246C" w:rsidRDefault="0026246C" w:rsidP="0026246C">
      <w:r w:rsidRPr="0026246C">
        <w:pict w14:anchorId="3A79C733">
          <v:rect id="_x0000_i1043" style="width:0;height:1.5pt" o:hralign="center" o:hrstd="t" o:hrnoshade="t" o:hr="t" fillcolor="black" stroked="f"/>
        </w:pict>
      </w:r>
    </w:p>
    <w:p w14:paraId="7211219B" w14:textId="77777777" w:rsidR="0026246C" w:rsidRPr="0026246C" w:rsidRDefault="0026246C" w:rsidP="0026246C">
      <w:r w:rsidRPr="0026246C">
        <w:t>2016–2019: Consistent Growth &amp; Stability</w:t>
      </w:r>
    </w:p>
    <w:p w14:paraId="16432A1A" w14:textId="77777777" w:rsidR="0026246C" w:rsidRPr="0026246C" w:rsidRDefault="0026246C" w:rsidP="0026246C">
      <w:pPr>
        <w:numPr>
          <w:ilvl w:val="0"/>
          <w:numId w:val="1"/>
        </w:numPr>
      </w:pPr>
      <w:r w:rsidRPr="0026246C">
        <w:t>Revenue &amp; Profitability: Total revenue rose steadily from $1.34</w:t>
      </w:r>
      <w:r w:rsidRPr="0026246C">
        <w:rPr>
          <w:rFonts w:ascii="Arial" w:hAnsi="Arial" w:cs="Arial"/>
        </w:rPr>
        <w:t> </w:t>
      </w:r>
      <w:r w:rsidRPr="0026246C">
        <w:t>billion** in 2016 to **$1.65</w:t>
      </w:r>
      <w:r w:rsidRPr="0026246C">
        <w:rPr>
          <w:rFonts w:ascii="Arial" w:hAnsi="Arial" w:cs="Arial"/>
        </w:rPr>
        <w:t> </w:t>
      </w:r>
      <w:r w:rsidRPr="0026246C">
        <w:t>billion in 2019; net income increased from $102</w:t>
      </w:r>
      <w:r w:rsidRPr="0026246C">
        <w:rPr>
          <w:rFonts w:ascii="Arial" w:hAnsi="Arial" w:cs="Arial"/>
        </w:rPr>
        <w:t> </w:t>
      </w:r>
      <w:r w:rsidRPr="0026246C">
        <w:t>million** to **$178</w:t>
      </w:r>
      <w:r w:rsidRPr="0026246C">
        <w:rPr>
          <w:rFonts w:ascii="Arial" w:hAnsi="Arial" w:cs="Arial"/>
        </w:rPr>
        <w:t> </w:t>
      </w:r>
      <w:r w:rsidRPr="0026246C">
        <w:t>million, and Adjusted EBITDA climbed from $441</w:t>
      </w:r>
      <w:r w:rsidRPr="0026246C">
        <w:rPr>
          <w:rFonts w:ascii="Arial" w:hAnsi="Arial" w:cs="Arial"/>
        </w:rPr>
        <w:t> </w:t>
      </w:r>
      <w:r w:rsidRPr="0026246C">
        <w:t>million** to **$550</w:t>
      </w:r>
      <w:r w:rsidRPr="0026246C">
        <w:rPr>
          <w:rFonts w:ascii="Arial" w:hAnsi="Arial" w:cs="Arial"/>
        </w:rPr>
        <w:t> </w:t>
      </w:r>
      <w:r w:rsidRPr="0026246C">
        <w:t>million, driven by strong group/convention demand and steady leisure travel.</w:t>
      </w:r>
    </w:p>
    <w:p w14:paraId="29B2E56A" w14:textId="77777777" w:rsidR="0026246C" w:rsidRPr="0026246C" w:rsidRDefault="0026246C" w:rsidP="0026246C">
      <w:pPr>
        <w:numPr>
          <w:ilvl w:val="0"/>
          <w:numId w:val="1"/>
        </w:numPr>
      </w:pPr>
      <w:r w:rsidRPr="0026246C">
        <w:t>Hospitality Metrics: Occupancy stayed between 72.8</w:t>
      </w:r>
      <w:r w:rsidRPr="0026246C">
        <w:rPr>
          <w:rFonts w:ascii="Arial" w:hAnsi="Arial" w:cs="Arial"/>
        </w:rPr>
        <w:t> </w:t>
      </w:r>
      <w:r w:rsidRPr="0026246C">
        <w:t>% and 74.7</w:t>
      </w:r>
      <w:r w:rsidRPr="0026246C">
        <w:rPr>
          <w:rFonts w:ascii="Arial" w:hAnsi="Arial" w:cs="Arial"/>
        </w:rPr>
        <w:t> </w:t>
      </w:r>
      <w:r w:rsidRPr="0026246C">
        <w:t>%, Average Daily Rate (ADR) rose from $210.70** to **$242.70, and Revenue per Available Room (RevPAR) grew from $153.40** to **$181.30, reflecting pricing power and high</w:t>
      </w:r>
      <w:r w:rsidRPr="0026246C">
        <w:noBreakHyphen/>
        <w:t>quality assets.</w:t>
      </w:r>
    </w:p>
    <w:p w14:paraId="4F17CF4D" w14:textId="77777777" w:rsidR="0026246C" w:rsidRPr="0026246C" w:rsidRDefault="0026246C" w:rsidP="0026246C">
      <w:pPr>
        <w:numPr>
          <w:ilvl w:val="0"/>
          <w:numId w:val="1"/>
        </w:numPr>
      </w:pPr>
      <w:r w:rsidRPr="0026246C">
        <w:t>Working Capital: The business consistently ran a negative cash conversion cycle (~–1.0 to –1.1</w:t>
      </w:r>
      <w:r w:rsidRPr="0026246C">
        <w:rPr>
          <w:rFonts w:ascii="Arial" w:hAnsi="Arial" w:cs="Arial"/>
        </w:rPr>
        <w:t> </w:t>
      </w:r>
      <w:r w:rsidRPr="0026246C">
        <w:t xml:space="preserve">days), meaning it collected cash from customers before paying suppliers </w:t>
      </w:r>
      <w:r w:rsidRPr="0026246C">
        <w:rPr>
          <w:rFonts w:ascii="Aptos" w:hAnsi="Aptos" w:cs="Aptos"/>
        </w:rPr>
        <w:t>—</w:t>
      </w:r>
      <w:r w:rsidRPr="0026246C">
        <w:t xml:space="preserve"> a sign of very efficient liquidity management, typical for hospitality with advance bookings.</w:t>
      </w:r>
    </w:p>
    <w:p w14:paraId="5F7894DD" w14:textId="77777777" w:rsidR="0026246C" w:rsidRPr="0026246C" w:rsidRDefault="0026246C" w:rsidP="0026246C">
      <w:pPr>
        <w:numPr>
          <w:ilvl w:val="0"/>
          <w:numId w:val="1"/>
        </w:numPr>
      </w:pPr>
      <w:r w:rsidRPr="0026246C">
        <w:t>Capital &amp; Dividends: Dividends increased annually from $2.60** to **$3.20 per share; total assets grew to $5.79</w:t>
      </w:r>
      <w:r w:rsidRPr="0026246C">
        <w:rPr>
          <w:rFonts w:ascii="Arial" w:hAnsi="Arial" w:cs="Arial"/>
        </w:rPr>
        <w:t> </w:t>
      </w:r>
      <w:r w:rsidRPr="0026246C">
        <w:t>billion, with debt managed prudently to support expansions such as Gaylord Palms upgrades and the Gaylord Rockies launch.</w:t>
      </w:r>
    </w:p>
    <w:p w14:paraId="2FF3BE99" w14:textId="77777777" w:rsidR="0026246C" w:rsidRPr="0026246C" w:rsidRDefault="0026246C" w:rsidP="0026246C">
      <w:r w:rsidRPr="0026246C">
        <w:pict w14:anchorId="6CDBC565">
          <v:rect id="_x0000_i1044" style="width:0;height:1.5pt" o:hralign="center" o:hrstd="t" o:hrnoshade="t" o:hr="t" fillcolor="black" stroked="f"/>
        </w:pict>
      </w:r>
    </w:p>
    <w:p w14:paraId="34E3C508" w14:textId="77777777" w:rsidR="0026246C" w:rsidRPr="0026246C" w:rsidRDefault="0026246C" w:rsidP="0026246C">
      <w:r w:rsidRPr="0026246C">
        <w:t>2020: COVID</w:t>
      </w:r>
      <w:r w:rsidRPr="0026246C">
        <w:noBreakHyphen/>
        <w:t>19 Impact &amp; Resilience Actions</w:t>
      </w:r>
    </w:p>
    <w:p w14:paraId="210A8865" w14:textId="77777777" w:rsidR="0026246C" w:rsidRPr="0026246C" w:rsidRDefault="0026246C" w:rsidP="0026246C">
      <w:pPr>
        <w:numPr>
          <w:ilvl w:val="0"/>
          <w:numId w:val="2"/>
        </w:numPr>
      </w:pPr>
      <w:r w:rsidRPr="0026246C">
        <w:t>Severe Disruption: Pandemic</w:t>
      </w:r>
      <w:r w:rsidRPr="0026246C">
        <w:noBreakHyphen/>
        <w:t>related travel restrictions forced temporary hotel closures and mass event cancellations. Total revenue fell 46</w:t>
      </w:r>
      <w:r w:rsidRPr="0026246C">
        <w:rPr>
          <w:rFonts w:ascii="Arial" w:hAnsi="Arial" w:cs="Arial"/>
        </w:rPr>
        <w:t> </w:t>
      </w:r>
      <w:r w:rsidRPr="0026246C">
        <w:t>% to $892</w:t>
      </w:r>
      <w:r w:rsidRPr="0026246C">
        <w:rPr>
          <w:rFonts w:ascii="Arial" w:hAnsi="Arial" w:cs="Arial"/>
        </w:rPr>
        <w:t> </w:t>
      </w:r>
      <w:r w:rsidRPr="0026246C">
        <w:t>million**, occupancy collapsed to **40.2</w:t>
      </w:r>
      <w:r w:rsidRPr="0026246C">
        <w:rPr>
          <w:rFonts w:ascii="Arial" w:hAnsi="Arial" w:cs="Arial"/>
        </w:rPr>
        <w:t> </w:t>
      </w:r>
      <w:r w:rsidRPr="0026246C">
        <w:t>%**, and the company recorded a **net loss of $219</w:t>
      </w:r>
      <w:r w:rsidRPr="0026246C">
        <w:rPr>
          <w:rFonts w:ascii="Arial" w:hAnsi="Arial" w:cs="Arial"/>
        </w:rPr>
        <w:t> </w:t>
      </w:r>
      <w:r w:rsidRPr="0026246C">
        <w:t>million.</w:t>
      </w:r>
    </w:p>
    <w:p w14:paraId="2C1F3EEB" w14:textId="77777777" w:rsidR="0026246C" w:rsidRPr="0026246C" w:rsidRDefault="0026246C" w:rsidP="0026246C">
      <w:pPr>
        <w:numPr>
          <w:ilvl w:val="0"/>
          <w:numId w:val="2"/>
        </w:numPr>
      </w:pPr>
      <w:r w:rsidRPr="0026246C">
        <w:lastRenderedPageBreak/>
        <w:t>Operational Responses: Retained key sales teams to rebook business — successfully rebooking ~58</w:t>
      </w:r>
      <w:r w:rsidRPr="0026246C">
        <w:rPr>
          <w:rFonts w:ascii="Arial" w:hAnsi="Arial" w:cs="Arial"/>
        </w:rPr>
        <w:t> </w:t>
      </w:r>
      <w:r w:rsidRPr="0026246C">
        <w:t>% of cancelled group room nights for future dates; kept the Grand Ole Opry broadcasting without audiences, generating 55</w:t>
      </w:r>
      <w:r w:rsidRPr="0026246C">
        <w:rPr>
          <w:rFonts w:ascii="Arial" w:hAnsi="Arial" w:cs="Arial"/>
        </w:rPr>
        <w:t> </w:t>
      </w:r>
      <w:r w:rsidRPr="0026246C">
        <w:t>million+ streams and boosting future visit intent; expanded Circle</w:t>
      </w:r>
      <w:r w:rsidRPr="0026246C">
        <w:rPr>
          <w:rFonts w:ascii="Aptos" w:hAnsi="Aptos" w:cs="Aptos"/>
        </w:rPr>
        <w:t>’</w:t>
      </w:r>
      <w:r w:rsidRPr="0026246C">
        <w:t>s reach to ~150</w:t>
      </w:r>
      <w:r w:rsidRPr="0026246C">
        <w:rPr>
          <w:rFonts w:ascii="Arial" w:hAnsi="Arial" w:cs="Arial"/>
        </w:rPr>
        <w:t> </w:t>
      </w:r>
      <w:r w:rsidRPr="0026246C">
        <w:t>million users.</w:t>
      </w:r>
    </w:p>
    <w:p w14:paraId="45BD8800" w14:textId="77777777" w:rsidR="0026246C" w:rsidRPr="0026246C" w:rsidRDefault="0026246C" w:rsidP="0026246C">
      <w:pPr>
        <w:numPr>
          <w:ilvl w:val="0"/>
          <w:numId w:val="2"/>
        </w:numPr>
      </w:pPr>
      <w:r w:rsidRPr="0026246C">
        <w:t>Liquidity Preservation: Suspended regular dividends after Q1; deferred $82</w:t>
      </w:r>
      <w:r w:rsidRPr="0026246C">
        <w:rPr>
          <w:rFonts w:ascii="Arial" w:hAnsi="Arial" w:cs="Arial"/>
        </w:rPr>
        <w:t> </w:t>
      </w:r>
      <w:r w:rsidRPr="0026246C">
        <w:t>million** in non</w:t>
      </w:r>
      <w:r w:rsidRPr="0026246C">
        <w:noBreakHyphen/>
        <w:t>essential capital spending; amended debt agreements to relax financial covenants through March</w:t>
      </w:r>
      <w:r w:rsidRPr="0026246C">
        <w:rPr>
          <w:rFonts w:ascii="Arial" w:hAnsi="Arial" w:cs="Arial"/>
        </w:rPr>
        <w:t> </w:t>
      </w:r>
      <w:r w:rsidRPr="0026246C">
        <w:t>2022; issued **$600</w:t>
      </w:r>
      <w:r w:rsidRPr="0026246C">
        <w:rPr>
          <w:rFonts w:ascii="Arial" w:hAnsi="Arial" w:cs="Arial"/>
        </w:rPr>
        <w:t> </w:t>
      </w:r>
      <w:r w:rsidRPr="0026246C">
        <w:t>million of 4.5</w:t>
      </w:r>
      <w:r w:rsidRPr="0026246C">
        <w:rPr>
          <w:rFonts w:ascii="Arial" w:hAnsi="Arial" w:cs="Arial"/>
        </w:rPr>
        <w:t> </w:t>
      </w:r>
      <w:r w:rsidRPr="0026246C">
        <w:t>% senior notes to refinance higher</w:t>
      </w:r>
      <w:r w:rsidRPr="0026246C">
        <w:noBreakHyphen/>
        <w:t>cost debt; maintained $56.7</w:t>
      </w:r>
      <w:r w:rsidRPr="0026246C">
        <w:rPr>
          <w:rFonts w:ascii="Arial" w:hAnsi="Arial" w:cs="Arial"/>
        </w:rPr>
        <w:t> </w:t>
      </w:r>
      <w:r w:rsidRPr="0026246C">
        <w:t>million cash** plus **$593.2</w:t>
      </w:r>
      <w:r w:rsidRPr="0026246C">
        <w:rPr>
          <w:rFonts w:ascii="Arial" w:hAnsi="Arial" w:cs="Arial"/>
        </w:rPr>
        <w:t> </w:t>
      </w:r>
      <w:r w:rsidRPr="0026246C">
        <w:t>million of undrawn credit at year</w:t>
      </w:r>
      <w:r w:rsidRPr="0026246C">
        <w:noBreakHyphen/>
        <w:t>end.</w:t>
      </w:r>
    </w:p>
    <w:p w14:paraId="13173E8C" w14:textId="77777777" w:rsidR="0026246C" w:rsidRPr="0026246C" w:rsidRDefault="0026246C" w:rsidP="0026246C">
      <w:pPr>
        <w:numPr>
          <w:ilvl w:val="0"/>
          <w:numId w:val="2"/>
        </w:numPr>
      </w:pPr>
      <w:r w:rsidRPr="0026246C">
        <w:t>Working Capital Shift: Receivables collection slowed (DSO rose from ~13</w:t>
      </w:r>
      <w:r w:rsidRPr="0026246C">
        <w:rPr>
          <w:rFonts w:ascii="Arial" w:hAnsi="Arial" w:cs="Arial"/>
        </w:rPr>
        <w:t> </w:t>
      </w:r>
      <w:r w:rsidRPr="0026246C">
        <w:t>days to 19</w:t>
      </w:r>
      <w:r w:rsidRPr="0026246C">
        <w:rPr>
          <w:rFonts w:ascii="Arial" w:hAnsi="Arial" w:cs="Arial"/>
        </w:rPr>
        <w:t> </w:t>
      </w:r>
      <w:r w:rsidRPr="0026246C">
        <w:t>days), but extended supplier terms lifted payable days (DPO from ~16</w:t>
      </w:r>
      <w:r w:rsidRPr="0026246C">
        <w:rPr>
          <w:rFonts w:ascii="Arial" w:hAnsi="Arial" w:cs="Arial"/>
        </w:rPr>
        <w:t> </w:t>
      </w:r>
      <w:r w:rsidRPr="0026246C">
        <w:t>days to 26</w:t>
      </w:r>
      <w:r w:rsidRPr="0026246C">
        <w:rPr>
          <w:rFonts w:ascii="Arial" w:hAnsi="Arial" w:cs="Arial"/>
        </w:rPr>
        <w:t> </w:t>
      </w:r>
      <w:r w:rsidRPr="0026246C">
        <w:t xml:space="preserve">days), pushing CCC to </w:t>
      </w:r>
      <w:r w:rsidRPr="0026246C">
        <w:rPr>
          <w:rFonts w:ascii="Aptos" w:hAnsi="Aptos" w:cs="Aptos"/>
        </w:rPr>
        <w:t>–</w:t>
      </w:r>
      <w:r w:rsidRPr="0026246C">
        <w:t>3.6</w:t>
      </w:r>
      <w:r w:rsidRPr="0026246C">
        <w:rPr>
          <w:rFonts w:ascii="Arial" w:hAnsi="Arial" w:cs="Arial"/>
        </w:rPr>
        <w:t> </w:t>
      </w:r>
      <w:r w:rsidRPr="0026246C">
        <w:t xml:space="preserve">days </w:t>
      </w:r>
      <w:r w:rsidRPr="0026246C">
        <w:rPr>
          <w:rFonts w:ascii="Aptos" w:hAnsi="Aptos" w:cs="Aptos"/>
        </w:rPr>
        <w:t>—</w:t>
      </w:r>
      <w:r w:rsidRPr="0026246C">
        <w:t xml:space="preserve"> still strong, reflecting proactive cash management rather than distress.</w:t>
      </w:r>
    </w:p>
    <w:p w14:paraId="7DC72C77" w14:textId="77777777" w:rsidR="0026246C" w:rsidRPr="0026246C" w:rsidRDefault="0026246C" w:rsidP="0026246C">
      <w:r w:rsidRPr="0026246C">
        <w:pict w14:anchorId="463093AD">
          <v:rect id="_x0000_i1045" style="width:0;height:1.5pt" o:hralign="center" o:hrstd="t" o:hrnoshade="t" o:hr="t" fillcolor="black" stroked="f"/>
        </w:pict>
      </w:r>
    </w:p>
    <w:p w14:paraId="5D01C67E" w14:textId="77777777" w:rsidR="0026246C" w:rsidRPr="0026246C" w:rsidRDefault="0026246C" w:rsidP="0026246C">
      <w:r w:rsidRPr="0026246C">
        <w:t>Outlook Positioning</w:t>
      </w:r>
    </w:p>
    <w:p w14:paraId="2828B3F4" w14:textId="77777777" w:rsidR="0026246C" w:rsidRPr="0026246C" w:rsidRDefault="0026246C" w:rsidP="0026246C">
      <w:r w:rsidRPr="0026246C">
        <w:t>Despite a turbulent year, Ryman emerged with a robust rebooking pipeline, enhanced leisure facilities, and a strengthened media platform, well</w:t>
      </w:r>
      <w:r w:rsidRPr="0026246C">
        <w:noBreakHyphen/>
        <w:t>placed to recover as travel and group events resumed.</w:t>
      </w:r>
    </w:p>
    <w:p w14:paraId="3844E0AD" w14:textId="77777777" w:rsidR="00DF4D36" w:rsidRDefault="00DF4D36"/>
    <w:sectPr w:rsidR="00DF4D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71E18"/>
    <w:multiLevelType w:val="multilevel"/>
    <w:tmpl w:val="46127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5172CE"/>
    <w:multiLevelType w:val="multilevel"/>
    <w:tmpl w:val="40544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80366907">
    <w:abstractNumId w:val="0"/>
  </w:num>
  <w:num w:numId="2" w16cid:durableId="13003051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46C"/>
    <w:rsid w:val="00256312"/>
    <w:rsid w:val="0026246C"/>
    <w:rsid w:val="008A49A3"/>
    <w:rsid w:val="00A43DF0"/>
    <w:rsid w:val="00DF4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21AF5"/>
  <w15:chartTrackingRefBased/>
  <w15:docId w15:val="{0E66D1BB-29EB-4E34-8C75-8F098921F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24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24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24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24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24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24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24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24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24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24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24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24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24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24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24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24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24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24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24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24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24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24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24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24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24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24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24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24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24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475</Words>
  <Characters>2712</Characters>
  <Application>Microsoft Office Word</Application>
  <DocSecurity>0</DocSecurity>
  <Lines>22</Lines>
  <Paragraphs>6</Paragraphs>
  <ScaleCrop>false</ScaleCrop>
  <Company/>
  <LinksUpToDate>false</LinksUpToDate>
  <CharactersWithSpaces>3181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Kishan Vijaybhai Sangani (2527211)</dc:creator>
  <cp:keywords/>
  <dc:description/>
  <cp:lastModifiedBy>Kishan Vijaybhai Sangani (2527211)</cp:lastModifiedBy>
  <cp:revision>1</cp:revision>
  <dcterms:created xsi:type="dcterms:W3CDTF">2026-07-27T16:06:00Z</dcterms:created>
  <dcterms:modified xsi:type="dcterms:W3CDTF">2026-07-27T16:06:00Z</dcterms:modified>
</cp:coreProperties>
</file>