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E0A6820"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F14B7A">
              <w:rPr>
                <w:rFonts w:ascii="Times New Roman" w:hAnsi="Times New Roman" w:cs="Times New Roman"/>
                <w:b/>
                <w:color w:val="auto"/>
                <w:sz w:val="48"/>
              </w:rPr>
              <w:t>Hannah McCormack</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B6CE94D"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F14B7A">
              <w:rPr>
                <w:rFonts w:ascii="Times New Roman" w:hAnsi="Times New Roman" w:cs="Times New Roman"/>
                <w:b/>
                <w:color w:val="auto"/>
                <w:sz w:val="48"/>
              </w:rPr>
              <w:t xml:space="preserve"> 1304464@student.uwtsd.ac.uk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1AC67F3E" w14:textId="77777777" w:rsidR="000727D6"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F14B7A">
              <w:rPr>
                <w:rFonts w:ascii="Times New Roman" w:hAnsi="Times New Roman" w:cs="Times New Roman"/>
                <w:b/>
                <w:color w:val="auto"/>
                <w:sz w:val="48"/>
              </w:rPr>
              <w:t xml:space="preserve"> </w:t>
            </w:r>
          </w:p>
          <w:p w14:paraId="0DE696B2" w14:textId="115F943C" w:rsidR="00F927A1" w:rsidRPr="005D3F07" w:rsidRDefault="000727D6"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1304464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3659A69F" w14:textId="0FBC572D" w:rsidR="005C1F42" w:rsidRDefault="002A1A44" w:rsidP="0035734F">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728C947" w14:textId="77777777" w:rsidR="0035734F" w:rsidRPr="0035734F" w:rsidRDefault="0035734F" w:rsidP="0035734F">
      <w:pPr>
        <w:keepNext/>
        <w:spacing w:before="240" w:after="60"/>
        <w:jc w:val="both"/>
        <w:rPr>
          <w:sz w:val="24"/>
          <w:szCs w:val="24"/>
        </w:rPr>
      </w:pPr>
    </w:p>
    <w:p w14:paraId="2859E580" w14:textId="77777777" w:rsidR="005C1F42" w:rsidRPr="0035734F" w:rsidRDefault="005C1F42" w:rsidP="005C1F42">
      <w:pPr>
        <w:pStyle w:val="NormalWeb"/>
        <w:spacing w:before="240" w:beforeAutospacing="0" w:after="240" w:afterAutospacing="0" w:line="276" w:lineRule="auto"/>
        <w:rPr>
          <w:rFonts w:ascii="Arial" w:hAnsi="Arial" w:cs="Arial"/>
          <w:sz w:val="20"/>
          <w:szCs w:val="20"/>
        </w:rPr>
      </w:pPr>
      <w:r w:rsidRPr="0035734F">
        <w:rPr>
          <w:rFonts w:ascii="Arial" w:hAnsi="Arial" w:cs="Arial"/>
          <w:sz w:val="20"/>
          <w:szCs w:val="20"/>
        </w:rPr>
        <w:t>Aspinwall</w:t>
      </w:r>
      <w:r w:rsidRPr="0035734F">
        <w:rPr>
          <w:rFonts w:ascii="Cambria Math" w:hAnsi="Cambria Math" w:cs="Cambria Math"/>
          <w:sz w:val="20"/>
          <w:szCs w:val="20"/>
        </w:rPr>
        <w:t>‐</w:t>
      </w:r>
      <w:r w:rsidRPr="0035734F">
        <w:rPr>
          <w:rFonts w:ascii="Arial" w:hAnsi="Arial" w:cs="Arial"/>
          <w:sz w:val="20"/>
          <w:szCs w:val="20"/>
        </w:rPr>
        <w:t>Roberts, E., Fleming, V., Khatri, R. and Jones, Paul A. (2022) ‘They don’t want them to have capacity: Multi</w:t>
      </w:r>
      <w:r w:rsidRPr="0035734F">
        <w:rPr>
          <w:rFonts w:ascii="Cambria Math" w:hAnsi="Cambria Math" w:cs="Cambria Math"/>
          <w:sz w:val="20"/>
          <w:szCs w:val="20"/>
        </w:rPr>
        <w:t>‐</w:t>
      </w:r>
      <w:r w:rsidRPr="0035734F">
        <w:rPr>
          <w:rFonts w:ascii="Arial" w:hAnsi="Arial" w:cs="Arial"/>
          <w:sz w:val="20"/>
          <w:szCs w:val="20"/>
        </w:rPr>
        <w:t>agency operationalisation of the Mental Capacity Act 2005 in England with adults who self</w:t>
      </w:r>
      <w:r w:rsidRPr="0035734F">
        <w:rPr>
          <w:rFonts w:ascii="Cambria Math" w:hAnsi="Cambria Math" w:cs="Cambria Math"/>
          <w:sz w:val="20"/>
          <w:szCs w:val="20"/>
        </w:rPr>
        <w:t>‐</w:t>
      </w:r>
      <w:r w:rsidRPr="0035734F">
        <w:rPr>
          <w:rFonts w:ascii="Arial" w:hAnsi="Arial" w:cs="Arial"/>
          <w:sz w:val="20"/>
          <w:szCs w:val="20"/>
        </w:rPr>
        <w:t xml:space="preserve">neglect’, </w:t>
      </w:r>
      <w:r w:rsidRPr="0035734F">
        <w:rPr>
          <w:rFonts w:ascii="Arial" w:hAnsi="Arial" w:cs="Arial"/>
          <w:i/>
          <w:iCs/>
          <w:sz w:val="20"/>
          <w:szCs w:val="20"/>
        </w:rPr>
        <w:t>Health &amp; Social Care in the Community</w:t>
      </w:r>
      <w:r w:rsidRPr="0035734F">
        <w:rPr>
          <w:rFonts w:ascii="Arial" w:hAnsi="Arial" w:cs="Arial"/>
          <w:sz w:val="20"/>
          <w:szCs w:val="20"/>
        </w:rPr>
        <w:t xml:space="preserve">, 30(6). </w:t>
      </w:r>
      <w:proofErr w:type="spellStart"/>
      <w:r w:rsidRPr="0035734F">
        <w:rPr>
          <w:rFonts w:ascii="Arial" w:hAnsi="Arial" w:cs="Arial"/>
          <w:sz w:val="20"/>
          <w:szCs w:val="20"/>
        </w:rPr>
        <w:t>doi:https</w:t>
      </w:r>
      <w:proofErr w:type="spellEnd"/>
      <w:r w:rsidRPr="0035734F">
        <w:rPr>
          <w:rFonts w:ascii="Arial" w:hAnsi="Arial" w:cs="Arial"/>
          <w:sz w:val="20"/>
          <w:szCs w:val="20"/>
        </w:rPr>
        <w:t>://doi.org/10.1111/hsc.13839.</w:t>
      </w:r>
    </w:p>
    <w:p w14:paraId="1BC61AC5" w14:textId="77777777" w:rsidR="005C1F42" w:rsidRPr="0035734F" w:rsidRDefault="005C1F42" w:rsidP="005C1F42">
      <w:pPr>
        <w:pStyle w:val="NormalWeb"/>
        <w:spacing w:before="240" w:beforeAutospacing="0" w:after="240" w:afterAutospacing="0" w:line="276" w:lineRule="auto"/>
        <w:rPr>
          <w:rFonts w:ascii="Arial" w:hAnsi="Arial" w:cs="Arial"/>
          <w:sz w:val="20"/>
          <w:szCs w:val="20"/>
        </w:rPr>
      </w:pPr>
      <w:r w:rsidRPr="0035734F">
        <w:rPr>
          <w:rFonts w:ascii="Arial" w:hAnsi="Arial" w:cs="Arial"/>
          <w:sz w:val="20"/>
          <w:szCs w:val="20"/>
        </w:rPr>
        <w:t xml:space="preserve">Bobek, E. and Tversky, B. (2016) ‘Creating visual explanations improves learning’, </w:t>
      </w:r>
      <w:r w:rsidRPr="0035734F">
        <w:rPr>
          <w:rFonts w:ascii="Arial" w:hAnsi="Arial" w:cs="Arial"/>
          <w:i/>
          <w:iCs/>
          <w:sz w:val="20"/>
          <w:szCs w:val="20"/>
        </w:rPr>
        <w:t>Cognitive Research: Principles and Implications</w:t>
      </w:r>
      <w:r w:rsidRPr="0035734F">
        <w:rPr>
          <w:rFonts w:ascii="Arial" w:hAnsi="Arial" w:cs="Arial"/>
          <w:sz w:val="20"/>
          <w:szCs w:val="20"/>
        </w:rPr>
        <w:t xml:space="preserve">, 1(1). </w:t>
      </w:r>
      <w:proofErr w:type="spellStart"/>
      <w:r w:rsidRPr="0035734F">
        <w:rPr>
          <w:rFonts w:ascii="Arial" w:hAnsi="Arial" w:cs="Arial"/>
          <w:sz w:val="20"/>
          <w:szCs w:val="20"/>
        </w:rPr>
        <w:t>doi:https</w:t>
      </w:r>
      <w:proofErr w:type="spellEnd"/>
      <w:r w:rsidRPr="0035734F">
        <w:rPr>
          <w:rFonts w:ascii="Arial" w:hAnsi="Arial" w:cs="Arial"/>
          <w:sz w:val="20"/>
          <w:szCs w:val="20"/>
        </w:rPr>
        <w:t>://doi.org/10.1186/s41235-016-0031-6.</w:t>
      </w:r>
    </w:p>
    <w:p w14:paraId="19FDC50B" w14:textId="77777777" w:rsidR="005C1F42" w:rsidRPr="0035734F" w:rsidRDefault="005C1F42" w:rsidP="005C1F42">
      <w:pPr>
        <w:pStyle w:val="NormalWeb"/>
        <w:spacing w:before="240" w:beforeAutospacing="0" w:after="240" w:afterAutospacing="0" w:line="276" w:lineRule="auto"/>
        <w:rPr>
          <w:rFonts w:ascii="Arial" w:hAnsi="Arial" w:cs="Arial"/>
          <w:sz w:val="20"/>
          <w:szCs w:val="20"/>
          <w:shd w:val="clear" w:color="auto" w:fill="FFFFFF"/>
        </w:rPr>
      </w:pPr>
      <w:r w:rsidRPr="0035734F">
        <w:rPr>
          <w:rFonts w:ascii="Arial" w:hAnsi="Arial" w:cs="Arial"/>
          <w:sz w:val="20"/>
          <w:szCs w:val="20"/>
          <w:shd w:val="clear" w:color="auto" w:fill="FFFFFF"/>
        </w:rPr>
        <w:t>Borton, T. (1970) </w:t>
      </w:r>
      <w:r w:rsidRPr="0035734F">
        <w:rPr>
          <w:rFonts w:ascii="Arial" w:hAnsi="Arial" w:cs="Arial"/>
          <w:i/>
          <w:iCs/>
          <w:sz w:val="20"/>
          <w:szCs w:val="20"/>
        </w:rPr>
        <w:t>Reach, touch, and teach</w:t>
      </w:r>
      <w:r w:rsidRPr="0035734F">
        <w:rPr>
          <w:rFonts w:ascii="Arial" w:hAnsi="Arial" w:cs="Arial"/>
          <w:sz w:val="20"/>
          <w:szCs w:val="20"/>
        </w:rPr>
        <w:t>.</w:t>
      </w:r>
      <w:r w:rsidRPr="0035734F">
        <w:rPr>
          <w:rFonts w:ascii="Arial" w:hAnsi="Arial" w:cs="Arial"/>
          <w:sz w:val="20"/>
          <w:szCs w:val="20"/>
          <w:shd w:val="clear" w:color="auto" w:fill="FFFFFF"/>
        </w:rPr>
        <w:t> </w:t>
      </w:r>
      <w:r w:rsidRPr="0035734F">
        <w:rPr>
          <w:rFonts w:ascii="Arial" w:hAnsi="Arial" w:cs="Arial"/>
          <w:sz w:val="20"/>
          <w:szCs w:val="20"/>
        </w:rPr>
        <w:t>1st edn.</w:t>
      </w:r>
      <w:r w:rsidRPr="0035734F">
        <w:rPr>
          <w:rFonts w:ascii="Arial" w:hAnsi="Arial" w:cs="Arial"/>
          <w:sz w:val="20"/>
          <w:szCs w:val="20"/>
          <w:shd w:val="clear" w:color="auto" w:fill="FFFFFF"/>
        </w:rPr>
        <w:t> </w:t>
      </w:r>
      <w:r w:rsidRPr="0035734F">
        <w:rPr>
          <w:rFonts w:ascii="Arial" w:hAnsi="Arial" w:cs="Arial"/>
          <w:sz w:val="20"/>
          <w:szCs w:val="20"/>
        </w:rPr>
        <w:t>New York: McGraw-Hill.</w:t>
      </w:r>
    </w:p>
    <w:p w14:paraId="377D09CB" w14:textId="77777777" w:rsidR="005C1F42" w:rsidRPr="0035734F" w:rsidRDefault="005C1F42" w:rsidP="005C1F42">
      <w:pPr>
        <w:pStyle w:val="NormalWeb"/>
        <w:spacing w:before="240" w:beforeAutospacing="0" w:after="240" w:afterAutospacing="0" w:line="276" w:lineRule="auto"/>
        <w:rPr>
          <w:rFonts w:ascii="Arial" w:hAnsi="Arial" w:cs="Arial"/>
          <w:sz w:val="20"/>
          <w:szCs w:val="20"/>
        </w:rPr>
      </w:pPr>
      <w:r w:rsidRPr="0035734F">
        <w:rPr>
          <w:rFonts w:ascii="Arial" w:hAnsi="Arial" w:cs="Arial"/>
          <w:sz w:val="20"/>
          <w:szCs w:val="20"/>
        </w:rPr>
        <w:t>Brader, C. (2022</w:t>
      </w:r>
      <w:r w:rsidRPr="0035734F">
        <w:rPr>
          <w:rFonts w:ascii="Arial" w:hAnsi="Arial" w:cs="Arial"/>
          <w:i/>
          <w:iCs/>
          <w:sz w:val="20"/>
          <w:szCs w:val="20"/>
        </w:rPr>
        <w:t>) Human Rights Act 1998: Does it need replacing?</w:t>
      </w:r>
      <w:r w:rsidRPr="0035734F">
        <w:rPr>
          <w:rFonts w:ascii="Arial" w:hAnsi="Arial" w:cs="Arial"/>
          <w:sz w:val="20"/>
          <w:szCs w:val="20"/>
        </w:rPr>
        <w:t xml:space="preserve"> House of Lords Library. Unpublished.</w:t>
      </w:r>
    </w:p>
    <w:p w14:paraId="52ED7F92" w14:textId="77777777" w:rsidR="005C1F42" w:rsidRPr="0035734F" w:rsidRDefault="005C1F42" w:rsidP="005C1F42">
      <w:pPr>
        <w:pStyle w:val="NormalWeb"/>
        <w:spacing w:before="240" w:beforeAutospacing="0" w:after="240" w:afterAutospacing="0" w:line="276" w:lineRule="auto"/>
        <w:rPr>
          <w:rFonts w:ascii="Arial" w:hAnsi="Arial" w:cs="Arial"/>
          <w:sz w:val="20"/>
          <w:szCs w:val="20"/>
        </w:rPr>
      </w:pPr>
      <w:r w:rsidRPr="0035734F">
        <w:rPr>
          <w:rFonts w:ascii="Arial" w:hAnsi="Arial" w:cs="Arial"/>
          <w:sz w:val="20"/>
          <w:szCs w:val="20"/>
        </w:rPr>
        <w:t xml:space="preserve">Braye, S., Preston-Shoot, M. and Wigley, V. (2011) ‘Deciding to use the law in Social Work Practice’, </w:t>
      </w:r>
      <w:r w:rsidRPr="0035734F">
        <w:rPr>
          <w:rFonts w:ascii="Arial" w:hAnsi="Arial" w:cs="Arial"/>
          <w:i/>
          <w:iCs/>
          <w:sz w:val="20"/>
          <w:szCs w:val="20"/>
        </w:rPr>
        <w:t>Journal of Social Work</w:t>
      </w:r>
      <w:r w:rsidRPr="0035734F">
        <w:rPr>
          <w:rFonts w:ascii="Arial" w:hAnsi="Arial" w:cs="Arial"/>
          <w:sz w:val="20"/>
          <w:szCs w:val="20"/>
        </w:rPr>
        <w:t>, 13(1), pp. 75-95. doi:10.1177/1468017311431476.</w:t>
      </w:r>
    </w:p>
    <w:p w14:paraId="7C43E12C" w14:textId="77777777" w:rsidR="005C1F42" w:rsidRPr="0035734F" w:rsidRDefault="005C1F42" w:rsidP="005C1F42">
      <w:pPr>
        <w:pStyle w:val="NormalWeb"/>
        <w:spacing w:before="240" w:beforeAutospacing="0" w:after="240" w:afterAutospacing="0" w:line="276" w:lineRule="auto"/>
        <w:rPr>
          <w:rFonts w:ascii="Arial" w:hAnsi="Arial" w:cs="Arial"/>
          <w:sz w:val="20"/>
          <w:szCs w:val="20"/>
        </w:rPr>
      </w:pPr>
      <w:r w:rsidRPr="0035734F">
        <w:rPr>
          <w:rFonts w:ascii="Arial" w:hAnsi="Arial" w:cs="Arial"/>
          <w:sz w:val="20"/>
          <w:szCs w:val="20"/>
        </w:rPr>
        <w:t xml:space="preserve">Care Quality Commission (2020) </w:t>
      </w:r>
      <w:r w:rsidRPr="0035734F">
        <w:rPr>
          <w:rFonts w:ascii="Arial" w:hAnsi="Arial" w:cs="Arial"/>
          <w:i/>
          <w:iCs/>
          <w:sz w:val="20"/>
          <w:szCs w:val="20"/>
        </w:rPr>
        <w:t>Brief Guide BG004: Brief guide: Capacity and Competence in under 18s Brief guide: Capacity and Competence to Consent in under 18s Context</w:t>
      </w:r>
      <w:r w:rsidRPr="0035734F">
        <w:rPr>
          <w:rFonts w:ascii="Arial" w:hAnsi="Arial" w:cs="Arial"/>
          <w:sz w:val="20"/>
          <w:szCs w:val="20"/>
        </w:rPr>
        <w:t xml:space="preserve">. Available at: </w:t>
      </w:r>
      <w:hyperlink r:id="rId12" w:history="1">
        <w:r w:rsidRPr="0035734F">
          <w:rPr>
            <w:rStyle w:val="Hyperlink"/>
            <w:rFonts w:ascii="Arial" w:hAnsi="Arial" w:cs="Arial"/>
            <w:color w:val="auto"/>
            <w:sz w:val="20"/>
            <w:szCs w:val="20"/>
            <w:u w:val="none"/>
          </w:rPr>
          <w:t>https://www.cqc.org.uk/sites/default/files/Brief_guide_Capacity_and_consent_in_under_18s%20v3.pdf</w:t>
        </w:r>
      </w:hyperlink>
      <w:r w:rsidRPr="0035734F">
        <w:rPr>
          <w:rFonts w:ascii="Arial" w:hAnsi="Arial" w:cs="Arial"/>
          <w:sz w:val="20"/>
          <w:szCs w:val="20"/>
        </w:rPr>
        <w:t>.</w:t>
      </w:r>
    </w:p>
    <w:p w14:paraId="53224CB8" w14:textId="77777777" w:rsidR="005C1F42" w:rsidRPr="0035734F" w:rsidRDefault="005C1F42" w:rsidP="005C1F42">
      <w:pPr>
        <w:pStyle w:val="NormalWeb"/>
        <w:spacing w:before="240" w:beforeAutospacing="0" w:after="240" w:afterAutospacing="0" w:line="276" w:lineRule="auto"/>
        <w:rPr>
          <w:rFonts w:ascii="Arial" w:hAnsi="Arial" w:cs="Arial"/>
          <w:sz w:val="20"/>
          <w:szCs w:val="20"/>
        </w:rPr>
      </w:pPr>
      <w:r w:rsidRPr="0035734F">
        <w:rPr>
          <w:rFonts w:ascii="Arial" w:hAnsi="Arial" w:cs="Arial"/>
          <w:sz w:val="20"/>
          <w:szCs w:val="20"/>
        </w:rPr>
        <w:t xml:space="preserve">Carter, R. (2017) ‘Flawed use of Mental Capacity Act key theme in safeguarding adults reviews’, </w:t>
      </w:r>
      <w:r w:rsidRPr="0035734F">
        <w:rPr>
          <w:rFonts w:ascii="Arial" w:hAnsi="Arial" w:cs="Arial"/>
          <w:i/>
          <w:iCs/>
          <w:sz w:val="20"/>
          <w:szCs w:val="20"/>
        </w:rPr>
        <w:t>Community Care</w:t>
      </w:r>
      <w:r w:rsidRPr="0035734F">
        <w:rPr>
          <w:rFonts w:ascii="Arial" w:hAnsi="Arial" w:cs="Arial"/>
          <w:sz w:val="20"/>
          <w:szCs w:val="20"/>
        </w:rPr>
        <w:t xml:space="preserve">, 23 August. Available at: Community Care (Accessed: 1 October 2023). </w:t>
      </w:r>
    </w:p>
    <w:p w14:paraId="65E612DF" w14:textId="77777777" w:rsidR="005C1F42" w:rsidRPr="0035734F" w:rsidRDefault="005C1F42" w:rsidP="005C1F42">
      <w:pPr>
        <w:pStyle w:val="NormalWeb"/>
        <w:spacing w:before="240" w:beforeAutospacing="0" w:after="240" w:afterAutospacing="0" w:line="276" w:lineRule="auto"/>
        <w:rPr>
          <w:rFonts w:ascii="Arial" w:hAnsi="Arial" w:cs="Arial"/>
          <w:sz w:val="20"/>
          <w:szCs w:val="20"/>
        </w:rPr>
      </w:pPr>
      <w:r w:rsidRPr="0035734F">
        <w:rPr>
          <w:rFonts w:ascii="Arial" w:hAnsi="Arial" w:cs="Arial"/>
          <w:sz w:val="20"/>
          <w:szCs w:val="20"/>
        </w:rPr>
        <w:t xml:space="preserve">Chen, A.T., Teng, A.K., Zhao, J., </w:t>
      </w:r>
      <w:proofErr w:type="spellStart"/>
      <w:r w:rsidRPr="0035734F">
        <w:rPr>
          <w:rFonts w:ascii="Arial" w:hAnsi="Arial" w:cs="Arial"/>
          <w:sz w:val="20"/>
          <w:szCs w:val="20"/>
        </w:rPr>
        <w:t>Asirot</w:t>
      </w:r>
      <w:proofErr w:type="spellEnd"/>
      <w:r w:rsidRPr="0035734F">
        <w:rPr>
          <w:rFonts w:ascii="Arial" w:hAnsi="Arial" w:cs="Arial"/>
          <w:sz w:val="20"/>
          <w:szCs w:val="20"/>
        </w:rPr>
        <w:t xml:space="preserve">, M.G. and Turner, A.M. (2022) ‘The use of visual methods to support communication with older adults with cognitive impairment: A scoping review’, </w:t>
      </w:r>
      <w:r w:rsidRPr="0035734F">
        <w:rPr>
          <w:rFonts w:ascii="Arial" w:hAnsi="Arial" w:cs="Arial"/>
          <w:i/>
          <w:iCs/>
          <w:sz w:val="20"/>
          <w:szCs w:val="20"/>
        </w:rPr>
        <w:t>Geriatric Nursing</w:t>
      </w:r>
      <w:r w:rsidRPr="0035734F">
        <w:rPr>
          <w:rFonts w:ascii="Arial" w:hAnsi="Arial" w:cs="Arial"/>
          <w:sz w:val="20"/>
          <w:szCs w:val="20"/>
        </w:rPr>
        <w:t xml:space="preserve">, 46, pp.52–60. </w:t>
      </w:r>
      <w:proofErr w:type="spellStart"/>
      <w:r w:rsidRPr="0035734F">
        <w:rPr>
          <w:rFonts w:ascii="Arial" w:hAnsi="Arial" w:cs="Arial"/>
          <w:sz w:val="20"/>
          <w:szCs w:val="20"/>
        </w:rPr>
        <w:t>doi:https</w:t>
      </w:r>
      <w:proofErr w:type="spellEnd"/>
      <w:r w:rsidRPr="0035734F">
        <w:rPr>
          <w:rFonts w:ascii="Arial" w:hAnsi="Arial" w:cs="Arial"/>
          <w:sz w:val="20"/>
          <w:szCs w:val="20"/>
        </w:rPr>
        <w:t>://doi.org/10.1016/j.gerinurse.2022.04.027.</w:t>
      </w:r>
    </w:p>
    <w:p w14:paraId="466EE1A8" w14:textId="77777777" w:rsidR="005C1F42" w:rsidRPr="0035734F" w:rsidRDefault="005C1F42" w:rsidP="005C1F42">
      <w:pPr>
        <w:spacing w:before="240" w:line="276" w:lineRule="auto"/>
        <w:rPr>
          <w:color w:val="auto"/>
        </w:rPr>
      </w:pPr>
      <w:r w:rsidRPr="0035734F">
        <w:rPr>
          <w:color w:val="auto"/>
        </w:rPr>
        <w:t xml:space="preserve">Children Act 1989. Available at: </w:t>
      </w:r>
      <w:hyperlink r:id="rId13" w:history="1">
        <w:r w:rsidRPr="0035734F">
          <w:rPr>
            <w:rStyle w:val="Hyperlink"/>
            <w:color w:val="auto"/>
            <w:u w:val="none"/>
          </w:rPr>
          <w:t>https://www.legislation.gov.uk/ukpga/1989/41/contents</w:t>
        </w:r>
      </w:hyperlink>
    </w:p>
    <w:p w14:paraId="26D3D269" w14:textId="77777777" w:rsidR="005C1F42" w:rsidRPr="0035734F" w:rsidRDefault="005C1F42" w:rsidP="005C1F42">
      <w:pPr>
        <w:spacing w:before="240" w:line="276" w:lineRule="auto"/>
        <w:rPr>
          <w:color w:val="auto"/>
        </w:rPr>
      </w:pPr>
      <w:r w:rsidRPr="0035734F">
        <w:rPr>
          <w:color w:val="auto"/>
        </w:rPr>
        <w:t xml:space="preserve">Children Act 2004. Available at: </w:t>
      </w:r>
      <w:hyperlink r:id="rId14" w:history="1">
        <w:r w:rsidRPr="0035734F">
          <w:rPr>
            <w:rStyle w:val="Hyperlink"/>
            <w:color w:val="auto"/>
            <w:u w:val="none"/>
          </w:rPr>
          <w:t>https://www.legislation.gov.uk/ukpga/2004/31/contents</w:t>
        </w:r>
      </w:hyperlink>
    </w:p>
    <w:p w14:paraId="273BBA99" w14:textId="77777777" w:rsidR="005C1F42" w:rsidRPr="0035734F" w:rsidRDefault="005C1F42" w:rsidP="005C1F42">
      <w:pPr>
        <w:pStyle w:val="NormalWeb"/>
        <w:spacing w:before="240" w:beforeAutospacing="0" w:after="240" w:afterAutospacing="0" w:line="276" w:lineRule="auto"/>
        <w:rPr>
          <w:rFonts w:ascii="Arial" w:hAnsi="Arial" w:cs="Arial"/>
          <w:sz w:val="20"/>
          <w:szCs w:val="20"/>
        </w:rPr>
      </w:pPr>
      <w:r w:rsidRPr="0035734F">
        <w:rPr>
          <w:rFonts w:ascii="Arial" w:hAnsi="Arial" w:cs="Arial"/>
          <w:sz w:val="20"/>
          <w:szCs w:val="20"/>
        </w:rPr>
        <w:t xml:space="preserve">Crowell, J.A. and Waters, E. (1994) ‘Bowlby’s Theory Grown Up: The Role of Attachment in Adult Love Relationships’, </w:t>
      </w:r>
      <w:r w:rsidRPr="0035734F">
        <w:rPr>
          <w:rFonts w:ascii="Arial" w:hAnsi="Arial" w:cs="Arial"/>
          <w:i/>
          <w:iCs/>
          <w:sz w:val="20"/>
          <w:szCs w:val="20"/>
        </w:rPr>
        <w:t>Psychological Inquiry</w:t>
      </w:r>
      <w:r w:rsidRPr="0035734F">
        <w:rPr>
          <w:rFonts w:ascii="Arial" w:hAnsi="Arial" w:cs="Arial"/>
          <w:sz w:val="20"/>
          <w:szCs w:val="20"/>
        </w:rPr>
        <w:t xml:space="preserve">, 5(1), pp.31–34. </w:t>
      </w:r>
      <w:proofErr w:type="spellStart"/>
      <w:r w:rsidRPr="0035734F">
        <w:rPr>
          <w:rFonts w:ascii="Arial" w:hAnsi="Arial" w:cs="Arial"/>
          <w:sz w:val="20"/>
          <w:szCs w:val="20"/>
        </w:rPr>
        <w:t>doi:https</w:t>
      </w:r>
      <w:proofErr w:type="spellEnd"/>
      <w:r w:rsidRPr="0035734F">
        <w:rPr>
          <w:rFonts w:ascii="Arial" w:hAnsi="Arial" w:cs="Arial"/>
          <w:sz w:val="20"/>
          <w:szCs w:val="20"/>
        </w:rPr>
        <w:t>://doi.org/10.1207/s15327965pli0501_4.</w:t>
      </w:r>
    </w:p>
    <w:p w14:paraId="397238C1" w14:textId="77777777" w:rsidR="005C1F42" w:rsidRPr="0035734F" w:rsidRDefault="005C1F42" w:rsidP="005C1F42">
      <w:pPr>
        <w:pStyle w:val="NormalWeb"/>
        <w:spacing w:before="240" w:beforeAutospacing="0" w:after="240" w:afterAutospacing="0" w:line="276" w:lineRule="auto"/>
        <w:rPr>
          <w:rStyle w:val="Hyperlink"/>
          <w:rFonts w:ascii="Arial" w:hAnsi="Arial" w:cs="Arial"/>
          <w:color w:val="auto"/>
          <w:sz w:val="20"/>
          <w:szCs w:val="20"/>
          <w:u w:val="none"/>
        </w:rPr>
      </w:pPr>
      <w:r w:rsidRPr="0035734F">
        <w:rPr>
          <w:rFonts w:ascii="Arial" w:hAnsi="Arial" w:cs="Arial"/>
          <w:i/>
          <w:iCs/>
          <w:sz w:val="20"/>
          <w:szCs w:val="20"/>
        </w:rPr>
        <w:t>Data Protection Act 2018</w:t>
      </w:r>
      <w:r w:rsidRPr="0035734F">
        <w:rPr>
          <w:rFonts w:ascii="Arial" w:hAnsi="Arial" w:cs="Arial"/>
          <w:sz w:val="20"/>
          <w:szCs w:val="20"/>
        </w:rPr>
        <w:t xml:space="preserve">. Available at: </w:t>
      </w:r>
      <w:hyperlink r:id="rId15" w:history="1">
        <w:r w:rsidRPr="0035734F">
          <w:rPr>
            <w:rStyle w:val="Hyperlink"/>
            <w:rFonts w:ascii="Arial" w:hAnsi="Arial" w:cs="Arial"/>
            <w:color w:val="auto"/>
            <w:sz w:val="20"/>
            <w:szCs w:val="20"/>
            <w:u w:val="none"/>
          </w:rPr>
          <w:t>https://www.legislation.gov.uk/ukpga/2018/12/wales</w:t>
        </w:r>
      </w:hyperlink>
      <w:r w:rsidRPr="0035734F">
        <w:rPr>
          <w:rStyle w:val="Hyperlink"/>
          <w:rFonts w:ascii="Arial" w:hAnsi="Arial" w:cs="Arial"/>
          <w:color w:val="auto"/>
          <w:sz w:val="20"/>
          <w:szCs w:val="20"/>
          <w:u w:val="none"/>
        </w:rPr>
        <w:t>.</w:t>
      </w:r>
    </w:p>
    <w:p w14:paraId="6DF80E4A" w14:textId="77777777" w:rsidR="005C1F42" w:rsidRPr="0035734F" w:rsidRDefault="005C1F42" w:rsidP="005C1F42">
      <w:pPr>
        <w:pStyle w:val="NormalWeb"/>
        <w:spacing w:before="240" w:beforeAutospacing="0" w:after="240" w:afterAutospacing="0" w:line="276" w:lineRule="auto"/>
        <w:rPr>
          <w:rFonts w:ascii="Arial" w:hAnsi="Arial" w:cs="Arial"/>
          <w:sz w:val="20"/>
          <w:szCs w:val="20"/>
        </w:rPr>
      </w:pPr>
      <w:r w:rsidRPr="0035734F">
        <w:rPr>
          <w:rFonts w:ascii="Arial" w:hAnsi="Arial" w:cs="Arial"/>
          <w:sz w:val="20"/>
          <w:szCs w:val="20"/>
        </w:rPr>
        <w:lastRenderedPageBreak/>
        <w:t>Davys, A. (2019) ‘Courageous conversations in supervision’, </w:t>
      </w:r>
      <w:r w:rsidRPr="0035734F">
        <w:rPr>
          <w:rFonts w:ascii="Arial" w:hAnsi="Arial" w:cs="Arial"/>
          <w:i/>
          <w:iCs/>
          <w:sz w:val="20"/>
          <w:szCs w:val="20"/>
        </w:rPr>
        <w:t>Aotearoa New Zealand Social Work</w:t>
      </w:r>
      <w:r w:rsidRPr="0035734F">
        <w:rPr>
          <w:rFonts w:ascii="Arial" w:hAnsi="Arial" w:cs="Arial"/>
          <w:sz w:val="20"/>
          <w:szCs w:val="20"/>
        </w:rPr>
        <w:t xml:space="preserve">, 31(3), p.78. </w:t>
      </w:r>
      <w:proofErr w:type="spellStart"/>
      <w:r w:rsidRPr="0035734F">
        <w:rPr>
          <w:rFonts w:ascii="Arial" w:hAnsi="Arial" w:cs="Arial"/>
          <w:sz w:val="20"/>
          <w:szCs w:val="20"/>
        </w:rPr>
        <w:t>doi:https</w:t>
      </w:r>
      <w:proofErr w:type="spellEnd"/>
      <w:r w:rsidRPr="0035734F">
        <w:rPr>
          <w:rFonts w:ascii="Arial" w:hAnsi="Arial" w:cs="Arial"/>
          <w:sz w:val="20"/>
          <w:szCs w:val="20"/>
        </w:rPr>
        <w:t>://doi.org/10.11157/anzswj-vol31iss3id649.</w:t>
      </w:r>
    </w:p>
    <w:p w14:paraId="60492657" w14:textId="77777777" w:rsidR="005C1F42" w:rsidRPr="0035734F" w:rsidRDefault="005C1F42" w:rsidP="005C1F42">
      <w:pPr>
        <w:pStyle w:val="NormalWeb"/>
        <w:spacing w:before="240" w:beforeAutospacing="0" w:after="240" w:afterAutospacing="0" w:line="276" w:lineRule="auto"/>
        <w:rPr>
          <w:rFonts w:ascii="Arial" w:hAnsi="Arial" w:cs="Arial"/>
          <w:i/>
          <w:iCs/>
          <w:sz w:val="20"/>
          <w:szCs w:val="20"/>
        </w:rPr>
      </w:pPr>
      <w:r w:rsidRPr="0035734F">
        <w:rPr>
          <w:rFonts w:ascii="Arial" w:hAnsi="Arial" w:cs="Arial"/>
          <w:sz w:val="20"/>
          <w:szCs w:val="20"/>
        </w:rPr>
        <w:t xml:space="preserve">Diverse Cymru (2021) </w:t>
      </w:r>
      <w:r w:rsidRPr="0035734F">
        <w:rPr>
          <w:rFonts w:ascii="Arial" w:hAnsi="Arial" w:cs="Arial"/>
          <w:i/>
          <w:iCs/>
          <w:sz w:val="20"/>
          <w:szCs w:val="20"/>
        </w:rPr>
        <w:t xml:space="preserve">Cultural Competency Toolkit: A Practical Guide for Mental Health professionals, other professionals and front-line staff working within the Mental Health, Health, and Social Care sector in Wales. </w:t>
      </w:r>
      <w:r w:rsidRPr="0035734F">
        <w:rPr>
          <w:rFonts w:ascii="Arial" w:hAnsi="Arial" w:cs="Arial"/>
          <w:sz w:val="20"/>
          <w:szCs w:val="20"/>
        </w:rPr>
        <w:t xml:space="preserve">Available at: </w:t>
      </w:r>
      <w:hyperlink r:id="rId16" w:history="1">
        <w:r w:rsidRPr="0035734F">
          <w:rPr>
            <w:rStyle w:val="Hyperlink"/>
            <w:rFonts w:ascii="Arial" w:hAnsi="Arial" w:cs="Arial"/>
            <w:color w:val="auto"/>
            <w:sz w:val="20"/>
            <w:szCs w:val="20"/>
            <w:u w:val="none"/>
          </w:rPr>
          <w:t>https://diversecymru.org.uk/wp-content/uploads/2021/11/Cultural-Competency-Toolkit.pdf</w:t>
        </w:r>
      </w:hyperlink>
      <w:r w:rsidRPr="0035734F">
        <w:rPr>
          <w:rFonts w:ascii="Arial" w:hAnsi="Arial" w:cs="Arial"/>
          <w:sz w:val="20"/>
          <w:szCs w:val="20"/>
        </w:rPr>
        <w:t>.</w:t>
      </w:r>
    </w:p>
    <w:p w14:paraId="7150C260" w14:textId="77777777" w:rsidR="005C1F42" w:rsidRPr="0035734F" w:rsidRDefault="005C1F42" w:rsidP="005C1F42">
      <w:pPr>
        <w:pStyle w:val="NormalWeb"/>
        <w:spacing w:before="240" w:beforeAutospacing="0" w:after="240" w:afterAutospacing="0" w:line="276" w:lineRule="auto"/>
        <w:rPr>
          <w:rFonts w:ascii="Arial" w:hAnsi="Arial" w:cs="Arial"/>
          <w:sz w:val="20"/>
          <w:szCs w:val="20"/>
        </w:rPr>
      </w:pPr>
      <w:r w:rsidRPr="0035734F">
        <w:rPr>
          <w:rFonts w:ascii="Arial" w:hAnsi="Arial" w:cs="Arial"/>
          <w:sz w:val="20"/>
          <w:szCs w:val="20"/>
        </w:rPr>
        <w:t xml:space="preserve">Goleman, D. (1996) </w:t>
      </w:r>
      <w:r w:rsidRPr="0035734F">
        <w:rPr>
          <w:rFonts w:ascii="Arial" w:hAnsi="Arial" w:cs="Arial"/>
          <w:i/>
          <w:iCs/>
          <w:sz w:val="20"/>
          <w:szCs w:val="20"/>
        </w:rPr>
        <w:t>Emotional intelligence: Why it can matter more than IQ</w:t>
      </w:r>
      <w:r w:rsidRPr="0035734F">
        <w:rPr>
          <w:rFonts w:ascii="Arial" w:hAnsi="Arial" w:cs="Arial"/>
          <w:sz w:val="20"/>
          <w:szCs w:val="20"/>
        </w:rPr>
        <w:t>. London: Bloomsbury.</w:t>
      </w:r>
    </w:p>
    <w:p w14:paraId="423DD6DC" w14:textId="77777777" w:rsidR="005C1F42" w:rsidRPr="0035734F" w:rsidRDefault="005C1F42" w:rsidP="005C1F42">
      <w:pPr>
        <w:pStyle w:val="NormalWeb"/>
        <w:spacing w:before="240" w:beforeAutospacing="0" w:after="240" w:afterAutospacing="0" w:line="276" w:lineRule="auto"/>
        <w:rPr>
          <w:rFonts w:ascii="Arial" w:hAnsi="Arial" w:cs="Arial"/>
          <w:sz w:val="20"/>
          <w:szCs w:val="20"/>
        </w:rPr>
      </w:pPr>
      <w:r w:rsidRPr="0035734F">
        <w:rPr>
          <w:rFonts w:ascii="Arial" w:hAnsi="Arial" w:cs="Arial"/>
          <w:sz w:val="20"/>
          <w:szCs w:val="20"/>
        </w:rPr>
        <w:t xml:space="preserve">Griffith, R. (2015) ‘What is Gillick competence?’, Human Vaccines &amp; Immunotherapeutic, 12(1), pp. 244-247. </w:t>
      </w:r>
      <w:proofErr w:type="spellStart"/>
      <w:r w:rsidRPr="0035734F">
        <w:rPr>
          <w:rFonts w:ascii="Arial" w:hAnsi="Arial" w:cs="Arial"/>
          <w:sz w:val="20"/>
          <w:szCs w:val="20"/>
        </w:rPr>
        <w:t>doi:</w:t>
      </w:r>
      <w:hyperlink r:id="rId17" w:history="1">
        <w:r w:rsidRPr="0035734F">
          <w:rPr>
            <w:rStyle w:val="Hyperlink"/>
            <w:rFonts w:ascii="Arial" w:hAnsi="Arial" w:cs="Arial"/>
            <w:color w:val="auto"/>
            <w:sz w:val="20"/>
            <w:szCs w:val="20"/>
            <w:u w:val="none"/>
          </w:rPr>
          <w:t>https</w:t>
        </w:r>
        <w:proofErr w:type="spellEnd"/>
        <w:r w:rsidRPr="0035734F">
          <w:rPr>
            <w:rStyle w:val="Hyperlink"/>
            <w:rFonts w:ascii="Arial" w:hAnsi="Arial" w:cs="Arial"/>
            <w:color w:val="auto"/>
            <w:sz w:val="20"/>
            <w:szCs w:val="20"/>
            <w:u w:val="none"/>
          </w:rPr>
          <w:t>://doi.org/10.1080/21645515.2015.1091548</w:t>
        </w:r>
      </w:hyperlink>
    </w:p>
    <w:p w14:paraId="596884AC" w14:textId="77777777" w:rsidR="005C1F42" w:rsidRPr="0035734F" w:rsidRDefault="005C1F42" w:rsidP="005C1F42">
      <w:pPr>
        <w:spacing w:before="240" w:line="276" w:lineRule="auto"/>
        <w:rPr>
          <w:color w:val="auto"/>
        </w:rPr>
      </w:pPr>
      <w:r w:rsidRPr="0035734F">
        <w:rPr>
          <w:color w:val="auto"/>
        </w:rPr>
        <w:t xml:space="preserve">Hall, L. (2011) ‘The importance of understanding military culture’, </w:t>
      </w:r>
      <w:r w:rsidRPr="0035734F">
        <w:rPr>
          <w:i/>
          <w:iCs/>
          <w:color w:val="auto"/>
        </w:rPr>
        <w:t>Social Work in Health Care</w:t>
      </w:r>
      <w:r w:rsidRPr="0035734F">
        <w:rPr>
          <w:color w:val="auto"/>
        </w:rPr>
        <w:t xml:space="preserve">, 50(1), pp. 4-18. </w:t>
      </w:r>
    </w:p>
    <w:p w14:paraId="19B690A8" w14:textId="77777777" w:rsidR="005C1F42" w:rsidRPr="0035734F" w:rsidRDefault="005C1F42" w:rsidP="005C1F42">
      <w:pPr>
        <w:pStyle w:val="NormalWeb"/>
        <w:spacing w:before="240" w:beforeAutospacing="0" w:after="240" w:afterAutospacing="0" w:line="276" w:lineRule="auto"/>
        <w:rPr>
          <w:rFonts w:ascii="Arial" w:hAnsi="Arial" w:cs="Arial"/>
          <w:sz w:val="20"/>
          <w:szCs w:val="20"/>
        </w:rPr>
      </w:pPr>
      <w:r w:rsidRPr="0035734F">
        <w:rPr>
          <w:rFonts w:ascii="Arial" w:hAnsi="Arial" w:cs="Arial"/>
          <w:sz w:val="20"/>
          <w:szCs w:val="20"/>
        </w:rPr>
        <w:t xml:space="preserve">Hamadi, L. and Fletcher, H.K. (2019) ‘Are people with an intellectual disability at increased risk of attachment difficulties? A critical review’, </w:t>
      </w:r>
      <w:r w:rsidRPr="0035734F">
        <w:rPr>
          <w:rFonts w:ascii="Arial" w:hAnsi="Arial" w:cs="Arial"/>
          <w:i/>
          <w:iCs/>
          <w:sz w:val="20"/>
          <w:szCs w:val="20"/>
        </w:rPr>
        <w:t>Journal of Intellectual Disabilities</w:t>
      </w:r>
      <w:r w:rsidRPr="0035734F">
        <w:rPr>
          <w:rFonts w:ascii="Arial" w:hAnsi="Arial" w:cs="Arial"/>
          <w:sz w:val="20"/>
          <w:szCs w:val="20"/>
        </w:rPr>
        <w:t xml:space="preserve">, p.174462951986477. </w:t>
      </w:r>
      <w:proofErr w:type="spellStart"/>
      <w:r w:rsidRPr="0035734F">
        <w:rPr>
          <w:rFonts w:ascii="Arial" w:hAnsi="Arial" w:cs="Arial"/>
          <w:sz w:val="20"/>
          <w:szCs w:val="20"/>
        </w:rPr>
        <w:t>doi:https</w:t>
      </w:r>
      <w:proofErr w:type="spellEnd"/>
      <w:r w:rsidRPr="0035734F">
        <w:rPr>
          <w:rFonts w:ascii="Arial" w:hAnsi="Arial" w:cs="Arial"/>
          <w:sz w:val="20"/>
          <w:szCs w:val="20"/>
        </w:rPr>
        <w:t>://doi.org/10.1177/1744629519864772.</w:t>
      </w:r>
    </w:p>
    <w:p w14:paraId="0BD82C2A" w14:textId="77777777" w:rsidR="005C1F42" w:rsidRPr="0035734F" w:rsidRDefault="005C1F42" w:rsidP="005C1F42">
      <w:pPr>
        <w:pStyle w:val="NormalWeb"/>
        <w:spacing w:before="240" w:beforeAutospacing="0" w:after="240" w:afterAutospacing="0" w:line="276" w:lineRule="auto"/>
        <w:rPr>
          <w:rFonts w:ascii="Arial" w:hAnsi="Arial" w:cs="Arial"/>
          <w:sz w:val="20"/>
          <w:szCs w:val="20"/>
        </w:rPr>
      </w:pPr>
      <w:r w:rsidRPr="0035734F">
        <w:rPr>
          <w:rFonts w:ascii="Arial" w:hAnsi="Arial" w:cs="Arial"/>
          <w:sz w:val="20"/>
          <w:szCs w:val="20"/>
        </w:rPr>
        <w:t xml:space="preserve">Harris, J., Foster, M., Jackson, K. and Morgan, H. (2005) ‘Outcomes for Disabled Service Users’, </w:t>
      </w:r>
      <w:r w:rsidRPr="0035734F">
        <w:rPr>
          <w:rFonts w:ascii="Arial" w:hAnsi="Arial" w:cs="Arial"/>
          <w:i/>
          <w:iCs/>
          <w:sz w:val="20"/>
          <w:szCs w:val="20"/>
        </w:rPr>
        <w:t>Social Policy Research Unit</w:t>
      </w:r>
      <w:r w:rsidRPr="0035734F">
        <w:rPr>
          <w:rFonts w:ascii="Arial" w:hAnsi="Arial" w:cs="Arial"/>
          <w:sz w:val="20"/>
          <w:szCs w:val="20"/>
        </w:rPr>
        <w:t xml:space="preserve">. </w:t>
      </w:r>
    </w:p>
    <w:p w14:paraId="7F230465" w14:textId="77777777" w:rsidR="005C1F42" w:rsidRPr="0035734F" w:rsidRDefault="005C1F42" w:rsidP="005C1F42">
      <w:pPr>
        <w:pStyle w:val="NormalWeb"/>
        <w:spacing w:before="240" w:beforeAutospacing="0" w:after="240" w:afterAutospacing="0" w:line="276" w:lineRule="auto"/>
        <w:rPr>
          <w:rFonts w:ascii="Arial" w:hAnsi="Arial" w:cs="Arial"/>
          <w:sz w:val="20"/>
          <w:szCs w:val="20"/>
        </w:rPr>
      </w:pPr>
      <w:r w:rsidRPr="0035734F">
        <w:rPr>
          <w:rFonts w:ascii="Arial" w:hAnsi="Arial" w:cs="Arial"/>
          <w:sz w:val="20"/>
          <w:szCs w:val="20"/>
        </w:rPr>
        <w:t xml:space="preserve">Hodges, Z. and Northway, R. (2018) ‘Exploring professional decision making in relation to safeguarding: A grounded theory study of social workers and community nurses in community learning (intellectual) disability teams in Wales’, </w:t>
      </w:r>
      <w:r w:rsidRPr="0035734F">
        <w:rPr>
          <w:rFonts w:ascii="Arial" w:hAnsi="Arial" w:cs="Arial"/>
          <w:i/>
          <w:iCs/>
          <w:sz w:val="20"/>
          <w:szCs w:val="20"/>
        </w:rPr>
        <w:t>Journal of Applied Research in Intellectual Disabilities</w:t>
      </w:r>
      <w:r w:rsidRPr="0035734F">
        <w:rPr>
          <w:rFonts w:ascii="Arial" w:hAnsi="Arial" w:cs="Arial"/>
          <w:sz w:val="20"/>
          <w:szCs w:val="20"/>
        </w:rPr>
        <w:t xml:space="preserve">, 32(2), pp.435–445. </w:t>
      </w:r>
      <w:proofErr w:type="spellStart"/>
      <w:r w:rsidRPr="0035734F">
        <w:rPr>
          <w:rFonts w:ascii="Arial" w:hAnsi="Arial" w:cs="Arial"/>
          <w:sz w:val="20"/>
          <w:szCs w:val="20"/>
        </w:rPr>
        <w:t>doi:https</w:t>
      </w:r>
      <w:proofErr w:type="spellEnd"/>
      <w:r w:rsidRPr="0035734F">
        <w:rPr>
          <w:rFonts w:ascii="Arial" w:hAnsi="Arial" w:cs="Arial"/>
          <w:sz w:val="20"/>
          <w:szCs w:val="20"/>
        </w:rPr>
        <w:t>://doi.org/10.1111/jar.12541.</w:t>
      </w:r>
    </w:p>
    <w:p w14:paraId="7D6C9F48" w14:textId="77777777" w:rsidR="005C1F42" w:rsidRPr="0035734F" w:rsidRDefault="005C1F42" w:rsidP="005C1F42">
      <w:pPr>
        <w:pStyle w:val="NormalWeb"/>
        <w:spacing w:before="240" w:beforeAutospacing="0" w:after="0" w:afterAutospacing="0" w:line="276" w:lineRule="auto"/>
        <w:rPr>
          <w:rFonts w:ascii="Arial" w:hAnsi="Arial" w:cs="Arial"/>
          <w:sz w:val="20"/>
          <w:szCs w:val="20"/>
        </w:rPr>
      </w:pPr>
      <w:r w:rsidRPr="0035734F">
        <w:rPr>
          <w:rFonts w:ascii="Arial" w:hAnsi="Arial" w:cs="Arial"/>
          <w:sz w:val="20"/>
          <w:szCs w:val="20"/>
        </w:rPr>
        <w:t>Horton, L., Duffy, T. and Martin, C. (2014) ‘Interventions for alcohol-related brain damage (ARBD): Do specific approaches restrict the evolution of comprehensive patient care? </w:t>
      </w:r>
      <w:r w:rsidRPr="0035734F">
        <w:rPr>
          <w:rFonts w:ascii="Arial" w:hAnsi="Arial" w:cs="Arial"/>
          <w:i/>
          <w:iCs/>
          <w:sz w:val="20"/>
          <w:szCs w:val="20"/>
        </w:rPr>
        <w:t>Drugs: Education, Prevention and Policy</w:t>
      </w:r>
      <w:r w:rsidRPr="0035734F">
        <w:rPr>
          <w:rFonts w:ascii="Arial" w:hAnsi="Arial" w:cs="Arial"/>
          <w:sz w:val="20"/>
          <w:szCs w:val="20"/>
        </w:rPr>
        <w:t xml:space="preserve">, 21(5), pp.408–419. </w:t>
      </w:r>
      <w:proofErr w:type="spellStart"/>
      <w:r w:rsidRPr="0035734F">
        <w:rPr>
          <w:rFonts w:ascii="Arial" w:hAnsi="Arial" w:cs="Arial"/>
          <w:sz w:val="20"/>
          <w:szCs w:val="20"/>
        </w:rPr>
        <w:t>doi:https</w:t>
      </w:r>
      <w:proofErr w:type="spellEnd"/>
      <w:r w:rsidRPr="0035734F">
        <w:rPr>
          <w:rFonts w:ascii="Arial" w:hAnsi="Arial" w:cs="Arial"/>
          <w:sz w:val="20"/>
          <w:szCs w:val="20"/>
        </w:rPr>
        <w:t>://doi.org/10.3109/09687637.2014.924481.</w:t>
      </w:r>
    </w:p>
    <w:p w14:paraId="4B279274" w14:textId="77777777" w:rsidR="005C1F42" w:rsidRPr="0035734F" w:rsidRDefault="005C1F42" w:rsidP="005C1F42">
      <w:pPr>
        <w:spacing w:before="240" w:after="100" w:afterAutospacing="1" w:line="276" w:lineRule="auto"/>
        <w:rPr>
          <w:color w:val="auto"/>
        </w:rPr>
      </w:pPr>
      <w:r w:rsidRPr="0035734F">
        <w:rPr>
          <w:color w:val="auto"/>
        </w:rPr>
        <w:t xml:space="preserve">Hughes, J. (2010) ‘The Role of Supervision in Social Work: A critical analysis’, </w:t>
      </w:r>
      <w:r w:rsidRPr="0035734F">
        <w:rPr>
          <w:i/>
          <w:iCs/>
          <w:color w:val="auto"/>
        </w:rPr>
        <w:t>Critical Social Thinking: Policy and Practice</w:t>
      </w:r>
      <w:r w:rsidRPr="0035734F">
        <w:rPr>
          <w:color w:val="auto"/>
        </w:rPr>
        <w:t>, 2.</w:t>
      </w:r>
    </w:p>
    <w:p w14:paraId="482A4B60" w14:textId="77777777" w:rsidR="005C1F42" w:rsidRPr="0035734F" w:rsidRDefault="005C1F42" w:rsidP="005C1F42">
      <w:pPr>
        <w:spacing w:before="240" w:line="276" w:lineRule="auto"/>
        <w:jc w:val="both"/>
        <w:rPr>
          <w:color w:val="auto"/>
        </w:rPr>
      </w:pPr>
      <w:r w:rsidRPr="0035734F">
        <w:rPr>
          <w:i/>
          <w:iCs/>
          <w:color w:val="auto"/>
        </w:rPr>
        <w:t>Human Rights Act 1998</w:t>
      </w:r>
      <w:r w:rsidRPr="0035734F">
        <w:rPr>
          <w:color w:val="auto"/>
        </w:rPr>
        <w:t xml:space="preserve">. Available at: </w:t>
      </w:r>
      <w:hyperlink r:id="rId18" w:history="1">
        <w:r w:rsidRPr="0035734F">
          <w:rPr>
            <w:rStyle w:val="Hyperlink"/>
            <w:color w:val="auto"/>
            <w:u w:val="none"/>
          </w:rPr>
          <w:t>https://www.legislation.gov.uk/ukpga/1998/42/contents</w:t>
        </w:r>
      </w:hyperlink>
    </w:p>
    <w:p w14:paraId="199A768C" w14:textId="77777777" w:rsidR="005C1F42" w:rsidRPr="0035734F" w:rsidRDefault="005C1F42" w:rsidP="005C1F42">
      <w:pPr>
        <w:spacing w:before="240" w:line="276" w:lineRule="auto"/>
        <w:rPr>
          <w:rStyle w:val="Hyperlink"/>
          <w:color w:val="auto"/>
          <w:u w:val="none"/>
        </w:rPr>
      </w:pPr>
      <w:r w:rsidRPr="0035734F">
        <w:rPr>
          <w:color w:val="auto"/>
        </w:rPr>
        <w:t xml:space="preserve">Kennedy, J. (2019) The importance of Relationships in Social Work. Available at: </w:t>
      </w:r>
      <w:hyperlink r:id="rId19" w:history="1">
        <w:r w:rsidRPr="0035734F">
          <w:rPr>
            <w:rStyle w:val="Hyperlink"/>
            <w:color w:val="auto"/>
            <w:u w:val="none"/>
          </w:rPr>
          <w:t>https://www.careknowledge.com/media/44813/sw-and-relationships.pdf</w:t>
        </w:r>
      </w:hyperlink>
    </w:p>
    <w:p w14:paraId="55C29613" w14:textId="77777777" w:rsidR="005C1F42" w:rsidRPr="0035734F" w:rsidRDefault="005C1F42" w:rsidP="005C1F42">
      <w:pPr>
        <w:spacing w:before="240" w:after="100" w:afterAutospacing="1" w:line="276" w:lineRule="auto"/>
        <w:rPr>
          <w:color w:val="auto"/>
        </w:rPr>
      </w:pPr>
      <w:r w:rsidRPr="0035734F">
        <w:rPr>
          <w:color w:val="auto"/>
        </w:rPr>
        <w:t>Leclus, M. (2011) ‘Informal learning in the workplace: a review of literature’, </w:t>
      </w:r>
      <w:r w:rsidRPr="0035734F">
        <w:rPr>
          <w:i/>
          <w:iCs/>
          <w:color w:val="auto"/>
        </w:rPr>
        <w:t>Aust. J. Adult Learn</w:t>
      </w:r>
      <w:r w:rsidRPr="0035734F">
        <w:rPr>
          <w:color w:val="auto"/>
        </w:rPr>
        <w:t>, 51, pp. 350–355.</w:t>
      </w:r>
    </w:p>
    <w:p w14:paraId="2504401B" w14:textId="77777777" w:rsidR="005C1F42" w:rsidRPr="0035734F" w:rsidRDefault="005C1F42" w:rsidP="005C1F42">
      <w:pPr>
        <w:spacing w:before="240" w:after="100" w:afterAutospacing="1" w:line="276" w:lineRule="auto"/>
        <w:rPr>
          <w:color w:val="auto"/>
        </w:rPr>
      </w:pPr>
      <w:r w:rsidRPr="0035734F">
        <w:rPr>
          <w:color w:val="auto"/>
        </w:rPr>
        <w:t xml:space="preserve">Llywelyn, M., Verity, F., Wallace, S., Calder, G., Garthwaite, T., Lyttleton-Smith, J and Read, S (2023). </w:t>
      </w:r>
      <w:r w:rsidRPr="0035734F">
        <w:rPr>
          <w:i/>
          <w:iCs/>
          <w:color w:val="auto"/>
        </w:rPr>
        <w:t xml:space="preserve">From Act to Impact? Final Report of the Evaluation of the Social Services and Well-being (Wales) Act 2014. </w:t>
      </w:r>
      <w:r w:rsidRPr="0035734F">
        <w:rPr>
          <w:color w:val="auto"/>
        </w:rPr>
        <w:t xml:space="preserve">Available at: </w:t>
      </w:r>
      <w:r w:rsidRPr="0035734F">
        <w:rPr>
          <w:color w:val="auto"/>
        </w:rPr>
        <w:lastRenderedPageBreak/>
        <w:t>https://www.gov.wales/sites/default/files/statistics-and-research/2023-03/from-act-to-impact-final-report-of-the-evaluation-of-the-social-services-and-well-being-wales-act-2014.pdf</w:t>
      </w:r>
    </w:p>
    <w:p w14:paraId="2F1C002F" w14:textId="77777777" w:rsidR="005C1F42" w:rsidRPr="0035734F" w:rsidRDefault="005C1F42" w:rsidP="005C1F42">
      <w:pPr>
        <w:spacing w:before="240" w:after="100" w:afterAutospacing="1" w:line="276" w:lineRule="auto"/>
        <w:rPr>
          <w:color w:val="auto"/>
        </w:rPr>
      </w:pPr>
      <w:r w:rsidRPr="0035734F">
        <w:rPr>
          <w:color w:val="auto"/>
        </w:rPr>
        <w:t xml:space="preserve">Lonne, B., Harries, M., Featherstone, B and Gray, M. (2015) </w:t>
      </w:r>
      <w:r w:rsidRPr="0035734F">
        <w:rPr>
          <w:i/>
          <w:iCs/>
          <w:color w:val="auto"/>
        </w:rPr>
        <w:t>Working Ethically in Child Protection</w:t>
      </w:r>
      <w:r w:rsidRPr="0035734F">
        <w:rPr>
          <w:color w:val="auto"/>
        </w:rPr>
        <w:t>. 1st edn. London: Routledge.</w:t>
      </w:r>
    </w:p>
    <w:p w14:paraId="603FE3A3" w14:textId="77777777" w:rsidR="005C1F42" w:rsidRPr="0035734F" w:rsidRDefault="005C1F42" w:rsidP="005C1F42">
      <w:pPr>
        <w:pStyle w:val="NormalWeb"/>
        <w:spacing w:before="240" w:beforeAutospacing="0" w:after="240" w:afterAutospacing="0" w:line="276" w:lineRule="auto"/>
        <w:rPr>
          <w:rFonts w:ascii="Arial" w:hAnsi="Arial" w:cs="Arial"/>
          <w:sz w:val="20"/>
          <w:szCs w:val="20"/>
        </w:rPr>
      </w:pPr>
      <w:r w:rsidRPr="0035734F">
        <w:rPr>
          <w:rFonts w:ascii="Arial" w:hAnsi="Arial" w:cs="Arial"/>
          <w:sz w:val="20"/>
          <w:szCs w:val="20"/>
        </w:rPr>
        <w:t xml:space="preserve">McElwee, J., McManus, M. and Ball, E (2022). </w:t>
      </w:r>
      <w:r w:rsidRPr="0035734F">
        <w:rPr>
          <w:rFonts w:ascii="Arial" w:hAnsi="Arial" w:cs="Arial"/>
          <w:i/>
          <w:iCs/>
          <w:sz w:val="20"/>
          <w:szCs w:val="20"/>
        </w:rPr>
        <w:t xml:space="preserve">Wales Safeguarding Literature Review Shaping the future of multi-agency safeguarding arrangements in Wales: What does ‘good’ look like? </w:t>
      </w:r>
      <w:r w:rsidRPr="0035734F">
        <w:rPr>
          <w:rFonts w:ascii="Arial" w:hAnsi="Arial" w:cs="Arial"/>
          <w:sz w:val="20"/>
          <w:szCs w:val="20"/>
        </w:rPr>
        <w:t>Available at: https://safeguardingboard.wales/wp-content/uploads/sites/8/2022/11/1.-LJMU-Literature-Review.pdf</w:t>
      </w:r>
    </w:p>
    <w:p w14:paraId="0E0CD8E2" w14:textId="77777777" w:rsidR="005C1F42" w:rsidRPr="0035734F" w:rsidRDefault="005C1F42" w:rsidP="005C1F42">
      <w:pPr>
        <w:pStyle w:val="NormalWeb"/>
        <w:spacing w:before="240" w:beforeAutospacing="0" w:after="240" w:afterAutospacing="0" w:line="276" w:lineRule="auto"/>
        <w:rPr>
          <w:rFonts w:ascii="Arial" w:hAnsi="Arial" w:cs="Arial"/>
          <w:sz w:val="20"/>
          <w:szCs w:val="20"/>
        </w:rPr>
      </w:pPr>
      <w:r w:rsidRPr="0035734F">
        <w:rPr>
          <w:rFonts w:ascii="Arial" w:hAnsi="Arial" w:cs="Arial"/>
          <w:i/>
          <w:iCs/>
          <w:sz w:val="20"/>
          <w:szCs w:val="20"/>
        </w:rPr>
        <w:t>Mental Capacity Act 2005</w:t>
      </w:r>
      <w:r w:rsidRPr="0035734F">
        <w:rPr>
          <w:rFonts w:ascii="Arial" w:hAnsi="Arial" w:cs="Arial"/>
          <w:sz w:val="20"/>
          <w:szCs w:val="20"/>
        </w:rPr>
        <w:t>. Available at: https://www.legislation.gov.uk/ukpga/2005/9/content</w:t>
      </w:r>
    </w:p>
    <w:p w14:paraId="1DE90276" w14:textId="77777777" w:rsidR="005C1F42" w:rsidRPr="0035734F" w:rsidRDefault="005C1F42" w:rsidP="005C1F42">
      <w:pPr>
        <w:spacing w:before="240" w:line="276" w:lineRule="auto"/>
        <w:rPr>
          <w:color w:val="auto"/>
        </w:rPr>
      </w:pPr>
      <w:r w:rsidRPr="0035734F">
        <w:rPr>
          <w:i/>
          <w:iCs/>
          <w:color w:val="auto"/>
        </w:rPr>
        <w:t>Mental Health Act</w:t>
      </w:r>
      <w:r w:rsidRPr="0035734F">
        <w:rPr>
          <w:color w:val="auto"/>
        </w:rPr>
        <w:t xml:space="preserve"> </w:t>
      </w:r>
      <w:r w:rsidRPr="0035734F">
        <w:rPr>
          <w:i/>
          <w:iCs/>
          <w:color w:val="auto"/>
        </w:rPr>
        <w:t>1983</w:t>
      </w:r>
      <w:r w:rsidRPr="0035734F">
        <w:rPr>
          <w:color w:val="auto"/>
        </w:rPr>
        <w:t xml:space="preserve">. Available at </w:t>
      </w:r>
      <w:hyperlink r:id="rId20" w:history="1">
        <w:r w:rsidRPr="0035734F">
          <w:rPr>
            <w:rStyle w:val="Hyperlink"/>
            <w:color w:val="auto"/>
            <w:u w:val="none"/>
          </w:rPr>
          <w:t>https://www.legislation.gov.uk/ukpga1983/20/contents</w:t>
        </w:r>
      </w:hyperlink>
    </w:p>
    <w:p w14:paraId="0F1030BA" w14:textId="77777777" w:rsidR="005C1F42" w:rsidRPr="0035734F" w:rsidRDefault="005C1F42" w:rsidP="005C1F42">
      <w:pPr>
        <w:pStyle w:val="NormalWeb"/>
        <w:spacing w:before="240" w:beforeAutospacing="0" w:after="240" w:afterAutospacing="0" w:line="276" w:lineRule="auto"/>
        <w:rPr>
          <w:rFonts w:ascii="Arial" w:hAnsi="Arial" w:cs="Arial"/>
          <w:sz w:val="20"/>
          <w:szCs w:val="20"/>
        </w:rPr>
      </w:pPr>
      <w:r w:rsidRPr="0035734F">
        <w:rPr>
          <w:rFonts w:ascii="Arial" w:hAnsi="Arial" w:cs="Arial"/>
          <w:sz w:val="20"/>
          <w:szCs w:val="20"/>
        </w:rPr>
        <w:t xml:space="preserve">Messham, E. and Sheard, S. (2020) ‘Taking the long view: the development of the Well-being of Future Generations (Wales) Act’, </w:t>
      </w:r>
      <w:r w:rsidRPr="0035734F">
        <w:rPr>
          <w:rFonts w:ascii="Arial" w:hAnsi="Arial" w:cs="Arial"/>
          <w:i/>
          <w:iCs/>
          <w:sz w:val="20"/>
          <w:szCs w:val="20"/>
        </w:rPr>
        <w:t>Health Research Policy and Systems</w:t>
      </w:r>
      <w:r w:rsidRPr="0035734F">
        <w:rPr>
          <w:rFonts w:ascii="Arial" w:hAnsi="Arial" w:cs="Arial"/>
          <w:sz w:val="20"/>
          <w:szCs w:val="20"/>
        </w:rPr>
        <w:t xml:space="preserve">, 18(1). </w:t>
      </w:r>
      <w:proofErr w:type="spellStart"/>
      <w:r w:rsidRPr="0035734F">
        <w:rPr>
          <w:rFonts w:ascii="Arial" w:hAnsi="Arial" w:cs="Arial"/>
          <w:sz w:val="20"/>
          <w:szCs w:val="20"/>
        </w:rPr>
        <w:t>doi:https</w:t>
      </w:r>
      <w:proofErr w:type="spellEnd"/>
      <w:r w:rsidRPr="0035734F">
        <w:rPr>
          <w:rFonts w:ascii="Arial" w:hAnsi="Arial" w:cs="Arial"/>
          <w:sz w:val="20"/>
          <w:szCs w:val="20"/>
        </w:rPr>
        <w:t>://doi.org/10.1186/s12961-020-0534-y.</w:t>
      </w:r>
    </w:p>
    <w:p w14:paraId="7B2A0A76" w14:textId="77777777" w:rsidR="005C1F42" w:rsidRPr="0035734F" w:rsidRDefault="005C1F42" w:rsidP="005C1F42">
      <w:pPr>
        <w:spacing w:before="240" w:line="276" w:lineRule="auto"/>
        <w:rPr>
          <w:color w:val="auto"/>
        </w:rPr>
      </w:pPr>
      <w:r w:rsidRPr="0035734F">
        <w:rPr>
          <w:color w:val="auto"/>
        </w:rPr>
        <w:t xml:space="preserve">Office of the Public Guardian (2013) </w:t>
      </w:r>
      <w:r w:rsidRPr="0035734F">
        <w:rPr>
          <w:i/>
          <w:iCs/>
          <w:color w:val="auto"/>
        </w:rPr>
        <w:t>Mental Capacity Act 2005 Code of Practice</w:t>
      </w:r>
      <w:r w:rsidRPr="0035734F">
        <w:rPr>
          <w:color w:val="auto"/>
        </w:rPr>
        <w:t>. Available at https://assets.publishing.service.gov.uk/media/5f6cc6138fa8f541f6763295/Mental-capacity-act-code-of-practice.pdf.</w:t>
      </w:r>
    </w:p>
    <w:p w14:paraId="16E0483B" w14:textId="77777777" w:rsidR="005C1F42" w:rsidRPr="0035734F" w:rsidRDefault="005C1F42" w:rsidP="005C1F42">
      <w:pPr>
        <w:pStyle w:val="NormalWeb"/>
        <w:spacing w:before="240" w:beforeAutospacing="0" w:after="240" w:afterAutospacing="0" w:line="276" w:lineRule="auto"/>
        <w:rPr>
          <w:rFonts w:ascii="Arial" w:hAnsi="Arial" w:cs="Arial"/>
          <w:sz w:val="20"/>
          <w:szCs w:val="20"/>
        </w:rPr>
      </w:pPr>
      <w:r w:rsidRPr="0035734F">
        <w:rPr>
          <w:rFonts w:ascii="Arial" w:hAnsi="Arial" w:cs="Arial"/>
          <w:sz w:val="20"/>
          <w:szCs w:val="20"/>
        </w:rPr>
        <w:t xml:space="preserve">Phillips, J., Ainslie, S., Fowler, A. and Westaby, C. (2022) ‘Lifting the lid on Pandora’s box: Putting professional curiosity into practice’, </w:t>
      </w:r>
      <w:r w:rsidRPr="0035734F">
        <w:rPr>
          <w:rFonts w:ascii="Arial" w:hAnsi="Arial" w:cs="Arial"/>
          <w:i/>
          <w:iCs/>
          <w:sz w:val="20"/>
          <w:szCs w:val="20"/>
        </w:rPr>
        <w:t>Criminology &amp; Criminal Justice</w:t>
      </w:r>
      <w:r w:rsidRPr="0035734F">
        <w:rPr>
          <w:rFonts w:ascii="Arial" w:hAnsi="Arial" w:cs="Arial"/>
          <w:sz w:val="20"/>
          <w:szCs w:val="20"/>
        </w:rPr>
        <w:t xml:space="preserve">, p.174889582211163. </w:t>
      </w:r>
      <w:proofErr w:type="spellStart"/>
      <w:r w:rsidRPr="0035734F">
        <w:rPr>
          <w:rFonts w:ascii="Arial" w:hAnsi="Arial" w:cs="Arial"/>
          <w:sz w:val="20"/>
          <w:szCs w:val="20"/>
        </w:rPr>
        <w:t>doi:https</w:t>
      </w:r>
      <w:proofErr w:type="spellEnd"/>
      <w:r w:rsidRPr="0035734F">
        <w:rPr>
          <w:rFonts w:ascii="Arial" w:hAnsi="Arial" w:cs="Arial"/>
          <w:sz w:val="20"/>
          <w:szCs w:val="20"/>
        </w:rPr>
        <w:t>://doi.org/10.1177/17488958221116323.</w:t>
      </w:r>
    </w:p>
    <w:p w14:paraId="353FC08C" w14:textId="77777777" w:rsidR="005C1F42" w:rsidRPr="0035734F" w:rsidRDefault="005C1F42" w:rsidP="005C1F42">
      <w:pPr>
        <w:pStyle w:val="NormalWeb"/>
        <w:spacing w:before="240" w:beforeAutospacing="0" w:after="240" w:afterAutospacing="0" w:line="276" w:lineRule="auto"/>
        <w:rPr>
          <w:rFonts w:ascii="Arial" w:hAnsi="Arial" w:cs="Arial"/>
          <w:sz w:val="20"/>
          <w:szCs w:val="20"/>
        </w:rPr>
      </w:pPr>
      <w:r w:rsidRPr="0035734F">
        <w:rPr>
          <w:rFonts w:ascii="Arial" w:hAnsi="Arial" w:cs="Arial"/>
          <w:sz w:val="20"/>
          <w:szCs w:val="20"/>
        </w:rPr>
        <w:t xml:space="preserve">Prys, C. and Matthews, D. (2022) ‘Well-being and language: language as a well-being objective in Wales’, </w:t>
      </w:r>
      <w:r w:rsidRPr="0035734F">
        <w:rPr>
          <w:rFonts w:ascii="Arial" w:hAnsi="Arial" w:cs="Arial"/>
          <w:i/>
          <w:iCs/>
          <w:sz w:val="20"/>
          <w:szCs w:val="20"/>
        </w:rPr>
        <w:t>Current Issues in Language Planning</w:t>
      </w:r>
      <w:r w:rsidRPr="0035734F">
        <w:rPr>
          <w:rFonts w:ascii="Arial" w:hAnsi="Arial" w:cs="Arial"/>
          <w:sz w:val="20"/>
          <w:szCs w:val="20"/>
        </w:rPr>
        <w:t xml:space="preserve">, pp.1–18. </w:t>
      </w:r>
      <w:proofErr w:type="spellStart"/>
      <w:r w:rsidRPr="0035734F">
        <w:rPr>
          <w:rFonts w:ascii="Arial" w:hAnsi="Arial" w:cs="Arial"/>
          <w:sz w:val="20"/>
          <w:szCs w:val="20"/>
        </w:rPr>
        <w:t>doi:https</w:t>
      </w:r>
      <w:proofErr w:type="spellEnd"/>
      <w:r w:rsidRPr="0035734F">
        <w:rPr>
          <w:rFonts w:ascii="Arial" w:hAnsi="Arial" w:cs="Arial"/>
          <w:sz w:val="20"/>
          <w:szCs w:val="20"/>
        </w:rPr>
        <w:t>://doi.org/10.1080/14664208.2022.2117962.</w:t>
      </w:r>
    </w:p>
    <w:p w14:paraId="69CA8EC7" w14:textId="77777777" w:rsidR="005C1F42" w:rsidRPr="0035734F" w:rsidRDefault="005C1F42" w:rsidP="005C1F42">
      <w:pPr>
        <w:pStyle w:val="NormalWeb"/>
        <w:spacing w:before="240" w:beforeAutospacing="0" w:after="240" w:afterAutospacing="0" w:line="276" w:lineRule="auto"/>
        <w:rPr>
          <w:rFonts w:ascii="Arial" w:hAnsi="Arial" w:cs="Arial"/>
          <w:sz w:val="20"/>
          <w:szCs w:val="20"/>
        </w:rPr>
      </w:pPr>
      <w:r w:rsidRPr="0035734F">
        <w:rPr>
          <w:rFonts w:ascii="Arial" w:hAnsi="Arial" w:cs="Arial"/>
          <w:sz w:val="20"/>
          <w:szCs w:val="20"/>
        </w:rPr>
        <w:t xml:space="preserve">Ramsey, L., Albutt, A., Perfetto, K., Quinton, N., Baker, J., Louch, G. and O’Hara, J. (2022) ‘Systemic safety inequities for people with learning disabilities: a qualitative integrative analysis of the experiences of English health and social care for people with learning disabilities, their families and carers’, </w:t>
      </w:r>
      <w:r w:rsidRPr="0035734F">
        <w:rPr>
          <w:rFonts w:ascii="Arial" w:hAnsi="Arial" w:cs="Arial"/>
          <w:i/>
          <w:iCs/>
          <w:sz w:val="20"/>
          <w:szCs w:val="20"/>
        </w:rPr>
        <w:t>International Journal for Equity in Health</w:t>
      </w:r>
      <w:r w:rsidRPr="0035734F">
        <w:rPr>
          <w:rFonts w:ascii="Arial" w:hAnsi="Arial" w:cs="Arial"/>
          <w:sz w:val="20"/>
          <w:szCs w:val="20"/>
        </w:rPr>
        <w:t xml:space="preserve">, 21(1). </w:t>
      </w:r>
      <w:proofErr w:type="spellStart"/>
      <w:r w:rsidRPr="0035734F">
        <w:rPr>
          <w:rFonts w:ascii="Arial" w:hAnsi="Arial" w:cs="Arial"/>
          <w:sz w:val="20"/>
          <w:szCs w:val="20"/>
        </w:rPr>
        <w:t>doi:https</w:t>
      </w:r>
      <w:proofErr w:type="spellEnd"/>
      <w:r w:rsidRPr="0035734F">
        <w:rPr>
          <w:rFonts w:ascii="Arial" w:hAnsi="Arial" w:cs="Arial"/>
          <w:sz w:val="20"/>
          <w:szCs w:val="20"/>
        </w:rPr>
        <w:t>://doi.org/10.1186/s12939-021-01612-1.</w:t>
      </w:r>
    </w:p>
    <w:p w14:paraId="1AD452EB" w14:textId="77777777" w:rsidR="005C1F42" w:rsidRPr="0035734F" w:rsidRDefault="005C1F42" w:rsidP="005C1F42">
      <w:pPr>
        <w:pStyle w:val="NormalWeb"/>
        <w:spacing w:before="240" w:beforeAutospacing="0" w:after="240" w:afterAutospacing="0" w:line="276" w:lineRule="auto"/>
        <w:rPr>
          <w:rFonts w:ascii="Arial" w:hAnsi="Arial" w:cs="Arial"/>
          <w:sz w:val="20"/>
          <w:szCs w:val="20"/>
        </w:rPr>
      </w:pPr>
      <w:r w:rsidRPr="0035734F">
        <w:rPr>
          <w:rFonts w:ascii="Arial" w:hAnsi="Arial" w:cs="Arial"/>
          <w:sz w:val="20"/>
          <w:szCs w:val="20"/>
        </w:rPr>
        <w:t xml:space="preserve">Roberts, A.R. and Ottens, A.J. (2005), ‘The Seven-Stage Crisis Intervention Model: A Road Map to Goal Attainment, Problem Solving, and Crisis Resolution’, </w:t>
      </w:r>
      <w:r w:rsidRPr="0035734F">
        <w:rPr>
          <w:rFonts w:ascii="Arial" w:hAnsi="Arial" w:cs="Arial"/>
          <w:i/>
          <w:iCs/>
          <w:sz w:val="20"/>
          <w:szCs w:val="20"/>
        </w:rPr>
        <w:t>Brief Treatment and Crisis Intervention</w:t>
      </w:r>
      <w:r w:rsidRPr="0035734F">
        <w:rPr>
          <w:rFonts w:ascii="Arial" w:hAnsi="Arial" w:cs="Arial"/>
          <w:sz w:val="20"/>
          <w:szCs w:val="20"/>
        </w:rPr>
        <w:t xml:space="preserve">, 5(4), pp.329–339. </w:t>
      </w:r>
      <w:proofErr w:type="spellStart"/>
      <w:r w:rsidRPr="0035734F">
        <w:rPr>
          <w:rFonts w:ascii="Arial" w:hAnsi="Arial" w:cs="Arial"/>
          <w:sz w:val="20"/>
          <w:szCs w:val="20"/>
        </w:rPr>
        <w:t>doi:https</w:t>
      </w:r>
      <w:proofErr w:type="spellEnd"/>
      <w:r w:rsidRPr="0035734F">
        <w:rPr>
          <w:rFonts w:ascii="Arial" w:hAnsi="Arial" w:cs="Arial"/>
          <w:sz w:val="20"/>
          <w:szCs w:val="20"/>
        </w:rPr>
        <w:t>://doi.org/10.1093/brief-treatment/mhi030.</w:t>
      </w:r>
    </w:p>
    <w:p w14:paraId="5E7DC70E" w14:textId="77777777" w:rsidR="005C1F42" w:rsidRPr="0035734F" w:rsidRDefault="005C1F42" w:rsidP="005C1F42">
      <w:pPr>
        <w:spacing w:before="240" w:line="276" w:lineRule="auto"/>
        <w:rPr>
          <w:color w:val="auto"/>
        </w:rPr>
      </w:pPr>
      <w:r w:rsidRPr="0035734F">
        <w:rPr>
          <w:color w:val="auto"/>
        </w:rPr>
        <w:t xml:space="preserve">Rogers, C.R. (1961) </w:t>
      </w:r>
      <w:r w:rsidRPr="0035734F">
        <w:rPr>
          <w:i/>
          <w:iCs/>
          <w:color w:val="auto"/>
        </w:rPr>
        <w:t>On becoming a person: A therapist view of psychotherapy</w:t>
      </w:r>
      <w:r w:rsidRPr="0035734F">
        <w:rPr>
          <w:color w:val="auto"/>
        </w:rPr>
        <w:t xml:space="preserve">. Boston: Houghton Mifflin. </w:t>
      </w:r>
    </w:p>
    <w:p w14:paraId="1A4A3B15" w14:textId="77777777" w:rsidR="005C1F42" w:rsidRPr="0035734F" w:rsidRDefault="005C1F42" w:rsidP="005C1F42">
      <w:pPr>
        <w:pStyle w:val="NormalWeb"/>
        <w:spacing w:before="240" w:beforeAutospacing="0" w:after="240" w:afterAutospacing="0" w:line="276" w:lineRule="auto"/>
        <w:rPr>
          <w:rFonts w:ascii="Arial" w:hAnsi="Arial" w:cs="Arial"/>
          <w:sz w:val="20"/>
          <w:szCs w:val="20"/>
        </w:rPr>
      </w:pPr>
      <w:r w:rsidRPr="0035734F">
        <w:rPr>
          <w:rFonts w:ascii="Arial" w:hAnsi="Arial" w:cs="Arial"/>
          <w:sz w:val="20"/>
          <w:szCs w:val="20"/>
        </w:rPr>
        <w:t xml:space="preserve">Rogers, C.R. (1999) </w:t>
      </w:r>
      <w:r w:rsidRPr="0035734F">
        <w:rPr>
          <w:rFonts w:ascii="Arial" w:hAnsi="Arial" w:cs="Arial"/>
          <w:i/>
          <w:iCs/>
          <w:sz w:val="20"/>
          <w:szCs w:val="20"/>
        </w:rPr>
        <w:t>A way of being</w:t>
      </w:r>
      <w:r w:rsidRPr="0035734F">
        <w:rPr>
          <w:rFonts w:ascii="Arial" w:hAnsi="Arial" w:cs="Arial"/>
          <w:sz w:val="20"/>
          <w:szCs w:val="20"/>
        </w:rPr>
        <w:t>. Boston: Houghton Mifflin Co.</w:t>
      </w:r>
    </w:p>
    <w:p w14:paraId="2CC943AF" w14:textId="77777777" w:rsidR="005C1F42" w:rsidRPr="0035734F" w:rsidRDefault="005C1F42" w:rsidP="005C1F42">
      <w:pPr>
        <w:pStyle w:val="NormalWeb"/>
        <w:spacing w:before="240" w:beforeAutospacing="0" w:after="240" w:afterAutospacing="0" w:line="276" w:lineRule="auto"/>
        <w:rPr>
          <w:rFonts w:ascii="Arial" w:hAnsi="Arial" w:cs="Arial"/>
          <w:sz w:val="20"/>
          <w:szCs w:val="20"/>
        </w:rPr>
      </w:pPr>
      <w:r w:rsidRPr="0035734F">
        <w:rPr>
          <w:rFonts w:ascii="Arial" w:hAnsi="Arial" w:cs="Arial"/>
          <w:sz w:val="20"/>
          <w:szCs w:val="20"/>
        </w:rPr>
        <w:lastRenderedPageBreak/>
        <w:t xml:space="preserve">Saar-Heiman, Y. (2023) ‘Power with and power over: Social workers’ reflections on their use of power when talking with parents about child welfare concerns’, </w:t>
      </w:r>
      <w:r w:rsidRPr="0035734F">
        <w:rPr>
          <w:rFonts w:ascii="Arial" w:hAnsi="Arial" w:cs="Arial"/>
          <w:i/>
          <w:iCs/>
          <w:sz w:val="20"/>
          <w:szCs w:val="20"/>
        </w:rPr>
        <w:t>Children and Youth Services Review</w:t>
      </w:r>
      <w:r w:rsidRPr="0035734F">
        <w:rPr>
          <w:rFonts w:ascii="Arial" w:hAnsi="Arial" w:cs="Arial"/>
          <w:sz w:val="20"/>
          <w:szCs w:val="20"/>
        </w:rPr>
        <w:t xml:space="preserve">, 145, p.106776. </w:t>
      </w:r>
      <w:proofErr w:type="spellStart"/>
      <w:r w:rsidRPr="0035734F">
        <w:rPr>
          <w:rFonts w:ascii="Arial" w:hAnsi="Arial" w:cs="Arial"/>
          <w:sz w:val="20"/>
          <w:szCs w:val="20"/>
        </w:rPr>
        <w:t>doi:https</w:t>
      </w:r>
      <w:proofErr w:type="spellEnd"/>
      <w:r w:rsidRPr="0035734F">
        <w:rPr>
          <w:rFonts w:ascii="Arial" w:hAnsi="Arial" w:cs="Arial"/>
          <w:sz w:val="20"/>
          <w:szCs w:val="20"/>
        </w:rPr>
        <w:t>://doi.org/10.1016/j.childyouth.2022.106776.</w:t>
      </w:r>
    </w:p>
    <w:p w14:paraId="40366D1C" w14:textId="77777777" w:rsidR="005C1F42" w:rsidRPr="0035734F" w:rsidRDefault="005C1F42" w:rsidP="005C1F42">
      <w:pPr>
        <w:spacing w:before="240" w:after="100" w:afterAutospacing="1" w:line="276" w:lineRule="auto"/>
        <w:rPr>
          <w:color w:val="auto"/>
        </w:rPr>
      </w:pPr>
      <w:r w:rsidRPr="0035734F">
        <w:rPr>
          <w:color w:val="auto"/>
        </w:rPr>
        <w:t>Schon, D. A. (1991) </w:t>
      </w:r>
      <w:r w:rsidRPr="0035734F">
        <w:rPr>
          <w:i/>
          <w:iCs/>
          <w:color w:val="auto"/>
        </w:rPr>
        <w:t>The reflective practitioner: How professionals think in action</w:t>
      </w:r>
      <w:r w:rsidRPr="0035734F">
        <w:rPr>
          <w:color w:val="auto"/>
        </w:rPr>
        <w:t>. London, England: Ashgate Publishing.</w:t>
      </w:r>
    </w:p>
    <w:p w14:paraId="0304B187" w14:textId="77777777" w:rsidR="005C1F42" w:rsidRPr="0035734F" w:rsidRDefault="005C1F42" w:rsidP="005C1F42">
      <w:pPr>
        <w:spacing w:before="240" w:line="276" w:lineRule="auto"/>
        <w:rPr>
          <w:color w:val="auto"/>
        </w:rPr>
      </w:pPr>
      <w:r w:rsidRPr="0035734F">
        <w:rPr>
          <w:color w:val="auto"/>
        </w:rPr>
        <w:t xml:space="preserve">Seden, J. (2016) </w:t>
      </w:r>
      <w:r w:rsidRPr="0035734F">
        <w:rPr>
          <w:i/>
          <w:iCs/>
          <w:color w:val="auto"/>
        </w:rPr>
        <w:t>Social work: risks, needs and balanced assessments</w:t>
      </w:r>
      <w:r w:rsidRPr="0035734F">
        <w:rPr>
          <w:color w:val="auto"/>
        </w:rPr>
        <w:t>. Milton Keynes: The Open University.</w:t>
      </w:r>
    </w:p>
    <w:p w14:paraId="661B402A" w14:textId="77777777" w:rsidR="005C1F42" w:rsidRPr="0035734F" w:rsidRDefault="005C1F42" w:rsidP="005C1F42">
      <w:pPr>
        <w:spacing w:before="240" w:line="276" w:lineRule="auto"/>
        <w:rPr>
          <w:color w:val="auto"/>
        </w:rPr>
      </w:pPr>
      <w:r w:rsidRPr="0035734F">
        <w:rPr>
          <w:color w:val="auto"/>
        </w:rPr>
        <w:t xml:space="preserve">Sobočan, A.M., Bertotti, T. and Strom-Gottfried, K. (2018) ‘Ethical considerations in Social Work Research’, </w:t>
      </w:r>
      <w:r w:rsidRPr="0035734F">
        <w:rPr>
          <w:i/>
          <w:iCs/>
          <w:color w:val="auto"/>
        </w:rPr>
        <w:t>European Journal of Social Work</w:t>
      </w:r>
      <w:r w:rsidRPr="0035734F">
        <w:rPr>
          <w:color w:val="auto"/>
        </w:rPr>
        <w:t xml:space="preserve">, 22(5), pp. 805-818.  </w:t>
      </w:r>
    </w:p>
    <w:p w14:paraId="3E7966F9" w14:textId="77777777" w:rsidR="005C1F42" w:rsidRPr="0035734F" w:rsidRDefault="005C1F42" w:rsidP="005C1F42">
      <w:pPr>
        <w:spacing w:before="240" w:line="276" w:lineRule="auto"/>
        <w:rPr>
          <w:color w:val="auto"/>
        </w:rPr>
      </w:pPr>
      <w:r w:rsidRPr="0035734F">
        <w:rPr>
          <w:color w:val="auto"/>
        </w:rPr>
        <w:t xml:space="preserve">Social Care Institute for Excellence (2022) </w:t>
      </w:r>
      <w:r w:rsidRPr="0035734F">
        <w:rPr>
          <w:i/>
          <w:iCs/>
          <w:color w:val="auto"/>
        </w:rPr>
        <w:t>Strengths-based approaches</w:t>
      </w:r>
      <w:r w:rsidRPr="0035734F">
        <w:rPr>
          <w:color w:val="auto"/>
        </w:rPr>
        <w:t xml:space="preserve">. Available at: </w:t>
      </w:r>
      <w:hyperlink r:id="rId21" w:anchor=":~:text=Strengths%2Dbased%20(or%20asset%2D" w:history="1">
        <w:r w:rsidRPr="0035734F">
          <w:rPr>
            <w:rStyle w:val="Hyperlink"/>
            <w:color w:val="auto"/>
            <w:u w:val="none"/>
          </w:rPr>
          <w:t>https://www.scie.org.uk/strengths-based approaches#:~:text=Strengths%2Dbased%20(or%20asset%2D</w:t>
        </w:r>
      </w:hyperlink>
    </w:p>
    <w:p w14:paraId="52703586" w14:textId="77777777" w:rsidR="005C1F42" w:rsidRPr="0035734F" w:rsidRDefault="005C1F42" w:rsidP="005C1F42">
      <w:pPr>
        <w:spacing w:before="240" w:line="276" w:lineRule="auto"/>
        <w:rPr>
          <w:color w:val="auto"/>
        </w:rPr>
      </w:pPr>
      <w:r w:rsidRPr="0035734F">
        <w:rPr>
          <w:color w:val="auto"/>
        </w:rPr>
        <w:t xml:space="preserve">Social Care Wales (2017) </w:t>
      </w:r>
      <w:r w:rsidRPr="0035734F">
        <w:rPr>
          <w:i/>
          <w:iCs/>
          <w:color w:val="auto"/>
        </w:rPr>
        <w:t>Code of Professional Practice for Social Care</w:t>
      </w:r>
      <w:r w:rsidRPr="0035734F">
        <w:rPr>
          <w:color w:val="auto"/>
        </w:rPr>
        <w:t>. Available at: https://socialcare.wales/cms-assets/documents/Code-of-Professional-Practice-for-Social-Care-web-version.pdf</w:t>
      </w:r>
    </w:p>
    <w:p w14:paraId="35C23211" w14:textId="77777777" w:rsidR="005C1F42" w:rsidRPr="0035734F" w:rsidRDefault="005C1F42" w:rsidP="005C1F42">
      <w:pPr>
        <w:pStyle w:val="NormalWeb"/>
        <w:spacing w:before="240" w:beforeAutospacing="0" w:after="0" w:afterAutospacing="0" w:line="360" w:lineRule="atLeast"/>
        <w:rPr>
          <w:rStyle w:val="Hyperlink"/>
          <w:rFonts w:ascii="Arial" w:hAnsi="Arial" w:cs="Arial"/>
          <w:color w:val="auto"/>
          <w:sz w:val="20"/>
          <w:szCs w:val="20"/>
          <w:u w:val="none"/>
        </w:rPr>
      </w:pPr>
      <w:r w:rsidRPr="0035734F">
        <w:rPr>
          <w:rFonts w:ascii="Arial" w:hAnsi="Arial" w:cs="Arial"/>
          <w:sz w:val="20"/>
          <w:szCs w:val="20"/>
        </w:rPr>
        <w:t xml:space="preserve">Social Care Wales (2017). The social worker: Practice guidance for social workers registered with Social Care Wales. Available at: </w:t>
      </w:r>
      <w:hyperlink r:id="rId22" w:history="1">
        <w:r w:rsidRPr="0035734F">
          <w:rPr>
            <w:rStyle w:val="Hyperlink"/>
            <w:rFonts w:ascii="Arial" w:hAnsi="Arial" w:cs="Arial"/>
            <w:color w:val="auto"/>
            <w:sz w:val="20"/>
            <w:szCs w:val="20"/>
            <w:u w:val="none"/>
          </w:rPr>
          <w:t>https://socialcare.wales/cms-assets/documents/The-social-worker-April-2017.pdf</w:t>
        </w:r>
      </w:hyperlink>
      <w:r w:rsidRPr="0035734F">
        <w:rPr>
          <w:rStyle w:val="Hyperlink"/>
          <w:rFonts w:ascii="Arial" w:hAnsi="Arial" w:cs="Arial"/>
          <w:color w:val="auto"/>
          <w:sz w:val="20"/>
          <w:szCs w:val="20"/>
          <w:u w:val="none"/>
        </w:rPr>
        <w:t>.</w:t>
      </w:r>
    </w:p>
    <w:p w14:paraId="76078E97" w14:textId="77777777" w:rsidR="005C1F42" w:rsidRPr="0035734F" w:rsidRDefault="005C1F42" w:rsidP="005C1F42">
      <w:pPr>
        <w:pStyle w:val="NormalWeb"/>
        <w:spacing w:before="240" w:beforeAutospacing="0" w:after="0" w:afterAutospacing="0" w:line="360" w:lineRule="atLeast"/>
        <w:rPr>
          <w:rFonts w:ascii="Arial" w:hAnsi="Arial" w:cs="Arial"/>
          <w:sz w:val="20"/>
          <w:szCs w:val="20"/>
        </w:rPr>
      </w:pPr>
      <w:r w:rsidRPr="0035734F">
        <w:rPr>
          <w:rFonts w:ascii="Arial" w:hAnsi="Arial" w:cs="Arial"/>
          <w:sz w:val="20"/>
          <w:szCs w:val="20"/>
        </w:rPr>
        <w:t xml:space="preserve">Social Care Wales (2019) </w:t>
      </w:r>
      <w:r w:rsidRPr="0035734F">
        <w:rPr>
          <w:rFonts w:ascii="Arial" w:hAnsi="Arial" w:cs="Arial"/>
          <w:i/>
          <w:iCs/>
          <w:sz w:val="20"/>
          <w:szCs w:val="20"/>
        </w:rPr>
        <w:t>Wales Safeguarding Procedures</w:t>
      </w:r>
      <w:r w:rsidRPr="0035734F">
        <w:rPr>
          <w:rFonts w:ascii="Arial" w:hAnsi="Arial" w:cs="Arial"/>
          <w:sz w:val="20"/>
          <w:szCs w:val="20"/>
        </w:rPr>
        <w:t>. Available at https://www.safeguarding.wales/en/.</w:t>
      </w:r>
    </w:p>
    <w:p w14:paraId="1AF61D96" w14:textId="77777777" w:rsidR="005C1F42" w:rsidRPr="0035734F" w:rsidRDefault="005C1F42" w:rsidP="005C1F42">
      <w:pPr>
        <w:pStyle w:val="NormalWeb"/>
        <w:spacing w:before="240" w:beforeAutospacing="0" w:after="0" w:afterAutospacing="0" w:line="360" w:lineRule="atLeast"/>
        <w:rPr>
          <w:rStyle w:val="Hyperlink"/>
          <w:rFonts w:ascii="Arial" w:hAnsi="Arial" w:cs="Arial"/>
          <w:color w:val="auto"/>
          <w:sz w:val="20"/>
          <w:szCs w:val="20"/>
          <w:u w:val="none"/>
        </w:rPr>
      </w:pPr>
      <w:r w:rsidRPr="0035734F">
        <w:rPr>
          <w:rFonts w:ascii="Arial" w:hAnsi="Arial" w:cs="Arial"/>
          <w:i/>
          <w:iCs/>
          <w:sz w:val="20"/>
          <w:szCs w:val="20"/>
        </w:rPr>
        <w:t>Social Services and Well-being (Wales) Act 2014</w:t>
      </w:r>
      <w:r w:rsidRPr="0035734F">
        <w:rPr>
          <w:rFonts w:ascii="Arial" w:hAnsi="Arial" w:cs="Arial"/>
          <w:sz w:val="20"/>
          <w:szCs w:val="20"/>
        </w:rPr>
        <w:t xml:space="preserve">. Available at: </w:t>
      </w:r>
      <w:hyperlink r:id="rId23" w:history="1">
        <w:r w:rsidRPr="0035734F">
          <w:rPr>
            <w:rStyle w:val="Hyperlink"/>
            <w:rFonts w:ascii="Arial" w:hAnsi="Arial" w:cs="Arial"/>
            <w:color w:val="auto"/>
            <w:sz w:val="20"/>
            <w:szCs w:val="20"/>
            <w:u w:val="none"/>
          </w:rPr>
          <w:t>https://www.legislation.gov.uk/anaw/2014/4/contents</w:t>
        </w:r>
      </w:hyperlink>
    </w:p>
    <w:p w14:paraId="6ED9B82A" w14:textId="77777777" w:rsidR="005C1F42" w:rsidRPr="0035734F" w:rsidRDefault="005C1F42" w:rsidP="005C1F42">
      <w:pPr>
        <w:pStyle w:val="NormalWeb"/>
        <w:spacing w:before="240" w:beforeAutospacing="0" w:after="0" w:afterAutospacing="0" w:line="360" w:lineRule="atLeast"/>
        <w:rPr>
          <w:rStyle w:val="Hyperlink"/>
          <w:rFonts w:ascii="Arial" w:hAnsi="Arial" w:cs="Arial"/>
          <w:color w:val="auto"/>
          <w:sz w:val="20"/>
          <w:szCs w:val="20"/>
          <w:u w:val="none"/>
        </w:rPr>
      </w:pPr>
      <w:r w:rsidRPr="0035734F">
        <w:rPr>
          <w:rFonts w:ascii="Arial" w:hAnsi="Arial" w:cs="Arial"/>
          <w:sz w:val="20"/>
          <w:szCs w:val="20"/>
        </w:rPr>
        <w:t xml:space="preserve">Statistics for Wales (2019). </w:t>
      </w:r>
      <w:r w:rsidRPr="0035734F">
        <w:rPr>
          <w:rFonts w:ascii="Arial" w:hAnsi="Arial" w:cs="Arial"/>
          <w:i/>
          <w:iCs/>
          <w:sz w:val="20"/>
          <w:szCs w:val="20"/>
        </w:rPr>
        <w:t xml:space="preserve">Welsh Index of Multiple Deprivation (WIMD) 2019: Results report. </w:t>
      </w:r>
      <w:r w:rsidRPr="0035734F">
        <w:rPr>
          <w:rFonts w:ascii="Arial" w:hAnsi="Arial" w:cs="Arial"/>
          <w:sz w:val="20"/>
          <w:szCs w:val="20"/>
        </w:rPr>
        <w:t xml:space="preserve">Available at: </w:t>
      </w:r>
      <w:hyperlink r:id="rId24" w:history="1">
        <w:r w:rsidRPr="0035734F">
          <w:rPr>
            <w:rStyle w:val="Hyperlink"/>
            <w:rFonts w:ascii="Arial" w:hAnsi="Arial" w:cs="Arial"/>
            <w:color w:val="auto"/>
            <w:sz w:val="20"/>
            <w:szCs w:val="20"/>
            <w:u w:val="none"/>
          </w:rPr>
          <w:t>https://www.gov.wales/sites/default/files/statistics-and-research/2019-11/welsh-index-multiple-deprivation-2019-results-report-024.pdf</w:t>
        </w:r>
      </w:hyperlink>
    </w:p>
    <w:p w14:paraId="317B17B3" w14:textId="77777777" w:rsidR="005C1F42" w:rsidRPr="0035734F" w:rsidRDefault="005C1F42" w:rsidP="005C1F42">
      <w:pPr>
        <w:pStyle w:val="NormalWeb"/>
        <w:spacing w:before="240" w:beforeAutospacing="0" w:after="0" w:afterAutospacing="0" w:line="360" w:lineRule="atLeast"/>
        <w:rPr>
          <w:rFonts w:ascii="Arial" w:hAnsi="Arial" w:cs="Arial"/>
          <w:sz w:val="20"/>
          <w:szCs w:val="20"/>
        </w:rPr>
      </w:pPr>
      <w:r w:rsidRPr="0035734F">
        <w:rPr>
          <w:rFonts w:ascii="Arial" w:hAnsi="Arial" w:cs="Arial"/>
          <w:sz w:val="20"/>
          <w:szCs w:val="20"/>
        </w:rPr>
        <w:t xml:space="preserve">Taylor, B. and Whittaker, A. (2018) ‘Professional Judgement and decision-making in social work’, </w:t>
      </w:r>
      <w:r w:rsidRPr="0035734F">
        <w:rPr>
          <w:rFonts w:ascii="Arial" w:hAnsi="Arial" w:cs="Arial"/>
          <w:i/>
          <w:iCs/>
          <w:sz w:val="20"/>
          <w:szCs w:val="20"/>
        </w:rPr>
        <w:t>Journal of Social Work Practice</w:t>
      </w:r>
      <w:r w:rsidRPr="0035734F">
        <w:rPr>
          <w:rFonts w:ascii="Arial" w:hAnsi="Arial" w:cs="Arial"/>
          <w:sz w:val="20"/>
          <w:szCs w:val="20"/>
        </w:rPr>
        <w:t>, 32(2), pp.105-109.</w:t>
      </w:r>
    </w:p>
    <w:p w14:paraId="5A48EBFE" w14:textId="77777777" w:rsidR="005C1F42" w:rsidRPr="0035734F" w:rsidRDefault="005C1F42" w:rsidP="005C1F42">
      <w:pPr>
        <w:pStyle w:val="NormalWeb"/>
        <w:spacing w:before="240" w:beforeAutospacing="0" w:after="0" w:afterAutospacing="0" w:line="360" w:lineRule="atLeast"/>
        <w:rPr>
          <w:rFonts w:ascii="Arial" w:hAnsi="Arial" w:cs="Arial"/>
          <w:sz w:val="20"/>
          <w:szCs w:val="20"/>
        </w:rPr>
      </w:pPr>
      <w:r w:rsidRPr="0035734F">
        <w:rPr>
          <w:rFonts w:ascii="Arial" w:hAnsi="Arial" w:cs="Arial"/>
          <w:i/>
          <w:iCs/>
          <w:sz w:val="20"/>
          <w:szCs w:val="20"/>
        </w:rPr>
        <w:t>The Safeguarding Boards (Functions and Procedures) (Wales) Regulations 2015</w:t>
      </w:r>
      <w:r w:rsidRPr="0035734F">
        <w:rPr>
          <w:rFonts w:ascii="Arial" w:hAnsi="Arial" w:cs="Arial"/>
          <w:sz w:val="20"/>
          <w:szCs w:val="20"/>
        </w:rPr>
        <w:t xml:space="preserve">. Available at: </w:t>
      </w:r>
      <w:hyperlink r:id="rId25" w:history="1">
        <w:r w:rsidRPr="0035734F">
          <w:rPr>
            <w:rStyle w:val="Hyperlink"/>
            <w:rFonts w:ascii="Arial" w:hAnsi="Arial" w:cs="Arial"/>
            <w:color w:val="auto"/>
            <w:sz w:val="20"/>
            <w:szCs w:val="20"/>
            <w:u w:val="none"/>
          </w:rPr>
          <w:t>https://www.legislation.gov.uk/wsi/2015/1466/pdfs/wsi_20151466_mi.pdf</w:t>
        </w:r>
      </w:hyperlink>
    </w:p>
    <w:p w14:paraId="3A92516E" w14:textId="77777777" w:rsidR="005C1F42" w:rsidRPr="0035734F" w:rsidRDefault="005C1F42" w:rsidP="005C1F42">
      <w:pPr>
        <w:pStyle w:val="NormalWeb"/>
        <w:spacing w:before="240" w:beforeAutospacing="0" w:after="0" w:afterAutospacing="0" w:line="360" w:lineRule="atLeast"/>
        <w:rPr>
          <w:rFonts w:ascii="Arial" w:hAnsi="Arial" w:cs="Arial"/>
          <w:sz w:val="20"/>
          <w:szCs w:val="20"/>
        </w:rPr>
      </w:pPr>
      <w:r w:rsidRPr="0035734F">
        <w:rPr>
          <w:rFonts w:ascii="Arial" w:hAnsi="Arial" w:cs="Arial"/>
          <w:sz w:val="20"/>
          <w:szCs w:val="20"/>
        </w:rPr>
        <w:t xml:space="preserve">Thompson, N. (2021) </w:t>
      </w:r>
      <w:r w:rsidRPr="0035734F">
        <w:rPr>
          <w:rFonts w:ascii="Arial" w:hAnsi="Arial" w:cs="Arial"/>
          <w:i/>
          <w:iCs/>
          <w:sz w:val="20"/>
          <w:szCs w:val="20"/>
        </w:rPr>
        <w:t>Anti-discriminatory practice: Equality, Diversity and Social Justice</w:t>
      </w:r>
      <w:r w:rsidRPr="0035734F">
        <w:rPr>
          <w:rFonts w:ascii="Arial" w:hAnsi="Arial" w:cs="Arial"/>
          <w:sz w:val="20"/>
          <w:szCs w:val="20"/>
        </w:rPr>
        <w:t>. London: Red Globe Press.</w:t>
      </w:r>
    </w:p>
    <w:p w14:paraId="1A4AC0DB" w14:textId="77777777" w:rsidR="005C1F42" w:rsidRPr="0035734F" w:rsidRDefault="005C1F42" w:rsidP="005C1F42">
      <w:pPr>
        <w:pStyle w:val="NormalWeb"/>
        <w:spacing w:before="240" w:beforeAutospacing="0" w:after="0" w:afterAutospacing="0" w:line="360" w:lineRule="atLeast"/>
        <w:rPr>
          <w:rFonts w:ascii="Arial" w:hAnsi="Arial" w:cs="Arial"/>
          <w:sz w:val="20"/>
          <w:szCs w:val="20"/>
        </w:rPr>
      </w:pPr>
      <w:r w:rsidRPr="0035734F">
        <w:rPr>
          <w:rFonts w:ascii="Arial" w:hAnsi="Arial" w:cs="Arial"/>
          <w:sz w:val="20"/>
          <w:szCs w:val="20"/>
        </w:rPr>
        <w:t xml:space="preserve">Trainor, P. (2015) ‘A review of factors which potentially influence decisions in adult safeguarding investigations’, </w:t>
      </w:r>
      <w:r w:rsidRPr="0035734F">
        <w:rPr>
          <w:rFonts w:ascii="Arial" w:hAnsi="Arial" w:cs="Arial"/>
          <w:i/>
          <w:iCs/>
          <w:sz w:val="20"/>
          <w:szCs w:val="20"/>
        </w:rPr>
        <w:t>The Journal of Adult Protection</w:t>
      </w:r>
      <w:r w:rsidRPr="0035734F">
        <w:rPr>
          <w:rFonts w:ascii="Arial" w:hAnsi="Arial" w:cs="Arial"/>
          <w:sz w:val="20"/>
          <w:szCs w:val="20"/>
        </w:rPr>
        <w:t xml:space="preserve">, 17(1), pp.51-61. Available at: . </w:t>
      </w:r>
      <w:proofErr w:type="spellStart"/>
      <w:r w:rsidRPr="0035734F">
        <w:rPr>
          <w:rFonts w:ascii="Arial" w:hAnsi="Arial" w:cs="Arial"/>
          <w:sz w:val="20"/>
          <w:szCs w:val="20"/>
        </w:rPr>
        <w:t>doi:https</w:t>
      </w:r>
      <w:proofErr w:type="spellEnd"/>
      <w:r w:rsidRPr="0035734F">
        <w:rPr>
          <w:rFonts w:ascii="Arial" w:hAnsi="Arial" w:cs="Arial"/>
          <w:sz w:val="20"/>
          <w:szCs w:val="20"/>
        </w:rPr>
        <w:t>://doi.org/10.1108/jap-03-2014-0008.</w:t>
      </w:r>
    </w:p>
    <w:p w14:paraId="40D54782" w14:textId="77777777" w:rsidR="005C1F42" w:rsidRPr="0035734F" w:rsidRDefault="005C1F42" w:rsidP="005C1F42">
      <w:pPr>
        <w:pStyle w:val="NormalWeb"/>
        <w:spacing w:before="240" w:beforeAutospacing="0" w:after="0" w:afterAutospacing="0" w:line="360" w:lineRule="atLeast"/>
        <w:rPr>
          <w:rFonts w:ascii="Arial" w:hAnsi="Arial" w:cs="Arial"/>
          <w:sz w:val="20"/>
          <w:szCs w:val="20"/>
        </w:rPr>
      </w:pPr>
      <w:r w:rsidRPr="0035734F">
        <w:rPr>
          <w:rFonts w:ascii="Arial" w:hAnsi="Arial" w:cs="Arial"/>
          <w:sz w:val="20"/>
          <w:szCs w:val="20"/>
        </w:rPr>
        <w:lastRenderedPageBreak/>
        <w:t xml:space="preserve">UK Independent Mechanism (2023). </w:t>
      </w:r>
      <w:r w:rsidRPr="0035734F">
        <w:rPr>
          <w:rFonts w:ascii="Arial" w:hAnsi="Arial" w:cs="Arial"/>
          <w:i/>
          <w:iCs/>
          <w:sz w:val="20"/>
          <w:szCs w:val="20"/>
        </w:rPr>
        <w:t>United Nations Convention on the Rights of Persons with Disabilities: UK Independent Mechanism Seven Years On: disabled people’s rights to independent living, employment, and standard of living in the UK</w:t>
      </w:r>
      <w:r w:rsidRPr="0035734F">
        <w:rPr>
          <w:rFonts w:ascii="Arial" w:hAnsi="Arial" w:cs="Arial"/>
          <w:sz w:val="20"/>
          <w:szCs w:val="20"/>
        </w:rPr>
        <w:t xml:space="preserve">. Available at: </w:t>
      </w:r>
      <w:hyperlink r:id="rId26" w:history="1">
        <w:r w:rsidRPr="0035734F">
          <w:rPr>
            <w:rStyle w:val="Hyperlink"/>
            <w:rFonts w:ascii="Arial" w:hAnsi="Arial" w:cs="Arial"/>
            <w:color w:val="auto"/>
            <w:sz w:val="20"/>
            <w:szCs w:val="20"/>
            <w:u w:val="none"/>
          </w:rPr>
          <w:t>https://www.equalityhumanrights.com/en/progress-disability-rights-united-kingdom-2023</w:t>
        </w:r>
      </w:hyperlink>
    </w:p>
    <w:p w14:paraId="512517AC" w14:textId="77777777" w:rsidR="005C1F42" w:rsidRPr="0035734F" w:rsidRDefault="005C1F42" w:rsidP="005C1F42">
      <w:pPr>
        <w:pStyle w:val="NormalWeb"/>
        <w:spacing w:before="240" w:beforeAutospacing="0" w:after="0" w:afterAutospacing="0" w:line="360" w:lineRule="atLeast"/>
        <w:rPr>
          <w:rFonts w:ascii="Arial" w:hAnsi="Arial" w:cs="Arial"/>
          <w:sz w:val="20"/>
          <w:szCs w:val="20"/>
        </w:rPr>
      </w:pPr>
      <w:r w:rsidRPr="0035734F">
        <w:rPr>
          <w:rFonts w:ascii="Arial" w:hAnsi="Arial" w:cs="Arial"/>
          <w:sz w:val="20"/>
          <w:szCs w:val="20"/>
        </w:rPr>
        <w:t xml:space="preserve">United Nations (2006). </w:t>
      </w:r>
      <w:r w:rsidRPr="0035734F">
        <w:rPr>
          <w:rFonts w:ascii="Arial" w:hAnsi="Arial" w:cs="Arial"/>
          <w:i/>
          <w:iCs/>
          <w:sz w:val="20"/>
          <w:szCs w:val="20"/>
        </w:rPr>
        <w:t>Convention on the Rights of Persons with Disabilities</w:t>
      </w:r>
      <w:r w:rsidRPr="0035734F">
        <w:rPr>
          <w:rFonts w:ascii="Arial" w:hAnsi="Arial" w:cs="Arial"/>
          <w:sz w:val="20"/>
          <w:szCs w:val="20"/>
        </w:rPr>
        <w:t xml:space="preserve">. Available at: </w:t>
      </w:r>
      <w:hyperlink r:id="rId27" w:history="1">
        <w:r w:rsidRPr="0035734F">
          <w:rPr>
            <w:rStyle w:val="Hyperlink"/>
            <w:rFonts w:ascii="Arial" w:hAnsi="Arial" w:cs="Arial"/>
            <w:color w:val="auto"/>
            <w:sz w:val="20"/>
            <w:szCs w:val="20"/>
            <w:u w:val="none"/>
          </w:rPr>
          <w:t>https://www.ohchr.org/en/instruments-mechanisms/instruments/convention-rights-persons-disabilities</w:t>
        </w:r>
      </w:hyperlink>
      <w:r w:rsidRPr="0035734F">
        <w:rPr>
          <w:rFonts w:ascii="Arial" w:hAnsi="Arial" w:cs="Arial"/>
          <w:sz w:val="20"/>
          <w:szCs w:val="20"/>
        </w:rPr>
        <w:t>.</w:t>
      </w:r>
    </w:p>
    <w:p w14:paraId="170A0C56" w14:textId="77777777" w:rsidR="005C1F42" w:rsidRPr="0035734F" w:rsidRDefault="005C1F42" w:rsidP="005C1F42">
      <w:pPr>
        <w:pStyle w:val="NormalWeb"/>
        <w:spacing w:before="240" w:beforeAutospacing="0" w:after="0" w:afterAutospacing="0" w:line="360" w:lineRule="atLeast"/>
        <w:rPr>
          <w:rFonts w:ascii="Arial" w:hAnsi="Arial" w:cs="Arial"/>
          <w:sz w:val="20"/>
          <w:szCs w:val="20"/>
        </w:rPr>
      </w:pPr>
      <w:r w:rsidRPr="0035734F">
        <w:rPr>
          <w:rFonts w:ascii="Arial" w:hAnsi="Arial" w:cs="Arial"/>
          <w:sz w:val="20"/>
          <w:szCs w:val="20"/>
        </w:rPr>
        <w:t xml:space="preserve">Wang, D. and Gupta, V. (2022) </w:t>
      </w:r>
      <w:r w:rsidRPr="0035734F">
        <w:rPr>
          <w:rFonts w:ascii="Arial" w:hAnsi="Arial" w:cs="Arial"/>
          <w:i/>
          <w:iCs/>
          <w:sz w:val="20"/>
          <w:szCs w:val="20"/>
        </w:rPr>
        <w:t>Crisis Intervention</w:t>
      </w:r>
      <w:r w:rsidRPr="0035734F">
        <w:rPr>
          <w:rFonts w:ascii="Arial" w:hAnsi="Arial" w:cs="Arial"/>
          <w:sz w:val="20"/>
          <w:szCs w:val="20"/>
        </w:rPr>
        <w:t xml:space="preserve">. StatPerals Publishing. </w:t>
      </w:r>
    </w:p>
    <w:p w14:paraId="7787F377" w14:textId="77777777" w:rsidR="005C1F42" w:rsidRPr="0035734F" w:rsidRDefault="005C1F42" w:rsidP="005C1F42">
      <w:pPr>
        <w:pStyle w:val="NormalWeb"/>
        <w:spacing w:before="240" w:beforeAutospacing="0" w:after="0" w:afterAutospacing="0" w:line="360" w:lineRule="atLeast"/>
        <w:rPr>
          <w:rFonts w:ascii="Arial" w:hAnsi="Arial" w:cs="Arial"/>
          <w:sz w:val="20"/>
          <w:szCs w:val="20"/>
        </w:rPr>
      </w:pPr>
      <w:r w:rsidRPr="0035734F">
        <w:rPr>
          <w:rStyle w:val="Hyperlink"/>
          <w:rFonts w:ascii="Arial" w:hAnsi="Arial" w:cs="Arial"/>
          <w:color w:val="auto"/>
          <w:sz w:val="20"/>
          <w:szCs w:val="20"/>
          <w:u w:val="none"/>
        </w:rPr>
        <w:t>Ward, R., Roderique-Davies, G., Hughes, H., Heirene, R., Newstead, S. and John, B. (2022) ‘Alcohol related brain damage: A mixed-method evaluation of an outline awareness-raising programme for frontline care and support practitioners’</w:t>
      </w:r>
      <w:r w:rsidRPr="0035734F">
        <w:rPr>
          <w:rStyle w:val="Hyperlink"/>
          <w:rFonts w:ascii="Arial" w:hAnsi="Arial" w:cs="Arial"/>
          <w:i/>
          <w:iCs/>
          <w:color w:val="auto"/>
          <w:sz w:val="20"/>
          <w:szCs w:val="20"/>
          <w:u w:val="none"/>
        </w:rPr>
        <w:t>, Drug and Alcohol Review</w:t>
      </w:r>
      <w:r w:rsidRPr="0035734F">
        <w:rPr>
          <w:rStyle w:val="Hyperlink"/>
          <w:rFonts w:ascii="Arial" w:hAnsi="Arial" w:cs="Arial"/>
          <w:color w:val="auto"/>
          <w:sz w:val="20"/>
          <w:szCs w:val="20"/>
          <w:u w:val="none"/>
        </w:rPr>
        <w:t xml:space="preserve">, 42(1), pp.46-58. Available at: </w:t>
      </w:r>
      <w:proofErr w:type="spellStart"/>
      <w:r w:rsidRPr="0035734F">
        <w:rPr>
          <w:rFonts w:ascii="Arial" w:hAnsi="Arial" w:cs="Arial"/>
          <w:sz w:val="20"/>
          <w:szCs w:val="20"/>
        </w:rPr>
        <w:t>doi</w:t>
      </w:r>
      <w:proofErr w:type="spellEnd"/>
      <w:r w:rsidRPr="0035734F">
        <w:rPr>
          <w:rFonts w:ascii="Arial" w:hAnsi="Arial" w:cs="Arial"/>
          <w:sz w:val="20"/>
          <w:szCs w:val="20"/>
        </w:rPr>
        <w:t>: https://doi.org/10.1111/dar.13545.</w:t>
      </w:r>
    </w:p>
    <w:p w14:paraId="35940D39" w14:textId="77777777" w:rsidR="005C1F42" w:rsidRPr="0035734F" w:rsidRDefault="005C1F42" w:rsidP="005C1F42">
      <w:pPr>
        <w:pStyle w:val="NormalWeb"/>
        <w:spacing w:before="240" w:beforeAutospacing="0" w:after="240" w:afterAutospacing="0" w:line="360" w:lineRule="auto"/>
        <w:rPr>
          <w:rStyle w:val="Hyperlink"/>
          <w:rFonts w:ascii="Arial" w:hAnsi="Arial" w:cs="Arial"/>
          <w:color w:val="auto"/>
          <w:sz w:val="20"/>
          <w:szCs w:val="20"/>
          <w:u w:val="none"/>
        </w:rPr>
      </w:pPr>
      <w:r w:rsidRPr="0035734F">
        <w:rPr>
          <w:rStyle w:val="Hyperlink"/>
          <w:rFonts w:ascii="Arial" w:hAnsi="Arial" w:cs="Arial"/>
          <w:i/>
          <w:iCs/>
          <w:color w:val="auto"/>
          <w:sz w:val="20"/>
          <w:szCs w:val="20"/>
          <w:u w:val="none"/>
        </w:rPr>
        <w:t>Well-being of Future Generations (Wales) Act 2015</w:t>
      </w:r>
      <w:r w:rsidRPr="0035734F">
        <w:rPr>
          <w:rStyle w:val="Hyperlink"/>
          <w:rFonts w:ascii="Arial" w:hAnsi="Arial" w:cs="Arial"/>
          <w:color w:val="auto"/>
          <w:sz w:val="20"/>
          <w:szCs w:val="20"/>
          <w:u w:val="none"/>
        </w:rPr>
        <w:t xml:space="preserve">. Available at: </w:t>
      </w:r>
      <w:hyperlink r:id="rId28" w:history="1">
        <w:r w:rsidRPr="0035734F">
          <w:rPr>
            <w:rStyle w:val="Hyperlink"/>
            <w:rFonts w:ascii="Arial" w:hAnsi="Arial" w:cs="Arial"/>
            <w:color w:val="auto"/>
            <w:sz w:val="20"/>
            <w:szCs w:val="20"/>
            <w:u w:val="none"/>
          </w:rPr>
          <w:t>https://www.legislation.gov.uk/anaw/2015/2/contents/enacted</w:t>
        </w:r>
      </w:hyperlink>
    </w:p>
    <w:p w14:paraId="0BCC1A41" w14:textId="77777777" w:rsidR="005C1F42" w:rsidRPr="0035734F" w:rsidRDefault="005C1F42" w:rsidP="005C1F42">
      <w:pPr>
        <w:spacing w:before="240"/>
        <w:rPr>
          <w:color w:val="auto"/>
        </w:rPr>
      </w:pPr>
      <w:r w:rsidRPr="0035734F">
        <w:rPr>
          <w:color w:val="auto"/>
        </w:rPr>
        <w:t xml:space="preserve">Welsh Government (2014). </w:t>
      </w:r>
      <w:r w:rsidRPr="0035734F">
        <w:rPr>
          <w:i/>
          <w:iCs/>
          <w:color w:val="auto"/>
        </w:rPr>
        <w:t>Social Services and Well-being (Wales) Act 2014: Part 4 Code of Practice (Meeting Needs).</w:t>
      </w:r>
      <w:r w:rsidRPr="0035734F">
        <w:rPr>
          <w:color w:val="auto"/>
        </w:rPr>
        <w:t xml:space="preserve"> Available at: </w:t>
      </w:r>
      <w:hyperlink r:id="rId29" w:history="1">
        <w:r w:rsidRPr="0035734F">
          <w:rPr>
            <w:rStyle w:val="Hyperlink"/>
            <w:color w:val="auto"/>
            <w:u w:val="none"/>
          </w:rPr>
          <w:t>https://www.gov.wales/sites/default/files/publications/2019-05/part-4-code-of-practice-meeting-needs.pdf</w:t>
        </w:r>
      </w:hyperlink>
    </w:p>
    <w:p w14:paraId="3017DB39" w14:textId="77777777" w:rsidR="005C1F42" w:rsidRPr="0035734F" w:rsidRDefault="005C1F42" w:rsidP="005C1F42">
      <w:pPr>
        <w:pStyle w:val="NormalWeb"/>
        <w:spacing w:before="240" w:beforeAutospacing="0" w:after="240" w:afterAutospacing="0" w:line="360" w:lineRule="auto"/>
        <w:rPr>
          <w:rStyle w:val="Hyperlink"/>
          <w:rFonts w:ascii="Arial" w:hAnsi="Arial" w:cs="Arial"/>
          <w:color w:val="auto"/>
          <w:sz w:val="20"/>
          <w:szCs w:val="20"/>
          <w:u w:val="none"/>
        </w:rPr>
      </w:pPr>
      <w:r w:rsidRPr="0035734F">
        <w:rPr>
          <w:rFonts w:ascii="Arial" w:hAnsi="Arial" w:cs="Arial"/>
          <w:sz w:val="20"/>
          <w:szCs w:val="20"/>
        </w:rPr>
        <w:t xml:space="preserve">Welsh Government (2014). </w:t>
      </w:r>
      <w:r w:rsidRPr="0035734F">
        <w:rPr>
          <w:rFonts w:ascii="Arial" w:hAnsi="Arial" w:cs="Arial"/>
          <w:i/>
          <w:iCs/>
          <w:sz w:val="20"/>
          <w:szCs w:val="20"/>
        </w:rPr>
        <w:t>Social Services and Well-being (Wales) Act 2014: Part 4 Code of Practice (Meeting Needs).</w:t>
      </w:r>
      <w:r w:rsidRPr="0035734F">
        <w:rPr>
          <w:rFonts w:ascii="Arial" w:hAnsi="Arial" w:cs="Arial"/>
          <w:sz w:val="20"/>
          <w:szCs w:val="20"/>
        </w:rPr>
        <w:t xml:space="preserve"> Available at: </w:t>
      </w:r>
      <w:hyperlink r:id="rId30" w:history="1">
        <w:r w:rsidRPr="0035734F">
          <w:rPr>
            <w:rStyle w:val="Hyperlink"/>
            <w:rFonts w:ascii="Arial" w:hAnsi="Arial" w:cs="Arial"/>
            <w:color w:val="auto"/>
            <w:sz w:val="20"/>
            <w:szCs w:val="20"/>
            <w:u w:val="none"/>
          </w:rPr>
          <w:t>https://www.gov.wales/sites/default/files/publications/2019-05/part-4-code-of-practice-meeting-needs.pdf</w:t>
        </w:r>
      </w:hyperlink>
      <w:r w:rsidRPr="0035734F">
        <w:rPr>
          <w:rStyle w:val="Hyperlink"/>
          <w:rFonts w:ascii="Arial" w:hAnsi="Arial" w:cs="Arial"/>
          <w:color w:val="auto"/>
          <w:sz w:val="20"/>
          <w:szCs w:val="20"/>
          <w:u w:val="none"/>
        </w:rPr>
        <w:t>.</w:t>
      </w:r>
    </w:p>
    <w:p w14:paraId="1E41E89C" w14:textId="77777777" w:rsidR="005C1F42" w:rsidRPr="0035734F" w:rsidRDefault="005C1F42" w:rsidP="005C1F42">
      <w:pPr>
        <w:pStyle w:val="NormalWeb"/>
        <w:spacing w:before="240" w:beforeAutospacing="0" w:after="240" w:afterAutospacing="0" w:line="360" w:lineRule="auto"/>
        <w:rPr>
          <w:rFonts w:ascii="Arial" w:hAnsi="Arial" w:cs="Arial"/>
          <w:sz w:val="20"/>
          <w:szCs w:val="20"/>
        </w:rPr>
      </w:pPr>
      <w:r w:rsidRPr="0035734F">
        <w:rPr>
          <w:rFonts w:ascii="Arial" w:hAnsi="Arial" w:cs="Arial"/>
          <w:sz w:val="20"/>
          <w:szCs w:val="20"/>
        </w:rPr>
        <w:t xml:space="preserve">Welsh Government (2016). Working Together to Safeguard People: Volume 3 – Adult Practice Reviews. Available at: </w:t>
      </w:r>
      <w:hyperlink r:id="rId31" w:history="1">
        <w:r w:rsidRPr="0035734F">
          <w:rPr>
            <w:rStyle w:val="Hyperlink"/>
            <w:rFonts w:ascii="Arial" w:hAnsi="Arial" w:cs="Arial"/>
            <w:color w:val="auto"/>
            <w:sz w:val="20"/>
            <w:szCs w:val="20"/>
            <w:u w:val="none"/>
          </w:rPr>
          <w:t>https://www.gov.wales/sites/default/files/publications/2019-05/working-together-to-safeguard-people-volume-3-adult-practice-reviews.pdf</w:t>
        </w:r>
      </w:hyperlink>
      <w:r w:rsidRPr="0035734F">
        <w:rPr>
          <w:rFonts w:ascii="Arial" w:hAnsi="Arial" w:cs="Arial"/>
          <w:sz w:val="20"/>
          <w:szCs w:val="20"/>
        </w:rPr>
        <w:t>.</w:t>
      </w:r>
    </w:p>
    <w:p w14:paraId="61856669" w14:textId="77777777" w:rsidR="005C1F42" w:rsidRPr="0035734F" w:rsidRDefault="005C1F42" w:rsidP="005C1F42">
      <w:pPr>
        <w:pStyle w:val="NormalWeb"/>
        <w:spacing w:before="240" w:beforeAutospacing="0" w:after="240" w:afterAutospacing="0" w:line="360" w:lineRule="auto"/>
        <w:rPr>
          <w:rStyle w:val="Hyperlink"/>
          <w:rFonts w:ascii="Arial" w:hAnsi="Arial" w:cs="Arial"/>
          <w:color w:val="auto"/>
          <w:sz w:val="20"/>
          <w:szCs w:val="20"/>
          <w:u w:val="none"/>
        </w:rPr>
      </w:pPr>
      <w:r w:rsidRPr="0035734F">
        <w:rPr>
          <w:rFonts w:ascii="Arial" w:hAnsi="Arial" w:cs="Arial"/>
          <w:sz w:val="20"/>
          <w:szCs w:val="20"/>
        </w:rPr>
        <w:t>Welsh Government (2022</w:t>
      </w:r>
      <w:r w:rsidRPr="0035734F">
        <w:rPr>
          <w:rFonts w:ascii="Arial" w:hAnsi="Arial" w:cs="Arial"/>
          <w:i/>
          <w:iCs/>
          <w:sz w:val="20"/>
          <w:szCs w:val="20"/>
        </w:rPr>
        <w:t>). More than just words: 5-year plan 2022 to 2027.</w:t>
      </w:r>
      <w:r w:rsidRPr="0035734F">
        <w:rPr>
          <w:rFonts w:ascii="Arial" w:hAnsi="Arial" w:cs="Arial"/>
          <w:sz w:val="20"/>
          <w:szCs w:val="20"/>
        </w:rPr>
        <w:t xml:space="preserve"> Available at: </w:t>
      </w:r>
      <w:hyperlink r:id="rId32" w:history="1">
        <w:r w:rsidRPr="0035734F">
          <w:rPr>
            <w:rStyle w:val="Hyperlink"/>
            <w:rFonts w:ascii="Arial" w:hAnsi="Arial" w:cs="Arial"/>
            <w:color w:val="auto"/>
            <w:sz w:val="20"/>
            <w:szCs w:val="20"/>
            <w:u w:val="none"/>
          </w:rPr>
          <w:t>https://www.gov.wales/more-just-words-welsh-language-plan-health-and-social-care</w:t>
        </w:r>
      </w:hyperlink>
    </w:p>
    <w:p w14:paraId="55B6BDC2" w14:textId="77777777" w:rsidR="005C1F42" w:rsidRPr="0035734F" w:rsidRDefault="005C1F42" w:rsidP="005C1F42">
      <w:pPr>
        <w:pStyle w:val="NormalWeb"/>
        <w:spacing w:before="240" w:beforeAutospacing="0" w:after="240" w:afterAutospacing="0" w:line="360" w:lineRule="auto"/>
        <w:rPr>
          <w:rFonts w:ascii="Arial" w:hAnsi="Arial" w:cs="Arial"/>
          <w:sz w:val="20"/>
          <w:szCs w:val="20"/>
        </w:rPr>
      </w:pPr>
      <w:r w:rsidRPr="0035734F">
        <w:rPr>
          <w:rFonts w:ascii="Arial" w:hAnsi="Arial" w:cs="Arial"/>
          <w:sz w:val="20"/>
          <w:szCs w:val="20"/>
        </w:rPr>
        <w:t xml:space="preserve">Welsh Government (2022). </w:t>
      </w:r>
      <w:r w:rsidRPr="0035734F">
        <w:rPr>
          <w:rFonts w:ascii="Arial" w:hAnsi="Arial" w:cs="Arial"/>
          <w:i/>
          <w:iCs/>
          <w:sz w:val="20"/>
          <w:szCs w:val="20"/>
        </w:rPr>
        <w:t>Working Together to Safeguard People: Code of Safeguarding Practice</w:t>
      </w:r>
      <w:r w:rsidRPr="0035734F">
        <w:rPr>
          <w:rFonts w:ascii="Arial" w:hAnsi="Arial" w:cs="Arial"/>
          <w:sz w:val="20"/>
          <w:szCs w:val="20"/>
        </w:rPr>
        <w:t xml:space="preserve">. Available at: : </w:t>
      </w:r>
      <w:hyperlink r:id="rId33" w:history="1">
        <w:r w:rsidRPr="0035734F">
          <w:rPr>
            <w:rStyle w:val="Hyperlink"/>
            <w:rFonts w:ascii="Arial" w:hAnsi="Arial" w:cs="Arial"/>
            <w:color w:val="auto"/>
            <w:sz w:val="20"/>
            <w:szCs w:val="20"/>
            <w:u w:val="none"/>
          </w:rPr>
          <w:t>https://www.gov.wales/sites/default/files/publications/2022-01/working-together-to-safeguard-people--code-of-safeguarding-practice_0.pdf</w:t>
        </w:r>
      </w:hyperlink>
      <w:r w:rsidRPr="0035734F">
        <w:rPr>
          <w:rFonts w:ascii="Arial" w:hAnsi="Arial" w:cs="Arial"/>
          <w:sz w:val="20"/>
          <w:szCs w:val="20"/>
        </w:rPr>
        <w:t>.</w:t>
      </w:r>
    </w:p>
    <w:p w14:paraId="5E9A9FBB" w14:textId="77777777" w:rsidR="005C1F42" w:rsidRPr="0035734F" w:rsidRDefault="005C1F42" w:rsidP="005C1F42">
      <w:pPr>
        <w:pStyle w:val="NormalWeb"/>
        <w:spacing w:before="240" w:beforeAutospacing="0" w:after="240" w:afterAutospacing="0" w:line="360" w:lineRule="auto"/>
        <w:rPr>
          <w:rFonts w:ascii="Arial" w:hAnsi="Arial" w:cs="Arial"/>
          <w:sz w:val="20"/>
          <w:szCs w:val="20"/>
        </w:rPr>
      </w:pPr>
      <w:r w:rsidRPr="0035734F">
        <w:rPr>
          <w:rStyle w:val="Hyperlink"/>
          <w:rFonts w:ascii="Arial" w:hAnsi="Arial" w:cs="Arial"/>
          <w:color w:val="auto"/>
          <w:sz w:val="20"/>
          <w:szCs w:val="20"/>
          <w:u w:val="none"/>
        </w:rPr>
        <w:lastRenderedPageBreak/>
        <w:t>Welsh Government (2022</w:t>
      </w:r>
      <w:r w:rsidRPr="0035734F">
        <w:rPr>
          <w:rStyle w:val="Hyperlink"/>
          <w:rFonts w:ascii="Arial" w:hAnsi="Arial" w:cs="Arial"/>
          <w:i/>
          <w:iCs/>
          <w:color w:val="auto"/>
          <w:sz w:val="20"/>
          <w:szCs w:val="20"/>
          <w:u w:val="none"/>
        </w:rPr>
        <w:t>). Working Together to Safeguard People: Code of Safeguarding Practice</w:t>
      </w:r>
      <w:r w:rsidRPr="0035734F">
        <w:rPr>
          <w:rStyle w:val="Hyperlink"/>
          <w:rFonts w:ascii="Arial" w:hAnsi="Arial" w:cs="Arial"/>
          <w:color w:val="auto"/>
          <w:sz w:val="20"/>
          <w:szCs w:val="20"/>
          <w:u w:val="none"/>
        </w:rPr>
        <w:t xml:space="preserve">. Available at: </w:t>
      </w:r>
      <w:hyperlink r:id="rId34" w:history="1">
        <w:r w:rsidRPr="0035734F">
          <w:rPr>
            <w:rStyle w:val="Hyperlink"/>
            <w:rFonts w:ascii="Arial" w:hAnsi="Arial" w:cs="Arial"/>
            <w:color w:val="auto"/>
            <w:sz w:val="20"/>
            <w:szCs w:val="20"/>
            <w:u w:val="none"/>
          </w:rPr>
          <w:t>https://www.gov.wales/sites/default/files/publications/2022-01/working-together-to-safeguard-people--code-of-safeguarding-practice_0.pdf</w:t>
        </w:r>
      </w:hyperlink>
      <w:r w:rsidRPr="0035734F">
        <w:rPr>
          <w:rFonts w:ascii="Arial" w:hAnsi="Arial" w:cs="Arial"/>
          <w:sz w:val="20"/>
          <w:szCs w:val="20"/>
        </w:rPr>
        <w:t>.</w:t>
      </w:r>
    </w:p>
    <w:p w14:paraId="6CEEA41E" w14:textId="77777777" w:rsidR="005C1F42" w:rsidRPr="0035734F" w:rsidRDefault="005C1F42" w:rsidP="005C1F42">
      <w:pPr>
        <w:pStyle w:val="NormalWeb"/>
        <w:spacing w:before="240" w:beforeAutospacing="0" w:after="240" w:afterAutospacing="0" w:line="276" w:lineRule="auto"/>
        <w:rPr>
          <w:rStyle w:val="Hyperlink"/>
          <w:rFonts w:ascii="Arial" w:hAnsi="Arial" w:cs="Arial"/>
          <w:color w:val="auto"/>
          <w:sz w:val="20"/>
          <w:szCs w:val="20"/>
          <w:u w:val="none"/>
        </w:rPr>
      </w:pPr>
      <w:r w:rsidRPr="0035734F">
        <w:rPr>
          <w:rFonts w:ascii="Arial" w:hAnsi="Arial" w:cs="Arial"/>
          <w:sz w:val="20"/>
          <w:szCs w:val="20"/>
        </w:rPr>
        <w:t xml:space="preserve">Welsh Language Commissioner (2020). </w:t>
      </w:r>
      <w:r w:rsidRPr="0035734F">
        <w:rPr>
          <w:rFonts w:ascii="Arial" w:hAnsi="Arial" w:cs="Arial"/>
          <w:i/>
          <w:iCs/>
          <w:sz w:val="20"/>
          <w:szCs w:val="20"/>
        </w:rPr>
        <w:t xml:space="preserve">Closing the Gap: The Welsh Language Commissioner’s Assurance Report 2019-20. </w:t>
      </w:r>
      <w:r w:rsidRPr="0035734F">
        <w:rPr>
          <w:rFonts w:ascii="Arial" w:hAnsi="Arial" w:cs="Arial"/>
          <w:sz w:val="20"/>
          <w:szCs w:val="20"/>
        </w:rPr>
        <w:t xml:space="preserve">Available at: </w:t>
      </w:r>
      <w:hyperlink r:id="rId35" w:history="1">
        <w:r w:rsidRPr="0035734F">
          <w:rPr>
            <w:rStyle w:val="Hyperlink"/>
            <w:rFonts w:ascii="Arial" w:hAnsi="Arial" w:cs="Arial"/>
            <w:color w:val="auto"/>
            <w:sz w:val="20"/>
            <w:szCs w:val="20"/>
            <w:u w:val="none"/>
          </w:rPr>
          <w:t>https://www.welshlanguagecommissioner.wales/media/t1wdnzro/assurance-report-closing-the-gap-2019-20.pdf</w:t>
        </w:r>
      </w:hyperlink>
      <w:r w:rsidRPr="0035734F">
        <w:rPr>
          <w:rStyle w:val="Hyperlink"/>
          <w:rFonts w:ascii="Arial" w:hAnsi="Arial" w:cs="Arial"/>
          <w:color w:val="auto"/>
          <w:sz w:val="20"/>
          <w:szCs w:val="20"/>
          <w:u w:val="none"/>
        </w:rPr>
        <w:t>.</w:t>
      </w:r>
    </w:p>
    <w:p w14:paraId="1A1B1547" w14:textId="77777777" w:rsidR="005C1F42" w:rsidRPr="0035734F" w:rsidRDefault="005C1F42" w:rsidP="005C1F42">
      <w:pPr>
        <w:pStyle w:val="NormalWeb"/>
        <w:spacing w:before="240" w:beforeAutospacing="0" w:after="240" w:afterAutospacing="0" w:line="276" w:lineRule="auto"/>
        <w:rPr>
          <w:rFonts w:ascii="Arial" w:hAnsi="Arial" w:cs="Arial"/>
          <w:sz w:val="20"/>
          <w:szCs w:val="20"/>
        </w:rPr>
      </w:pPr>
      <w:r w:rsidRPr="0035734F">
        <w:rPr>
          <w:rFonts w:ascii="Arial" w:hAnsi="Arial" w:cs="Arial"/>
          <w:sz w:val="20"/>
          <w:szCs w:val="20"/>
        </w:rPr>
        <w:t xml:space="preserve">Williams, J. (2017) ‘Adults safeguarding in Wales: one step in the right direction’, </w:t>
      </w:r>
      <w:r w:rsidRPr="0035734F">
        <w:rPr>
          <w:rFonts w:ascii="Arial" w:hAnsi="Arial" w:cs="Arial"/>
          <w:i/>
          <w:iCs/>
          <w:sz w:val="20"/>
          <w:szCs w:val="20"/>
        </w:rPr>
        <w:t>The Journal of Adult Protection</w:t>
      </w:r>
      <w:r w:rsidRPr="0035734F">
        <w:rPr>
          <w:rFonts w:ascii="Arial" w:hAnsi="Arial" w:cs="Arial"/>
          <w:sz w:val="20"/>
          <w:szCs w:val="20"/>
        </w:rPr>
        <w:t xml:space="preserve">, 19(4), pp.175-186. Available at: </w:t>
      </w:r>
      <w:hyperlink r:id="rId36" w:history="1">
        <w:r w:rsidRPr="0035734F">
          <w:rPr>
            <w:rStyle w:val="Hyperlink"/>
            <w:rFonts w:ascii="Arial" w:hAnsi="Arial" w:cs="Arial"/>
            <w:color w:val="auto"/>
            <w:sz w:val="20"/>
            <w:szCs w:val="20"/>
            <w:u w:val="none"/>
          </w:rPr>
          <w:t>https://doi.org/10.1108/jap-05-2017-0021</w:t>
        </w:r>
      </w:hyperlink>
      <w:r w:rsidRPr="0035734F">
        <w:rPr>
          <w:rFonts w:ascii="Arial" w:hAnsi="Arial" w:cs="Arial"/>
          <w:sz w:val="20"/>
          <w:szCs w:val="20"/>
        </w:rPr>
        <w:t>.</w:t>
      </w:r>
    </w:p>
    <w:p w14:paraId="1C0BFA5F" w14:textId="77777777" w:rsidR="005C1F42" w:rsidRPr="0035734F" w:rsidRDefault="005C1F42" w:rsidP="005C1F42">
      <w:pPr>
        <w:pStyle w:val="NormalWeb"/>
        <w:spacing w:before="240" w:beforeAutospacing="0" w:after="240" w:afterAutospacing="0" w:line="276" w:lineRule="auto"/>
        <w:rPr>
          <w:rFonts w:ascii="Arial" w:hAnsi="Arial" w:cs="Arial"/>
          <w:sz w:val="20"/>
          <w:szCs w:val="20"/>
        </w:rPr>
      </w:pPr>
      <w:r w:rsidRPr="0035734F">
        <w:rPr>
          <w:rFonts w:ascii="Arial" w:hAnsi="Arial" w:cs="Arial"/>
          <w:sz w:val="20"/>
          <w:szCs w:val="20"/>
        </w:rPr>
        <w:t xml:space="preserve">X County Council (2023). X Safeguarding Policy Protecting Children, Young People &amp; Adults at Risk. Available at: </w:t>
      </w:r>
      <w:hyperlink r:id="rId37" w:history="1">
        <w:r w:rsidRPr="0035734F">
          <w:rPr>
            <w:rStyle w:val="Hyperlink"/>
            <w:rFonts w:ascii="Arial" w:hAnsi="Arial" w:cs="Arial"/>
            <w:color w:val="auto"/>
            <w:sz w:val="20"/>
            <w:szCs w:val="20"/>
            <w:u w:val="none"/>
          </w:rPr>
          <w:t>https://www.xcountycouncil.gov.wales/media/1231917/corporate-safeguarding-policy-march-2023-website-version-english.pdf</w:t>
        </w:r>
      </w:hyperlink>
      <w:r w:rsidRPr="0035734F">
        <w:rPr>
          <w:rFonts w:ascii="Arial" w:hAnsi="Arial" w:cs="Arial"/>
          <w:sz w:val="20"/>
          <w:szCs w:val="20"/>
        </w:rPr>
        <w:t>.</w:t>
      </w:r>
    </w:p>
    <w:p w14:paraId="6F6FF1AE" w14:textId="77777777" w:rsidR="005C1F42" w:rsidRPr="0035734F" w:rsidRDefault="005C1F42" w:rsidP="002A1A44">
      <w:pPr>
        <w:keepNext/>
        <w:spacing w:before="240" w:after="60"/>
        <w:jc w:val="both"/>
        <w:rPr>
          <w:color w:val="auto"/>
        </w:rPr>
      </w:pP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754B7115" w14:textId="77777777" w:rsidR="002A1A44" w:rsidRDefault="002A1A44" w:rsidP="00E559CE">
      <w:pPr>
        <w:jc w:val="both"/>
        <w:rPr>
          <w:sz w:val="24"/>
          <w:szCs w:val="24"/>
        </w:rPr>
      </w:pPr>
    </w:p>
    <w:p w14:paraId="2C7D3C87" w14:textId="77777777" w:rsidR="005C1F42" w:rsidRDefault="005C1F42"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75829F34" w:rsidR="00E559CE" w:rsidRPr="00B17FA0" w:rsidRDefault="00F14B7A" w:rsidP="00B94443">
            <w:pPr>
              <w:jc w:val="both"/>
              <w:rPr>
                <w:sz w:val="24"/>
                <w:szCs w:val="24"/>
              </w:rPr>
            </w:pPr>
            <w:r>
              <w:rPr>
                <w:sz w:val="24"/>
                <w:szCs w:val="24"/>
              </w:rPr>
              <w:t>8/11/2022</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144A492A" w:rsidR="00E559CE" w:rsidRPr="00B17FA0" w:rsidRDefault="00F14B7A" w:rsidP="00B94443">
            <w:pPr>
              <w:jc w:val="both"/>
              <w:rPr>
                <w:sz w:val="24"/>
                <w:szCs w:val="24"/>
              </w:rPr>
            </w:pPr>
            <w:r>
              <w:rPr>
                <w:sz w:val="24"/>
                <w:szCs w:val="24"/>
              </w:rPr>
              <w:t>17/01/202</w:t>
            </w:r>
            <w:r w:rsidR="00BF46C8">
              <w:rPr>
                <w:sz w:val="24"/>
                <w:szCs w:val="24"/>
              </w:rPr>
              <w:t>3</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2D1BE331" w:rsidR="00E559CE" w:rsidRPr="00B17FA0" w:rsidRDefault="0017691F" w:rsidP="00B94443">
            <w:pPr>
              <w:jc w:val="both"/>
              <w:rPr>
                <w:sz w:val="24"/>
                <w:szCs w:val="24"/>
              </w:rPr>
            </w:pPr>
            <w:r>
              <w:rPr>
                <w:sz w:val="24"/>
                <w:szCs w:val="24"/>
              </w:rPr>
              <w:t>14/03/2023</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31C3751C" w:rsidR="00E559CE" w:rsidRPr="00B17FA0" w:rsidRDefault="0017691F" w:rsidP="00B94443">
            <w:pPr>
              <w:jc w:val="both"/>
              <w:rPr>
                <w:sz w:val="24"/>
                <w:szCs w:val="24"/>
              </w:rPr>
            </w:pPr>
            <w:r>
              <w:rPr>
                <w:sz w:val="24"/>
                <w:szCs w:val="24"/>
              </w:rPr>
              <w:t>6/6/2023</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0F746B5B" w14:textId="77777777" w:rsidR="000727D6" w:rsidRDefault="000727D6" w:rsidP="000727D6">
            <w:pPr>
              <w:jc w:val="both"/>
              <w:rPr>
                <w:sz w:val="24"/>
                <w:szCs w:val="24"/>
              </w:rPr>
            </w:pPr>
            <w:r w:rsidRPr="00813776">
              <w:rPr>
                <w:sz w:val="24"/>
                <w:szCs w:val="24"/>
              </w:rPr>
              <w:t xml:space="preserve">I can confirm as the mentor that I have </w:t>
            </w:r>
            <w:r>
              <w:rPr>
                <w:sz w:val="24"/>
                <w:szCs w:val="24"/>
              </w:rPr>
              <w:t xml:space="preserve">personally </w:t>
            </w:r>
            <w:r w:rsidRPr="00813776">
              <w:rPr>
                <w:sz w:val="24"/>
                <w:szCs w:val="24"/>
              </w:rPr>
              <w:t>seen evidence of significant learner development over the duration of the programme</w:t>
            </w:r>
            <w:r>
              <w:rPr>
                <w:sz w:val="24"/>
                <w:szCs w:val="24"/>
              </w:rPr>
              <w:t>, I can also confirm that I have received positive feedback from other managers within the organisation (both verbal and written). I have also had positive feedback from individuals in need of care and support and have gleaned this information by talking with them and receiving emails. I have had received written feedback from individuals who care for them (Carer’s) over this period.</w:t>
            </w:r>
          </w:p>
          <w:p w14:paraId="004742BA" w14:textId="77777777" w:rsidR="000727D6" w:rsidRPr="00813776" w:rsidRDefault="000727D6" w:rsidP="000727D6">
            <w:pPr>
              <w:jc w:val="both"/>
              <w:rPr>
                <w:sz w:val="24"/>
                <w:szCs w:val="24"/>
              </w:rPr>
            </w:pPr>
            <w:r>
              <w:rPr>
                <w:sz w:val="24"/>
                <w:szCs w:val="24"/>
              </w:rPr>
              <w:t>I have evidenced the learners’ skills in preparing for supervision sessions, and using that environment to reflect on research, learning and development and practice experience to consolidate and develop her social work practice.</w:t>
            </w:r>
          </w:p>
          <w:p w14:paraId="48D783AE" w14:textId="77777777" w:rsidR="000727D6" w:rsidRDefault="000727D6" w:rsidP="000727D6">
            <w:pPr>
              <w:jc w:val="both"/>
              <w:rPr>
                <w:sz w:val="24"/>
                <w:szCs w:val="24"/>
              </w:rPr>
            </w:pPr>
            <w:r w:rsidRPr="00813776">
              <w:rPr>
                <w:sz w:val="24"/>
                <w:szCs w:val="24"/>
              </w:rPr>
              <w:t>First, I will r</w:t>
            </w:r>
            <w:r w:rsidRPr="004B7340">
              <w:rPr>
                <w:sz w:val="24"/>
                <w:szCs w:val="24"/>
              </w:rPr>
              <w:t>eflect on information provided by the learner at the outset of the programme in Task 1 (Part a)</w:t>
            </w:r>
            <w:r>
              <w:rPr>
                <w:sz w:val="24"/>
                <w:szCs w:val="24"/>
              </w:rPr>
              <w:t>: -</w:t>
            </w:r>
          </w:p>
          <w:p w14:paraId="1B3501C2" w14:textId="77777777" w:rsidR="000727D6" w:rsidRDefault="000727D6" w:rsidP="000727D6">
            <w:pPr>
              <w:jc w:val="both"/>
              <w:rPr>
                <w:sz w:val="24"/>
                <w:szCs w:val="24"/>
              </w:rPr>
            </w:pPr>
          </w:p>
          <w:p w14:paraId="0EE38734" w14:textId="77777777" w:rsidR="000727D6" w:rsidRDefault="000727D6" w:rsidP="000727D6">
            <w:pPr>
              <w:jc w:val="both"/>
              <w:rPr>
                <w:sz w:val="24"/>
                <w:szCs w:val="24"/>
              </w:rPr>
            </w:pPr>
            <w:r>
              <w:rPr>
                <w:sz w:val="24"/>
                <w:szCs w:val="24"/>
              </w:rPr>
              <w:t>I believe it is critical to recognise and acknowledge that starting your social work career post Covid 19 pandemic, as research by the learner suggested is an extremely difficult task and has affected individual practitioner’s confidence levels. I can confirm that the learner has appropriately used supervision, personal research/learning development opportunities and peer support to recognise and address these issues at the outset and has been proactive in identifying recognising and addressing the issue. The learner is commended for her openness and honesty in reflecting on this.</w:t>
            </w:r>
          </w:p>
          <w:p w14:paraId="473274D9" w14:textId="77777777" w:rsidR="000727D6" w:rsidRDefault="000727D6" w:rsidP="000727D6">
            <w:pPr>
              <w:jc w:val="both"/>
              <w:rPr>
                <w:sz w:val="24"/>
                <w:szCs w:val="24"/>
              </w:rPr>
            </w:pPr>
          </w:p>
          <w:p w14:paraId="67FC5BFC" w14:textId="77777777" w:rsidR="000727D6" w:rsidRDefault="000727D6" w:rsidP="000727D6">
            <w:pPr>
              <w:jc w:val="both"/>
              <w:rPr>
                <w:sz w:val="24"/>
                <w:szCs w:val="24"/>
              </w:rPr>
            </w:pPr>
          </w:p>
          <w:p w14:paraId="5A05194A" w14:textId="77777777" w:rsidR="000727D6" w:rsidRPr="00C77E6F" w:rsidRDefault="000727D6" w:rsidP="000727D6">
            <w:pPr>
              <w:jc w:val="both"/>
              <w:rPr>
                <w:sz w:val="24"/>
                <w:szCs w:val="24"/>
              </w:rPr>
            </w:pPr>
          </w:p>
          <w:p w14:paraId="49C68159" w14:textId="77777777" w:rsidR="000727D6" w:rsidRDefault="000727D6" w:rsidP="000727D6">
            <w:pPr>
              <w:numPr>
                <w:ilvl w:val="0"/>
                <w:numId w:val="52"/>
              </w:numPr>
              <w:jc w:val="both"/>
              <w:rPr>
                <w:sz w:val="24"/>
                <w:szCs w:val="24"/>
                <w:u w:val="single"/>
              </w:rPr>
            </w:pPr>
            <w:r w:rsidRPr="005673DF">
              <w:rPr>
                <w:sz w:val="24"/>
                <w:szCs w:val="24"/>
                <w:u w:val="single"/>
              </w:rPr>
              <w:t>applying analysis in assessment to inform interventions.</w:t>
            </w:r>
          </w:p>
          <w:p w14:paraId="5F5D1AA8" w14:textId="77777777" w:rsidR="000727D6" w:rsidRPr="004D659D" w:rsidRDefault="000727D6" w:rsidP="000727D6">
            <w:pPr>
              <w:ind w:left="720"/>
              <w:jc w:val="both"/>
              <w:rPr>
                <w:sz w:val="24"/>
                <w:szCs w:val="24"/>
              </w:rPr>
            </w:pPr>
            <w:r>
              <w:rPr>
                <w:sz w:val="24"/>
                <w:szCs w:val="24"/>
              </w:rPr>
              <w:t>I can confirm that the learner identified that her experience of assessing was influenced by services and was service led and challenged her practice to adopt a more person-centred approach, showing her understanding and application of the Code of Professional Practice, and her research, personal reading and learning to date.</w:t>
            </w:r>
          </w:p>
          <w:p w14:paraId="11D48B61" w14:textId="77777777" w:rsidR="000727D6" w:rsidRPr="005673DF" w:rsidRDefault="000727D6" w:rsidP="000727D6">
            <w:pPr>
              <w:jc w:val="both"/>
              <w:rPr>
                <w:sz w:val="24"/>
                <w:szCs w:val="24"/>
                <w:u w:val="single"/>
              </w:rPr>
            </w:pPr>
          </w:p>
          <w:p w14:paraId="21F3D4BE" w14:textId="77777777" w:rsidR="000727D6" w:rsidRDefault="000727D6" w:rsidP="000727D6">
            <w:pPr>
              <w:numPr>
                <w:ilvl w:val="0"/>
                <w:numId w:val="52"/>
              </w:numPr>
              <w:jc w:val="both"/>
              <w:rPr>
                <w:sz w:val="24"/>
                <w:szCs w:val="24"/>
                <w:u w:val="single"/>
              </w:rPr>
            </w:pPr>
            <w:r w:rsidRPr="005673DF">
              <w:rPr>
                <w:sz w:val="24"/>
                <w:szCs w:val="24"/>
                <w:u w:val="single"/>
              </w:rPr>
              <w:t xml:space="preserve">working collaboratively with people in need of care and support, their </w:t>
            </w:r>
            <w:proofErr w:type="spellStart"/>
            <w:proofErr w:type="gramStart"/>
            <w:r w:rsidRPr="005673DF">
              <w:rPr>
                <w:sz w:val="24"/>
                <w:szCs w:val="24"/>
                <w:u w:val="single"/>
              </w:rPr>
              <w:t>carers</w:t>
            </w:r>
            <w:proofErr w:type="spellEnd"/>
            <w:proofErr w:type="gramEnd"/>
            <w:r w:rsidRPr="005673DF">
              <w:rPr>
                <w:i/>
                <w:iCs/>
                <w:sz w:val="24"/>
                <w:szCs w:val="24"/>
                <w:u w:val="single"/>
              </w:rPr>
              <w:t xml:space="preserve"> </w:t>
            </w:r>
            <w:r w:rsidRPr="005673DF">
              <w:rPr>
                <w:sz w:val="24"/>
                <w:szCs w:val="24"/>
                <w:u w:val="single"/>
              </w:rPr>
              <w:t>and other professionals.</w:t>
            </w:r>
          </w:p>
          <w:p w14:paraId="223541F6" w14:textId="77777777" w:rsidR="000727D6" w:rsidRPr="005673DF" w:rsidRDefault="000727D6" w:rsidP="000727D6">
            <w:pPr>
              <w:ind w:left="720"/>
              <w:jc w:val="both"/>
              <w:rPr>
                <w:sz w:val="24"/>
                <w:szCs w:val="24"/>
              </w:rPr>
            </w:pPr>
            <w:r>
              <w:rPr>
                <w:sz w:val="24"/>
                <w:szCs w:val="24"/>
              </w:rPr>
              <w:t>I can confirm that the learner recognised that she was anxious at the beginning of the programme. She recognised the context of interactions with others and acknowledged that this was an area that she needed more experience in and, opportunities to respond and interact with others responding with a person-centred approach and reflecting on developing positive working relationships with others.</w:t>
            </w:r>
          </w:p>
          <w:p w14:paraId="70303209" w14:textId="77777777" w:rsidR="000727D6" w:rsidRPr="00EC2786" w:rsidRDefault="000727D6" w:rsidP="000727D6">
            <w:pPr>
              <w:numPr>
                <w:ilvl w:val="0"/>
                <w:numId w:val="52"/>
              </w:numPr>
              <w:jc w:val="both"/>
              <w:rPr>
                <w:sz w:val="24"/>
                <w:szCs w:val="24"/>
                <w:u w:val="single"/>
              </w:rPr>
            </w:pPr>
            <w:r w:rsidRPr="005673DF">
              <w:rPr>
                <w:sz w:val="24"/>
                <w:szCs w:val="24"/>
                <w:u w:val="single"/>
              </w:rPr>
              <w:t>intervention and application of professional judgement in increasingly complex situations.</w:t>
            </w:r>
          </w:p>
          <w:p w14:paraId="03FC81E7" w14:textId="77777777" w:rsidR="000727D6" w:rsidRDefault="000727D6" w:rsidP="000727D6">
            <w:pPr>
              <w:ind w:left="720"/>
              <w:jc w:val="both"/>
              <w:rPr>
                <w:sz w:val="24"/>
                <w:szCs w:val="24"/>
              </w:rPr>
            </w:pPr>
            <w:r>
              <w:rPr>
                <w:sz w:val="24"/>
                <w:szCs w:val="24"/>
              </w:rPr>
              <w:t>The learner appropriately identified this as an area of professional development and was fully aware of how power dynamics can influence situations, where professional judgement is exercised. The learner identified avenues for gaining greater insight into these situations, by highlighting this as an area for further professional development, through training.</w:t>
            </w:r>
          </w:p>
          <w:p w14:paraId="09102D80" w14:textId="77777777" w:rsidR="000727D6" w:rsidRDefault="000727D6" w:rsidP="000727D6">
            <w:pPr>
              <w:ind w:left="720"/>
              <w:jc w:val="both"/>
              <w:rPr>
                <w:sz w:val="24"/>
                <w:szCs w:val="24"/>
                <w:u w:val="single"/>
              </w:rPr>
            </w:pPr>
          </w:p>
          <w:p w14:paraId="4CAE2BEA" w14:textId="77777777" w:rsidR="000727D6" w:rsidRPr="005673DF" w:rsidRDefault="000727D6" w:rsidP="000727D6">
            <w:pPr>
              <w:ind w:left="720"/>
              <w:jc w:val="both"/>
              <w:rPr>
                <w:sz w:val="24"/>
                <w:szCs w:val="24"/>
                <w:u w:val="single"/>
              </w:rPr>
            </w:pPr>
          </w:p>
          <w:p w14:paraId="50D7947C" w14:textId="77777777" w:rsidR="000727D6" w:rsidRDefault="000727D6" w:rsidP="000727D6">
            <w:pPr>
              <w:tabs>
                <w:tab w:val="left" w:pos="5268"/>
              </w:tabs>
              <w:jc w:val="both"/>
            </w:pPr>
          </w:p>
          <w:p w14:paraId="4C3ED82D" w14:textId="77777777" w:rsidR="000727D6" w:rsidRDefault="000727D6" w:rsidP="000727D6">
            <w:pPr>
              <w:jc w:val="both"/>
              <w:rPr>
                <w:sz w:val="24"/>
                <w:szCs w:val="24"/>
              </w:rPr>
            </w:pPr>
            <w:r w:rsidRPr="004B7340">
              <w:rPr>
                <w:sz w:val="24"/>
                <w:szCs w:val="24"/>
              </w:rPr>
              <w:t xml:space="preserve"> Task 1 (Part b)</w:t>
            </w:r>
            <w:r w:rsidRPr="00DB4763">
              <w:rPr>
                <w:sz w:val="24"/>
                <w:szCs w:val="24"/>
              </w:rPr>
              <w:t>:-</w:t>
            </w:r>
          </w:p>
          <w:p w14:paraId="79684923" w14:textId="46307680" w:rsidR="000727D6" w:rsidRPr="00DB4763" w:rsidRDefault="000727D6" w:rsidP="000727D6">
            <w:pPr>
              <w:jc w:val="both"/>
              <w:rPr>
                <w:sz w:val="24"/>
                <w:szCs w:val="24"/>
              </w:rPr>
            </w:pPr>
            <w:r w:rsidRPr="00DB4763">
              <w:rPr>
                <w:sz w:val="24"/>
                <w:szCs w:val="24"/>
              </w:rPr>
              <w:tab/>
            </w:r>
          </w:p>
          <w:p w14:paraId="30CAB9BA" w14:textId="77777777" w:rsidR="000727D6" w:rsidRDefault="000727D6" w:rsidP="000727D6">
            <w:pPr>
              <w:jc w:val="both"/>
              <w:rPr>
                <w:sz w:val="24"/>
                <w:szCs w:val="24"/>
              </w:rPr>
            </w:pPr>
            <w:r w:rsidRPr="00DB4763">
              <w:rPr>
                <w:sz w:val="24"/>
                <w:szCs w:val="24"/>
              </w:rPr>
              <w:t xml:space="preserve">As mentioned at the beginning of my report I am confident </w:t>
            </w:r>
            <w:r>
              <w:rPr>
                <w:sz w:val="24"/>
                <w:szCs w:val="24"/>
              </w:rPr>
              <w:t>that I have first-hand experience of evidencing the development of the learner, which is enhanced by feedback from individuals who access services and also from Colleagues in other Teams.</w:t>
            </w:r>
          </w:p>
          <w:p w14:paraId="6C43F1B4" w14:textId="77777777" w:rsidR="000727D6" w:rsidRDefault="000727D6" w:rsidP="000727D6">
            <w:pPr>
              <w:jc w:val="both"/>
              <w:rPr>
                <w:sz w:val="24"/>
                <w:szCs w:val="24"/>
              </w:rPr>
            </w:pPr>
            <w:r>
              <w:rPr>
                <w:sz w:val="24"/>
                <w:szCs w:val="24"/>
              </w:rPr>
              <w:t>Since starting the programme, the learner had identified confidence as an issue to practising as a social worker. However, this is not something I had experienced or observed, as the student had presented as confident and proficient in her knowledge and understanding of the service area, and whilst developing in her own practice I have seen that knowledge and understanding flourish. A contributing factor to this I believe is that the student has adopted a person-centred approach to practice and takes great interest in what she does. In addition to reflections and discussions in supervision. The learner is always well prepared and well read on subject matters, and regularly uses research to support her practice. She has the natural ability to apply theory to practice and has been enthusiastic about learning. She has made it her responsibility to actively seek out situations where she can shadow and observe the social work practice of her colleagues within the service area, to develop her own style of working. Her assessment and analytical skills have developed significantly since the beginning of the programme, and I believe this is a result of her enthusiasm and eagerness to develop as a social worker. She has the ability to self-reflect, and be self-aware, she has excellent listening skills, and shows a genuine interest in others which enhance her person-centred approach, and her ability to promote engagement and participation has been commendable.</w:t>
            </w:r>
          </w:p>
          <w:p w14:paraId="059C7E21" w14:textId="77777777" w:rsidR="000727D6" w:rsidRDefault="000727D6" w:rsidP="000727D6">
            <w:pPr>
              <w:jc w:val="both"/>
              <w:rPr>
                <w:sz w:val="24"/>
                <w:szCs w:val="24"/>
              </w:rPr>
            </w:pPr>
            <w:r>
              <w:rPr>
                <w:sz w:val="24"/>
                <w:szCs w:val="24"/>
              </w:rPr>
              <w:lastRenderedPageBreak/>
              <w:t>She has developed her ability to manage difficult situations, by personal reflection and using the supervision framework along with being able to effectively manage emotions and being confident and knowledgeable in her service area. Her application of professional judgement has developed significantly, and her ability to weigh up difficult decisions has been evidenced in her daily practice. Furthermore, she has had hands on experience of Safeguarding on numerous occasions and is proficient in recording and sharing this information with the relevant teams. She has also gained experience in attending strategy meetings and reporting her experiences.</w:t>
            </w:r>
          </w:p>
          <w:p w14:paraId="5F9F75A7" w14:textId="77777777" w:rsidR="000727D6" w:rsidRPr="004755A6" w:rsidRDefault="000727D6" w:rsidP="000727D6">
            <w:pPr>
              <w:jc w:val="both"/>
              <w:rPr>
                <w:sz w:val="24"/>
                <w:szCs w:val="24"/>
              </w:rPr>
            </w:pPr>
            <w:r>
              <w:rPr>
                <w:sz w:val="24"/>
                <w:szCs w:val="24"/>
              </w:rPr>
              <w:t xml:space="preserve">I have witnessed her interactions with individuals who have accessed services and she has a natural and confident approach. Equally she is confident in situations with </w:t>
            </w:r>
            <w:r w:rsidRPr="004755A6">
              <w:rPr>
                <w:sz w:val="24"/>
                <w:szCs w:val="24"/>
              </w:rPr>
              <w:t>her peers and management and works collaboratively to achieve best outcomes.</w:t>
            </w:r>
          </w:p>
          <w:p w14:paraId="03717451" w14:textId="77777777" w:rsidR="000727D6" w:rsidRPr="004755A6" w:rsidRDefault="000727D6" w:rsidP="000727D6">
            <w:pPr>
              <w:tabs>
                <w:tab w:val="left" w:pos="5268"/>
              </w:tabs>
              <w:jc w:val="both"/>
              <w:rPr>
                <w:sz w:val="24"/>
                <w:szCs w:val="24"/>
              </w:rPr>
            </w:pPr>
          </w:p>
          <w:p w14:paraId="32880970" w14:textId="77777777" w:rsidR="000727D6" w:rsidRDefault="000727D6" w:rsidP="000727D6">
            <w:pPr>
              <w:tabs>
                <w:tab w:val="left" w:pos="5268"/>
              </w:tabs>
              <w:jc w:val="both"/>
              <w:rPr>
                <w:sz w:val="24"/>
                <w:szCs w:val="24"/>
              </w:rPr>
            </w:pPr>
            <w:r w:rsidRPr="004755A6">
              <w:rPr>
                <w:sz w:val="24"/>
                <w:szCs w:val="24"/>
              </w:rPr>
              <w:t>She has embraced situations where she can support others and is eager to continue her professional development in undertaking further training to become a practice assessor, having already supported me in my role as a practice assessor is assisting with undertaking direct observations.</w:t>
            </w:r>
            <w:r>
              <w:rPr>
                <w:sz w:val="24"/>
                <w:szCs w:val="24"/>
              </w:rPr>
              <w:t xml:space="preserve"> Her written work is of a very high standard, and she diligently analyses and records her interactions very well.</w:t>
            </w:r>
          </w:p>
          <w:p w14:paraId="27DEE881" w14:textId="77777777" w:rsidR="000727D6" w:rsidRPr="00856FCA" w:rsidRDefault="000727D6" w:rsidP="000727D6">
            <w:pPr>
              <w:tabs>
                <w:tab w:val="left" w:pos="5268"/>
              </w:tabs>
              <w:jc w:val="both"/>
              <w:rPr>
                <w:sz w:val="24"/>
                <w:szCs w:val="24"/>
              </w:rPr>
            </w:pPr>
            <w:r w:rsidRPr="00856FCA">
              <w:rPr>
                <w:sz w:val="24"/>
                <w:szCs w:val="24"/>
              </w:rPr>
              <w:t>The learner has also demonstrated her ability to adhere to the Code of Professional Practice/ National Occupational Standards for social workers to an exceptionally high standard, throughout her learning experience. Her social work values are expressed positively in her interactions with individuals, with evidence of empathy, respect, co production, competence embedded in her social work practice, and evidenced in observations of her practice.</w:t>
            </w:r>
          </w:p>
          <w:p w14:paraId="2D8A5609" w14:textId="77777777" w:rsidR="000727D6" w:rsidRDefault="000727D6" w:rsidP="000727D6">
            <w:pPr>
              <w:jc w:val="both"/>
            </w:pPr>
            <w:r>
              <w:t xml:space="preserve">. </w:t>
            </w:r>
          </w:p>
          <w:p w14:paraId="575BDF1E" w14:textId="77777777" w:rsidR="00FC0334" w:rsidRDefault="00FC0334" w:rsidP="005D4F72">
            <w:pPr>
              <w:jc w:val="both"/>
              <w:rPr>
                <w:color w:val="auto"/>
                <w:sz w:val="24"/>
                <w:szCs w:val="24"/>
              </w:rPr>
            </w:pPr>
          </w:p>
          <w:p w14:paraId="7A8B71FD"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1F9C653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1. Name of Learner</w:t>
      </w:r>
      <w:r w:rsidR="009D59C2">
        <w:rPr>
          <w:b/>
          <w:sz w:val="24"/>
          <w:szCs w:val="24"/>
        </w:rPr>
        <w:t>:</w:t>
      </w:r>
      <w:r w:rsidRPr="008B28E7">
        <w:rPr>
          <w:b/>
          <w:sz w:val="24"/>
          <w:szCs w:val="24"/>
        </w:rPr>
        <w:t xml:space="preserve"> </w:t>
      </w:r>
      <w:r w:rsidR="0017691F">
        <w:rPr>
          <w:b/>
          <w:sz w:val="24"/>
          <w:szCs w:val="24"/>
        </w:rPr>
        <w:t>Hannah McCormack</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1CB2B463"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17691F">
        <w:rPr>
          <w:b/>
          <w:sz w:val="24"/>
          <w:szCs w:val="24"/>
        </w:rPr>
        <w:t xml:space="preserve"> </w:t>
      </w:r>
      <w:r w:rsidR="002220DF">
        <w:rPr>
          <w:b/>
          <w:sz w:val="24"/>
          <w:szCs w:val="24"/>
        </w:rPr>
        <w:t>1304464</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5451F6" w14:textId="13D9390A" w:rsidR="002220DF"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126CBDA9" w14:textId="77777777" w:rsidR="002220DF" w:rsidRPr="008B28E7" w:rsidRDefault="002220DF" w:rsidP="00FF7EBB">
      <w:pPr>
        <w:pBdr>
          <w:top w:val="single" w:sz="6" w:space="1" w:color="auto"/>
          <w:left w:val="single" w:sz="6" w:space="1" w:color="auto"/>
          <w:bottom w:val="single" w:sz="6" w:space="1" w:color="auto"/>
          <w:right w:val="single" w:sz="6" w:space="1" w:color="auto"/>
        </w:pBdr>
        <w:jc w:val="both"/>
        <w:rPr>
          <w:b/>
          <w:sz w:val="24"/>
          <w:szCs w:val="24"/>
        </w:rPr>
      </w:pPr>
    </w:p>
    <w:p w14:paraId="77A72D30" w14:textId="15B58F52" w:rsidR="004923DA" w:rsidRDefault="002220DF"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2 </w:t>
      </w:r>
      <w:proofErr w:type="spellStart"/>
      <w:r>
        <w:rPr>
          <w:b/>
          <w:sz w:val="24"/>
          <w:szCs w:val="24"/>
        </w:rPr>
        <w:t>Argoed</w:t>
      </w:r>
      <w:proofErr w:type="spellEnd"/>
      <w:r>
        <w:rPr>
          <w:b/>
          <w:sz w:val="24"/>
          <w:szCs w:val="24"/>
        </w:rPr>
        <w:t xml:space="preserve"> Crescent, </w:t>
      </w:r>
    </w:p>
    <w:p w14:paraId="6FBF5389" w14:textId="73913E8D" w:rsidR="002220DF" w:rsidRDefault="002220DF"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Trimsaran,</w:t>
      </w:r>
    </w:p>
    <w:p w14:paraId="3E47B43A" w14:textId="301C2269" w:rsidR="002220DF" w:rsidRDefault="002220DF"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Kidwelly,</w:t>
      </w:r>
    </w:p>
    <w:p w14:paraId="1B706D65" w14:textId="50071946" w:rsidR="002220DF" w:rsidRDefault="002220DF"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Carmarthenshire,</w:t>
      </w:r>
    </w:p>
    <w:p w14:paraId="21B49990" w14:textId="7C1B0DE3" w:rsidR="002220DF" w:rsidRPr="008B28E7" w:rsidRDefault="002220DF"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SA17 4DS</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04F645A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2220DF">
        <w:rPr>
          <w:b/>
          <w:sz w:val="24"/>
          <w:szCs w:val="24"/>
        </w:rPr>
        <w:t xml:space="preserve"> 07572071744</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2B2BB6D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2220DF">
        <w:rPr>
          <w:b/>
          <w:sz w:val="24"/>
          <w:szCs w:val="24"/>
        </w:rPr>
        <w:t xml:space="preserve"> 1304464@student.uwtsd.ac.uk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6588DC6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2220DF">
        <w:rPr>
          <w:b/>
          <w:sz w:val="24"/>
          <w:szCs w:val="24"/>
        </w:rPr>
        <w:t>29/01/2021</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206BDB5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2220DF">
        <w:rPr>
          <w:b/>
          <w:sz w:val="24"/>
          <w:szCs w:val="24"/>
        </w:rPr>
        <w:t xml:space="preserve"> 12/08/2021</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49C5BCD3"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2220DF">
        <w:rPr>
          <w:b/>
          <w:sz w:val="24"/>
          <w:szCs w:val="24"/>
        </w:rPr>
        <w:t>: Carmarthenshire County Council</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0816AE2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2220DF">
        <w:rPr>
          <w:b/>
          <w:sz w:val="24"/>
          <w:szCs w:val="24"/>
        </w:rPr>
        <w:t xml:space="preserve"> Progression and Review Team</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472DDFA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2220DF">
        <w:rPr>
          <w:b/>
          <w:sz w:val="24"/>
          <w:szCs w:val="24"/>
        </w:rPr>
        <w:t xml:space="preserve"> Ffiona Edwards</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449EFB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2220DF">
        <w:rPr>
          <w:b/>
          <w:sz w:val="24"/>
          <w:szCs w:val="24"/>
        </w:rPr>
        <w:t xml:space="preserve"> 3 Spilman Street, Carmarthen, SA31 1LE. </w:t>
      </w:r>
    </w:p>
    <w:p w14:paraId="6AEA41C2" w14:textId="699F979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p>
    <w:p w14:paraId="37E9A018" w14:textId="573828BD"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891CD9">
        <w:rPr>
          <w:b/>
          <w:sz w:val="24"/>
          <w:szCs w:val="24"/>
        </w:rPr>
        <w:t>FEdwards@carmarthenshire.gov.uk</w:t>
      </w:r>
    </w:p>
    <w:p w14:paraId="2E74C1B4" w14:textId="77777777" w:rsidR="00891CD9" w:rsidRDefault="00891CD9" w:rsidP="00C65921">
      <w:pPr>
        <w:pBdr>
          <w:top w:val="single" w:sz="6" w:space="1" w:color="auto"/>
          <w:left w:val="single" w:sz="6" w:space="1" w:color="auto"/>
          <w:bottom w:val="single" w:sz="6" w:space="1" w:color="auto"/>
          <w:right w:val="single" w:sz="6" w:space="1" w:color="auto"/>
        </w:pBdr>
        <w:jc w:val="both"/>
        <w:rPr>
          <w:b/>
          <w:sz w:val="24"/>
          <w:szCs w:val="24"/>
        </w:rPr>
      </w:pP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6247359D"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00891CD9">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77C97B5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891CD9">
        <w:rPr>
          <w:b/>
          <w:sz w:val="24"/>
          <w:szCs w:val="24"/>
        </w:rPr>
        <w:t xml:space="preserve"> Ffiona Edwards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4B9ABC7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891CD9">
        <w:rPr>
          <w:b/>
          <w:sz w:val="24"/>
          <w:szCs w:val="24"/>
        </w:rPr>
        <w:t xml:space="preserve"> 3 Spilman Street, Carmarthen, SA31 1LE.</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749634B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891CD9">
        <w:rPr>
          <w:b/>
          <w:sz w:val="24"/>
          <w:szCs w:val="24"/>
        </w:rPr>
        <w:t xml:space="preserve"> FEdwards@carmarthenshire.gov.uk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7B6982EC" w:rsidR="004923DA" w:rsidRDefault="004923DA" w:rsidP="00FF7EBB">
            <w:pPr>
              <w:jc w:val="both"/>
              <w:rPr>
                <w:b/>
                <w:sz w:val="24"/>
                <w:szCs w:val="24"/>
              </w:rPr>
            </w:pPr>
            <w:r w:rsidRPr="008B28E7">
              <w:rPr>
                <w:b/>
                <w:sz w:val="24"/>
                <w:szCs w:val="24"/>
              </w:rPr>
              <w:t>Name:</w:t>
            </w:r>
            <w:r w:rsidR="00891CD9">
              <w:rPr>
                <w:b/>
                <w:sz w:val="24"/>
                <w:szCs w:val="24"/>
              </w:rPr>
              <w:t xml:space="preserve"> Gwilym Lewis </w:t>
            </w:r>
          </w:p>
          <w:p w14:paraId="4EF4A770" w14:textId="77777777" w:rsidR="004923DA" w:rsidRPr="008B28E7" w:rsidRDefault="004923DA" w:rsidP="00FF7EBB">
            <w:pPr>
              <w:jc w:val="both"/>
              <w:rPr>
                <w:b/>
                <w:sz w:val="24"/>
                <w:szCs w:val="24"/>
              </w:rPr>
            </w:pPr>
          </w:p>
          <w:p w14:paraId="1AC8522D" w14:textId="1C9F08DE" w:rsidR="004923DA" w:rsidRDefault="004923DA" w:rsidP="00FF7EBB">
            <w:pPr>
              <w:jc w:val="both"/>
              <w:rPr>
                <w:b/>
                <w:sz w:val="24"/>
                <w:szCs w:val="24"/>
              </w:rPr>
            </w:pPr>
            <w:r w:rsidRPr="008B28E7">
              <w:rPr>
                <w:b/>
                <w:sz w:val="24"/>
                <w:szCs w:val="24"/>
              </w:rPr>
              <w:t xml:space="preserve">Work Address: </w:t>
            </w:r>
            <w:r w:rsidR="00891CD9">
              <w:rPr>
                <w:b/>
                <w:sz w:val="24"/>
                <w:szCs w:val="24"/>
              </w:rPr>
              <w:t>Substance Misuse Team, Ty Elwyn, Church Street, Llanelli, SA15 3AP</w:t>
            </w:r>
          </w:p>
          <w:p w14:paraId="42BF3097" w14:textId="251E12CC" w:rsidR="009D59C2" w:rsidRDefault="009D59C2" w:rsidP="00FF7EBB">
            <w:pPr>
              <w:jc w:val="both"/>
              <w:rPr>
                <w:b/>
                <w:sz w:val="24"/>
                <w:szCs w:val="24"/>
              </w:rPr>
            </w:pPr>
          </w:p>
          <w:p w14:paraId="6E1CBC17" w14:textId="77F29AC0" w:rsidR="004923DA" w:rsidRPr="008B28E7" w:rsidRDefault="004923DA" w:rsidP="00FF7EBB">
            <w:pPr>
              <w:jc w:val="both"/>
              <w:rPr>
                <w:b/>
                <w:sz w:val="24"/>
                <w:szCs w:val="24"/>
              </w:rPr>
            </w:pPr>
            <w:r w:rsidRPr="008B28E7">
              <w:rPr>
                <w:b/>
                <w:sz w:val="24"/>
                <w:szCs w:val="24"/>
              </w:rPr>
              <w:t>Professional Qualification and date of qualification:</w:t>
            </w:r>
            <w:r w:rsidR="00643937">
              <w:rPr>
                <w:b/>
                <w:sz w:val="24"/>
                <w:szCs w:val="24"/>
              </w:rPr>
              <w:t xml:space="preserve"> Swansea University Social Work Qualification 2010.</w:t>
            </w:r>
          </w:p>
          <w:p w14:paraId="5F68A3CF" w14:textId="77777777" w:rsidR="004923DA" w:rsidRDefault="004923DA" w:rsidP="00FF7EBB">
            <w:pPr>
              <w:jc w:val="both"/>
              <w:rPr>
                <w:b/>
                <w:sz w:val="24"/>
                <w:szCs w:val="24"/>
              </w:rPr>
            </w:pPr>
          </w:p>
          <w:p w14:paraId="4C6113F1" w14:textId="160D76CE" w:rsidR="004923DA" w:rsidRDefault="009D59C2" w:rsidP="00FF7EBB">
            <w:pPr>
              <w:jc w:val="both"/>
              <w:rPr>
                <w:b/>
                <w:sz w:val="24"/>
                <w:szCs w:val="24"/>
              </w:rPr>
            </w:pPr>
            <w:r>
              <w:rPr>
                <w:b/>
                <w:sz w:val="24"/>
                <w:szCs w:val="24"/>
              </w:rPr>
              <w:t>T</w:t>
            </w:r>
            <w:r w:rsidR="004923DA" w:rsidRPr="008B28E7">
              <w:rPr>
                <w:b/>
                <w:sz w:val="24"/>
                <w:szCs w:val="24"/>
              </w:rPr>
              <w:t>elephone number:</w:t>
            </w:r>
            <w:r w:rsidR="00891CD9">
              <w:rPr>
                <w:b/>
                <w:sz w:val="24"/>
                <w:szCs w:val="24"/>
              </w:rPr>
              <w:t xml:space="preserve"> </w:t>
            </w:r>
          </w:p>
          <w:p w14:paraId="0BB87919" w14:textId="548A11EF" w:rsidR="009D59C2" w:rsidRDefault="009D59C2" w:rsidP="00FF7EBB">
            <w:pPr>
              <w:jc w:val="both"/>
              <w:rPr>
                <w:b/>
                <w:sz w:val="24"/>
                <w:szCs w:val="24"/>
              </w:rPr>
            </w:pPr>
          </w:p>
          <w:p w14:paraId="4FDEE73F" w14:textId="7ABF421B" w:rsidR="009D59C2" w:rsidRPr="008B28E7" w:rsidRDefault="009D59C2" w:rsidP="00FF7EBB">
            <w:pPr>
              <w:jc w:val="both"/>
              <w:rPr>
                <w:b/>
                <w:sz w:val="24"/>
                <w:szCs w:val="24"/>
              </w:rPr>
            </w:pPr>
            <w:r>
              <w:rPr>
                <w:b/>
                <w:sz w:val="24"/>
                <w:szCs w:val="24"/>
              </w:rPr>
              <w:t>Email address:</w:t>
            </w:r>
            <w:r w:rsidR="00891CD9">
              <w:rPr>
                <w:b/>
                <w:sz w:val="24"/>
                <w:szCs w:val="24"/>
              </w:rPr>
              <w:t xml:space="preserve"> GLewis@carmarthenshire.gov.uk</w:t>
            </w:r>
          </w:p>
          <w:p w14:paraId="4346D2ED" w14:textId="77777777" w:rsidR="00B17FA0" w:rsidRPr="008B28E7" w:rsidRDefault="00B17FA0" w:rsidP="000E38C3">
            <w:pPr>
              <w:jc w:val="both"/>
              <w:rPr>
                <w:b/>
                <w:sz w:val="24"/>
                <w:szCs w:val="24"/>
              </w:rPr>
            </w:pPr>
          </w:p>
        </w:tc>
      </w:tr>
    </w:tbl>
    <w:p w14:paraId="5CCE71B1" w14:textId="77777777" w:rsidR="00643937" w:rsidRDefault="00643937" w:rsidP="00830DD1">
      <w:pPr>
        <w:rPr>
          <w:sz w:val="28"/>
          <w:szCs w:val="28"/>
        </w:rPr>
      </w:pPr>
    </w:p>
    <w:p w14:paraId="443A7E5E" w14:textId="77777777" w:rsidR="00CD0349" w:rsidRDefault="00CD0349" w:rsidP="00CD0349">
      <w:pPr>
        <w:keepNext/>
        <w:rPr>
          <w:b/>
          <w:sz w:val="28"/>
          <w:szCs w:val="28"/>
        </w:rPr>
      </w:pPr>
    </w:p>
    <w:p w14:paraId="34AAF0A1" w14:textId="77777777" w:rsidR="00CD0349" w:rsidRDefault="00CD0349" w:rsidP="00EE5BC3">
      <w:pPr>
        <w:keepNext/>
        <w:jc w:val="center"/>
        <w:rPr>
          <w:b/>
          <w:sz w:val="28"/>
          <w:szCs w:val="28"/>
        </w:rPr>
      </w:pPr>
    </w:p>
    <w:p w14:paraId="58E585B4" w14:textId="77777777" w:rsidR="00CD0349" w:rsidRDefault="00CD0349" w:rsidP="00EE5BC3">
      <w:pPr>
        <w:keepNext/>
        <w:jc w:val="center"/>
        <w:rPr>
          <w:b/>
          <w:sz w:val="28"/>
          <w:szCs w:val="28"/>
        </w:rPr>
      </w:pPr>
    </w:p>
    <w:p w14:paraId="5C03A014" w14:textId="77777777" w:rsidR="00CD0349" w:rsidRDefault="00CD0349" w:rsidP="00EE5BC3">
      <w:pPr>
        <w:keepNext/>
        <w:jc w:val="center"/>
        <w:rPr>
          <w:b/>
          <w:sz w:val="28"/>
          <w:szCs w:val="28"/>
        </w:rPr>
      </w:pPr>
    </w:p>
    <w:p w14:paraId="18A7B3F6" w14:textId="77777777" w:rsidR="00CD0349" w:rsidRDefault="00CD0349" w:rsidP="00EE5BC3">
      <w:pPr>
        <w:keepNext/>
        <w:jc w:val="center"/>
        <w:rPr>
          <w:b/>
          <w:sz w:val="28"/>
          <w:szCs w:val="28"/>
        </w:rPr>
      </w:pPr>
    </w:p>
    <w:p w14:paraId="130A20FC" w14:textId="77777777" w:rsidR="00CD0349" w:rsidRDefault="00CD0349" w:rsidP="00EE5BC3">
      <w:pPr>
        <w:keepNext/>
        <w:jc w:val="center"/>
        <w:rPr>
          <w:b/>
          <w:sz w:val="28"/>
          <w:szCs w:val="28"/>
        </w:rPr>
      </w:pPr>
    </w:p>
    <w:p w14:paraId="16B3B6DD" w14:textId="77777777" w:rsidR="00891CD9" w:rsidRDefault="00891CD9" w:rsidP="00EE5BC3">
      <w:pPr>
        <w:keepNext/>
        <w:jc w:val="center"/>
        <w:rPr>
          <w:b/>
          <w:sz w:val="28"/>
          <w:szCs w:val="28"/>
        </w:rPr>
      </w:pPr>
    </w:p>
    <w:p w14:paraId="78262AC4" w14:textId="6C912134"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w:t>
      </w:r>
      <w:proofErr w:type="gramStart"/>
      <w:r w:rsidR="0075704F">
        <w:rPr>
          <w:sz w:val="24"/>
          <w:szCs w:val="24"/>
        </w:rPr>
        <w:t>e.g.</w:t>
      </w:r>
      <w:proofErr w:type="gramEnd"/>
      <w:r w:rsidR="0075704F">
        <w:rPr>
          <w:sz w:val="24"/>
          <w:szCs w:val="24"/>
        </w:rPr>
        <w:t xml:space="preserve">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1E60CFE1" w:rsidR="00B577D3" w:rsidRDefault="00B04E3A" w:rsidP="00FF7EBB">
      <w:pPr>
        <w:pBdr>
          <w:top w:val="single" w:sz="6" w:space="1" w:color="auto"/>
          <w:left w:val="single" w:sz="6" w:space="1" w:color="auto"/>
          <w:bottom w:val="single" w:sz="6" w:space="1" w:color="auto"/>
          <w:right w:val="single" w:sz="6" w:space="1" w:color="auto"/>
        </w:pBdr>
        <w:jc w:val="both"/>
        <w:rPr>
          <w:sz w:val="24"/>
          <w:szCs w:val="24"/>
        </w:rPr>
      </w:pPr>
      <w:r>
        <w:rPr>
          <w:noProof/>
        </w:rPr>
        <w:drawing>
          <wp:anchor distT="0" distB="0" distL="114300" distR="114300" simplePos="0" relativeHeight="251669504" behindDoc="0" locked="0" layoutInCell="1" allowOverlap="1" wp14:anchorId="60B1B8BE" wp14:editId="3DDC0EBA">
            <wp:simplePos x="0" y="0"/>
            <wp:positionH relativeFrom="margin">
              <wp:posOffset>795130</wp:posOffset>
            </wp:positionH>
            <wp:positionV relativeFrom="paragraph">
              <wp:posOffset>7648</wp:posOffset>
            </wp:positionV>
            <wp:extent cx="1117600" cy="265430"/>
            <wp:effectExtent l="0" t="0" r="6350" b="1270"/>
            <wp:wrapThrough wrapText="bothSides">
              <wp:wrapPolygon edited="0">
                <wp:start x="0" y="0"/>
                <wp:lineTo x="0" y="20153"/>
                <wp:lineTo x="21355" y="20153"/>
                <wp:lineTo x="21355" y="0"/>
                <wp:lineTo x="0" y="0"/>
              </wp:wrapPolygon>
            </wp:wrapThrough>
            <wp:docPr id="215928955" name="Picture 215928955" descr="A close up of a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063399" name="Picture 1" descr="A close up of a letter&#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1117600" cy="265430"/>
                    </a:xfrm>
                    <a:prstGeom prst="rect">
                      <a:avLst/>
                    </a:prstGeom>
                  </pic:spPr>
                </pic:pic>
              </a:graphicData>
            </a:graphic>
            <wp14:sizeRelH relativeFrom="margin">
              <wp14:pctWidth>0</wp14:pctWidth>
            </wp14:sizeRelH>
            <wp14:sizeRelV relativeFrom="margin">
              <wp14:pctHeight>0</wp14:pctHeight>
            </wp14:sizeRelV>
          </wp:anchor>
        </w:drawing>
      </w:r>
      <w:r w:rsidR="00B577D3">
        <w:rPr>
          <w:sz w:val="24"/>
          <w:szCs w:val="24"/>
        </w:rPr>
        <w:t xml:space="preserve">Signed: </w:t>
      </w:r>
      <w:r w:rsidR="009D59C2">
        <w:rPr>
          <w:sz w:val="24"/>
          <w:szCs w:val="24"/>
        </w:rPr>
        <w:t xml:space="preserve">  </w:t>
      </w:r>
      <w:r w:rsidR="00B577D3">
        <w:rPr>
          <w:sz w:val="24"/>
          <w:szCs w:val="24"/>
        </w:rPr>
        <w:t xml:space="preserve">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10B70710"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B04E3A">
        <w:rPr>
          <w:sz w:val="24"/>
          <w:szCs w:val="24"/>
        </w:rPr>
        <w:t>19/10/23</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45FA3FC0"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216F19AF" w:rsidR="004923DA" w:rsidRPr="008B28E7" w:rsidRDefault="00994071" w:rsidP="00FF7EBB">
      <w:pPr>
        <w:pBdr>
          <w:top w:val="single" w:sz="6" w:space="1" w:color="auto"/>
          <w:left w:val="single" w:sz="6" w:space="1" w:color="auto"/>
          <w:bottom w:val="single" w:sz="6" w:space="1" w:color="auto"/>
          <w:right w:val="single" w:sz="6" w:space="1" w:color="auto"/>
        </w:pBdr>
        <w:jc w:val="both"/>
        <w:rPr>
          <w:sz w:val="24"/>
          <w:szCs w:val="24"/>
        </w:rPr>
      </w:pPr>
      <w:r>
        <w:rPr>
          <w:noProof/>
        </w:rPr>
        <w:drawing>
          <wp:anchor distT="0" distB="0" distL="114300" distR="114300" simplePos="0" relativeHeight="251671552" behindDoc="0" locked="0" layoutInCell="1" allowOverlap="1" wp14:anchorId="6C67BF00" wp14:editId="0B6C4250">
            <wp:simplePos x="0" y="0"/>
            <wp:positionH relativeFrom="margin">
              <wp:posOffset>675861</wp:posOffset>
            </wp:positionH>
            <wp:positionV relativeFrom="paragraph">
              <wp:posOffset>82964</wp:posOffset>
            </wp:positionV>
            <wp:extent cx="1597660" cy="318770"/>
            <wp:effectExtent l="0" t="0" r="2540" b="5080"/>
            <wp:wrapTight wrapText="bothSides">
              <wp:wrapPolygon edited="0">
                <wp:start x="0" y="0"/>
                <wp:lineTo x="0" y="20653"/>
                <wp:lineTo x="21377" y="20653"/>
                <wp:lineTo x="21377" y="0"/>
                <wp:lineTo x="0" y="0"/>
              </wp:wrapPolygon>
            </wp:wrapTight>
            <wp:docPr id="2086957190" name="Picture 1" descr="A black and white photo of a street l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957190" name="Picture 1" descr="A black and white photo of a street light&#10;&#10;Description automatically generated"/>
                    <pic:cNvPicPr/>
                  </pic:nvPicPr>
                  <pic:blipFill>
                    <a:blip r:embed="rId39"/>
                    <a:stretch>
                      <a:fillRect/>
                    </a:stretch>
                  </pic:blipFill>
                  <pic:spPr>
                    <a:xfrm>
                      <a:off x="0" y="0"/>
                      <a:ext cx="1597660" cy="318770"/>
                    </a:xfrm>
                    <a:prstGeom prst="rect">
                      <a:avLst/>
                    </a:prstGeom>
                  </pic:spPr>
                </pic:pic>
              </a:graphicData>
            </a:graphic>
            <wp14:sizeRelH relativeFrom="margin">
              <wp14:pctWidth>0</wp14:pctWidth>
            </wp14:sizeRelH>
            <wp14:sizeRelV relativeFrom="margin">
              <wp14:pctHeight>0</wp14:pctHeight>
            </wp14:sizeRelV>
          </wp:anchor>
        </w:drawing>
      </w:r>
    </w:p>
    <w:p w14:paraId="791BE923" w14:textId="14691DED"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7C31F866"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5F0C0C">
        <w:rPr>
          <w:noProof/>
        </w:rPr>
        <w:drawing>
          <wp:inline distT="0" distB="0" distL="0" distR="0" wp14:anchorId="5FC345C1" wp14:editId="72AE468B">
            <wp:extent cx="1192696" cy="372718"/>
            <wp:effectExtent l="0" t="0" r="7620" b="8890"/>
            <wp:docPr id="826370120" name="Picture 1" descr="A close-up of a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370120" name="Picture 1" descr="A close-up of a number&#10;&#10;Description automatically generated"/>
                    <pic:cNvPicPr/>
                  </pic:nvPicPr>
                  <pic:blipFill>
                    <a:blip r:embed="rId40"/>
                    <a:stretch>
                      <a:fillRect/>
                    </a:stretch>
                  </pic:blipFill>
                  <pic:spPr>
                    <a:xfrm>
                      <a:off x="0" y="0"/>
                      <a:ext cx="1243422" cy="388570"/>
                    </a:xfrm>
                    <a:prstGeom prst="rect">
                      <a:avLst/>
                    </a:prstGeom>
                  </pic:spPr>
                </pic:pic>
              </a:graphicData>
            </a:graphic>
          </wp:inline>
        </w:drawing>
      </w:r>
    </w:p>
    <w:p w14:paraId="60215842" w14:textId="6620D73D"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7E7674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6D833A3D" w:rsidR="00335C41" w:rsidRPr="00D3203C" w:rsidRDefault="003764C3" w:rsidP="00335C41">
            <w:pPr>
              <w:ind w:right="180"/>
              <w:jc w:val="both"/>
              <w:rPr>
                <w:sz w:val="24"/>
                <w:szCs w:val="24"/>
              </w:rPr>
            </w:pPr>
            <w:r>
              <w:rPr>
                <w:noProof/>
              </w:rPr>
              <w:drawing>
                <wp:anchor distT="0" distB="0" distL="114300" distR="114300" simplePos="0" relativeHeight="251667456" behindDoc="1" locked="0" layoutInCell="1" allowOverlap="1" wp14:anchorId="08DA4C92" wp14:editId="2E7418F6">
                  <wp:simplePos x="0" y="0"/>
                  <wp:positionH relativeFrom="margin">
                    <wp:posOffset>637706</wp:posOffset>
                  </wp:positionH>
                  <wp:positionV relativeFrom="paragraph">
                    <wp:posOffset>115791</wp:posOffset>
                  </wp:positionV>
                  <wp:extent cx="1313180" cy="353060"/>
                  <wp:effectExtent l="0" t="0" r="1270" b="8890"/>
                  <wp:wrapTight wrapText="bothSides">
                    <wp:wrapPolygon edited="0">
                      <wp:start x="0" y="0"/>
                      <wp:lineTo x="0" y="20978"/>
                      <wp:lineTo x="21308" y="20978"/>
                      <wp:lineTo x="21308" y="0"/>
                      <wp:lineTo x="0" y="0"/>
                    </wp:wrapPolygon>
                  </wp:wrapTight>
                  <wp:docPr id="2137639066" name="Picture 2137639066"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096678" name="Picture 1" descr="A close up of a sign&#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1313180" cy="353060"/>
                          </a:xfrm>
                          <a:prstGeom prst="rect">
                            <a:avLst/>
                          </a:prstGeom>
                        </pic:spPr>
                      </pic:pic>
                    </a:graphicData>
                  </a:graphic>
                  <wp14:sizeRelH relativeFrom="margin">
                    <wp14:pctWidth>0</wp14:pctWidth>
                  </wp14:sizeRelH>
                  <wp14:sizeRelV relativeFrom="margin">
                    <wp14:pctHeight>0</wp14:pctHeight>
                  </wp14:sizeRelV>
                </wp:anchor>
              </w:drawing>
            </w:r>
          </w:p>
          <w:p w14:paraId="12F66D0C" w14:textId="4756F1B3" w:rsidR="00335C41" w:rsidRPr="00D3203C" w:rsidRDefault="00335C41" w:rsidP="00335C41">
            <w:pPr>
              <w:ind w:right="180"/>
              <w:jc w:val="both"/>
              <w:rPr>
                <w:sz w:val="24"/>
                <w:szCs w:val="24"/>
              </w:rPr>
            </w:pPr>
            <w:r w:rsidRPr="00D3203C">
              <w:rPr>
                <w:sz w:val="24"/>
                <w:szCs w:val="24"/>
              </w:rPr>
              <w:t>Signed</w:t>
            </w:r>
            <w:r w:rsidR="003764C3">
              <w:rPr>
                <w:sz w:val="24"/>
                <w:szCs w:val="24"/>
              </w:rPr>
              <w:t xml:space="preserve"> </w:t>
            </w:r>
            <w:r w:rsidRPr="00D3203C">
              <w:rPr>
                <w:sz w:val="24"/>
                <w:szCs w:val="24"/>
              </w:rPr>
              <w:t xml:space="preserve"> (Mentor)</w:t>
            </w:r>
          </w:p>
          <w:p w14:paraId="5D3F0767" w14:textId="77777777" w:rsidR="00335C41" w:rsidRPr="00D3203C" w:rsidRDefault="00335C41" w:rsidP="00335C41">
            <w:pPr>
              <w:ind w:right="180"/>
              <w:jc w:val="both"/>
              <w:rPr>
                <w:sz w:val="24"/>
                <w:szCs w:val="24"/>
              </w:rPr>
            </w:pPr>
          </w:p>
          <w:p w14:paraId="24E1B8A5" w14:textId="24FB8FDD" w:rsidR="00335C41" w:rsidRPr="00D3203C" w:rsidRDefault="00335C41" w:rsidP="00335C41">
            <w:pPr>
              <w:ind w:right="180"/>
              <w:jc w:val="both"/>
              <w:rPr>
                <w:sz w:val="24"/>
                <w:szCs w:val="24"/>
              </w:rPr>
            </w:pPr>
            <w:r w:rsidRPr="00D3203C">
              <w:rPr>
                <w:sz w:val="24"/>
                <w:szCs w:val="24"/>
              </w:rPr>
              <w:t xml:space="preserve">Date </w:t>
            </w:r>
            <w:r w:rsidR="003764C3">
              <w:rPr>
                <w:sz w:val="24"/>
                <w:szCs w:val="24"/>
              </w:rPr>
              <w:t>19/10/2023</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467214EC" w14:textId="77777777" w:rsidR="00CD0349" w:rsidRDefault="00CD0349">
      <w:pPr>
        <w:ind w:right="180"/>
        <w:jc w:val="both"/>
        <w:rPr>
          <w:b/>
          <w:bCs/>
          <w:sz w:val="24"/>
          <w:szCs w:val="24"/>
        </w:rPr>
      </w:pPr>
    </w:p>
    <w:p w14:paraId="706A1AF1" w14:textId="06A015D4"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65F89F2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03058">
        <w:rPr>
          <w:caps/>
          <w:sz w:val="24"/>
          <w:szCs w:val="24"/>
        </w:rPr>
        <w:t>FFIONA eDWARDS</w:t>
      </w:r>
    </w:p>
    <w:p w14:paraId="7C11F360" w14:textId="312B4F8C" w:rsidR="004923DA" w:rsidRPr="008B28E7" w:rsidRDefault="00B03058"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Pr>
          <w:noProof/>
        </w:rPr>
        <w:drawing>
          <wp:anchor distT="0" distB="0" distL="114300" distR="114300" simplePos="0" relativeHeight="251665408" behindDoc="1" locked="0" layoutInCell="1" allowOverlap="1" wp14:anchorId="025F0758" wp14:editId="185B2645">
            <wp:simplePos x="0" y="0"/>
            <wp:positionH relativeFrom="margin">
              <wp:posOffset>2623931</wp:posOffset>
            </wp:positionH>
            <wp:positionV relativeFrom="paragraph">
              <wp:posOffset>23219</wp:posOffset>
            </wp:positionV>
            <wp:extent cx="1313180" cy="353060"/>
            <wp:effectExtent l="0" t="0" r="1270" b="8890"/>
            <wp:wrapTight wrapText="bothSides">
              <wp:wrapPolygon edited="0">
                <wp:start x="0" y="0"/>
                <wp:lineTo x="0" y="20978"/>
                <wp:lineTo x="21308" y="20978"/>
                <wp:lineTo x="21308" y="0"/>
                <wp:lineTo x="0" y="0"/>
              </wp:wrapPolygon>
            </wp:wrapTight>
            <wp:docPr id="607076854" name="Picture 607076854"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096678" name="Picture 1" descr="A close up of a sign&#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1313180" cy="353060"/>
                    </a:xfrm>
                    <a:prstGeom prst="rect">
                      <a:avLst/>
                    </a:prstGeom>
                  </pic:spPr>
                </pic:pic>
              </a:graphicData>
            </a:graphic>
            <wp14:sizeRelH relativeFrom="margin">
              <wp14:pctWidth>0</wp14:pctWidth>
            </wp14:sizeRelH>
            <wp14:sizeRelV relativeFrom="margin">
              <wp14:pctHeight>0</wp14:pctHeight>
            </wp14:sizeRelV>
          </wp:anchor>
        </w:drawing>
      </w:r>
      <w:r w:rsidR="004923DA" w:rsidRPr="008B28E7">
        <w:rPr>
          <w:caps/>
          <w:sz w:val="24"/>
          <w:szCs w:val="24"/>
        </w:rPr>
        <w:t>Signature of LINE MANAGER</w:t>
      </w:r>
      <w:r w:rsidR="009D59C2">
        <w:rPr>
          <w:sz w:val="24"/>
          <w:szCs w:val="24"/>
        </w:rPr>
        <w:t xml:space="preserve">:  </w:t>
      </w:r>
    </w:p>
    <w:p w14:paraId="57B2A00A" w14:textId="7DC0AF73"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3764C3">
        <w:rPr>
          <w:sz w:val="24"/>
          <w:szCs w:val="24"/>
        </w:rPr>
        <w:t>19/10/2023</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4F00D541" w:rsidR="00986C0B" w:rsidRPr="00DA5682" w:rsidRDefault="00891CD9">
            <w:pPr>
              <w:rPr>
                <w:sz w:val="24"/>
                <w:szCs w:val="24"/>
              </w:rPr>
            </w:pPr>
            <w:r>
              <w:rPr>
                <w:sz w:val="24"/>
                <w:szCs w:val="24"/>
              </w:rPr>
              <w:t>Hannah McCormack</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2DC7C7C0" w:rsidR="00986C0B" w:rsidRPr="00DA5682" w:rsidRDefault="00891CD9">
            <w:pPr>
              <w:rPr>
                <w:sz w:val="24"/>
                <w:szCs w:val="24"/>
              </w:rPr>
            </w:pPr>
            <w:r>
              <w:rPr>
                <w:sz w:val="24"/>
                <w:szCs w:val="24"/>
              </w:rPr>
              <w:t>Progression and Review Team</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5D9C1D5C" w:rsidR="00986C0B" w:rsidRPr="00DA5682" w:rsidRDefault="00891CD9">
            <w:pPr>
              <w:rPr>
                <w:sz w:val="24"/>
                <w:szCs w:val="24"/>
              </w:rPr>
            </w:pPr>
            <w:r>
              <w:rPr>
                <w:sz w:val="24"/>
                <w:szCs w:val="24"/>
              </w:rPr>
              <w:t>Ffiona Edwards</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6B1F2EB0" w:rsidR="00986C0B" w:rsidRPr="00DA5682" w:rsidRDefault="00891CD9">
            <w:pPr>
              <w:rPr>
                <w:sz w:val="24"/>
                <w:szCs w:val="24"/>
              </w:rPr>
            </w:pPr>
            <w:r>
              <w:rPr>
                <w:sz w:val="24"/>
                <w:szCs w:val="24"/>
              </w:rPr>
              <w:t>Ffiona Edwards</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proofErr w:type="gramStart"/>
      <w:r w:rsidR="00FA23BD">
        <w:rPr>
          <w:sz w:val="24"/>
          <w:szCs w:val="24"/>
        </w:rPr>
        <w:t>include;</w:t>
      </w:r>
      <w:proofErr w:type="gramEnd"/>
      <w:r w:rsidR="00FA23BD">
        <w:rPr>
          <w:sz w:val="24"/>
          <w:szCs w:val="24"/>
        </w:rPr>
        <w:t xml:space="preserv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t>
      </w:r>
      <w:proofErr w:type="gramStart"/>
      <w:r w:rsidR="00986C0B" w:rsidRPr="00DA5682">
        <w:rPr>
          <w:sz w:val="24"/>
          <w:szCs w:val="24"/>
        </w:rPr>
        <w:t>week</w:t>
      </w:r>
      <w:r w:rsidR="001359EE">
        <w:rPr>
          <w:sz w:val="24"/>
          <w:szCs w:val="24"/>
        </w:rPr>
        <w:t>-</w:t>
      </w:r>
      <w:r w:rsidR="00986C0B" w:rsidRPr="00DA5682">
        <w:rPr>
          <w:sz w:val="24"/>
          <w:szCs w:val="24"/>
        </w:rPr>
        <w:t>day</w:t>
      </w:r>
      <w:proofErr w:type="gramEnd"/>
      <w:r w:rsidR="00986C0B" w:rsidRPr="00DA5682">
        <w:rPr>
          <w:sz w:val="24"/>
          <w:szCs w:val="24"/>
        </w:rPr>
        <w:t xml:space="preserve">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 xml:space="preserve">rrange for eligible staff to join the </w:t>
      </w:r>
      <w:proofErr w:type="gramStart"/>
      <w:r w:rsidR="00986C0B" w:rsidRPr="00DA5682">
        <w:rPr>
          <w:sz w:val="24"/>
          <w:szCs w:val="24"/>
        </w:rPr>
        <w:t>programme</w:t>
      </w:r>
      <w:r>
        <w:rPr>
          <w:sz w:val="24"/>
          <w:szCs w:val="24"/>
        </w:rPr>
        <w:t>;</w:t>
      </w:r>
      <w:proofErr w:type="gramEnd"/>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sidR="001359EE">
        <w:rPr>
          <w:sz w:val="24"/>
          <w:szCs w:val="24"/>
        </w:rPr>
        <w:t>;</w:t>
      </w:r>
      <w:proofErr w:type="gramEnd"/>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w:t>
      </w:r>
      <w:r w:rsidR="004F4E33">
        <w:rPr>
          <w:sz w:val="24"/>
          <w:szCs w:val="24"/>
        </w:rPr>
        <w:t>r</w:t>
      </w:r>
      <w:r>
        <w:rPr>
          <w:sz w:val="24"/>
          <w:szCs w:val="24"/>
        </w:rPr>
        <w:t>ner</w:t>
      </w:r>
      <w:r w:rsidR="001359EE">
        <w:rPr>
          <w:sz w:val="24"/>
          <w:szCs w:val="24"/>
        </w:rPr>
        <w:t>;</w:t>
      </w:r>
      <w:proofErr w:type="gramEnd"/>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sidR="001359EE">
        <w:rPr>
          <w:sz w:val="24"/>
          <w:szCs w:val="24"/>
        </w:rPr>
        <w:t>;</w:t>
      </w:r>
      <w:proofErr w:type="gramEnd"/>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sidR="001359EE">
        <w:rPr>
          <w:sz w:val="24"/>
          <w:szCs w:val="24"/>
        </w:rPr>
        <w:t>;</w:t>
      </w:r>
      <w:proofErr w:type="gramEnd"/>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sidR="001359EE">
        <w:rPr>
          <w:sz w:val="24"/>
          <w:szCs w:val="24"/>
        </w:rPr>
        <w:t>;</w:t>
      </w:r>
      <w:proofErr w:type="gramEnd"/>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w:t>
      </w:r>
      <w:proofErr w:type="gramStart"/>
      <w:r w:rsidRPr="00DA5682">
        <w:rPr>
          <w:sz w:val="24"/>
          <w:szCs w:val="24"/>
        </w:rPr>
        <w:t>completion</w:t>
      </w:r>
      <w:r w:rsidR="001359EE">
        <w:rPr>
          <w:sz w:val="24"/>
          <w:szCs w:val="24"/>
        </w:rPr>
        <w:t>;</w:t>
      </w:r>
      <w:proofErr w:type="gramEnd"/>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helping to resolve any programme difficulties encountered by the learner, </w:t>
      </w:r>
      <w:proofErr w:type="gramStart"/>
      <w:r w:rsidRPr="00DA5682">
        <w:rPr>
          <w:sz w:val="24"/>
          <w:szCs w:val="24"/>
        </w:rPr>
        <w:t>mentor</w:t>
      </w:r>
      <w:proofErr w:type="gramEnd"/>
      <w:r w:rsidRPr="00DA5682">
        <w:rPr>
          <w:sz w:val="24"/>
          <w:szCs w:val="24"/>
        </w:rPr>
        <w:t xml:space="preserve">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sidR="001359EE">
        <w:rPr>
          <w:sz w:val="24"/>
          <w:szCs w:val="24"/>
        </w:rPr>
        <w:t>;</w:t>
      </w:r>
      <w:proofErr w:type="gramEnd"/>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appropriate internal training and arrange to attend these </w:t>
      </w:r>
      <w:proofErr w:type="gramStart"/>
      <w:r w:rsidR="00986C0B" w:rsidRPr="00DA5682">
        <w:rPr>
          <w:rFonts w:cs="Arial"/>
          <w:b w:val="0"/>
          <w:szCs w:val="24"/>
        </w:rPr>
        <w:t>courses</w:t>
      </w:r>
      <w:r>
        <w:rPr>
          <w:rFonts w:cs="Arial"/>
          <w:b w:val="0"/>
          <w:szCs w:val="24"/>
        </w:rPr>
        <w:t>;</w:t>
      </w:r>
      <w:proofErr w:type="gramEnd"/>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 xml:space="preserve">Manager any special requirements </w:t>
      </w:r>
      <w:proofErr w:type="gramStart"/>
      <w:r w:rsidR="00986C0B" w:rsidRPr="00DA5682">
        <w:rPr>
          <w:rFonts w:cs="Arial"/>
          <w:b w:val="0"/>
          <w:szCs w:val="24"/>
        </w:rPr>
        <w:t>e.g.</w:t>
      </w:r>
      <w:proofErr w:type="gramEnd"/>
      <w:r w:rsidR="00986C0B" w:rsidRPr="00DA5682">
        <w:rPr>
          <w:rFonts w:cs="Arial"/>
          <w:b w:val="0"/>
          <w:szCs w:val="24"/>
        </w:rPr>
        <w:t xml:space="preserve">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w:t>
      </w:r>
      <w:proofErr w:type="gramStart"/>
      <w:r w:rsidRPr="00DA5682">
        <w:rPr>
          <w:sz w:val="24"/>
          <w:szCs w:val="24"/>
        </w:rPr>
        <w:t>programme</w:t>
      </w:r>
      <w:r w:rsidR="001359EE">
        <w:rPr>
          <w:sz w:val="24"/>
          <w:szCs w:val="24"/>
        </w:rPr>
        <w:t>;</w:t>
      </w:r>
      <w:proofErr w:type="gramEnd"/>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sidR="001359EE">
        <w:rPr>
          <w:sz w:val="24"/>
          <w:szCs w:val="24"/>
        </w:rPr>
        <w:t>;</w:t>
      </w:r>
      <w:proofErr w:type="gramEnd"/>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sidR="001359EE">
        <w:rPr>
          <w:sz w:val="24"/>
          <w:szCs w:val="24"/>
        </w:rPr>
        <w:t>;</w:t>
      </w:r>
      <w:proofErr w:type="gramEnd"/>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sidR="001359EE">
        <w:rPr>
          <w:sz w:val="24"/>
          <w:szCs w:val="24"/>
        </w:rPr>
        <w:t>;</w:t>
      </w:r>
      <w:proofErr w:type="gramEnd"/>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affect completion of the programme by the agreed deadline or ability to attend a mandatory </w:t>
      </w:r>
      <w:proofErr w:type="gramStart"/>
      <w:r w:rsidRPr="00DA5682">
        <w:rPr>
          <w:sz w:val="24"/>
          <w:szCs w:val="24"/>
        </w:rPr>
        <w:t>workshop</w:t>
      </w:r>
      <w:r w:rsidR="001359EE">
        <w:rPr>
          <w:sz w:val="24"/>
          <w:szCs w:val="24"/>
        </w:rPr>
        <w:t>;</w:t>
      </w:r>
      <w:proofErr w:type="gramEnd"/>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xml:space="preserve">, research and portfolio </w:t>
      </w:r>
      <w:proofErr w:type="gramStart"/>
      <w:r w:rsidRPr="00DA5682">
        <w:rPr>
          <w:sz w:val="24"/>
          <w:szCs w:val="24"/>
        </w:rPr>
        <w:t>preparation</w:t>
      </w:r>
      <w:r w:rsidR="001359EE">
        <w:rPr>
          <w:sz w:val="24"/>
          <w:szCs w:val="24"/>
        </w:rPr>
        <w:t>;</w:t>
      </w:r>
      <w:proofErr w:type="gramEnd"/>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sidR="001359EE">
        <w:rPr>
          <w:sz w:val="24"/>
          <w:szCs w:val="24"/>
        </w:rPr>
        <w:t>;</w:t>
      </w:r>
      <w:proofErr w:type="gramEnd"/>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 xml:space="preserve">the employer’s and University’s policies, procedures and </w:t>
      </w:r>
      <w:proofErr w:type="gramStart"/>
      <w:r w:rsidRPr="00DA5682">
        <w:rPr>
          <w:sz w:val="24"/>
          <w:szCs w:val="24"/>
        </w:rPr>
        <w:t>processes</w:t>
      </w:r>
      <w:r w:rsidR="001359EE">
        <w:rPr>
          <w:sz w:val="24"/>
          <w:szCs w:val="24"/>
        </w:rPr>
        <w:t>;</w:t>
      </w:r>
      <w:proofErr w:type="gramEnd"/>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sidR="004538C3">
        <w:rPr>
          <w:sz w:val="24"/>
          <w:szCs w:val="24"/>
        </w:rPr>
        <w:t>;</w:t>
      </w:r>
      <w:proofErr w:type="gramEnd"/>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in order for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sidR="004538C3">
        <w:rPr>
          <w:sz w:val="24"/>
          <w:szCs w:val="24"/>
        </w:rPr>
        <w:t>;</w:t>
      </w:r>
      <w:proofErr w:type="gramEnd"/>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guide and support the learner for the duration of the </w:t>
      </w:r>
      <w:proofErr w:type="gramStart"/>
      <w:r w:rsidRPr="00DA5682">
        <w:rPr>
          <w:sz w:val="24"/>
          <w:szCs w:val="24"/>
        </w:rPr>
        <w:t>programme</w:t>
      </w:r>
      <w:r w:rsidR="004538C3">
        <w:rPr>
          <w:sz w:val="24"/>
          <w:szCs w:val="24"/>
        </w:rPr>
        <w:t>;</w:t>
      </w:r>
      <w:proofErr w:type="gramEnd"/>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 xml:space="preserve">agreed learning </w:t>
      </w:r>
      <w:proofErr w:type="gramStart"/>
      <w:r w:rsidRPr="00DA5682">
        <w:rPr>
          <w:sz w:val="24"/>
          <w:szCs w:val="24"/>
        </w:rPr>
        <w:t>needs</w:t>
      </w:r>
      <w:r w:rsidR="004538C3">
        <w:rPr>
          <w:sz w:val="24"/>
          <w:szCs w:val="24"/>
        </w:rPr>
        <w:t>;</w:t>
      </w:r>
      <w:proofErr w:type="gramEnd"/>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sidR="004538C3">
        <w:rPr>
          <w:sz w:val="24"/>
          <w:szCs w:val="24"/>
        </w:rPr>
        <w:t>;</w:t>
      </w:r>
      <w:proofErr w:type="gramEnd"/>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proofErr w:type="gramStart"/>
      <w:r w:rsidR="00EE5BC3" w:rsidRPr="00B436BF">
        <w:rPr>
          <w:sz w:val="24"/>
          <w:szCs w:val="24"/>
        </w:rPr>
        <w:t>)</w:t>
      </w:r>
      <w:r w:rsidR="004538C3">
        <w:rPr>
          <w:sz w:val="24"/>
          <w:szCs w:val="24"/>
        </w:rPr>
        <w:t>;</w:t>
      </w:r>
      <w:proofErr w:type="gramEnd"/>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3D8C2320" w:rsidR="00986C0B" w:rsidRPr="00DA5682" w:rsidRDefault="00667873" w:rsidP="00986C0B">
      <w:pPr>
        <w:rPr>
          <w:sz w:val="24"/>
          <w:szCs w:val="24"/>
        </w:rPr>
      </w:pPr>
      <w:r>
        <w:rPr>
          <w:noProof/>
        </w:rPr>
        <w:drawing>
          <wp:anchor distT="0" distB="0" distL="114300" distR="114300" simplePos="0" relativeHeight="251662336" behindDoc="1" locked="0" layoutInCell="1" allowOverlap="1" wp14:anchorId="229A6B6E" wp14:editId="42041CE1">
            <wp:simplePos x="0" y="0"/>
            <wp:positionH relativeFrom="margin">
              <wp:posOffset>5200153</wp:posOffset>
            </wp:positionH>
            <wp:positionV relativeFrom="paragraph">
              <wp:posOffset>96686</wp:posOffset>
            </wp:positionV>
            <wp:extent cx="914400" cy="328930"/>
            <wp:effectExtent l="0" t="0" r="0" b="0"/>
            <wp:wrapTight wrapText="bothSides">
              <wp:wrapPolygon edited="0">
                <wp:start x="0" y="0"/>
                <wp:lineTo x="0" y="20015"/>
                <wp:lineTo x="21150" y="20015"/>
                <wp:lineTo x="21150" y="0"/>
                <wp:lineTo x="0" y="0"/>
              </wp:wrapPolygon>
            </wp:wrapTight>
            <wp:docPr id="1870706314" name="Picture 1" descr="A close up of a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706314" name="Picture 1" descr="A close up of a number&#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914400" cy="328930"/>
                    </a:xfrm>
                    <a:prstGeom prst="rect">
                      <a:avLst/>
                    </a:prstGeom>
                  </pic:spPr>
                </pic:pic>
              </a:graphicData>
            </a:graphic>
            <wp14:sizeRelH relativeFrom="margin">
              <wp14:pctWidth>0</wp14:pctWidth>
            </wp14:sizeRelH>
            <wp14:sizeRelV relativeFrom="margin">
              <wp14:pctHeight>0</wp14:pctHeight>
            </wp14:sizeRelV>
          </wp:anchor>
        </w:drawing>
      </w:r>
    </w:p>
    <w:p w14:paraId="35B48005" w14:textId="60A88F3E" w:rsidR="00986C0B" w:rsidRPr="00DA5682" w:rsidRDefault="00667873" w:rsidP="00986C0B">
      <w:pPr>
        <w:rPr>
          <w:sz w:val="24"/>
          <w:szCs w:val="24"/>
        </w:rPr>
      </w:pPr>
      <w:r>
        <w:rPr>
          <w:noProof/>
        </w:rPr>
        <w:drawing>
          <wp:anchor distT="0" distB="0" distL="114300" distR="114300" simplePos="0" relativeHeight="251663360" behindDoc="0" locked="0" layoutInCell="1" allowOverlap="1" wp14:anchorId="7B41C214" wp14:editId="0DE9162B">
            <wp:simplePos x="0" y="0"/>
            <wp:positionH relativeFrom="column">
              <wp:posOffset>2836711</wp:posOffset>
            </wp:positionH>
            <wp:positionV relativeFrom="paragraph">
              <wp:posOffset>4970</wp:posOffset>
            </wp:positionV>
            <wp:extent cx="1581503" cy="262799"/>
            <wp:effectExtent l="0" t="0" r="0" b="4445"/>
            <wp:wrapThrough wrapText="bothSides">
              <wp:wrapPolygon edited="0">
                <wp:start x="0" y="0"/>
                <wp:lineTo x="0" y="20397"/>
                <wp:lineTo x="21340" y="20397"/>
                <wp:lineTo x="21340" y="0"/>
                <wp:lineTo x="0" y="0"/>
              </wp:wrapPolygon>
            </wp:wrapThrough>
            <wp:docPr id="1193951558" name="Picture 1" descr="A close up of a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951558" name="Picture 1" descr="A close up of a letter&#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1581503" cy="262799"/>
                    </a:xfrm>
                    <a:prstGeom prst="rect">
                      <a:avLst/>
                    </a:prstGeom>
                  </pic:spPr>
                </pic:pic>
              </a:graphicData>
            </a:graphic>
          </wp:anchor>
        </w:drawing>
      </w:r>
      <w:r>
        <w:rPr>
          <w:noProof/>
        </w:rPr>
        <w:drawing>
          <wp:anchor distT="0" distB="0" distL="114300" distR="114300" simplePos="0" relativeHeight="251661312" behindDoc="0" locked="0" layoutInCell="1" allowOverlap="1" wp14:anchorId="1867A10A" wp14:editId="29FC81F5">
            <wp:simplePos x="0" y="0"/>
            <wp:positionH relativeFrom="margin">
              <wp:posOffset>771055</wp:posOffset>
            </wp:positionH>
            <wp:positionV relativeFrom="paragraph">
              <wp:posOffset>4059</wp:posOffset>
            </wp:positionV>
            <wp:extent cx="1117600" cy="265430"/>
            <wp:effectExtent l="0" t="0" r="6350" b="1270"/>
            <wp:wrapThrough wrapText="bothSides">
              <wp:wrapPolygon edited="0">
                <wp:start x="0" y="0"/>
                <wp:lineTo x="0" y="20153"/>
                <wp:lineTo x="21355" y="20153"/>
                <wp:lineTo x="21355" y="0"/>
                <wp:lineTo x="0" y="0"/>
              </wp:wrapPolygon>
            </wp:wrapThrough>
            <wp:docPr id="1070063399" name="Picture 1" descr="A close up of a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063399" name="Picture 1" descr="A close up of a letter&#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1117600" cy="265430"/>
                    </a:xfrm>
                    <a:prstGeom prst="rect">
                      <a:avLst/>
                    </a:prstGeom>
                  </pic:spPr>
                </pic:pic>
              </a:graphicData>
            </a:graphic>
            <wp14:sizeRelH relativeFrom="margin">
              <wp14:pctWidth>0</wp14:pctWidth>
            </wp14:sizeRelH>
            <wp14:sizeRelV relativeFrom="margin">
              <wp14:pctHeight>0</wp14:pctHeight>
            </wp14:sizeRelV>
          </wp:anchor>
        </w:drawing>
      </w:r>
      <w:r w:rsidR="00986C0B" w:rsidRPr="00DA5682">
        <w:rPr>
          <w:sz w:val="24"/>
          <w:szCs w:val="24"/>
        </w:rPr>
        <w:t>Signed</w:t>
      </w:r>
      <w:r>
        <w:rPr>
          <w:sz w:val="24"/>
          <w:szCs w:val="24"/>
        </w:rPr>
        <w:t xml:space="preserve">                                      </w:t>
      </w:r>
      <w:r w:rsidR="00986C0B" w:rsidRPr="00DA5682">
        <w:rPr>
          <w:sz w:val="24"/>
          <w:szCs w:val="24"/>
        </w:rPr>
        <w:t xml:space="preserve"> Print Nam</w:t>
      </w:r>
      <w:r>
        <w:rPr>
          <w:sz w:val="24"/>
          <w:szCs w:val="24"/>
        </w:rPr>
        <w:t xml:space="preserve">                                                    </w:t>
      </w:r>
      <w:r w:rsidR="00986C0B" w:rsidRPr="00DA5682">
        <w:rPr>
          <w:sz w:val="24"/>
          <w:szCs w:val="24"/>
        </w:rPr>
        <w:t>Date</w:t>
      </w:r>
      <w:r>
        <w:rPr>
          <w:sz w:val="24"/>
          <w:szCs w:val="24"/>
        </w:rPr>
        <w:t xml:space="preserve">: </w:t>
      </w:r>
    </w:p>
    <w:p w14:paraId="68A01C33" w14:textId="7F7CAB7D" w:rsidR="00986C0B" w:rsidRPr="00DA5682" w:rsidRDefault="00986C0B" w:rsidP="00986C0B">
      <w:pPr>
        <w:rPr>
          <w:sz w:val="24"/>
          <w:szCs w:val="24"/>
        </w:rPr>
      </w:pPr>
      <w:r w:rsidRPr="00DA5682">
        <w:rPr>
          <w:sz w:val="24"/>
          <w:szCs w:val="24"/>
        </w:rPr>
        <w:t>(Learner)</w:t>
      </w:r>
    </w:p>
    <w:p w14:paraId="6166CF4E" w14:textId="3153AB61" w:rsidR="00986C0B" w:rsidRPr="00DA5682" w:rsidRDefault="003E4AF0" w:rsidP="00986C0B">
      <w:pPr>
        <w:rPr>
          <w:sz w:val="24"/>
          <w:szCs w:val="24"/>
        </w:rPr>
      </w:pPr>
      <w:r>
        <w:rPr>
          <w:noProof/>
        </w:rPr>
        <w:drawing>
          <wp:anchor distT="0" distB="0" distL="114300" distR="114300" simplePos="0" relativeHeight="251659264" behindDoc="1" locked="0" layoutInCell="1" allowOverlap="1" wp14:anchorId="6ED9C8D6" wp14:editId="14E06D58">
            <wp:simplePos x="0" y="0"/>
            <wp:positionH relativeFrom="column">
              <wp:posOffset>6080732</wp:posOffset>
            </wp:positionH>
            <wp:positionV relativeFrom="paragraph">
              <wp:posOffset>170953</wp:posOffset>
            </wp:positionV>
            <wp:extent cx="747395" cy="409575"/>
            <wp:effectExtent l="0" t="0" r="0" b="9525"/>
            <wp:wrapThrough wrapText="bothSides">
              <wp:wrapPolygon edited="0">
                <wp:start x="0" y="0"/>
                <wp:lineTo x="0" y="21098"/>
                <wp:lineTo x="20921" y="21098"/>
                <wp:lineTo x="20921" y="0"/>
                <wp:lineTo x="0" y="0"/>
              </wp:wrapPolygon>
            </wp:wrapThrough>
            <wp:docPr id="1112844551" name="Picture 1" descr="A close-up of a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844551" name="Picture 1" descr="A close-up of a number&#10;&#10;Description automatically generated"/>
                    <pic:cNvPicPr/>
                  </pic:nvPicPr>
                  <pic:blipFill>
                    <a:blip r:embed="rId44" cstate="print">
                      <a:extLst>
                        <a:ext uri="{28A0092B-C50C-407E-A947-70E740481C1C}">
                          <a14:useLocalDpi xmlns:a14="http://schemas.microsoft.com/office/drawing/2010/main" val="0"/>
                        </a:ext>
                      </a:extLst>
                    </a:blip>
                    <a:stretch>
                      <a:fillRect/>
                    </a:stretch>
                  </pic:blipFill>
                  <pic:spPr>
                    <a:xfrm>
                      <a:off x="0" y="0"/>
                      <a:ext cx="747395" cy="40957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1" locked="0" layoutInCell="1" allowOverlap="1" wp14:anchorId="5BFD9783" wp14:editId="16513621">
            <wp:simplePos x="0" y="0"/>
            <wp:positionH relativeFrom="margin">
              <wp:posOffset>650985</wp:posOffset>
            </wp:positionH>
            <wp:positionV relativeFrom="paragraph">
              <wp:posOffset>111567</wp:posOffset>
            </wp:positionV>
            <wp:extent cx="1313180" cy="353060"/>
            <wp:effectExtent l="0" t="0" r="1270" b="8890"/>
            <wp:wrapTight wrapText="bothSides">
              <wp:wrapPolygon edited="0">
                <wp:start x="0" y="0"/>
                <wp:lineTo x="0" y="20978"/>
                <wp:lineTo x="21308" y="20978"/>
                <wp:lineTo x="21308" y="0"/>
                <wp:lineTo x="0" y="0"/>
              </wp:wrapPolygon>
            </wp:wrapTight>
            <wp:docPr id="1967096678"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096678" name="Picture 1" descr="A close up of a sign&#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1313180" cy="353060"/>
                    </a:xfrm>
                    <a:prstGeom prst="rect">
                      <a:avLst/>
                    </a:prstGeom>
                  </pic:spPr>
                </pic:pic>
              </a:graphicData>
            </a:graphic>
            <wp14:sizeRelH relativeFrom="margin">
              <wp14:pctWidth>0</wp14:pctWidth>
            </wp14:sizeRelH>
            <wp14:sizeRelV relativeFrom="margin">
              <wp14:pctHeight>0</wp14:pctHeight>
            </wp14:sizeRelV>
          </wp:anchor>
        </w:drawing>
      </w:r>
    </w:p>
    <w:p w14:paraId="402BCA10" w14:textId="0ACE48E5" w:rsidR="00986C0B" w:rsidRPr="00DA5682" w:rsidRDefault="003E4AF0" w:rsidP="00986C0B">
      <w:pPr>
        <w:rPr>
          <w:sz w:val="24"/>
          <w:szCs w:val="24"/>
        </w:rPr>
      </w:pPr>
      <w:r>
        <w:rPr>
          <w:noProof/>
        </w:rPr>
        <w:drawing>
          <wp:anchor distT="0" distB="0" distL="114300" distR="114300" simplePos="0" relativeHeight="251660288" behindDoc="1" locked="0" layoutInCell="1" allowOverlap="1" wp14:anchorId="36271DDC" wp14:editId="2AAE4A70">
            <wp:simplePos x="0" y="0"/>
            <wp:positionH relativeFrom="margin">
              <wp:posOffset>3022821</wp:posOffset>
            </wp:positionH>
            <wp:positionV relativeFrom="paragraph">
              <wp:posOffset>6985</wp:posOffset>
            </wp:positionV>
            <wp:extent cx="1653540" cy="286385"/>
            <wp:effectExtent l="0" t="0" r="3810" b="0"/>
            <wp:wrapTight wrapText="bothSides">
              <wp:wrapPolygon edited="0">
                <wp:start x="0" y="0"/>
                <wp:lineTo x="0" y="20115"/>
                <wp:lineTo x="21401" y="20115"/>
                <wp:lineTo x="21401" y="0"/>
                <wp:lineTo x="0" y="0"/>
              </wp:wrapPolygon>
            </wp:wrapTight>
            <wp:docPr id="614254532" name="Picture 1" descr="A close 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254532" name="Picture 1" descr="A close up of a text&#10;&#10;Description automatically generated"/>
                    <pic:cNvPicPr/>
                  </pic:nvPicPr>
                  <pic:blipFill>
                    <a:blip r:embed="rId45" cstate="print">
                      <a:extLst>
                        <a:ext uri="{28A0092B-C50C-407E-A947-70E740481C1C}">
                          <a14:useLocalDpi xmlns:a14="http://schemas.microsoft.com/office/drawing/2010/main" val="0"/>
                        </a:ext>
                      </a:extLst>
                    </a:blip>
                    <a:stretch>
                      <a:fillRect/>
                    </a:stretch>
                  </pic:blipFill>
                  <pic:spPr>
                    <a:xfrm>
                      <a:off x="0" y="0"/>
                      <a:ext cx="1653540" cy="286385"/>
                    </a:xfrm>
                    <a:prstGeom prst="rect">
                      <a:avLst/>
                    </a:prstGeom>
                  </pic:spPr>
                </pic:pic>
              </a:graphicData>
            </a:graphic>
            <wp14:sizeRelH relativeFrom="margin">
              <wp14:pctWidth>0</wp14:pctWidth>
            </wp14:sizeRelH>
            <wp14:sizeRelV relativeFrom="margin">
              <wp14:pctHeight>0</wp14:pctHeight>
            </wp14:sizeRelV>
          </wp:anchor>
        </w:drawing>
      </w:r>
      <w:r w:rsidR="00986C0B" w:rsidRPr="00DA5682">
        <w:rPr>
          <w:sz w:val="24"/>
          <w:szCs w:val="24"/>
        </w:rPr>
        <w:t>Signed:</w:t>
      </w:r>
      <w:r w:rsidR="005A0856">
        <w:rPr>
          <w:sz w:val="24"/>
          <w:szCs w:val="24"/>
        </w:rPr>
        <w:t xml:space="preserve"> </w:t>
      </w:r>
      <w:r>
        <w:rPr>
          <w:sz w:val="24"/>
          <w:szCs w:val="24"/>
        </w:rPr>
        <w:t xml:space="preserve">                                 </w:t>
      </w:r>
      <w:r w:rsidR="00986C0B" w:rsidRPr="00DA5682">
        <w:rPr>
          <w:sz w:val="24"/>
          <w:szCs w:val="24"/>
        </w:rPr>
        <w:t>Print Name:</w:t>
      </w:r>
      <w:r w:rsidR="001D28B8">
        <w:rPr>
          <w:sz w:val="24"/>
          <w:szCs w:val="24"/>
        </w:rPr>
        <w:t xml:space="preserve">                              </w:t>
      </w:r>
      <w:r w:rsidR="00986C0B" w:rsidRPr="00DA5682">
        <w:rPr>
          <w:sz w:val="24"/>
          <w:szCs w:val="24"/>
        </w:rPr>
        <w:t>Date</w:t>
      </w:r>
    </w:p>
    <w:p w14:paraId="6AF3A2C6" w14:textId="782DDC53" w:rsidR="00986C0B" w:rsidRPr="00DA5682" w:rsidRDefault="00986C0B" w:rsidP="00986C0B">
      <w:pPr>
        <w:rPr>
          <w:sz w:val="24"/>
          <w:szCs w:val="24"/>
        </w:rPr>
      </w:pPr>
      <w:r w:rsidRPr="00DA5682">
        <w:rPr>
          <w:sz w:val="24"/>
          <w:szCs w:val="24"/>
        </w:rPr>
        <w:t>(Line Manager/Mentor)</w:t>
      </w:r>
    </w:p>
    <w:p w14:paraId="1FB87367" w14:textId="58D0F1B0" w:rsidR="00986C0B" w:rsidRPr="00DA5682" w:rsidRDefault="00986C0B" w:rsidP="00986C0B">
      <w:pPr>
        <w:rPr>
          <w:sz w:val="24"/>
          <w:szCs w:val="24"/>
        </w:rPr>
      </w:pPr>
    </w:p>
    <w:p w14:paraId="022FF86F" w14:textId="25C6B92D"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……………………….Date:……….</w:t>
      </w:r>
    </w:p>
    <w:p w14:paraId="055A6EC7" w14:textId="73D8FD53" w:rsidR="00986C0B" w:rsidRPr="00DA5682" w:rsidRDefault="00986C0B" w:rsidP="00986C0B">
      <w:pPr>
        <w:rPr>
          <w:sz w:val="24"/>
          <w:szCs w:val="24"/>
        </w:rPr>
      </w:pPr>
      <w:r w:rsidRPr="00DA5682">
        <w:rPr>
          <w:sz w:val="24"/>
          <w:szCs w:val="24"/>
        </w:rPr>
        <w:t>(Mentor, if different to above)</w:t>
      </w:r>
    </w:p>
    <w:p w14:paraId="79588176" w14:textId="108B6458" w:rsidR="00986C0B" w:rsidRPr="00DA5682" w:rsidRDefault="00986C0B" w:rsidP="00986C0B">
      <w:pPr>
        <w:rPr>
          <w:sz w:val="24"/>
          <w:szCs w:val="24"/>
        </w:rPr>
      </w:pPr>
    </w:p>
    <w:p w14:paraId="536B9367" w14:textId="0D8B70ED" w:rsidR="00986C0B" w:rsidRPr="00DA5682" w:rsidRDefault="00986C0B" w:rsidP="00986C0B">
      <w:pPr>
        <w:rPr>
          <w:sz w:val="24"/>
          <w:szCs w:val="24"/>
        </w:rPr>
      </w:pPr>
    </w:p>
    <w:p w14:paraId="6102B799" w14:textId="77F7C488"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698D068D" w:rsidR="00BB6638" w:rsidRPr="00BE10C2" w:rsidRDefault="00BB6638" w:rsidP="00BB6638">
      <w:pPr>
        <w:overflowPunct/>
        <w:autoSpaceDE/>
        <w:autoSpaceDN/>
        <w:adjustRightInd/>
        <w:textAlignment w:val="auto"/>
        <w:rPr>
          <w:color w:val="auto"/>
          <w:sz w:val="24"/>
          <w:szCs w:val="24"/>
        </w:rPr>
      </w:pPr>
    </w:p>
    <w:p w14:paraId="7F4433FA" w14:textId="5F752D14" w:rsidR="00CC135E" w:rsidRPr="00D9325C" w:rsidRDefault="00CC135E" w:rsidP="00090160">
      <w:pPr>
        <w:tabs>
          <w:tab w:val="left" w:pos="1590"/>
        </w:tabs>
        <w:rPr>
          <w:bCs/>
          <w:color w:val="auto"/>
          <w:sz w:val="24"/>
          <w:szCs w:val="24"/>
        </w:rPr>
      </w:pPr>
    </w:p>
    <w:sectPr w:rsidR="00CC135E" w:rsidRPr="00D9325C" w:rsidSect="00F15354">
      <w:headerReference w:type="default" r:id="rId46"/>
      <w:footerReference w:type="default" r:id="rId47"/>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674C6C" w14:textId="77777777" w:rsidR="00D1605C" w:rsidRDefault="00D1605C">
      <w:r>
        <w:separator/>
      </w:r>
    </w:p>
  </w:endnote>
  <w:endnote w:type="continuationSeparator" w:id="0">
    <w:p w14:paraId="732BA6F4" w14:textId="77777777" w:rsidR="00D1605C" w:rsidRDefault="00D160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C536FA" w14:textId="77777777" w:rsidR="00D1605C" w:rsidRDefault="00D1605C">
      <w:r>
        <w:separator/>
      </w:r>
    </w:p>
  </w:footnote>
  <w:footnote w:type="continuationSeparator" w:id="0">
    <w:p w14:paraId="49708431" w14:textId="77777777" w:rsidR="00D1605C" w:rsidRDefault="00D1605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27D6"/>
    <w:rsid w:val="00074461"/>
    <w:rsid w:val="000766EC"/>
    <w:rsid w:val="00080E58"/>
    <w:rsid w:val="00083D99"/>
    <w:rsid w:val="00084DA6"/>
    <w:rsid w:val="00084FAE"/>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691F"/>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D28B8"/>
    <w:rsid w:val="001E2EB6"/>
    <w:rsid w:val="001F4552"/>
    <w:rsid w:val="002019EB"/>
    <w:rsid w:val="00204B58"/>
    <w:rsid w:val="00205051"/>
    <w:rsid w:val="00211F65"/>
    <w:rsid w:val="00214047"/>
    <w:rsid w:val="00216563"/>
    <w:rsid w:val="0021792F"/>
    <w:rsid w:val="00220D06"/>
    <w:rsid w:val="002220DF"/>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5734F"/>
    <w:rsid w:val="00365DF9"/>
    <w:rsid w:val="0037066E"/>
    <w:rsid w:val="00372DB4"/>
    <w:rsid w:val="00373A36"/>
    <w:rsid w:val="0037419E"/>
    <w:rsid w:val="00375AF5"/>
    <w:rsid w:val="003761BD"/>
    <w:rsid w:val="003764C3"/>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AF0"/>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B12"/>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0856"/>
    <w:rsid w:val="005A1B4C"/>
    <w:rsid w:val="005A545C"/>
    <w:rsid w:val="005B271A"/>
    <w:rsid w:val="005B3A2D"/>
    <w:rsid w:val="005C1567"/>
    <w:rsid w:val="005C1F42"/>
    <w:rsid w:val="005C28D3"/>
    <w:rsid w:val="005C6CE5"/>
    <w:rsid w:val="005D3F07"/>
    <w:rsid w:val="005D4A1E"/>
    <w:rsid w:val="005D4F72"/>
    <w:rsid w:val="005E13EA"/>
    <w:rsid w:val="005E17F1"/>
    <w:rsid w:val="005F0C0C"/>
    <w:rsid w:val="005F64AA"/>
    <w:rsid w:val="005F7851"/>
    <w:rsid w:val="00606E27"/>
    <w:rsid w:val="006108C9"/>
    <w:rsid w:val="00614DF7"/>
    <w:rsid w:val="006179BB"/>
    <w:rsid w:val="0062158D"/>
    <w:rsid w:val="006223FD"/>
    <w:rsid w:val="006326D1"/>
    <w:rsid w:val="00632E0A"/>
    <w:rsid w:val="00633165"/>
    <w:rsid w:val="00643937"/>
    <w:rsid w:val="006447DE"/>
    <w:rsid w:val="00644889"/>
    <w:rsid w:val="0065276E"/>
    <w:rsid w:val="00654329"/>
    <w:rsid w:val="00654CEC"/>
    <w:rsid w:val="00655507"/>
    <w:rsid w:val="006579FD"/>
    <w:rsid w:val="006635E3"/>
    <w:rsid w:val="006669F3"/>
    <w:rsid w:val="0066787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1CD9"/>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8F60CF"/>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94071"/>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058"/>
    <w:rsid w:val="00B04E3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46C8"/>
    <w:rsid w:val="00C01D14"/>
    <w:rsid w:val="00C01D97"/>
    <w:rsid w:val="00C025B4"/>
    <w:rsid w:val="00C029EC"/>
    <w:rsid w:val="00C161FD"/>
    <w:rsid w:val="00C1677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349"/>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1605C"/>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9325C"/>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4B7A"/>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67715"/>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unhideWhenUsed/>
    <w:rsid w:val="005C1F4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ukpga/1989/41/contents" TargetMode="External"/><Relationship Id="rId18" Type="http://schemas.openxmlformats.org/officeDocument/2006/relationships/hyperlink" Target="https://www.legislation.gov.uk/ukpga/1998/42/contents" TargetMode="External"/><Relationship Id="rId26" Type="http://schemas.openxmlformats.org/officeDocument/2006/relationships/hyperlink" Target="https://www.equalityhumanrights.com/en/progress-disability-rights-united-kingdom-2023" TargetMode="External"/><Relationship Id="rId39" Type="http://schemas.openxmlformats.org/officeDocument/2006/relationships/image" Target="media/image3.png"/><Relationship Id="rId3" Type="http://schemas.openxmlformats.org/officeDocument/2006/relationships/customXml" Target="../customXml/item3.xml"/><Relationship Id="rId21" Type="http://schemas.openxmlformats.org/officeDocument/2006/relationships/hyperlink" Target="https://www.scie.org.uk/strengths-based%20approaches" TargetMode="External"/><Relationship Id="rId34" Type="http://schemas.openxmlformats.org/officeDocument/2006/relationships/hyperlink" Target="https://www.gov.wales/sites/default/files/publications/2022-01/working-together-to-safeguard-people--code-of-safeguarding-practice_0.pdf" TargetMode="External"/><Relationship Id="rId42" Type="http://schemas.openxmlformats.org/officeDocument/2006/relationships/image" Target="media/image6.jpeg"/><Relationship Id="rId47"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www.cqc.org.uk/sites/default/files/Brief_guide_Capacity_and_consent_in_under_18s%20v3.pdf" TargetMode="External"/><Relationship Id="rId17" Type="http://schemas.openxmlformats.org/officeDocument/2006/relationships/hyperlink" Target="https://doi.org/10.1080/21645515.2015.1091548" TargetMode="External"/><Relationship Id="rId25" Type="http://schemas.openxmlformats.org/officeDocument/2006/relationships/hyperlink" Target="https://www.legislation.gov.uk/wsi/2015/1466/pdfs/wsi_20151466_mi.pdf" TargetMode="External"/><Relationship Id="rId33" Type="http://schemas.openxmlformats.org/officeDocument/2006/relationships/hyperlink" Target="https://www.gov.wales/sites/default/files/publications/2022-01/working-together-to-safeguard-people--code-of-safeguarding-practice_0.pdf" TargetMode="External"/><Relationship Id="rId38" Type="http://schemas.openxmlformats.org/officeDocument/2006/relationships/image" Target="media/image2.jpeg"/><Relationship Id="rId46"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diversecymru.org.uk/wp-content/uploads/2021/11/Cultural-Competency-Toolkit.pdf" TargetMode="External"/><Relationship Id="rId20" Type="http://schemas.openxmlformats.org/officeDocument/2006/relationships/hyperlink" Target="https://www.legislation.gov.uk/ukpga1983/20/contents" TargetMode="External"/><Relationship Id="rId29" Type="http://schemas.openxmlformats.org/officeDocument/2006/relationships/hyperlink" Target="https://www.gov.wales/sites/default/files/publications/2019-05/part-4-code-of-practice-meeting-needs.pdf" TargetMode="External"/><Relationship Id="rId41" Type="http://schemas.openxmlformats.org/officeDocument/2006/relationships/image" Target="media/image5.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wales/sites/default/files/statistics-and-research/2019-11/welsh-index-multiple-deprivation-2019-results-report-024.pdf" TargetMode="External"/><Relationship Id="rId32" Type="http://schemas.openxmlformats.org/officeDocument/2006/relationships/hyperlink" Target="https://www.gov.wales/more-just-words-welsh-language-plan-health-and-social-care" TargetMode="External"/><Relationship Id="rId37" Type="http://schemas.openxmlformats.org/officeDocument/2006/relationships/hyperlink" Target="https://www.xcountycouncil.gov.wales/media/1231917/corporate-safeguarding-policy-march-2023-website-version-english.pdf" TargetMode="External"/><Relationship Id="rId40" Type="http://schemas.openxmlformats.org/officeDocument/2006/relationships/image" Target="media/image4.png"/><Relationship Id="rId45" Type="http://schemas.openxmlformats.org/officeDocument/2006/relationships/image" Target="media/image9.png"/><Relationship Id="rId5" Type="http://schemas.openxmlformats.org/officeDocument/2006/relationships/numbering" Target="numbering.xml"/><Relationship Id="rId15" Type="http://schemas.openxmlformats.org/officeDocument/2006/relationships/hyperlink" Target="https://www.legislation.gov.uk/ukpga/2018/12/wales" TargetMode="External"/><Relationship Id="rId23" Type="http://schemas.openxmlformats.org/officeDocument/2006/relationships/hyperlink" Target="https://www.legislation.gov.uk/anaw/2014/4/contents" TargetMode="External"/><Relationship Id="rId28" Type="http://schemas.openxmlformats.org/officeDocument/2006/relationships/hyperlink" Target="https://www.legislation.gov.uk/anaw/2015/2/contents/enacted" TargetMode="External"/><Relationship Id="rId36" Type="http://schemas.openxmlformats.org/officeDocument/2006/relationships/hyperlink" Target="https://doi.org/10.1108/jap-05-2017-0021" TargetMode="Externa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careknowledge.com/media/44813/sw-and-relationships.pdf" TargetMode="External"/><Relationship Id="rId31" Type="http://schemas.openxmlformats.org/officeDocument/2006/relationships/hyperlink" Target="https://www.gov.wales/sites/default/files/publications/2019-05/working-together-to-safeguard-people-volume-3-adult-practice-reviews.pdf" TargetMode="External"/><Relationship Id="rId44" Type="http://schemas.openxmlformats.org/officeDocument/2006/relationships/image" Target="media/image8.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legislation.gov.uk/ukpga/2004/31/contents" TargetMode="External"/><Relationship Id="rId22" Type="http://schemas.openxmlformats.org/officeDocument/2006/relationships/hyperlink" Target="https://socialcare.wales/cms-assets/documents/The-social-worker-April-2017.pdf" TargetMode="External"/><Relationship Id="rId27" Type="http://schemas.openxmlformats.org/officeDocument/2006/relationships/hyperlink" Target="https://www.ohchr.org/en/instruments-mechanisms/instruments/convention-rights-persons-disabilities" TargetMode="External"/><Relationship Id="rId30" Type="http://schemas.openxmlformats.org/officeDocument/2006/relationships/hyperlink" Target="https://www.gov.wales/sites/default/files/publications/2019-05/part-4-code-of-practice-meeting-needs.pdf" TargetMode="External"/><Relationship Id="rId35" Type="http://schemas.openxmlformats.org/officeDocument/2006/relationships/hyperlink" Target="https://www.welshlanguagecommissioner.wales/media/t1wdnzro/assurance-report-closing-the-gap-2019-20.pdf" TargetMode="External"/><Relationship Id="rId43" Type="http://schemas.openxmlformats.org/officeDocument/2006/relationships/image" Target="media/image7.jpeg"/><Relationship Id="rId48"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4.xml><?xml version="1.0" encoding="utf-8"?>
<ds:datastoreItem xmlns:ds="http://schemas.openxmlformats.org/officeDocument/2006/customXml" ds:itemID="{3CD26A26-0F21-429D-BF78-06AAEC6F3CF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19</Pages>
  <Words>5366</Words>
  <Characters>30591</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35886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 Hannah McCormack</cp:lastModifiedBy>
  <cp:revision>22</cp:revision>
  <cp:lastPrinted>2020-02-11T19:20:00Z</cp:lastPrinted>
  <dcterms:created xsi:type="dcterms:W3CDTF">2023-10-04T14:57:00Z</dcterms:created>
  <dcterms:modified xsi:type="dcterms:W3CDTF">2023-10-23T08:46:00Z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