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61007" w14:textId="47A1933E" w:rsidR="003C1399" w:rsidRPr="005A5DA4" w:rsidRDefault="003C1399" w:rsidP="00AC0D94">
      <w:pPr>
        <w:adjustRightInd w:val="0"/>
        <w:snapToGrid w:val="0"/>
        <w:jc w:val="center"/>
        <w:rPr>
          <w:rFonts w:ascii="Times New Roman" w:hAnsi="Times New Roman"/>
          <w:sz w:val="20"/>
          <w:szCs w:val="20"/>
          <w:lang w:val="en-HK"/>
        </w:rPr>
      </w:pPr>
    </w:p>
    <w:p w14:paraId="72FCCD6A"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18C8F440" w14:textId="50DBCE3E" w:rsidR="00313CFB" w:rsidRPr="00E940F0" w:rsidRDefault="00E940F0" w:rsidP="00AC0D94">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8B389D">
        <w:rPr>
          <w:rFonts w:ascii="Times New Roman" w:hAnsi="Times New Roman"/>
          <w:color w:val="000000"/>
          <w:sz w:val="36"/>
          <w:szCs w:val="36"/>
        </w:rPr>
        <w:t>4</w:t>
      </w:r>
      <w:r w:rsidRPr="00E940F0">
        <w:rPr>
          <w:rFonts w:ascii="Times New Roman" w:hAnsi="Times New Roman"/>
          <w:color w:val="000000"/>
          <w:sz w:val="36"/>
          <w:szCs w:val="36"/>
        </w:rPr>
        <w:t>-1-SS)</w:t>
      </w:r>
    </w:p>
    <w:p w14:paraId="1E48F155" w14:textId="25999459" w:rsidR="00313CFB" w:rsidRPr="00E940F0" w:rsidRDefault="00CD7E3B" w:rsidP="00AC0D94">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AC0D94">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AC0D94">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AC0D94">
      <w:pPr>
        <w:adjustRightInd w:val="0"/>
        <w:snapToGrid w:val="0"/>
        <w:spacing w:line="0" w:lineRule="atLeast"/>
        <w:jc w:val="center"/>
        <w:rPr>
          <w:rFonts w:ascii="Times New Roman" w:hAnsi="Times New Roman"/>
          <w:b/>
          <w:sz w:val="32"/>
          <w:szCs w:val="32"/>
          <w:lang w:val="en-HK"/>
        </w:rPr>
      </w:pPr>
    </w:p>
    <w:p w14:paraId="21432FA5" w14:textId="16DB448B" w:rsidR="00684616" w:rsidRPr="00293F31" w:rsidRDefault="008B389D" w:rsidP="00AC0D94">
      <w:pPr>
        <w:adjustRightInd w:val="0"/>
        <w:snapToGrid w:val="0"/>
        <w:spacing w:line="0" w:lineRule="atLeast"/>
        <w:jc w:val="center"/>
        <w:rPr>
          <w:rFonts w:ascii="Times New Roman" w:hAnsi="Times New Roman"/>
          <w:b/>
          <w:sz w:val="36"/>
          <w:szCs w:val="36"/>
          <w:lang w:val="en-HK"/>
        </w:rPr>
      </w:pPr>
      <w:r w:rsidRPr="008B389D">
        <w:rPr>
          <w:rFonts w:ascii="Times New Roman" w:hAnsi="Times New Roman"/>
          <w:b/>
          <w:kern w:val="0"/>
          <w:sz w:val="36"/>
          <w:szCs w:val="36"/>
          <w:lang w:val="en-GB"/>
        </w:rPr>
        <w:t>An Analytical Report on How Global price Changes Affects Domestic market</w:t>
      </w:r>
    </w:p>
    <w:p w14:paraId="36DDE773" w14:textId="77777777" w:rsidR="004857C6" w:rsidRDefault="004857C6" w:rsidP="00AC0D94">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AC0D94">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AC0D94">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AC0D94">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AC0D94">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AC0D94">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AC0D94">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AC0D94">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AC0D94">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AC0D94">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0B7B234E" w:rsidR="003C1399" w:rsidRPr="00D82022" w:rsidRDefault="00D82022" w:rsidP="00AC0D94">
            <w:pPr>
              <w:tabs>
                <w:tab w:val="left" w:pos="4606"/>
              </w:tabs>
              <w:adjustRightInd w:val="0"/>
              <w:snapToGrid w:val="0"/>
              <w:spacing w:line="360" w:lineRule="auto"/>
              <w:jc w:val="both"/>
              <w:rPr>
                <w:rFonts w:ascii="Times New Roman" w:hAnsi="Times New Roman"/>
                <w:sz w:val="26"/>
                <w:szCs w:val="26"/>
                <w:lang w:val="en-HK"/>
              </w:rPr>
            </w:pPr>
            <w:r>
              <w:rPr>
                <w:rFonts w:ascii="Times New Roman" w:hAnsi="Times New Roman"/>
                <w:sz w:val="26"/>
                <w:szCs w:val="26"/>
                <w:lang w:val="en-HK"/>
              </w:rPr>
              <w:t xml:space="preserve">Martin Tam </w:t>
            </w:r>
          </w:p>
        </w:tc>
      </w:tr>
      <w:tr w:rsidR="003C1399" w:rsidRPr="003C1399" w14:paraId="32CBE455" w14:textId="77777777" w:rsidTr="00E940F0">
        <w:tc>
          <w:tcPr>
            <w:tcW w:w="2942" w:type="dxa"/>
            <w:hideMark/>
          </w:tcPr>
          <w:p w14:paraId="31DE2B61"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2D001409" w:rsidR="003C1399" w:rsidRPr="00753C4B" w:rsidRDefault="00753C4B" w:rsidP="00AC0D94">
            <w:pPr>
              <w:tabs>
                <w:tab w:val="left" w:pos="4606"/>
              </w:tabs>
              <w:adjustRightInd w:val="0"/>
              <w:snapToGrid w:val="0"/>
              <w:spacing w:line="360" w:lineRule="auto"/>
              <w:jc w:val="both"/>
              <w:rPr>
                <w:rFonts w:ascii="Times New Roman" w:hAnsi="Times New Roman"/>
                <w:sz w:val="26"/>
                <w:szCs w:val="26"/>
                <w:lang w:val="en-HK"/>
              </w:rPr>
            </w:pPr>
            <w:r>
              <w:rPr>
                <w:rFonts w:ascii="Times New Roman" w:hAnsi="Times New Roman"/>
                <w:sz w:val="26"/>
                <w:szCs w:val="26"/>
                <w:lang w:val="en-HK"/>
              </w:rPr>
              <w:t>2425264</w:t>
            </w:r>
          </w:p>
        </w:tc>
      </w:tr>
      <w:tr w:rsidR="003C1399" w:rsidRPr="003C1399" w14:paraId="0396F091" w14:textId="77777777" w:rsidTr="00E940F0">
        <w:tc>
          <w:tcPr>
            <w:tcW w:w="2942" w:type="dxa"/>
          </w:tcPr>
          <w:p w14:paraId="44642F0D" w14:textId="0D05ECAA" w:rsidR="003C1399" w:rsidRPr="001E2AE8" w:rsidRDefault="003C1399" w:rsidP="00AC0D94">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43E27C11" w:rsidR="003C1399" w:rsidRPr="003C1399" w:rsidRDefault="009E6700" w:rsidP="00AC0D94">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11</w:t>
            </w:r>
            <w:r w:rsidR="00E940F0" w:rsidRPr="00E940F0">
              <w:rPr>
                <w:rFonts w:ascii="Times New Roman" w:hAnsi="Times New Roman"/>
                <w:sz w:val="26"/>
                <w:szCs w:val="24"/>
                <w:lang w:val="en-HK"/>
              </w:rPr>
              <w:t xml:space="preserve"> </w:t>
            </w:r>
            <w:r>
              <w:rPr>
                <w:rFonts w:ascii="Times New Roman" w:hAnsi="Times New Roman"/>
                <w:sz w:val="26"/>
                <w:szCs w:val="24"/>
                <w:lang w:val="en-HK"/>
              </w:rPr>
              <w:t>March</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AC0D94">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AC0D94">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AC0D94">
            <w:pPr>
              <w:tabs>
                <w:tab w:val="left" w:pos="4606"/>
              </w:tabs>
              <w:adjustRightInd w:val="0"/>
              <w:snapToGrid w:val="0"/>
              <w:spacing w:line="360" w:lineRule="auto"/>
              <w:jc w:val="both"/>
              <w:rPr>
                <w:rFonts w:ascii="Times New Roman" w:hAnsi="Times New Roman"/>
                <w:sz w:val="26"/>
                <w:szCs w:val="24"/>
                <w:lang w:val="en-HK"/>
              </w:rPr>
            </w:pPr>
            <w:proofErr w:type="spellStart"/>
            <w:r w:rsidRPr="00E940F0">
              <w:rPr>
                <w:rFonts w:ascii="Times New Roman" w:hAnsi="Times New Roman"/>
                <w:sz w:val="26"/>
                <w:szCs w:val="24"/>
                <w:lang w:val="en-HK"/>
              </w:rPr>
              <w:t>Dr.</w:t>
            </w:r>
            <w:proofErr w:type="spellEnd"/>
            <w:r w:rsidRPr="00E940F0">
              <w:rPr>
                <w:rFonts w:ascii="Times New Roman" w:hAnsi="Times New Roman"/>
                <w:sz w:val="26"/>
                <w:szCs w:val="24"/>
                <w:lang w:val="en-HK"/>
              </w:rPr>
              <w:t xml:space="preserve"> Che Cheong Poon</w:t>
            </w:r>
          </w:p>
        </w:tc>
      </w:tr>
    </w:tbl>
    <w:p w14:paraId="5097A186" w14:textId="77777777" w:rsidR="003C1399" w:rsidRPr="003C1399" w:rsidRDefault="003C1399" w:rsidP="00AC0D94">
      <w:pPr>
        <w:autoSpaceDE w:val="0"/>
        <w:autoSpaceDN w:val="0"/>
        <w:adjustRightInd w:val="0"/>
        <w:snapToGrid w:val="0"/>
        <w:spacing w:line="360" w:lineRule="auto"/>
        <w:rPr>
          <w:rFonts w:ascii="TimesNewRoman,Bold" w:hAnsi="TimesNewRoman,Bold" w:cs="TimesNewRoman,Bold"/>
          <w:b/>
          <w:bCs/>
          <w:kern w:val="0"/>
          <w:sz w:val="40"/>
          <w:szCs w:val="40"/>
          <w:lang w:val="en-HK"/>
        </w:rPr>
      </w:pPr>
    </w:p>
    <w:p w14:paraId="1C9A7BEE" w14:textId="6D911B18" w:rsidR="003C1399" w:rsidRDefault="003C1399" w:rsidP="00AC0D94">
      <w:pPr>
        <w:adjustRightInd w:val="0"/>
        <w:snapToGrid w:val="0"/>
        <w:jc w:val="center"/>
        <w:rPr>
          <w:rFonts w:ascii="Times New Roman" w:hAnsi="Times New Roman"/>
          <w:sz w:val="20"/>
          <w:szCs w:val="20"/>
          <w:lang w:val="en-GB"/>
        </w:rPr>
      </w:pPr>
    </w:p>
    <w:p w14:paraId="72C96C6A" w14:textId="345112B9" w:rsidR="003C1399" w:rsidRDefault="003C1399" w:rsidP="00AC0D94">
      <w:pPr>
        <w:adjustRightInd w:val="0"/>
        <w:snapToGrid w:val="0"/>
        <w:jc w:val="center"/>
        <w:rPr>
          <w:rFonts w:ascii="Times New Roman" w:hAnsi="Times New Roman"/>
          <w:sz w:val="20"/>
          <w:szCs w:val="20"/>
          <w:lang w:val="en-GB"/>
        </w:rPr>
      </w:pPr>
    </w:p>
    <w:p w14:paraId="2548128F" w14:textId="58FCB923" w:rsidR="003C1399" w:rsidRDefault="003C1399" w:rsidP="00AC0D94">
      <w:pPr>
        <w:adjustRightInd w:val="0"/>
        <w:snapToGrid w:val="0"/>
        <w:jc w:val="center"/>
        <w:rPr>
          <w:rFonts w:ascii="Times New Roman" w:hAnsi="Times New Roman"/>
          <w:sz w:val="20"/>
          <w:szCs w:val="20"/>
          <w:lang w:val="en-GB"/>
        </w:rPr>
      </w:pPr>
    </w:p>
    <w:p w14:paraId="0FBA2A24" w14:textId="77777777" w:rsidR="004238D8" w:rsidRPr="0096250A" w:rsidRDefault="004238D8" w:rsidP="00AC0D94">
      <w:pPr>
        <w:jc w:val="both"/>
        <w:rPr>
          <w:rFonts w:ascii="Times New Roman" w:eastAsia="DFKai-SB" w:hAnsi="Times New Roman"/>
          <w:b/>
          <w:smallCaps/>
          <w:sz w:val="22"/>
          <w:u w:val="single"/>
          <w:lang w:val="en-GB"/>
        </w:rPr>
        <w:sectPr w:rsidR="004238D8" w:rsidRPr="0096250A" w:rsidSect="005E0786">
          <w:footerReference w:type="even" r:id="rId8"/>
          <w:footerReference w:type="default" r:id="rId9"/>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rsidP="00AC0D94">
      <w:pPr>
        <w:jc w:val="both"/>
        <w:rPr>
          <w:rFonts w:ascii="Times New Roman" w:hAnsi="Times New Roman"/>
          <w:b/>
          <w:sz w:val="20"/>
          <w:szCs w:val="20"/>
          <w:u w:val="single"/>
        </w:rPr>
      </w:pPr>
    </w:p>
    <w:p w14:paraId="43E4438E" w14:textId="41CC56BC" w:rsidR="00B638D9" w:rsidRPr="00311ADA" w:rsidRDefault="00311ADA" w:rsidP="00AC0D94">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8349B4">
        <w:rPr>
          <w:rFonts w:ascii="Times New Roman" w:hAnsi="Times New Roman"/>
          <w:color w:val="000000"/>
          <w:sz w:val="26"/>
          <w:szCs w:val="26"/>
        </w:rPr>
        <w:t>3</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AC0D94">
      <w:pPr>
        <w:adjustRightInd w:val="0"/>
        <w:jc w:val="center"/>
        <w:rPr>
          <w:rFonts w:ascii="Times New Roman" w:hAnsi="Times New Roman"/>
          <w:b/>
          <w:sz w:val="26"/>
          <w:szCs w:val="26"/>
          <w:u w:val="single"/>
        </w:rPr>
      </w:pPr>
    </w:p>
    <w:p w14:paraId="42880AAC" w14:textId="77777777" w:rsidR="00850120" w:rsidRDefault="00311ADA" w:rsidP="00AC0D94">
      <w:pPr>
        <w:rPr>
          <w:rFonts w:ascii="Times New Roman" w:hAnsi="Times New Roman"/>
          <w:sz w:val="26"/>
          <w:szCs w:val="26"/>
        </w:rPr>
      </w:pPr>
      <w:r w:rsidRPr="00FE6608">
        <w:rPr>
          <w:rFonts w:ascii="Times New Roman" w:hAnsi="Times New Roman"/>
          <w:sz w:val="26"/>
          <w:szCs w:val="26"/>
        </w:rPr>
        <w:t>Assignment Title:</w:t>
      </w:r>
      <w:r w:rsidR="00850120">
        <w:rPr>
          <w:rFonts w:ascii="Times New Roman" w:hAnsi="Times New Roman"/>
          <w:sz w:val="26"/>
          <w:szCs w:val="26"/>
        </w:rPr>
        <w:t xml:space="preserve"> </w:t>
      </w:r>
    </w:p>
    <w:p w14:paraId="0247944B" w14:textId="160F2382" w:rsidR="008B389D" w:rsidRDefault="008B389D" w:rsidP="00AC0D94">
      <w:pPr>
        <w:rPr>
          <w:rFonts w:ascii="Times New Roman" w:hAnsi="Times New Roman"/>
          <w:sz w:val="26"/>
          <w:szCs w:val="26"/>
        </w:rPr>
      </w:pPr>
      <w:r w:rsidRPr="008B389D">
        <w:rPr>
          <w:rFonts w:ascii="Times New Roman" w:hAnsi="Times New Roman"/>
          <w:sz w:val="26"/>
          <w:szCs w:val="26"/>
        </w:rPr>
        <w:t>An Analytical Report on How Global price Changes Affects Domestic market</w:t>
      </w:r>
    </w:p>
    <w:p w14:paraId="7C296744" w14:textId="77777777" w:rsidR="00BB4C1B" w:rsidRDefault="00BB4C1B" w:rsidP="00AC0D94">
      <w:pPr>
        <w:jc w:val="both"/>
        <w:rPr>
          <w:rFonts w:ascii="Times New Roman" w:hAnsi="Times New Roman"/>
          <w:szCs w:val="21"/>
        </w:rPr>
      </w:pPr>
    </w:p>
    <w:p w14:paraId="0AB70F5B" w14:textId="75CBCB65" w:rsidR="004238D8" w:rsidRPr="00FE6608" w:rsidRDefault="00B25B3D" w:rsidP="00AC0D94">
      <w:pPr>
        <w:jc w:val="both"/>
        <w:rPr>
          <w:rFonts w:ascii="Times New Roman" w:hAnsi="Times New Roman"/>
          <w:sz w:val="32"/>
          <w:szCs w:val="32"/>
        </w:rPr>
      </w:pPr>
      <w:r w:rsidRPr="00FE6608">
        <w:rPr>
          <w:rFonts w:ascii="Times New Roman" w:hAnsi="Times New Roman"/>
          <w:sz w:val="32"/>
          <w:szCs w:val="32"/>
        </w:rPr>
        <w:t>“I,</w:t>
      </w:r>
      <w:r w:rsidR="004F6A54">
        <w:rPr>
          <w:rFonts w:ascii="Times New Roman" w:hAnsi="Times New Roman"/>
          <w:sz w:val="32"/>
          <w:szCs w:val="32"/>
        </w:rPr>
        <w:t xml:space="preserve"> Martin, Tam Kai Lim</w:t>
      </w:r>
      <w:r w:rsidR="009A7025">
        <w:rPr>
          <w:rFonts w:ascii="Times New Roman" w:hAnsi="Times New Roman"/>
          <w:sz w:val="32"/>
          <w:szCs w:val="32"/>
        </w:rPr>
        <w:t xml:space="preserve"> </w:t>
      </w:r>
      <w:r w:rsidR="004F6A54">
        <w:rPr>
          <w:rFonts w:ascii="Times New Roman" w:hAnsi="Times New Roman"/>
          <w:sz w:val="32"/>
          <w:szCs w:val="32"/>
        </w:rPr>
        <w:t>(2425264)</w:t>
      </w:r>
      <w:r w:rsidRPr="00FE6608">
        <w:rPr>
          <w:rFonts w:ascii="Times New Roman" w:hAnsi="Times New Roman"/>
          <w:sz w:val="32"/>
          <w:szCs w:val="32"/>
        </w:rPr>
        <w:t xml:space="preserve">, </w:t>
      </w:r>
      <w:r w:rsidR="004238D8" w:rsidRPr="00FE6608">
        <w:rPr>
          <w:rFonts w:ascii="Times New Roman" w:hAnsi="Times New Roman"/>
          <w:sz w:val="32"/>
          <w:szCs w:val="32"/>
        </w:rPr>
        <w:t>certify this work is the result of my own investigations, except where otherwise stated.  All references have been duly cited”</w:t>
      </w:r>
    </w:p>
    <w:p w14:paraId="2001BEE3" w14:textId="77777777" w:rsidR="004238D8" w:rsidRDefault="004238D8" w:rsidP="00AC0D94">
      <w:pPr>
        <w:jc w:val="both"/>
        <w:rPr>
          <w:rFonts w:ascii="Times New Roman" w:hAnsi="Times New Roman"/>
        </w:rPr>
      </w:pPr>
    </w:p>
    <w:p w14:paraId="1B6FA4C1" w14:textId="77777777" w:rsidR="00B638D9" w:rsidRDefault="00B638D9" w:rsidP="00AC0D94">
      <w:pPr>
        <w:jc w:val="both"/>
        <w:rPr>
          <w:rFonts w:ascii="Times New Roman" w:hAnsi="Times New Roman"/>
        </w:rPr>
      </w:pPr>
    </w:p>
    <w:p w14:paraId="25103C95" w14:textId="77777777" w:rsidR="00B638D9" w:rsidRDefault="00B638D9" w:rsidP="00AC0D94">
      <w:pPr>
        <w:jc w:val="both"/>
        <w:rPr>
          <w:rFonts w:ascii="Times New Roman" w:hAnsi="Times New Roman"/>
        </w:rPr>
      </w:pPr>
    </w:p>
    <w:p w14:paraId="7AF0EA01" w14:textId="77777777" w:rsidR="004238D8" w:rsidRDefault="004238D8" w:rsidP="00AC0D94">
      <w:pPr>
        <w:jc w:val="both"/>
        <w:rPr>
          <w:rFonts w:ascii="Times New Roman" w:hAnsi="Times New Roman"/>
          <w:b/>
        </w:rPr>
      </w:pPr>
    </w:p>
    <w:p w14:paraId="074E2C51" w14:textId="77777777" w:rsidR="004238D8" w:rsidRPr="00FE6608" w:rsidRDefault="004238D8" w:rsidP="00AC0D94">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FE6608">
        <w:rPr>
          <w:rFonts w:ascii="Times New Roman" w:hAnsi="Times New Roman"/>
        </w:rPr>
        <w:t>_____________________</w:t>
      </w:r>
    </w:p>
    <w:p w14:paraId="5D06CDF4" w14:textId="77777777" w:rsidR="00FE6608" w:rsidRDefault="00FE6608" w:rsidP="00AC0D94">
      <w:pPr>
        <w:rPr>
          <w:rFonts w:ascii="Times New Roman" w:hAnsi="Times New Roman"/>
          <w:sz w:val="26"/>
        </w:rPr>
      </w:pPr>
    </w:p>
    <w:p w14:paraId="69180220" w14:textId="008E1715" w:rsidR="00603E07" w:rsidRPr="00FE6608" w:rsidRDefault="000C61E4" w:rsidP="00AC0D94">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p>
    <w:p w14:paraId="59166276" w14:textId="77777777" w:rsidR="00603E07" w:rsidRDefault="00603E07" w:rsidP="00AC0D94">
      <w:pPr>
        <w:jc w:val="center"/>
        <w:rPr>
          <w:sz w:val="26"/>
        </w:rPr>
      </w:pPr>
    </w:p>
    <w:p w14:paraId="791BBD2D" w14:textId="77777777" w:rsidR="005F5BA8" w:rsidRDefault="005F5BA8" w:rsidP="00AC0D94">
      <w:pPr>
        <w:widowControl/>
        <w:adjustRightInd w:val="0"/>
        <w:snapToGrid w:val="0"/>
        <w:jc w:val="center"/>
        <w:rPr>
          <w:sz w:val="26"/>
        </w:rPr>
      </w:pPr>
    </w:p>
    <w:p w14:paraId="711D9D36" w14:textId="77777777" w:rsidR="005F5BA8" w:rsidRDefault="005F5BA8" w:rsidP="00AC0D94">
      <w:pPr>
        <w:widowControl/>
        <w:adjustRightInd w:val="0"/>
        <w:snapToGrid w:val="0"/>
        <w:jc w:val="center"/>
        <w:rPr>
          <w:sz w:val="26"/>
        </w:rPr>
      </w:pPr>
    </w:p>
    <w:p w14:paraId="5F0ABC6B" w14:textId="77777777" w:rsidR="005F5BA8" w:rsidRDefault="005F5BA8" w:rsidP="00AC0D94">
      <w:pPr>
        <w:widowControl/>
        <w:adjustRightInd w:val="0"/>
        <w:snapToGrid w:val="0"/>
        <w:jc w:val="center"/>
        <w:rPr>
          <w:sz w:val="26"/>
        </w:rPr>
      </w:pPr>
    </w:p>
    <w:p w14:paraId="4ACC24BB" w14:textId="237C731E" w:rsidR="00074B88" w:rsidRPr="001870C1" w:rsidRDefault="00074B88" w:rsidP="00AC0D94">
      <w:pPr>
        <w:widowControl/>
        <w:adjustRightInd w:val="0"/>
        <w:snapToGrid w:val="0"/>
        <w:jc w:val="center"/>
        <w:rPr>
          <w:rFonts w:ascii="Times New Roman" w:hAnsi="Times New Roman"/>
          <w:color w:val="0000CC"/>
          <w:sz w:val="26"/>
        </w:rPr>
      </w:pPr>
      <w:r w:rsidRPr="001870C1">
        <w:rPr>
          <w:color w:val="0000CC"/>
          <w:sz w:val="26"/>
        </w:rPr>
        <w:br w:type="page"/>
      </w:r>
    </w:p>
    <w:p w14:paraId="22FCB631" w14:textId="6415814B" w:rsidR="00DD79F6" w:rsidRDefault="00074B88" w:rsidP="00AC0D94">
      <w:pPr>
        <w:widowControl/>
        <w:adjustRightInd w:val="0"/>
        <w:snapToGrid w:val="0"/>
        <w:spacing w:line="360" w:lineRule="auto"/>
        <w:rPr>
          <w:rFonts w:ascii="Times New Roman" w:hAnsi="Times New Roman"/>
          <w:b/>
          <w:szCs w:val="24"/>
        </w:rPr>
      </w:pPr>
      <w:r w:rsidRPr="00AF0637">
        <w:rPr>
          <w:rFonts w:ascii="Times New Roman" w:hAnsi="Times New Roman"/>
          <w:b/>
          <w:szCs w:val="24"/>
        </w:rPr>
        <w:lastRenderedPageBreak/>
        <w:t>Synopsis</w:t>
      </w:r>
      <w:r w:rsidR="00CA1589" w:rsidRPr="00AF0637">
        <w:rPr>
          <w:rFonts w:ascii="Times New Roman" w:hAnsi="Times New Roman"/>
          <w:b/>
          <w:szCs w:val="24"/>
        </w:rPr>
        <w:t xml:space="preserve"> </w:t>
      </w:r>
    </w:p>
    <w:p w14:paraId="3C340C53" w14:textId="77777777" w:rsidR="00AF0637" w:rsidRPr="001456A2" w:rsidRDefault="00AF0637" w:rsidP="00AC0D94">
      <w:pPr>
        <w:widowControl/>
        <w:adjustRightInd w:val="0"/>
        <w:snapToGrid w:val="0"/>
        <w:spacing w:line="360" w:lineRule="auto"/>
        <w:rPr>
          <w:rFonts w:ascii="Times New Roman" w:hAnsi="Times New Roman"/>
          <w:szCs w:val="24"/>
        </w:rPr>
      </w:pPr>
    </w:p>
    <w:p w14:paraId="031C4FE5" w14:textId="7AAA4EEA" w:rsidR="00074B88" w:rsidRPr="001456A2" w:rsidRDefault="001456A2" w:rsidP="00AC0D94">
      <w:pPr>
        <w:widowControl/>
        <w:adjustRightInd w:val="0"/>
        <w:snapToGrid w:val="0"/>
        <w:spacing w:line="360" w:lineRule="auto"/>
        <w:rPr>
          <w:rFonts w:ascii="Times New Roman" w:hAnsi="Times New Roman"/>
          <w:szCs w:val="24"/>
        </w:rPr>
      </w:pPr>
      <w:r w:rsidRPr="001456A2">
        <w:rPr>
          <w:rFonts w:ascii="Times New Roman" w:hAnsi="Times New Roman"/>
          <w:szCs w:val="24"/>
        </w:rPr>
        <w:t>This study analyzes consumer inflation and retail sales trends in Hong Kong and Thailand (2005–2023) to guide AAA’s investment strategy. Hong Kong’s retail sector showed strong growth pre-2013 but faced volatility post-2014 due to political unrest and COVID-19, while its CPI remained stable. Thailand’s inflation was more variable, driven by tourism and global commodity prices, but its retail environment was stable. A strong correlation (0.69) between inflation rates and moderate correlation (0.51) between Thailand’s inflation and Hong Kong’s retail sales highlight economic interconnectedness. Recommendations include expanding into Thailand, importing goods, establishing franchises, and optimizing rental costs to mitigate risks and capitalize on growth opportunities in both regions.</w:t>
      </w:r>
    </w:p>
    <w:p w14:paraId="191D6F19" w14:textId="77777777" w:rsidR="00074B88" w:rsidRPr="008E3F76" w:rsidRDefault="00074B88" w:rsidP="00AC0D94">
      <w:pPr>
        <w:widowControl/>
        <w:adjustRightInd w:val="0"/>
        <w:snapToGrid w:val="0"/>
        <w:spacing w:line="360" w:lineRule="auto"/>
        <w:rPr>
          <w:rFonts w:ascii="Times New Roman" w:hAnsi="Times New Roman"/>
          <w:b/>
          <w:szCs w:val="24"/>
        </w:rPr>
      </w:pPr>
    </w:p>
    <w:p w14:paraId="193BD825" w14:textId="77777777" w:rsidR="00074B88" w:rsidRPr="008E3F76" w:rsidRDefault="00074B88" w:rsidP="00AC0D94">
      <w:pPr>
        <w:widowControl/>
        <w:adjustRightInd w:val="0"/>
        <w:snapToGrid w:val="0"/>
        <w:spacing w:line="360" w:lineRule="auto"/>
        <w:rPr>
          <w:rFonts w:ascii="Times New Roman" w:hAnsi="Times New Roman"/>
          <w:b/>
          <w:szCs w:val="24"/>
        </w:rPr>
      </w:pPr>
    </w:p>
    <w:p w14:paraId="27DFB08D" w14:textId="77777777" w:rsidR="00074B88" w:rsidRPr="008E3F76" w:rsidRDefault="00074B88" w:rsidP="00AC0D94">
      <w:pPr>
        <w:widowControl/>
        <w:adjustRightInd w:val="0"/>
        <w:snapToGrid w:val="0"/>
        <w:spacing w:line="360" w:lineRule="auto"/>
        <w:rPr>
          <w:rFonts w:ascii="Times New Roman" w:hAnsi="Times New Roman"/>
          <w:b/>
          <w:szCs w:val="24"/>
        </w:rPr>
      </w:pPr>
    </w:p>
    <w:p w14:paraId="5615B959" w14:textId="77777777" w:rsidR="004A16A5" w:rsidRPr="008E3F76" w:rsidRDefault="004A16A5" w:rsidP="00AC0D94">
      <w:pPr>
        <w:widowControl/>
        <w:adjustRightInd w:val="0"/>
        <w:snapToGrid w:val="0"/>
        <w:spacing w:line="360" w:lineRule="auto"/>
        <w:rPr>
          <w:rFonts w:ascii="Times New Roman" w:hAnsi="Times New Roman"/>
          <w:b/>
          <w:szCs w:val="24"/>
        </w:rPr>
      </w:pPr>
    </w:p>
    <w:p w14:paraId="00066764" w14:textId="77777777" w:rsidR="004A16A5" w:rsidRPr="008E3F76" w:rsidRDefault="004A16A5" w:rsidP="00AC0D94">
      <w:pPr>
        <w:widowControl/>
        <w:adjustRightInd w:val="0"/>
        <w:snapToGrid w:val="0"/>
        <w:spacing w:line="360" w:lineRule="auto"/>
        <w:rPr>
          <w:rFonts w:ascii="Times New Roman" w:hAnsi="Times New Roman"/>
          <w:b/>
          <w:szCs w:val="24"/>
        </w:rPr>
      </w:pPr>
    </w:p>
    <w:p w14:paraId="282C43AD" w14:textId="77777777" w:rsidR="004A16A5" w:rsidRPr="008E3F76" w:rsidRDefault="004A16A5" w:rsidP="00AC0D94">
      <w:pPr>
        <w:widowControl/>
        <w:adjustRightInd w:val="0"/>
        <w:snapToGrid w:val="0"/>
        <w:spacing w:line="360" w:lineRule="auto"/>
        <w:rPr>
          <w:rFonts w:ascii="Times New Roman" w:hAnsi="Times New Roman"/>
          <w:b/>
          <w:szCs w:val="24"/>
        </w:rPr>
      </w:pPr>
    </w:p>
    <w:p w14:paraId="6AE2C035" w14:textId="77777777" w:rsidR="004A16A5" w:rsidRDefault="004A16A5" w:rsidP="00AC0D94">
      <w:pPr>
        <w:widowControl/>
        <w:adjustRightInd w:val="0"/>
        <w:snapToGrid w:val="0"/>
        <w:spacing w:line="360" w:lineRule="auto"/>
        <w:rPr>
          <w:rFonts w:ascii="Times New Roman" w:hAnsi="Times New Roman"/>
          <w:b/>
          <w:szCs w:val="24"/>
        </w:rPr>
      </w:pPr>
    </w:p>
    <w:p w14:paraId="47A88311" w14:textId="77777777" w:rsidR="001456A2" w:rsidRPr="008E3F76" w:rsidRDefault="001456A2" w:rsidP="00AC0D94">
      <w:pPr>
        <w:widowControl/>
        <w:adjustRightInd w:val="0"/>
        <w:snapToGrid w:val="0"/>
        <w:spacing w:line="360" w:lineRule="auto"/>
        <w:rPr>
          <w:rFonts w:ascii="Times New Roman" w:hAnsi="Times New Roman"/>
          <w:b/>
          <w:szCs w:val="24"/>
        </w:rPr>
      </w:pPr>
    </w:p>
    <w:p w14:paraId="2057321E" w14:textId="77777777" w:rsidR="004A16A5" w:rsidRPr="008E3F76" w:rsidRDefault="004A16A5" w:rsidP="00AC0D94">
      <w:pPr>
        <w:widowControl/>
        <w:adjustRightInd w:val="0"/>
        <w:snapToGrid w:val="0"/>
        <w:spacing w:line="360" w:lineRule="auto"/>
        <w:rPr>
          <w:rFonts w:ascii="Times New Roman" w:hAnsi="Times New Roman"/>
          <w:b/>
          <w:szCs w:val="24"/>
        </w:rPr>
      </w:pPr>
    </w:p>
    <w:p w14:paraId="114333BF" w14:textId="77777777" w:rsidR="004A16A5" w:rsidRPr="008E3F76" w:rsidRDefault="004A16A5" w:rsidP="00AC0D94">
      <w:pPr>
        <w:widowControl/>
        <w:adjustRightInd w:val="0"/>
        <w:snapToGrid w:val="0"/>
        <w:spacing w:line="360" w:lineRule="auto"/>
        <w:rPr>
          <w:rFonts w:ascii="Times New Roman" w:hAnsi="Times New Roman"/>
          <w:b/>
          <w:szCs w:val="24"/>
        </w:rPr>
      </w:pPr>
    </w:p>
    <w:p w14:paraId="54CF0D8C" w14:textId="77777777" w:rsidR="004A16A5" w:rsidRPr="008E3F76" w:rsidRDefault="004A16A5" w:rsidP="00AC0D94">
      <w:pPr>
        <w:widowControl/>
        <w:adjustRightInd w:val="0"/>
        <w:snapToGrid w:val="0"/>
        <w:spacing w:line="360" w:lineRule="auto"/>
        <w:rPr>
          <w:rFonts w:ascii="Times New Roman" w:hAnsi="Times New Roman"/>
          <w:b/>
          <w:szCs w:val="24"/>
        </w:rPr>
      </w:pPr>
    </w:p>
    <w:p w14:paraId="03C6829F" w14:textId="77777777" w:rsidR="004A16A5" w:rsidRPr="008E3F76" w:rsidRDefault="004A16A5" w:rsidP="00AC0D94">
      <w:pPr>
        <w:widowControl/>
        <w:adjustRightInd w:val="0"/>
        <w:snapToGrid w:val="0"/>
        <w:spacing w:line="360" w:lineRule="auto"/>
        <w:rPr>
          <w:rFonts w:ascii="Times New Roman" w:hAnsi="Times New Roman"/>
          <w:b/>
          <w:szCs w:val="24"/>
        </w:rPr>
      </w:pPr>
    </w:p>
    <w:p w14:paraId="0940CAAD" w14:textId="77777777" w:rsidR="00615002" w:rsidRPr="008E3F76" w:rsidRDefault="00615002" w:rsidP="00AC0D94">
      <w:pPr>
        <w:widowControl/>
        <w:adjustRightInd w:val="0"/>
        <w:snapToGrid w:val="0"/>
        <w:spacing w:line="360" w:lineRule="auto"/>
        <w:rPr>
          <w:rFonts w:ascii="Times New Roman" w:hAnsi="Times New Roman"/>
          <w:b/>
          <w:szCs w:val="24"/>
        </w:rPr>
      </w:pPr>
    </w:p>
    <w:p w14:paraId="178CE2BE" w14:textId="77777777" w:rsidR="00615002" w:rsidRPr="008E3F76" w:rsidRDefault="00615002" w:rsidP="00AC0D94">
      <w:pPr>
        <w:widowControl/>
        <w:adjustRightInd w:val="0"/>
        <w:snapToGrid w:val="0"/>
        <w:spacing w:line="360" w:lineRule="auto"/>
        <w:rPr>
          <w:rFonts w:ascii="Times New Roman" w:hAnsi="Times New Roman"/>
          <w:b/>
          <w:szCs w:val="24"/>
        </w:rPr>
      </w:pPr>
    </w:p>
    <w:p w14:paraId="651E7FA2" w14:textId="77777777" w:rsidR="004A16A5" w:rsidRPr="008E3F76" w:rsidRDefault="004A16A5" w:rsidP="00AC0D94">
      <w:pPr>
        <w:widowControl/>
        <w:adjustRightInd w:val="0"/>
        <w:snapToGrid w:val="0"/>
        <w:spacing w:line="360" w:lineRule="auto"/>
        <w:rPr>
          <w:rFonts w:ascii="Times New Roman" w:hAnsi="Times New Roman"/>
          <w:b/>
          <w:szCs w:val="24"/>
        </w:rPr>
      </w:pPr>
    </w:p>
    <w:p w14:paraId="27B08597" w14:textId="77777777" w:rsidR="004A16A5" w:rsidRPr="008E3F76" w:rsidRDefault="004A16A5" w:rsidP="00AC0D94">
      <w:pPr>
        <w:widowControl/>
        <w:adjustRightInd w:val="0"/>
        <w:snapToGrid w:val="0"/>
        <w:spacing w:line="360" w:lineRule="auto"/>
        <w:rPr>
          <w:rFonts w:ascii="Times New Roman" w:hAnsi="Times New Roman"/>
          <w:b/>
          <w:szCs w:val="24"/>
        </w:rPr>
      </w:pPr>
    </w:p>
    <w:p w14:paraId="6FB716F1" w14:textId="77777777" w:rsidR="004A16A5" w:rsidRPr="008E3F76" w:rsidRDefault="004A16A5" w:rsidP="00AC0D94">
      <w:pPr>
        <w:widowControl/>
        <w:adjustRightInd w:val="0"/>
        <w:snapToGrid w:val="0"/>
        <w:spacing w:line="360" w:lineRule="auto"/>
        <w:rPr>
          <w:rFonts w:ascii="Times New Roman" w:hAnsi="Times New Roman"/>
          <w:b/>
          <w:szCs w:val="24"/>
        </w:rPr>
      </w:pPr>
    </w:p>
    <w:p w14:paraId="0E093E02" w14:textId="77777777" w:rsidR="004A16A5" w:rsidRPr="008E3F76" w:rsidRDefault="004A16A5" w:rsidP="00AC0D94">
      <w:pPr>
        <w:widowControl/>
        <w:adjustRightInd w:val="0"/>
        <w:snapToGrid w:val="0"/>
        <w:spacing w:line="360" w:lineRule="auto"/>
        <w:rPr>
          <w:rFonts w:ascii="Times New Roman" w:hAnsi="Times New Roman"/>
          <w:b/>
          <w:szCs w:val="24"/>
        </w:rPr>
      </w:pPr>
    </w:p>
    <w:p w14:paraId="76C6EB35" w14:textId="77777777" w:rsidR="004A16A5" w:rsidRPr="008E3F76" w:rsidRDefault="004A16A5" w:rsidP="00AC0D94">
      <w:pPr>
        <w:widowControl/>
        <w:adjustRightInd w:val="0"/>
        <w:snapToGrid w:val="0"/>
        <w:spacing w:line="360" w:lineRule="auto"/>
        <w:rPr>
          <w:rFonts w:ascii="Times New Roman" w:hAnsi="Times New Roman"/>
          <w:b/>
          <w:szCs w:val="24"/>
        </w:rPr>
      </w:pPr>
    </w:p>
    <w:p w14:paraId="7D72E999" w14:textId="77777777" w:rsidR="004A16A5" w:rsidRPr="008E3F76" w:rsidRDefault="004A16A5" w:rsidP="00AC0D94">
      <w:pPr>
        <w:widowControl/>
        <w:adjustRightInd w:val="0"/>
        <w:snapToGrid w:val="0"/>
        <w:spacing w:line="360" w:lineRule="auto"/>
        <w:rPr>
          <w:rFonts w:ascii="Times New Roman" w:hAnsi="Times New Roman"/>
          <w:b/>
          <w:szCs w:val="24"/>
        </w:rPr>
      </w:pPr>
    </w:p>
    <w:tbl>
      <w:tblPr>
        <w:tblW w:w="8640" w:type="dxa"/>
        <w:tblLook w:val="04A0" w:firstRow="1" w:lastRow="0" w:firstColumn="1" w:lastColumn="0" w:noHBand="0" w:noVBand="1"/>
      </w:tblPr>
      <w:tblGrid>
        <w:gridCol w:w="960"/>
        <w:gridCol w:w="6720"/>
        <w:gridCol w:w="960"/>
      </w:tblGrid>
      <w:tr w:rsidR="00366724" w:rsidRPr="00366724" w14:paraId="467BE641" w14:textId="77777777" w:rsidTr="00366724">
        <w:trPr>
          <w:trHeight w:val="300"/>
        </w:trPr>
        <w:tc>
          <w:tcPr>
            <w:tcW w:w="7680" w:type="dxa"/>
            <w:gridSpan w:val="2"/>
            <w:tcBorders>
              <w:top w:val="nil"/>
              <w:left w:val="nil"/>
              <w:bottom w:val="nil"/>
              <w:right w:val="nil"/>
            </w:tcBorders>
            <w:shd w:val="clear" w:color="auto" w:fill="auto"/>
            <w:noWrap/>
            <w:vAlign w:val="center"/>
            <w:hideMark/>
          </w:tcPr>
          <w:p w14:paraId="18919D9D" w14:textId="77777777" w:rsidR="00366724" w:rsidRPr="00366724" w:rsidRDefault="00366724" w:rsidP="00AC0D94">
            <w:pPr>
              <w:widowControl/>
              <w:rPr>
                <w:rFonts w:ascii="Times New Roman" w:eastAsia="Times New Roman" w:hAnsi="Times New Roman"/>
                <w:b/>
                <w:bCs/>
                <w:color w:val="000000"/>
                <w:kern w:val="0"/>
                <w:szCs w:val="24"/>
              </w:rPr>
            </w:pPr>
            <w:r w:rsidRPr="00366724">
              <w:rPr>
                <w:rFonts w:ascii="Times New Roman" w:eastAsia="Times New Roman" w:hAnsi="Times New Roman"/>
                <w:b/>
                <w:bCs/>
                <w:color w:val="000000"/>
                <w:kern w:val="0"/>
                <w:szCs w:val="24"/>
              </w:rPr>
              <w:lastRenderedPageBreak/>
              <w:t>Table of Contents</w:t>
            </w:r>
          </w:p>
        </w:tc>
        <w:tc>
          <w:tcPr>
            <w:tcW w:w="960" w:type="dxa"/>
            <w:tcBorders>
              <w:top w:val="nil"/>
              <w:left w:val="nil"/>
              <w:bottom w:val="nil"/>
              <w:right w:val="nil"/>
            </w:tcBorders>
            <w:shd w:val="clear" w:color="auto" w:fill="auto"/>
            <w:noWrap/>
            <w:vAlign w:val="bottom"/>
            <w:hideMark/>
          </w:tcPr>
          <w:p w14:paraId="255845D6" w14:textId="77777777" w:rsidR="00366724" w:rsidRPr="00366724" w:rsidRDefault="00366724" w:rsidP="00AC0D94">
            <w:pPr>
              <w:widowControl/>
              <w:rPr>
                <w:rFonts w:ascii="Times New Roman" w:eastAsia="Times New Roman" w:hAnsi="Times New Roman"/>
                <w:b/>
                <w:bCs/>
                <w:color w:val="000000"/>
                <w:kern w:val="0"/>
                <w:szCs w:val="24"/>
              </w:rPr>
            </w:pPr>
          </w:p>
        </w:tc>
      </w:tr>
      <w:tr w:rsidR="00366724" w:rsidRPr="00366724" w14:paraId="67E73615" w14:textId="77777777" w:rsidTr="00366724">
        <w:trPr>
          <w:trHeight w:val="310"/>
        </w:trPr>
        <w:tc>
          <w:tcPr>
            <w:tcW w:w="7680" w:type="dxa"/>
            <w:gridSpan w:val="2"/>
            <w:tcBorders>
              <w:top w:val="nil"/>
              <w:left w:val="nil"/>
              <w:bottom w:val="nil"/>
              <w:right w:val="nil"/>
            </w:tcBorders>
            <w:shd w:val="clear" w:color="auto" w:fill="auto"/>
            <w:vAlign w:val="center"/>
            <w:hideMark/>
          </w:tcPr>
          <w:p w14:paraId="1A3D1858" w14:textId="77777777" w:rsidR="00366724" w:rsidRPr="00366724" w:rsidRDefault="00366724" w:rsidP="00AC0D94">
            <w:pPr>
              <w:widowControl/>
              <w:jc w:val="center"/>
              <w:rPr>
                <w:rFonts w:ascii="Times New Roman" w:eastAsia="Times New Roman" w:hAnsi="Times New Roman"/>
                <w:kern w:val="0"/>
                <w:sz w:val="20"/>
                <w:szCs w:val="20"/>
              </w:rPr>
            </w:pPr>
          </w:p>
        </w:tc>
        <w:tc>
          <w:tcPr>
            <w:tcW w:w="960" w:type="dxa"/>
            <w:tcBorders>
              <w:top w:val="nil"/>
              <w:left w:val="nil"/>
              <w:bottom w:val="nil"/>
              <w:right w:val="nil"/>
            </w:tcBorders>
            <w:shd w:val="clear" w:color="auto" w:fill="auto"/>
            <w:vAlign w:val="center"/>
            <w:hideMark/>
          </w:tcPr>
          <w:p w14:paraId="34DB9B72" w14:textId="77777777" w:rsidR="00366724" w:rsidRPr="00366724" w:rsidRDefault="00366724" w:rsidP="00AC0D94">
            <w:pPr>
              <w:widowControl/>
              <w:jc w:val="center"/>
              <w:rPr>
                <w:rFonts w:ascii="Times New Roman" w:eastAsia="Times New Roman" w:hAnsi="Times New Roman"/>
                <w:b/>
                <w:bCs/>
                <w:color w:val="000000"/>
                <w:kern w:val="0"/>
                <w:szCs w:val="24"/>
              </w:rPr>
            </w:pPr>
            <w:r w:rsidRPr="00366724">
              <w:rPr>
                <w:rFonts w:ascii="Times New Roman" w:eastAsia="Times New Roman" w:hAnsi="Times New Roman"/>
                <w:b/>
                <w:bCs/>
                <w:color w:val="000000"/>
                <w:kern w:val="0"/>
                <w:szCs w:val="24"/>
              </w:rPr>
              <w:t>Page</w:t>
            </w:r>
          </w:p>
        </w:tc>
      </w:tr>
      <w:tr w:rsidR="00366724" w:rsidRPr="00366724" w14:paraId="7A6914C4" w14:textId="77777777" w:rsidTr="00366724">
        <w:trPr>
          <w:trHeight w:val="310"/>
        </w:trPr>
        <w:tc>
          <w:tcPr>
            <w:tcW w:w="7680" w:type="dxa"/>
            <w:gridSpan w:val="2"/>
            <w:tcBorders>
              <w:top w:val="nil"/>
              <w:left w:val="nil"/>
              <w:bottom w:val="nil"/>
              <w:right w:val="nil"/>
            </w:tcBorders>
            <w:shd w:val="clear" w:color="auto" w:fill="auto"/>
            <w:vAlign w:val="center"/>
            <w:hideMark/>
          </w:tcPr>
          <w:p w14:paraId="2C12C362"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1. Introduction</w:t>
            </w:r>
          </w:p>
        </w:tc>
        <w:tc>
          <w:tcPr>
            <w:tcW w:w="960" w:type="dxa"/>
            <w:tcBorders>
              <w:top w:val="nil"/>
              <w:left w:val="nil"/>
              <w:bottom w:val="nil"/>
              <w:right w:val="nil"/>
            </w:tcBorders>
            <w:shd w:val="clear" w:color="auto" w:fill="auto"/>
            <w:vAlign w:val="center"/>
            <w:hideMark/>
          </w:tcPr>
          <w:p w14:paraId="66DE54D3" w14:textId="77777777" w:rsidR="00366724" w:rsidRPr="00366724" w:rsidRDefault="00366724" w:rsidP="00AC0D94">
            <w:pPr>
              <w:widowControl/>
              <w:jc w:val="center"/>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1~2</w:t>
            </w:r>
          </w:p>
        </w:tc>
      </w:tr>
      <w:tr w:rsidR="00366724" w:rsidRPr="00366724" w14:paraId="6FF1DB7F" w14:textId="77777777" w:rsidTr="00366724">
        <w:trPr>
          <w:trHeight w:val="310"/>
        </w:trPr>
        <w:tc>
          <w:tcPr>
            <w:tcW w:w="7680" w:type="dxa"/>
            <w:gridSpan w:val="2"/>
            <w:tcBorders>
              <w:top w:val="nil"/>
              <w:left w:val="nil"/>
              <w:bottom w:val="nil"/>
              <w:right w:val="nil"/>
            </w:tcBorders>
            <w:shd w:val="clear" w:color="auto" w:fill="auto"/>
            <w:vAlign w:val="center"/>
            <w:hideMark/>
          </w:tcPr>
          <w:p w14:paraId="2C4E958C" w14:textId="77777777" w:rsidR="00366724" w:rsidRPr="00366724" w:rsidRDefault="00366724" w:rsidP="00AC0D94">
            <w:pPr>
              <w:widowControl/>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 Research Background</w:t>
            </w:r>
          </w:p>
        </w:tc>
        <w:tc>
          <w:tcPr>
            <w:tcW w:w="960" w:type="dxa"/>
            <w:tcBorders>
              <w:top w:val="nil"/>
              <w:left w:val="nil"/>
              <w:bottom w:val="nil"/>
              <w:right w:val="nil"/>
            </w:tcBorders>
            <w:shd w:val="clear" w:color="auto" w:fill="auto"/>
            <w:vAlign w:val="center"/>
            <w:hideMark/>
          </w:tcPr>
          <w:p w14:paraId="5DCBD687" w14:textId="4D170832" w:rsidR="00366724" w:rsidRPr="00366724" w:rsidRDefault="00B45AC4"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3</w:t>
            </w:r>
          </w:p>
        </w:tc>
      </w:tr>
      <w:tr w:rsidR="00366724" w:rsidRPr="00366724" w14:paraId="36619088" w14:textId="77777777" w:rsidTr="00366724">
        <w:trPr>
          <w:trHeight w:val="310"/>
        </w:trPr>
        <w:tc>
          <w:tcPr>
            <w:tcW w:w="960" w:type="dxa"/>
            <w:tcBorders>
              <w:top w:val="nil"/>
              <w:left w:val="nil"/>
              <w:bottom w:val="nil"/>
              <w:right w:val="nil"/>
            </w:tcBorders>
            <w:shd w:val="clear" w:color="auto" w:fill="auto"/>
            <w:vAlign w:val="center"/>
            <w:hideMark/>
          </w:tcPr>
          <w:p w14:paraId="2C7E8AE7"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0DA38BD3"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2.1 Theoretical Basis</w:t>
            </w:r>
          </w:p>
        </w:tc>
        <w:tc>
          <w:tcPr>
            <w:tcW w:w="960" w:type="dxa"/>
            <w:tcBorders>
              <w:top w:val="nil"/>
              <w:left w:val="nil"/>
              <w:bottom w:val="nil"/>
              <w:right w:val="nil"/>
            </w:tcBorders>
            <w:shd w:val="clear" w:color="auto" w:fill="auto"/>
            <w:vAlign w:val="center"/>
            <w:hideMark/>
          </w:tcPr>
          <w:p w14:paraId="5637D134" w14:textId="0D382403" w:rsidR="00366724" w:rsidRPr="00366724" w:rsidRDefault="00B45AC4"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3</w:t>
            </w:r>
            <w:r w:rsidR="00994590">
              <w:rPr>
                <w:rFonts w:ascii="Times New Roman" w:eastAsia="Times New Roman" w:hAnsi="Times New Roman"/>
                <w:color w:val="000000"/>
                <w:kern w:val="0"/>
                <w:szCs w:val="24"/>
              </w:rPr>
              <w:t>~</w:t>
            </w:r>
            <w:r>
              <w:rPr>
                <w:rFonts w:ascii="Times New Roman" w:eastAsia="Times New Roman" w:hAnsi="Times New Roman"/>
                <w:color w:val="000000"/>
                <w:kern w:val="0"/>
                <w:szCs w:val="24"/>
              </w:rPr>
              <w:t>4</w:t>
            </w:r>
          </w:p>
        </w:tc>
      </w:tr>
      <w:tr w:rsidR="00366724" w:rsidRPr="00366724" w14:paraId="7A710F75" w14:textId="77777777" w:rsidTr="00366724">
        <w:trPr>
          <w:trHeight w:val="1300"/>
        </w:trPr>
        <w:tc>
          <w:tcPr>
            <w:tcW w:w="960" w:type="dxa"/>
            <w:tcBorders>
              <w:top w:val="nil"/>
              <w:left w:val="nil"/>
              <w:bottom w:val="nil"/>
              <w:right w:val="nil"/>
            </w:tcBorders>
            <w:shd w:val="clear" w:color="auto" w:fill="auto"/>
            <w:vAlign w:val="center"/>
            <w:hideMark/>
          </w:tcPr>
          <w:p w14:paraId="57F286AC"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0E256973"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2.2 Current Performance of Consumer Inflation and Retail Sales in Hong Kong and Thailand</w:t>
            </w:r>
          </w:p>
        </w:tc>
        <w:tc>
          <w:tcPr>
            <w:tcW w:w="960" w:type="dxa"/>
            <w:tcBorders>
              <w:top w:val="nil"/>
              <w:left w:val="nil"/>
              <w:bottom w:val="nil"/>
              <w:right w:val="nil"/>
            </w:tcBorders>
            <w:shd w:val="clear" w:color="auto" w:fill="auto"/>
            <w:vAlign w:val="center"/>
            <w:hideMark/>
          </w:tcPr>
          <w:p w14:paraId="4C4B2902" w14:textId="48915943" w:rsidR="00366724" w:rsidRPr="00366724" w:rsidRDefault="006B7269"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5~6</w:t>
            </w:r>
          </w:p>
        </w:tc>
      </w:tr>
      <w:tr w:rsidR="00366724" w:rsidRPr="00366724" w14:paraId="1A1EAA0C" w14:textId="77777777" w:rsidTr="00366724">
        <w:trPr>
          <w:trHeight w:val="310"/>
        </w:trPr>
        <w:tc>
          <w:tcPr>
            <w:tcW w:w="960" w:type="dxa"/>
            <w:tcBorders>
              <w:top w:val="nil"/>
              <w:left w:val="nil"/>
              <w:bottom w:val="nil"/>
              <w:right w:val="nil"/>
            </w:tcBorders>
            <w:shd w:val="clear" w:color="auto" w:fill="auto"/>
            <w:vAlign w:val="center"/>
            <w:hideMark/>
          </w:tcPr>
          <w:p w14:paraId="5E6B049F"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4A9D312F"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2.3 Dataset</w:t>
            </w:r>
          </w:p>
        </w:tc>
        <w:tc>
          <w:tcPr>
            <w:tcW w:w="960" w:type="dxa"/>
            <w:tcBorders>
              <w:top w:val="nil"/>
              <w:left w:val="nil"/>
              <w:bottom w:val="nil"/>
              <w:right w:val="nil"/>
            </w:tcBorders>
            <w:shd w:val="clear" w:color="auto" w:fill="auto"/>
            <w:vAlign w:val="center"/>
            <w:hideMark/>
          </w:tcPr>
          <w:p w14:paraId="0B74C7B9" w14:textId="7A3FBB9F" w:rsidR="00366724" w:rsidRPr="00366724" w:rsidRDefault="006B7269"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7~</w:t>
            </w:r>
            <w:r w:rsidR="005D5EF0">
              <w:rPr>
                <w:rFonts w:ascii="Times New Roman" w:eastAsia="Times New Roman" w:hAnsi="Times New Roman"/>
                <w:color w:val="000000"/>
                <w:kern w:val="0"/>
                <w:szCs w:val="24"/>
              </w:rPr>
              <w:t>9</w:t>
            </w:r>
          </w:p>
        </w:tc>
      </w:tr>
      <w:tr w:rsidR="00366724" w:rsidRPr="00366724" w14:paraId="1943851E" w14:textId="77777777" w:rsidTr="00366724">
        <w:trPr>
          <w:trHeight w:val="310"/>
        </w:trPr>
        <w:tc>
          <w:tcPr>
            <w:tcW w:w="7680" w:type="dxa"/>
            <w:gridSpan w:val="2"/>
            <w:tcBorders>
              <w:top w:val="nil"/>
              <w:left w:val="nil"/>
              <w:bottom w:val="nil"/>
              <w:right w:val="nil"/>
            </w:tcBorders>
            <w:shd w:val="clear" w:color="auto" w:fill="auto"/>
            <w:vAlign w:val="center"/>
            <w:hideMark/>
          </w:tcPr>
          <w:p w14:paraId="256E5DC9"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 Analysis and Discussion</w:t>
            </w:r>
          </w:p>
        </w:tc>
        <w:tc>
          <w:tcPr>
            <w:tcW w:w="960" w:type="dxa"/>
            <w:tcBorders>
              <w:top w:val="nil"/>
              <w:left w:val="nil"/>
              <w:bottom w:val="nil"/>
              <w:right w:val="nil"/>
            </w:tcBorders>
            <w:shd w:val="clear" w:color="auto" w:fill="auto"/>
            <w:vAlign w:val="center"/>
            <w:hideMark/>
          </w:tcPr>
          <w:p w14:paraId="1610B02E" w14:textId="50441BDD" w:rsidR="00366724" w:rsidRPr="00366724" w:rsidRDefault="005D5EF0"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10</w:t>
            </w:r>
          </w:p>
        </w:tc>
      </w:tr>
      <w:tr w:rsidR="00366724" w:rsidRPr="00366724" w14:paraId="7A7F4FC1" w14:textId="77777777" w:rsidTr="00366724">
        <w:trPr>
          <w:trHeight w:val="310"/>
        </w:trPr>
        <w:tc>
          <w:tcPr>
            <w:tcW w:w="960" w:type="dxa"/>
            <w:tcBorders>
              <w:top w:val="nil"/>
              <w:left w:val="nil"/>
              <w:bottom w:val="nil"/>
              <w:right w:val="nil"/>
            </w:tcBorders>
            <w:shd w:val="clear" w:color="auto" w:fill="auto"/>
            <w:vAlign w:val="center"/>
            <w:hideMark/>
          </w:tcPr>
          <w:p w14:paraId="4E569069"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69EEF50B"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3.1 Trends in Hong Kong and Thailand: An Overview XX</w:t>
            </w:r>
          </w:p>
        </w:tc>
        <w:tc>
          <w:tcPr>
            <w:tcW w:w="960" w:type="dxa"/>
            <w:tcBorders>
              <w:top w:val="nil"/>
              <w:left w:val="nil"/>
              <w:bottom w:val="nil"/>
              <w:right w:val="nil"/>
            </w:tcBorders>
            <w:shd w:val="clear" w:color="auto" w:fill="auto"/>
            <w:vAlign w:val="center"/>
            <w:hideMark/>
          </w:tcPr>
          <w:p w14:paraId="0F3B8C3A" w14:textId="3429B22F" w:rsidR="00366724" w:rsidRPr="00366724" w:rsidRDefault="005D5EF0"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10~12</w:t>
            </w:r>
          </w:p>
        </w:tc>
      </w:tr>
      <w:tr w:rsidR="00366724" w:rsidRPr="00366724" w14:paraId="7C819241" w14:textId="77777777" w:rsidTr="00366724">
        <w:trPr>
          <w:trHeight w:val="310"/>
        </w:trPr>
        <w:tc>
          <w:tcPr>
            <w:tcW w:w="960" w:type="dxa"/>
            <w:tcBorders>
              <w:top w:val="nil"/>
              <w:left w:val="nil"/>
              <w:bottom w:val="nil"/>
              <w:right w:val="nil"/>
            </w:tcBorders>
            <w:shd w:val="clear" w:color="auto" w:fill="auto"/>
            <w:vAlign w:val="center"/>
            <w:hideMark/>
          </w:tcPr>
          <w:p w14:paraId="01239248"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4CAF8EAD"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3.2 Comparative Analysis of Inflation and Retail Sales XX</w:t>
            </w:r>
          </w:p>
        </w:tc>
        <w:tc>
          <w:tcPr>
            <w:tcW w:w="960" w:type="dxa"/>
            <w:tcBorders>
              <w:top w:val="nil"/>
              <w:left w:val="nil"/>
              <w:bottom w:val="nil"/>
              <w:right w:val="nil"/>
            </w:tcBorders>
            <w:shd w:val="clear" w:color="auto" w:fill="auto"/>
            <w:vAlign w:val="center"/>
            <w:hideMark/>
          </w:tcPr>
          <w:p w14:paraId="0601575F" w14:textId="316985FF" w:rsidR="00366724" w:rsidRPr="00366724" w:rsidRDefault="005D5EF0"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12~</w:t>
            </w:r>
            <w:r w:rsidR="00DC0AF1">
              <w:rPr>
                <w:rFonts w:ascii="Times New Roman" w:eastAsia="Times New Roman" w:hAnsi="Times New Roman"/>
                <w:color w:val="000000"/>
                <w:kern w:val="0"/>
                <w:szCs w:val="24"/>
              </w:rPr>
              <w:t>15</w:t>
            </w:r>
          </w:p>
        </w:tc>
      </w:tr>
      <w:tr w:rsidR="00366724" w:rsidRPr="00366724" w14:paraId="6C5A96EE" w14:textId="77777777" w:rsidTr="00366724">
        <w:trPr>
          <w:trHeight w:val="310"/>
        </w:trPr>
        <w:tc>
          <w:tcPr>
            <w:tcW w:w="960" w:type="dxa"/>
            <w:tcBorders>
              <w:top w:val="nil"/>
              <w:left w:val="nil"/>
              <w:bottom w:val="nil"/>
              <w:right w:val="nil"/>
            </w:tcBorders>
            <w:shd w:val="clear" w:color="auto" w:fill="auto"/>
            <w:vAlign w:val="center"/>
            <w:hideMark/>
          </w:tcPr>
          <w:p w14:paraId="11D4B10A"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279895FD" w14:textId="0356F0D2"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w:t>
            </w:r>
            <w:r w:rsidR="008565BA">
              <w:rPr>
                <w:rFonts w:ascii="Times New Roman" w:eastAsia="Times New Roman" w:hAnsi="Times New Roman"/>
                <w:color w:val="000000"/>
                <w:kern w:val="0"/>
                <w:szCs w:val="24"/>
              </w:rPr>
              <w:t>.3</w:t>
            </w:r>
            <w:r w:rsidRPr="00366724">
              <w:rPr>
                <w:rFonts w:ascii="Times New Roman" w:eastAsia="Times New Roman" w:hAnsi="Times New Roman"/>
                <w:color w:val="000000"/>
                <w:kern w:val="0"/>
                <w:szCs w:val="24"/>
              </w:rPr>
              <w:t xml:space="preserve"> </w:t>
            </w:r>
            <w:r w:rsidR="003448E2">
              <w:rPr>
                <w:rFonts w:ascii="Times New Roman" w:eastAsia="Times New Roman" w:hAnsi="Times New Roman"/>
                <w:color w:val="000000"/>
                <w:kern w:val="0"/>
                <w:szCs w:val="24"/>
              </w:rPr>
              <w:t>Implications for the company</w:t>
            </w:r>
          </w:p>
        </w:tc>
        <w:tc>
          <w:tcPr>
            <w:tcW w:w="960" w:type="dxa"/>
            <w:tcBorders>
              <w:top w:val="nil"/>
              <w:left w:val="nil"/>
              <w:bottom w:val="nil"/>
              <w:right w:val="nil"/>
            </w:tcBorders>
            <w:shd w:val="clear" w:color="auto" w:fill="auto"/>
            <w:vAlign w:val="center"/>
            <w:hideMark/>
          </w:tcPr>
          <w:p w14:paraId="23BEDE15" w14:textId="6C94A38D" w:rsidR="00366724" w:rsidRPr="00366724" w:rsidRDefault="00DC0AF1"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16~</w:t>
            </w:r>
            <w:r w:rsidR="00C65DE0">
              <w:rPr>
                <w:rFonts w:ascii="Times New Roman" w:eastAsia="Times New Roman" w:hAnsi="Times New Roman"/>
                <w:color w:val="000000"/>
                <w:kern w:val="0"/>
                <w:szCs w:val="24"/>
              </w:rPr>
              <w:t>1</w:t>
            </w:r>
            <w:r w:rsidR="00732ED0">
              <w:rPr>
                <w:rFonts w:ascii="Times New Roman" w:eastAsia="Times New Roman" w:hAnsi="Times New Roman"/>
                <w:color w:val="000000"/>
                <w:kern w:val="0"/>
                <w:szCs w:val="24"/>
              </w:rPr>
              <w:t>9</w:t>
            </w:r>
          </w:p>
        </w:tc>
      </w:tr>
      <w:tr w:rsidR="00366724" w:rsidRPr="00366724" w14:paraId="34057815" w14:textId="77777777" w:rsidTr="00366724">
        <w:trPr>
          <w:trHeight w:val="310"/>
        </w:trPr>
        <w:tc>
          <w:tcPr>
            <w:tcW w:w="960" w:type="dxa"/>
            <w:tcBorders>
              <w:top w:val="nil"/>
              <w:left w:val="nil"/>
              <w:bottom w:val="nil"/>
              <w:right w:val="nil"/>
            </w:tcBorders>
            <w:shd w:val="clear" w:color="auto" w:fill="auto"/>
            <w:vAlign w:val="center"/>
            <w:hideMark/>
          </w:tcPr>
          <w:p w14:paraId="6A5D175A"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1055D14F" w14:textId="0A67CF3B"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w:t>
            </w:r>
            <w:r w:rsidR="00504C19">
              <w:rPr>
                <w:rFonts w:ascii="Times New Roman" w:eastAsia="Times New Roman" w:hAnsi="Times New Roman"/>
                <w:color w:val="000000"/>
                <w:kern w:val="0"/>
                <w:szCs w:val="24"/>
              </w:rPr>
              <w:t>4</w:t>
            </w:r>
            <w:r w:rsidRPr="00366724">
              <w:rPr>
                <w:rFonts w:ascii="Times New Roman" w:eastAsia="Times New Roman" w:hAnsi="Times New Roman"/>
                <w:color w:val="000000"/>
                <w:kern w:val="0"/>
                <w:szCs w:val="24"/>
              </w:rPr>
              <w:t xml:space="preserve"> </w:t>
            </w:r>
            <w:r w:rsidR="00504C19">
              <w:rPr>
                <w:rFonts w:ascii="Times New Roman" w:eastAsia="Times New Roman" w:hAnsi="Times New Roman"/>
                <w:color w:val="000000"/>
                <w:kern w:val="0"/>
                <w:szCs w:val="24"/>
              </w:rPr>
              <w:t>Corre</w:t>
            </w:r>
            <w:r w:rsidR="00C65DE0">
              <w:rPr>
                <w:rFonts w:ascii="Times New Roman" w:eastAsia="Times New Roman" w:hAnsi="Times New Roman"/>
                <w:color w:val="000000"/>
                <w:kern w:val="0"/>
                <w:szCs w:val="24"/>
              </w:rPr>
              <w:t>lation Analysis</w:t>
            </w:r>
          </w:p>
        </w:tc>
        <w:tc>
          <w:tcPr>
            <w:tcW w:w="960" w:type="dxa"/>
            <w:tcBorders>
              <w:top w:val="nil"/>
              <w:left w:val="nil"/>
              <w:bottom w:val="nil"/>
              <w:right w:val="nil"/>
            </w:tcBorders>
            <w:shd w:val="clear" w:color="auto" w:fill="auto"/>
            <w:vAlign w:val="center"/>
            <w:hideMark/>
          </w:tcPr>
          <w:p w14:paraId="474B6F9B" w14:textId="6628ACD5" w:rsidR="00366724" w:rsidRPr="00366724" w:rsidRDefault="00732ED0"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20~</w:t>
            </w:r>
            <w:r w:rsidR="002B2A22">
              <w:rPr>
                <w:rFonts w:ascii="Times New Roman" w:eastAsia="Times New Roman" w:hAnsi="Times New Roman"/>
                <w:color w:val="000000"/>
                <w:kern w:val="0"/>
                <w:szCs w:val="24"/>
              </w:rPr>
              <w:t>24</w:t>
            </w:r>
          </w:p>
        </w:tc>
      </w:tr>
      <w:tr w:rsidR="00366724" w:rsidRPr="00366724" w14:paraId="26FBF01E" w14:textId="77777777" w:rsidTr="002B2A22">
        <w:trPr>
          <w:trHeight w:val="310"/>
        </w:trPr>
        <w:tc>
          <w:tcPr>
            <w:tcW w:w="960" w:type="dxa"/>
            <w:tcBorders>
              <w:top w:val="nil"/>
              <w:left w:val="nil"/>
              <w:bottom w:val="nil"/>
              <w:right w:val="nil"/>
            </w:tcBorders>
            <w:shd w:val="clear" w:color="auto" w:fill="auto"/>
            <w:vAlign w:val="center"/>
          </w:tcPr>
          <w:p w14:paraId="50DC9140"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38BD1300" w14:textId="59E3B2EC" w:rsidR="00366724" w:rsidRPr="00366724" w:rsidRDefault="00366724" w:rsidP="00AC0D94">
            <w:pPr>
              <w:widowControl/>
              <w:jc w:val="both"/>
              <w:rPr>
                <w:rFonts w:ascii="Times New Roman" w:eastAsia="Times New Roman" w:hAnsi="Times New Roman"/>
                <w:color w:val="000000"/>
                <w:kern w:val="0"/>
                <w:szCs w:val="24"/>
              </w:rPr>
            </w:pPr>
          </w:p>
        </w:tc>
        <w:tc>
          <w:tcPr>
            <w:tcW w:w="960" w:type="dxa"/>
            <w:tcBorders>
              <w:top w:val="nil"/>
              <w:left w:val="nil"/>
              <w:bottom w:val="nil"/>
              <w:right w:val="nil"/>
            </w:tcBorders>
            <w:shd w:val="clear" w:color="auto" w:fill="auto"/>
            <w:vAlign w:val="center"/>
          </w:tcPr>
          <w:p w14:paraId="488EBD2B" w14:textId="58D40C2B" w:rsidR="00366724" w:rsidRPr="00366724" w:rsidRDefault="00366724" w:rsidP="00AC0D94">
            <w:pPr>
              <w:widowControl/>
              <w:jc w:val="center"/>
              <w:rPr>
                <w:rFonts w:ascii="Times New Roman" w:eastAsia="Times New Roman" w:hAnsi="Times New Roman"/>
                <w:color w:val="000000"/>
                <w:kern w:val="0"/>
                <w:szCs w:val="24"/>
              </w:rPr>
            </w:pPr>
          </w:p>
        </w:tc>
      </w:tr>
      <w:tr w:rsidR="00366724" w:rsidRPr="00366724" w14:paraId="360D0625" w14:textId="77777777" w:rsidTr="00366724">
        <w:trPr>
          <w:trHeight w:val="520"/>
        </w:trPr>
        <w:tc>
          <w:tcPr>
            <w:tcW w:w="7680" w:type="dxa"/>
            <w:gridSpan w:val="2"/>
            <w:tcBorders>
              <w:top w:val="nil"/>
              <w:left w:val="nil"/>
              <w:bottom w:val="nil"/>
              <w:right w:val="nil"/>
            </w:tcBorders>
            <w:shd w:val="clear" w:color="auto" w:fill="auto"/>
            <w:vAlign w:val="center"/>
            <w:hideMark/>
          </w:tcPr>
          <w:p w14:paraId="2A376C0B"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4.Conclusion and Recommendations</w:t>
            </w:r>
          </w:p>
        </w:tc>
        <w:tc>
          <w:tcPr>
            <w:tcW w:w="960" w:type="dxa"/>
            <w:tcBorders>
              <w:top w:val="nil"/>
              <w:left w:val="nil"/>
              <w:bottom w:val="nil"/>
              <w:right w:val="nil"/>
            </w:tcBorders>
            <w:shd w:val="clear" w:color="auto" w:fill="auto"/>
            <w:vAlign w:val="center"/>
            <w:hideMark/>
          </w:tcPr>
          <w:p w14:paraId="2B389DDE" w14:textId="4B72EB8A" w:rsidR="00366724" w:rsidRPr="00366724" w:rsidRDefault="008A4B3D"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25~27</w:t>
            </w:r>
          </w:p>
        </w:tc>
      </w:tr>
      <w:tr w:rsidR="00366724" w:rsidRPr="00366724" w14:paraId="6C7E778B" w14:textId="77777777" w:rsidTr="00366724">
        <w:trPr>
          <w:trHeight w:val="310"/>
        </w:trPr>
        <w:tc>
          <w:tcPr>
            <w:tcW w:w="960" w:type="dxa"/>
            <w:tcBorders>
              <w:top w:val="nil"/>
              <w:left w:val="nil"/>
              <w:bottom w:val="nil"/>
              <w:right w:val="nil"/>
            </w:tcBorders>
            <w:shd w:val="clear" w:color="auto" w:fill="auto"/>
            <w:vAlign w:val="center"/>
            <w:hideMark/>
          </w:tcPr>
          <w:p w14:paraId="2CB191A2"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332CC5AD"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4.1 Conclusion XX</w:t>
            </w:r>
          </w:p>
        </w:tc>
        <w:tc>
          <w:tcPr>
            <w:tcW w:w="960" w:type="dxa"/>
            <w:tcBorders>
              <w:top w:val="nil"/>
              <w:left w:val="nil"/>
              <w:bottom w:val="nil"/>
              <w:right w:val="nil"/>
            </w:tcBorders>
            <w:shd w:val="clear" w:color="auto" w:fill="auto"/>
            <w:vAlign w:val="center"/>
            <w:hideMark/>
          </w:tcPr>
          <w:p w14:paraId="57A83ECF" w14:textId="0A8FFA18" w:rsidR="00366724" w:rsidRPr="00366724" w:rsidRDefault="00853106"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25</w:t>
            </w:r>
          </w:p>
        </w:tc>
      </w:tr>
      <w:tr w:rsidR="00853106" w:rsidRPr="00366724" w14:paraId="77E207E4" w14:textId="77777777" w:rsidTr="008A4B3D">
        <w:trPr>
          <w:trHeight w:val="310"/>
        </w:trPr>
        <w:tc>
          <w:tcPr>
            <w:tcW w:w="960" w:type="dxa"/>
            <w:tcBorders>
              <w:top w:val="nil"/>
              <w:left w:val="nil"/>
              <w:bottom w:val="nil"/>
              <w:right w:val="nil"/>
            </w:tcBorders>
            <w:shd w:val="clear" w:color="auto" w:fill="auto"/>
            <w:vAlign w:val="center"/>
            <w:hideMark/>
          </w:tcPr>
          <w:p w14:paraId="4ABD025C" w14:textId="77777777" w:rsidR="00853106" w:rsidRPr="00366724" w:rsidRDefault="00853106" w:rsidP="00853106">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50106ECB" w14:textId="24E3D86B" w:rsidR="00853106" w:rsidRPr="00366724" w:rsidRDefault="00853106" w:rsidP="00853106">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w:t>
            </w:r>
            <w:r>
              <w:rPr>
                <w:rFonts w:ascii="Times New Roman" w:eastAsia="Times New Roman" w:hAnsi="Times New Roman"/>
                <w:color w:val="000000"/>
                <w:kern w:val="0"/>
                <w:szCs w:val="24"/>
              </w:rPr>
              <w:t>2</w:t>
            </w:r>
            <w:r w:rsidRPr="00366724">
              <w:rPr>
                <w:rFonts w:ascii="Times New Roman" w:eastAsia="Times New Roman" w:hAnsi="Times New Roman"/>
                <w:color w:val="000000"/>
                <w:kern w:val="0"/>
                <w:szCs w:val="24"/>
              </w:rPr>
              <w:t xml:space="preserve"> </w:t>
            </w:r>
            <w:r w:rsidR="001F4B40">
              <w:rPr>
                <w:rFonts w:ascii="Times New Roman" w:eastAsia="Times New Roman" w:hAnsi="Times New Roman"/>
                <w:color w:val="000000"/>
                <w:kern w:val="0"/>
                <w:szCs w:val="24"/>
              </w:rPr>
              <w:t>Recommendations</w:t>
            </w:r>
          </w:p>
        </w:tc>
        <w:tc>
          <w:tcPr>
            <w:tcW w:w="960" w:type="dxa"/>
            <w:tcBorders>
              <w:top w:val="nil"/>
              <w:left w:val="nil"/>
              <w:bottom w:val="nil"/>
              <w:right w:val="nil"/>
            </w:tcBorders>
            <w:shd w:val="clear" w:color="auto" w:fill="auto"/>
            <w:vAlign w:val="center"/>
          </w:tcPr>
          <w:p w14:paraId="217746C0" w14:textId="11BFFE9D" w:rsidR="00853106" w:rsidRPr="00366724" w:rsidRDefault="00853106" w:rsidP="00853106">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1F4B40">
              <w:rPr>
                <w:rFonts w:ascii="Times New Roman" w:eastAsia="Times New Roman" w:hAnsi="Times New Roman"/>
                <w:color w:val="000000"/>
                <w:kern w:val="0"/>
                <w:szCs w:val="24"/>
              </w:rPr>
              <w:t>6</w:t>
            </w:r>
          </w:p>
        </w:tc>
      </w:tr>
      <w:tr w:rsidR="001F4B40" w:rsidRPr="00366724" w14:paraId="784962C1" w14:textId="77777777" w:rsidTr="008A4B3D">
        <w:trPr>
          <w:trHeight w:val="310"/>
        </w:trPr>
        <w:tc>
          <w:tcPr>
            <w:tcW w:w="960" w:type="dxa"/>
            <w:tcBorders>
              <w:top w:val="nil"/>
              <w:left w:val="nil"/>
              <w:bottom w:val="nil"/>
              <w:right w:val="nil"/>
            </w:tcBorders>
            <w:shd w:val="clear" w:color="auto" w:fill="auto"/>
            <w:vAlign w:val="center"/>
          </w:tcPr>
          <w:p w14:paraId="59D523C8" w14:textId="77777777" w:rsidR="001F4B40" w:rsidRPr="00366724" w:rsidRDefault="001F4B40" w:rsidP="00853106">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60CAA36B" w14:textId="3277568D" w:rsidR="001F4B40" w:rsidRPr="00366724" w:rsidRDefault="001F4B40" w:rsidP="00853106">
            <w:pPr>
              <w:widowControl/>
              <w:jc w:val="both"/>
              <w:rPr>
                <w:rFonts w:ascii="Times New Roman" w:eastAsia="Times New Roman" w:hAnsi="Times New Roman"/>
                <w:color w:val="000000"/>
                <w:kern w:val="0"/>
                <w:szCs w:val="24"/>
              </w:rPr>
            </w:pPr>
            <w:r>
              <w:rPr>
                <w:rFonts w:ascii="Times New Roman" w:eastAsia="Times New Roman" w:hAnsi="Times New Roman"/>
                <w:color w:val="000000"/>
                <w:kern w:val="0"/>
                <w:szCs w:val="24"/>
              </w:rPr>
              <w:t>4.3 Limita</w:t>
            </w:r>
            <w:r w:rsidR="0045395A">
              <w:rPr>
                <w:rFonts w:ascii="Times New Roman" w:eastAsia="Times New Roman" w:hAnsi="Times New Roman"/>
                <w:color w:val="000000"/>
                <w:kern w:val="0"/>
                <w:szCs w:val="24"/>
              </w:rPr>
              <w:t>tions and Future Research</w:t>
            </w:r>
          </w:p>
        </w:tc>
        <w:tc>
          <w:tcPr>
            <w:tcW w:w="960" w:type="dxa"/>
            <w:tcBorders>
              <w:top w:val="nil"/>
              <w:left w:val="nil"/>
              <w:bottom w:val="nil"/>
              <w:right w:val="nil"/>
            </w:tcBorders>
            <w:shd w:val="clear" w:color="auto" w:fill="auto"/>
            <w:vAlign w:val="center"/>
          </w:tcPr>
          <w:p w14:paraId="58EC3210" w14:textId="66445EB3" w:rsidR="001F4B40" w:rsidRDefault="0045395A" w:rsidP="00853106">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27</w:t>
            </w:r>
          </w:p>
        </w:tc>
      </w:tr>
      <w:tr w:rsidR="00853106" w:rsidRPr="00366724" w14:paraId="72BF10E4" w14:textId="77777777" w:rsidTr="008A4B3D">
        <w:trPr>
          <w:trHeight w:val="310"/>
        </w:trPr>
        <w:tc>
          <w:tcPr>
            <w:tcW w:w="960" w:type="dxa"/>
            <w:tcBorders>
              <w:top w:val="nil"/>
              <w:left w:val="nil"/>
              <w:bottom w:val="nil"/>
              <w:right w:val="nil"/>
            </w:tcBorders>
            <w:shd w:val="clear" w:color="auto" w:fill="auto"/>
            <w:vAlign w:val="center"/>
            <w:hideMark/>
          </w:tcPr>
          <w:p w14:paraId="53133261" w14:textId="77777777" w:rsidR="00853106" w:rsidRPr="00366724" w:rsidRDefault="00853106" w:rsidP="00853106">
            <w:pPr>
              <w:widowControl/>
              <w:ind w:firstLineChars="300" w:firstLine="720"/>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228095C5" w14:textId="63CF5FE5" w:rsidR="00853106" w:rsidRPr="00366724" w:rsidRDefault="00853106" w:rsidP="00853106">
            <w:pPr>
              <w:widowControl/>
              <w:ind w:firstLineChars="300" w:firstLine="720"/>
              <w:rPr>
                <w:rFonts w:ascii="Times New Roman" w:eastAsia="Times New Roman" w:hAnsi="Times New Roman"/>
                <w:color w:val="000000"/>
                <w:kern w:val="0"/>
                <w:szCs w:val="24"/>
              </w:rPr>
            </w:pPr>
          </w:p>
        </w:tc>
        <w:tc>
          <w:tcPr>
            <w:tcW w:w="960" w:type="dxa"/>
            <w:tcBorders>
              <w:top w:val="nil"/>
              <w:left w:val="nil"/>
              <w:bottom w:val="nil"/>
              <w:right w:val="nil"/>
            </w:tcBorders>
            <w:shd w:val="clear" w:color="auto" w:fill="auto"/>
            <w:vAlign w:val="center"/>
          </w:tcPr>
          <w:p w14:paraId="39FE7AF0" w14:textId="77777777" w:rsidR="00853106" w:rsidRPr="00366724" w:rsidRDefault="00853106" w:rsidP="00853106">
            <w:pPr>
              <w:widowControl/>
              <w:ind w:firstLineChars="300" w:firstLine="720"/>
              <w:rPr>
                <w:rFonts w:ascii="Times New Roman" w:eastAsia="Times New Roman" w:hAnsi="Times New Roman"/>
                <w:color w:val="000000"/>
                <w:kern w:val="0"/>
                <w:szCs w:val="24"/>
              </w:rPr>
            </w:pPr>
          </w:p>
        </w:tc>
      </w:tr>
      <w:tr w:rsidR="00853106" w:rsidRPr="00366724" w14:paraId="7BE791AA" w14:textId="77777777" w:rsidTr="00366724">
        <w:trPr>
          <w:trHeight w:val="310"/>
        </w:trPr>
        <w:tc>
          <w:tcPr>
            <w:tcW w:w="7680" w:type="dxa"/>
            <w:gridSpan w:val="2"/>
            <w:tcBorders>
              <w:top w:val="nil"/>
              <w:left w:val="nil"/>
              <w:bottom w:val="nil"/>
              <w:right w:val="nil"/>
            </w:tcBorders>
            <w:shd w:val="clear" w:color="auto" w:fill="auto"/>
            <w:vAlign w:val="center"/>
            <w:hideMark/>
          </w:tcPr>
          <w:p w14:paraId="26F7F483" w14:textId="77777777" w:rsidR="00853106" w:rsidRPr="00366724" w:rsidRDefault="00853106" w:rsidP="00853106">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References</w:t>
            </w:r>
          </w:p>
        </w:tc>
        <w:tc>
          <w:tcPr>
            <w:tcW w:w="960" w:type="dxa"/>
            <w:tcBorders>
              <w:top w:val="nil"/>
              <w:left w:val="nil"/>
              <w:bottom w:val="nil"/>
              <w:right w:val="nil"/>
            </w:tcBorders>
            <w:shd w:val="clear" w:color="auto" w:fill="auto"/>
            <w:vAlign w:val="center"/>
            <w:hideMark/>
          </w:tcPr>
          <w:p w14:paraId="116C1ED5" w14:textId="77777777" w:rsidR="00853106" w:rsidRPr="00366724" w:rsidRDefault="00853106" w:rsidP="00853106">
            <w:pPr>
              <w:widowControl/>
              <w:jc w:val="center"/>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XX</w:t>
            </w:r>
          </w:p>
        </w:tc>
      </w:tr>
    </w:tbl>
    <w:p w14:paraId="5FF40601" w14:textId="62E114F4" w:rsidR="006841F6" w:rsidRPr="008E3F76" w:rsidRDefault="006841F6" w:rsidP="00AC0D94">
      <w:pPr>
        <w:widowControl/>
        <w:adjustRightInd w:val="0"/>
        <w:snapToGrid w:val="0"/>
        <w:spacing w:line="360" w:lineRule="auto"/>
        <w:jc w:val="both"/>
        <w:rPr>
          <w:rFonts w:ascii="Times New Roman" w:hAnsi="Times New Roman"/>
          <w:szCs w:val="24"/>
        </w:rPr>
      </w:pPr>
    </w:p>
    <w:p w14:paraId="2F972F7A" w14:textId="77777777" w:rsidR="00074B88" w:rsidRPr="008E3F76" w:rsidRDefault="00074B88" w:rsidP="00AC0D94">
      <w:pPr>
        <w:widowControl/>
        <w:adjustRightInd w:val="0"/>
        <w:snapToGrid w:val="0"/>
        <w:spacing w:line="360" w:lineRule="auto"/>
        <w:jc w:val="both"/>
        <w:rPr>
          <w:rFonts w:ascii="Times New Roman" w:hAnsi="Times New Roman"/>
          <w:szCs w:val="24"/>
        </w:rPr>
      </w:pPr>
    </w:p>
    <w:p w14:paraId="5605305D" w14:textId="77777777" w:rsidR="00074B88" w:rsidRPr="008E3F76" w:rsidRDefault="00074B88" w:rsidP="00AC0D94">
      <w:pPr>
        <w:widowControl/>
        <w:adjustRightInd w:val="0"/>
        <w:snapToGrid w:val="0"/>
        <w:spacing w:line="360" w:lineRule="auto"/>
        <w:jc w:val="both"/>
        <w:rPr>
          <w:rFonts w:ascii="Times New Roman" w:hAnsi="Times New Roman"/>
          <w:szCs w:val="24"/>
        </w:rPr>
      </w:pPr>
    </w:p>
    <w:p w14:paraId="201D3FD8" w14:textId="77777777" w:rsidR="00074B88" w:rsidRPr="008E3F76" w:rsidRDefault="00074B88" w:rsidP="00AC0D94">
      <w:pPr>
        <w:widowControl/>
        <w:adjustRightInd w:val="0"/>
        <w:snapToGrid w:val="0"/>
        <w:spacing w:line="360" w:lineRule="auto"/>
        <w:jc w:val="both"/>
        <w:rPr>
          <w:rFonts w:ascii="Times New Roman" w:hAnsi="Times New Roman"/>
          <w:szCs w:val="24"/>
        </w:rPr>
        <w:sectPr w:rsidR="00074B88" w:rsidRPr="008E3F76" w:rsidSect="005E0786">
          <w:pgSz w:w="11906" w:h="16838"/>
          <w:pgMar w:top="1134" w:right="1418" w:bottom="1134" w:left="1418" w:header="851" w:footer="992" w:gutter="0"/>
          <w:pgNumType w:fmt="lowerRoman" w:start="1"/>
          <w:cols w:space="425"/>
          <w:docGrid w:type="linesAndChars" w:linePitch="360"/>
        </w:sectPr>
      </w:pPr>
    </w:p>
    <w:p w14:paraId="11DD7387" w14:textId="12E33F1F" w:rsidR="00B91315" w:rsidRPr="008E3F76" w:rsidRDefault="00B91315" w:rsidP="00AC0D94">
      <w:pPr>
        <w:widowControl/>
        <w:spacing w:line="360" w:lineRule="auto"/>
        <w:rPr>
          <w:rFonts w:ascii="Times New Roman" w:hAnsi="Times New Roman"/>
          <w:b/>
          <w:bCs/>
          <w:szCs w:val="24"/>
        </w:rPr>
      </w:pPr>
      <w:r w:rsidRPr="008E3F76">
        <w:rPr>
          <w:rFonts w:ascii="Times New Roman" w:hAnsi="Times New Roman"/>
          <w:b/>
          <w:bCs/>
          <w:szCs w:val="24"/>
        </w:rPr>
        <w:lastRenderedPageBreak/>
        <w:t>1. Introduction</w:t>
      </w:r>
    </w:p>
    <w:p w14:paraId="4C2CF5C8"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This study investigates the impact of global price fluctuations on domestic retail markets through a comparative analysis of consumer inflation patterns in Hong Kong and Thailand. In the post-COVID era, businesses face unprecedented challenges, including volatile consumer demand, inflationary pressures, and shifting market dynamics. For AAA, a historic retail institution in Hong Kong with nearly a century of legacy, these challenges have been particularly pronounced. Rising operational costs, evolving consumer preferences, and increased competition have placed significant pressure on profitability. This research aims to provide actionable insights to guide AAA’s strategic decision-making, enabling the company to navigate economic volatility and capitalize on emerging opportunities in the global market.</w:t>
      </w:r>
    </w:p>
    <w:p w14:paraId="73DDDF8E"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The study seeks to achieve three key objectives:</w:t>
      </w:r>
    </w:p>
    <w:p w14:paraId="2A8DA85D" w14:textId="77777777" w:rsidR="00B91315" w:rsidRPr="008E3F76" w:rsidRDefault="00B91315" w:rsidP="00AC0D94">
      <w:pPr>
        <w:widowControl/>
        <w:numPr>
          <w:ilvl w:val="0"/>
          <w:numId w:val="1"/>
        </w:numPr>
        <w:spacing w:line="360" w:lineRule="auto"/>
        <w:rPr>
          <w:rFonts w:ascii="Times New Roman" w:hAnsi="Times New Roman"/>
          <w:szCs w:val="24"/>
        </w:rPr>
      </w:pPr>
      <w:r w:rsidRPr="008E3F76">
        <w:rPr>
          <w:rFonts w:ascii="Times New Roman" w:hAnsi="Times New Roman"/>
          <w:szCs w:val="24"/>
        </w:rPr>
        <w:t>To establish an empirical relationship between consumer inflation rates and retail sales in Hong Kong.</w:t>
      </w:r>
    </w:p>
    <w:p w14:paraId="352DF710" w14:textId="77777777" w:rsidR="00B91315" w:rsidRPr="008E3F76" w:rsidRDefault="00B91315" w:rsidP="00AC0D94">
      <w:pPr>
        <w:widowControl/>
        <w:numPr>
          <w:ilvl w:val="0"/>
          <w:numId w:val="1"/>
        </w:numPr>
        <w:spacing w:line="360" w:lineRule="auto"/>
        <w:rPr>
          <w:rFonts w:ascii="Times New Roman" w:hAnsi="Times New Roman"/>
          <w:szCs w:val="24"/>
        </w:rPr>
      </w:pPr>
      <w:r w:rsidRPr="008E3F76">
        <w:rPr>
          <w:rFonts w:ascii="Times New Roman" w:hAnsi="Times New Roman"/>
          <w:szCs w:val="24"/>
        </w:rPr>
        <w:t>To analyze the impact of Thailand’s inflation trends on Hong Kong’s retail market and identify potential opportunities for cross-border investment.</w:t>
      </w:r>
    </w:p>
    <w:p w14:paraId="3F6BE599" w14:textId="77777777" w:rsidR="00B91315" w:rsidRPr="008E3F76" w:rsidRDefault="00B91315" w:rsidP="00AC0D94">
      <w:pPr>
        <w:widowControl/>
        <w:numPr>
          <w:ilvl w:val="0"/>
          <w:numId w:val="1"/>
        </w:numPr>
        <w:spacing w:line="360" w:lineRule="auto"/>
        <w:rPr>
          <w:rFonts w:ascii="Times New Roman" w:hAnsi="Times New Roman"/>
          <w:szCs w:val="24"/>
        </w:rPr>
      </w:pPr>
      <w:r w:rsidRPr="008E3F76">
        <w:rPr>
          <w:rFonts w:ascii="Times New Roman" w:hAnsi="Times New Roman"/>
          <w:szCs w:val="24"/>
        </w:rPr>
        <w:t>To formulate strategic recommendations for AAA to leverage disparities in inflation patterns and consumer behavior between Hong Kong and Thailand, thereby gaining a competitive advantage.</w:t>
      </w:r>
    </w:p>
    <w:p w14:paraId="2953EEAF"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 xml:space="preserve">AAA’s recent financial performance underscores the urgency of this research. According to the company’s interim reports (AAA Company International Limited, 2022, 2024), the Group reported a loss of HK$106.4 million attributable to shareholders in 2022, reflecting the challenges of economic recovery in the wake of the COVID-19 pandemic. The pandemic disrupted supply chains, accelerated the shift to e-commerce, and transformed consumer purchasing behaviors. Additionally, heightened consumer expectations around sustainability, ethical sourcing, and digital shopping </w:t>
      </w:r>
      <w:r w:rsidRPr="008E3F76">
        <w:rPr>
          <w:rFonts w:ascii="Times New Roman" w:hAnsi="Times New Roman"/>
          <w:szCs w:val="24"/>
        </w:rPr>
        <w:lastRenderedPageBreak/>
        <w:t>experiences have necessitated a strategic reevaluation of AAA’s operations (Hong Kong General Chamber of Commerce, 2024).</w:t>
      </w:r>
    </w:p>
    <w:p w14:paraId="13F869B9"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In this context, understanding how macroeconomic factors such as inflation influence consumer behavior has become critical. For instance, Hong Kong’s retail market has underperformed amid rising outbound travel and cross-border spending, while Thailand’s retail sector has shown resilience, supported by its growing tourism industry and stable inflation. By exploring these dynamics, AAA can identify pathways to mitigate risks and enhance profitability.</w:t>
      </w:r>
    </w:p>
    <w:p w14:paraId="3BFC8FE3"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The motivation for this research stems from AAA’s need to adapt to these challenges and identify growth opportunities in a rapidly evolving retail landscape. The study posits that AAA can capitalize on the economic disparities between Hong Kong and Thailand by leveraging Thailand’s lower production costs, stable inflation, and booming tourism sector. For example, the company could explore options such as importing goods from Thailand or establishing franchise outlets in the country to take advantage of favorable Consumer Price Index (CPI) trends and inflationary variables (AAA Company International Limited, 2022).</w:t>
      </w:r>
    </w:p>
    <w:p w14:paraId="6328BB59"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To achieve these objectives, this study employs a mixed-methods approach. A quantitative analysis examines historical data on retail sales, consumer price indices, and trade statistics for Hong Kong and Thailand from 2006 to 2023. This is complemented by a qualitative assessment of consumer behavior and market trends in both regions, drawing on industry reports, market research, and case studies. Together, these methods provide a comprehensive understanding of the economic factors influencing retail sales and consumer behavior, offering a robust foundation for strategic recommendations.</w:t>
      </w:r>
    </w:p>
    <w:p w14:paraId="2CA834E7" w14:textId="77777777" w:rsidR="00B91315" w:rsidRPr="008E3F76" w:rsidRDefault="00B91315" w:rsidP="00AC0D94">
      <w:pPr>
        <w:widowControl/>
        <w:spacing w:line="360" w:lineRule="auto"/>
        <w:rPr>
          <w:rFonts w:ascii="Times New Roman" w:hAnsi="Times New Roman"/>
          <w:szCs w:val="24"/>
        </w:rPr>
      </w:pPr>
      <w:r w:rsidRPr="008E3F76">
        <w:rPr>
          <w:rFonts w:ascii="Times New Roman" w:hAnsi="Times New Roman"/>
          <w:szCs w:val="24"/>
        </w:rPr>
        <w:t>By addressing these critical issues, this research not only contributes to the academic understanding of inflation and retail dynamics but also provides practical insights for AAA to enhance its competitiveness and profitability in the post-COVID era.</w:t>
      </w:r>
    </w:p>
    <w:p w14:paraId="6A6C3CB5" w14:textId="77777777" w:rsidR="00360139" w:rsidRPr="008E3F76" w:rsidRDefault="00360139" w:rsidP="00AC0D94">
      <w:pPr>
        <w:widowControl/>
        <w:spacing w:line="360" w:lineRule="auto"/>
        <w:rPr>
          <w:rFonts w:ascii="Times New Roman" w:hAnsi="Times New Roman"/>
          <w:b/>
          <w:bCs/>
          <w:szCs w:val="24"/>
        </w:rPr>
      </w:pPr>
    </w:p>
    <w:p w14:paraId="61F96CC7" w14:textId="77777777" w:rsidR="00115D8C" w:rsidRDefault="00115D8C" w:rsidP="00AC0D94">
      <w:pPr>
        <w:widowControl/>
        <w:adjustRightInd w:val="0"/>
        <w:snapToGrid w:val="0"/>
        <w:spacing w:line="360" w:lineRule="auto"/>
        <w:jc w:val="both"/>
        <w:rPr>
          <w:rFonts w:ascii="Times New Roman" w:hAnsi="Times New Roman"/>
          <w:szCs w:val="24"/>
          <w:lang w:val="en-HK"/>
        </w:rPr>
      </w:pPr>
    </w:p>
    <w:p w14:paraId="48E4A20C"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007E5DD5"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2C9718A3"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73BEE8E3"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5C0E1B2F"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F433BA4"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57C6175B"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4746755"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5A99E3A"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6160772E"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552BA71E"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8112492"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27EA19FB"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494D3683"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1F61B161"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52AEF3A2"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5CB79382"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454630A1"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7A6C4778"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159383A7"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27506597"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4A67B06B"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08F565FD"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0E6BE4C1"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C4DE062"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0024DACF"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6C5701C1"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3D3D5C0A" w14:textId="77777777" w:rsidR="00F46A67" w:rsidRDefault="00F46A67" w:rsidP="00AC0D94">
      <w:pPr>
        <w:widowControl/>
        <w:adjustRightInd w:val="0"/>
        <w:snapToGrid w:val="0"/>
        <w:spacing w:line="360" w:lineRule="auto"/>
        <w:jc w:val="both"/>
        <w:rPr>
          <w:rFonts w:ascii="Times New Roman" w:hAnsi="Times New Roman"/>
          <w:szCs w:val="24"/>
          <w:lang w:val="en-HK"/>
        </w:rPr>
      </w:pPr>
    </w:p>
    <w:p w14:paraId="14573F25" w14:textId="77777777" w:rsidR="00F46A67" w:rsidRPr="008E3F76" w:rsidRDefault="00F46A67" w:rsidP="00AC0D94">
      <w:pPr>
        <w:widowControl/>
        <w:adjustRightInd w:val="0"/>
        <w:snapToGrid w:val="0"/>
        <w:spacing w:line="360" w:lineRule="auto"/>
        <w:jc w:val="both"/>
        <w:rPr>
          <w:rFonts w:ascii="Times New Roman" w:hAnsi="Times New Roman"/>
          <w:szCs w:val="24"/>
          <w:lang w:val="en-HK"/>
        </w:rPr>
      </w:pPr>
    </w:p>
    <w:p w14:paraId="7BA8A89A" w14:textId="77777777" w:rsidR="0022187C" w:rsidRPr="008E3F76" w:rsidRDefault="0022187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2. Research Background</w:t>
      </w:r>
    </w:p>
    <w:p w14:paraId="0D479FEB" w14:textId="49E0A146" w:rsidR="0022187C" w:rsidRPr="008E3F76" w:rsidRDefault="0022187C"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This section justifies the selection of consumer inflation as a key metric for comparing business environment in Hong Kong and Thailand. Thailand, a popular travel destination for Hong Kong residents, offers cultural familiarity and aligned consumer behavior, making it ideal for analysis. Hong Kong, a global financial hub, contrasts with Thailand’s developing economy, marked by differing inflation and spending patterns. Studying inflation and retail sales reveals purchasing power, consumer confidence, and market demand, providing insights for AAA’s strategic decisions. The analysis highlights economic resilience and vulnerabilities, offering valuable guidance for investment and expansion opportunities in both regions.</w:t>
      </w:r>
    </w:p>
    <w:p w14:paraId="7CBF0960" w14:textId="77777777" w:rsidR="0022187C" w:rsidRPr="008E3F76" w:rsidRDefault="0022187C" w:rsidP="00AC0D94">
      <w:pPr>
        <w:adjustRightInd w:val="0"/>
        <w:snapToGrid w:val="0"/>
        <w:spacing w:line="360" w:lineRule="auto"/>
        <w:jc w:val="both"/>
        <w:rPr>
          <w:rFonts w:ascii="Times New Roman" w:hAnsi="Times New Roman"/>
          <w:b/>
          <w:bCs/>
          <w:szCs w:val="24"/>
        </w:rPr>
      </w:pPr>
    </w:p>
    <w:p w14:paraId="469F43DC" w14:textId="77777777" w:rsidR="00972FC3" w:rsidRPr="008E3F76" w:rsidRDefault="00972FC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2.1 Theoretical Basis</w:t>
      </w:r>
    </w:p>
    <w:p w14:paraId="3251CAE3" w14:textId="77777777" w:rsidR="009379CF" w:rsidRDefault="009379CF" w:rsidP="00AC0D94">
      <w:pPr>
        <w:adjustRightInd w:val="0"/>
        <w:snapToGrid w:val="0"/>
        <w:spacing w:line="360" w:lineRule="auto"/>
        <w:jc w:val="both"/>
        <w:rPr>
          <w:rFonts w:ascii="Times New Roman" w:hAnsi="Times New Roman"/>
          <w:szCs w:val="24"/>
        </w:rPr>
      </w:pPr>
      <w:r w:rsidRPr="009379CF">
        <w:rPr>
          <w:rFonts w:ascii="Times New Roman" w:hAnsi="Times New Roman"/>
          <w:szCs w:val="24"/>
        </w:rPr>
        <w:t>The study is grounded in economic theory, which establishes a clear relationship between consumer inflation and retail sales. Consumer inflation, measured by the Consumer Price Index (CPI), reflects changes in the purchasing power of consumers, while retail sales indicate the level of market demand for goods and services. According to Keynesian economics, inflation has a direct impact on aggregate demand. Stable inflation encourages consumer spending by maintaining purchasing power and fostering economic confidence, whereas high inflation reduces disposable income and shifts consumer behavior towards essential goods (Mankiw, 2021). This relationship is further explained by the price elasticity of demand, which describes how changes in prices influence the quantity of goods and services demanded (Marshall, 1890). For instance, during periods of low inflation, consumers are more likely to spend on non-essential items, boosting retail growth. Conversely, high inflation may lead to reduced spending on discretionary items, negatively affecting retail sales.</w:t>
      </w:r>
    </w:p>
    <w:p w14:paraId="08389832" w14:textId="77777777" w:rsidR="00C067B6" w:rsidRPr="00677188" w:rsidRDefault="00C067B6" w:rsidP="00AC0D94">
      <w:pPr>
        <w:adjustRightInd w:val="0"/>
        <w:snapToGrid w:val="0"/>
        <w:spacing w:line="360" w:lineRule="auto"/>
        <w:jc w:val="both"/>
        <w:rPr>
          <w:rFonts w:ascii="Times New Roman" w:hAnsi="Times New Roman"/>
          <w:szCs w:val="24"/>
        </w:rPr>
      </w:pPr>
    </w:p>
    <w:p w14:paraId="5A690FA5" w14:textId="77777777" w:rsidR="00C067B6" w:rsidRPr="00C067B6" w:rsidRDefault="00C067B6" w:rsidP="00AC0D94">
      <w:pPr>
        <w:adjustRightInd w:val="0"/>
        <w:snapToGrid w:val="0"/>
        <w:spacing w:line="360" w:lineRule="auto"/>
        <w:jc w:val="both"/>
        <w:rPr>
          <w:rFonts w:ascii="Times New Roman" w:hAnsi="Times New Roman"/>
          <w:szCs w:val="24"/>
        </w:rPr>
      </w:pPr>
      <w:r w:rsidRPr="00677188">
        <w:rPr>
          <w:rFonts w:ascii="Times New Roman" w:hAnsi="Times New Roman"/>
          <w:szCs w:val="24"/>
        </w:rPr>
        <w:t>Price changes in specific product categories, such as food and clothing and footwear,</w:t>
      </w:r>
      <w:r w:rsidRPr="00C067B6">
        <w:rPr>
          <w:rFonts w:ascii="Times New Roman" w:hAnsi="Times New Roman"/>
          <w:szCs w:val="24"/>
        </w:rPr>
        <w:t xml:space="preserve"> are essential components of inflation analysis. These categories are particularly significant because they represent a substantial portion of household expenditures and are highly sensitive to external factors such as global commodity prices, supply chain disruptions, and shifts in consumer preferences.</w:t>
      </w:r>
    </w:p>
    <w:p w14:paraId="0B8A04D6" w14:textId="77777777" w:rsidR="00C067B6" w:rsidRPr="00C067B6" w:rsidRDefault="00C067B6" w:rsidP="003F53B9">
      <w:pPr>
        <w:numPr>
          <w:ilvl w:val="0"/>
          <w:numId w:val="12"/>
        </w:numPr>
        <w:adjustRightInd w:val="0"/>
        <w:snapToGrid w:val="0"/>
        <w:spacing w:line="360" w:lineRule="auto"/>
        <w:jc w:val="both"/>
        <w:rPr>
          <w:rFonts w:ascii="Times New Roman" w:hAnsi="Times New Roman"/>
          <w:szCs w:val="24"/>
        </w:rPr>
      </w:pPr>
      <w:r w:rsidRPr="00C067B6">
        <w:rPr>
          <w:rFonts w:ascii="Times New Roman" w:hAnsi="Times New Roman"/>
          <w:b/>
          <w:bCs/>
          <w:szCs w:val="24"/>
        </w:rPr>
        <w:t>Food Prices:</w:t>
      </w:r>
      <w:r w:rsidRPr="00C067B6">
        <w:rPr>
          <w:rFonts w:ascii="Times New Roman" w:hAnsi="Times New Roman"/>
          <w:szCs w:val="24"/>
        </w:rPr>
        <w:br/>
        <w:t xml:space="preserve">Food prices are heavily influenced by global commodity markets, weather conditions, and geopolitical events. For example, fluctuations in the prices of staples like rice, wheat, and oil can lead to significant changes in food inflation. In urban economies like Hong Kong, where </w:t>
      </w:r>
      <w:r w:rsidRPr="00C067B6">
        <w:rPr>
          <w:rFonts w:ascii="Times New Roman" w:hAnsi="Times New Roman"/>
          <w:szCs w:val="24"/>
        </w:rPr>
        <w:lastRenderedPageBreak/>
        <w:t>food is largely imported, price changes are often more pronounced due to reliance on global supply chains. In contrast, in economies like Thailand, where agriculture plays a significant role, domestic production can mitigate some of these fluctuations.</w:t>
      </w:r>
    </w:p>
    <w:p w14:paraId="48E83BB1" w14:textId="77777777" w:rsidR="00C067B6" w:rsidRPr="00C067B6" w:rsidRDefault="00C067B6" w:rsidP="003F53B9">
      <w:pPr>
        <w:numPr>
          <w:ilvl w:val="0"/>
          <w:numId w:val="12"/>
        </w:numPr>
        <w:adjustRightInd w:val="0"/>
        <w:snapToGrid w:val="0"/>
        <w:spacing w:line="360" w:lineRule="auto"/>
        <w:jc w:val="both"/>
        <w:rPr>
          <w:rFonts w:ascii="Times New Roman" w:hAnsi="Times New Roman"/>
          <w:szCs w:val="24"/>
        </w:rPr>
      </w:pPr>
      <w:r w:rsidRPr="00C067B6">
        <w:rPr>
          <w:rFonts w:ascii="Times New Roman" w:hAnsi="Times New Roman"/>
          <w:b/>
          <w:bCs/>
          <w:szCs w:val="24"/>
        </w:rPr>
        <w:t>Clothing and Footwear Prices:</w:t>
      </w:r>
      <w:r w:rsidRPr="00C067B6">
        <w:rPr>
          <w:rFonts w:ascii="Times New Roman" w:hAnsi="Times New Roman"/>
          <w:szCs w:val="24"/>
        </w:rPr>
        <w:br/>
        <w:t>Clothing and footwear prices are affected by factors such as raw material costs, labor expenses, and global fashion trends. The rise of fast fashion and e-commerce has also introduced greater volatility in this category. Additionally, external shocks like the COVID-19 pandemic have disrupted supply chains, leading to significant price fluctuations. For instance, during the pandemic, reduced consumer demand and supply chain bottlenecks caused deflation in clothing prices, while post-pandemic recovery led to sharp increases.</w:t>
      </w:r>
    </w:p>
    <w:p w14:paraId="185F681C" w14:textId="77777777" w:rsidR="00C067B6" w:rsidRDefault="00C067B6" w:rsidP="00AC0D94">
      <w:pPr>
        <w:adjustRightInd w:val="0"/>
        <w:snapToGrid w:val="0"/>
        <w:spacing w:line="360" w:lineRule="auto"/>
        <w:jc w:val="both"/>
        <w:rPr>
          <w:rFonts w:ascii="Times New Roman" w:hAnsi="Times New Roman"/>
          <w:szCs w:val="24"/>
        </w:rPr>
      </w:pPr>
    </w:p>
    <w:p w14:paraId="3DD38889" w14:textId="77777777" w:rsidR="00A662DE" w:rsidRPr="00A662DE" w:rsidRDefault="00A662DE" w:rsidP="00AC0D94">
      <w:pPr>
        <w:adjustRightInd w:val="0"/>
        <w:snapToGrid w:val="0"/>
        <w:spacing w:line="360" w:lineRule="auto"/>
        <w:jc w:val="both"/>
        <w:rPr>
          <w:rFonts w:ascii="Times New Roman" w:hAnsi="Times New Roman"/>
          <w:szCs w:val="24"/>
        </w:rPr>
      </w:pPr>
      <w:r w:rsidRPr="00A662DE">
        <w:rPr>
          <w:rFonts w:ascii="Times New Roman" w:hAnsi="Times New Roman"/>
          <w:szCs w:val="24"/>
        </w:rPr>
        <w:t>Understanding price changes in these key product categories is crucial for retailers like AAA Department Store. Food and clothing are essential components of consumer spending, and their price trends directly impact retail performance. For example:</w:t>
      </w:r>
    </w:p>
    <w:p w14:paraId="7729C63C" w14:textId="77777777" w:rsidR="00A662DE" w:rsidRPr="00A662DE" w:rsidRDefault="00A662DE" w:rsidP="003F53B9">
      <w:pPr>
        <w:numPr>
          <w:ilvl w:val="0"/>
          <w:numId w:val="13"/>
        </w:numPr>
        <w:adjustRightInd w:val="0"/>
        <w:snapToGrid w:val="0"/>
        <w:spacing w:line="360" w:lineRule="auto"/>
        <w:jc w:val="both"/>
        <w:rPr>
          <w:rFonts w:ascii="Times New Roman" w:hAnsi="Times New Roman"/>
          <w:szCs w:val="24"/>
        </w:rPr>
      </w:pPr>
      <w:r w:rsidRPr="00A662DE">
        <w:rPr>
          <w:rFonts w:ascii="Times New Roman" w:hAnsi="Times New Roman"/>
          <w:szCs w:val="24"/>
        </w:rPr>
        <w:t>Rising food prices can reduce disposable income, leading to lower spending on non-essential items like clothing and footwear.</w:t>
      </w:r>
    </w:p>
    <w:p w14:paraId="18A6DD2B" w14:textId="77777777" w:rsidR="00A662DE" w:rsidRPr="00A662DE" w:rsidRDefault="00A662DE" w:rsidP="003F53B9">
      <w:pPr>
        <w:numPr>
          <w:ilvl w:val="0"/>
          <w:numId w:val="13"/>
        </w:numPr>
        <w:adjustRightInd w:val="0"/>
        <w:snapToGrid w:val="0"/>
        <w:spacing w:line="360" w:lineRule="auto"/>
        <w:jc w:val="both"/>
        <w:rPr>
          <w:rFonts w:ascii="Times New Roman" w:hAnsi="Times New Roman"/>
          <w:szCs w:val="24"/>
        </w:rPr>
      </w:pPr>
      <w:r w:rsidRPr="00A662DE">
        <w:rPr>
          <w:rFonts w:ascii="Times New Roman" w:hAnsi="Times New Roman"/>
          <w:szCs w:val="24"/>
        </w:rPr>
        <w:t>Volatility in clothing prices can affect consumer demand, requiring retailers to adjust pricing strategies and inventory management.</w:t>
      </w:r>
    </w:p>
    <w:p w14:paraId="547F675A" w14:textId="77777777" w:rsidR="00A662DE" w:rsidRPr="00A662DE" w:rsidRDefault="00A662DE" w:rsidP="00AC0D94">
      <w:pPr>
        <w:adjustRightInd w:val="0"/>
        <w:snapToGrid w:val="0"/>
        <w:spacing w:line="360" w:lineRule="auto"/>
        <w:jc w:val="both"/>
        <w:rPr>
          <w:rFonts w:ascii="Times New Roman" w:hAnsi="Times New Roman"/>
          <w:szCs w:val="24"/>
        </w:rPr>
      </w:pPr>
      <w:r w:rsidRPr="00A662DE">
        <w:rPr>
          <w:rFonts w:ascii="Times New Roman" w:hAnsi="Times New Roman"/>
          <w:szCs w:val="24"/>
        </w:rPr>
        <w:t>By analyzing price changes in these categories, retailers can better anticipate market trends, optimize pricing strategies, and enhance their competitive positioning.</w:t>
      </w:r>
    </w:p>
    <w:p w14:paraId="2D6B44D7" w14:textId="77777777" w:rsidR="00AB0914" w:rsidRPr="009379CF" w:rsidRDefault="00AB0914" w:rsidP="00AC0D94">
      <w:pPr>
        <w:adjustRightInd w:val="0"/>
        <w:snapToGrid w:val="0"/>
        <w:spacing w:line="360" w:lineRule="auto"/>
        <w:jc w:val="both"/>
        <w:rPr>
          <w:rFonts w:ascii="Times New Roman" w:hAnsi="Times New Roman"/>
          <w:szCs w:val="24"/>
        </w:rPr>
      </w:pPr>
    </w:p>
    <w:p w14:paraId="416BB31F" w14:textId="1FEB99D0" w:rsidR="00AB0914" w:rsidRPr="009379CF" w:rsidRDefault="009379CF" w:rsidP="00AC0D94">
      <w:pPr>
        <w:adjustRightInd w:val="0"/>
        <w:snapToGrid w:val="0"/>
        <w:spacing w:line="360" w:lineRule="auto"/>
        <w:jc w:val="both"/>
        <w:rPr>
          <w:rFonts w:ascii="Times New Roman" w:hAnsi="Times New Roman"/>
          <w:szCs w:val="24"/>
        </w:rPr>
      </w:pPr>
      <w:r w:rsidRPr="009379CF">
        <w:rPr>
          <w:rFonts w:ascii="Times New Roman" w:hAnsi="Times New Roman"/>
          <w:szCs w:val="24"/>
        </w:rPr>
        <w:t>The theoretical relationship between consumer inflation and retail sales within a country is also influenced by external factors such as global economic conditions and government policies. For example, during periods of economic stability, low inflation rates are often accompanied by increased consumer confidence and higher retail sales. However, in times of economic uncertainty, such as during the COVID-19 pandemic, high inflation can erode purchasing power, leading to a decline in retail sales. Additionally, government policies, such as fiscal stimulus or monetary tightening, can either mitigate or exacerbate the impact of inflation on retail sales. For instance, expansionary fiscal policies may boost consumer spending, while contractionary monetary policies may reduce disposable income and curb retail demand.</w:t>
      </w:r>
    </w:p>
    <w:p w14:paraId="0B47382F" w14:textId="77777777" w:rsidR="009379CF" w:rsidRPr="009379CF" w:rsidRDefault="009379CF" w:rsidP="00AC0D94">
      <w:pPr>
        <w:adjustRightInd w:val="0"/>
        <w:snapToGrid w:val="0"/>
        <w:spacing w:line="360" w:lineRule="auto"/>
        <w:jc w:val="both"/>
        <w:rPr>
          <w:rFonts w:ascii="Times New Roman" w:hAnsi="Times New Roman"/>
          <w:szCs w:val="24"/>
        </w:rPr>
      </w:pPr>
      <w:r w:rsidRPr="009379CF">
        <w:rPr>
          <w:rFonts w:ascii="Times New Roman" w:hAnsi="Times New Roman"/>
          <w:szCs w:val="24"/>
        </w:rPr>
        <w:t xml:space="preserve">When considering the impact of one country’s consumer inflation on another country’s retail sales, </w:t>
      </w:r>
      <w:r w:rsidRPr="009379CF">
        <w:rPr>
          <w:rFonts w:ascii="Times New Roman" w:hAnsi="Times New Roman"/>
          <w:szCs w:val="24"/>
        </w:rPr>
        <w:lastRenderedPageBreak/>
        <w:t>the relationship becomes more complex and is often mediated by factors such as trade, tourism, and exchange rates. For example, if a country like Thailand experiences low inflation, it may become an attractive destination for tourists and a cost-effective source of imports for other countries, such as Hong Kong. This can positively influence Hong Kong’s retail sales by providing affordable goods and attracting tourists who contribute to local spending. Conversely, high inflation in Thailand could lead to higher import costs for Hong Kong, reducing the affordability of Thai products and potentially dampening retail sales. Thus, the interconnectedness of economies through trade and tourism creates a dynamic relationship where inflation in one country can significantly impact retail sales in another.</w:t>
      </w:r>
    </w:p>
    <w:p w14:paraId="005B7F5B" w14:textId="77777777" w:rsidR="00615002" w:rsidRPr="008E3F76" w:rsidRDefault="00615002" w:rsidP="00AC0D94">
      <w:pPr>
        <w:adjustRightInd w:val="0"/>
        <w:snapToGrid w:val="0"/>
        <w:spacing w:line="360" w:lineRule="auto"/>
        <w:jc w:val="both"/>
        <w:rPr>
          <w:rFonts w:ascii="Times New Roman" w:hAnsi="Times New Roman"/>
          <w:szCs w:val="24"/>
        </w:rPr>
      </w:pPr>
    </w:p>
    <w:p w14:paraId="49E7CE93" w14:textId="77777777" w:rsidR="00972FC3" w:rsidRPr="008E3F76" w:rsidRDefault="00972FC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2.2 Current Performance of Consumer Inflation and Retail Sales in Hong Kong and Thailand</w:t>
      </w:r>
    </w:p>
    <w:p w14:paraId="64EEFCA5" w14:textId="795392DC" w:rsidR="00A772B0" w:rsidRPr="00A772B0" w:rsidRDefault="00A772B0" w:rsidP="00AC0D94">
      <w:pPr>
        <w:adjustRightInd w:val="0"/>
        <w:snapToGrid w:val="0"/>
        <w:spacing w:line="360" w:lineRule="auto"/>
        <w:jc w:val="both"/>
        <w:rPr>
          <w:rFonts w:ascii="Times New Roman" w:hAnsi="Times New Roman"/>
          <w:szCs w:val="24"/>
        </w:rPr>
      </w:pPr>
      <w:r w:rsidRPr="00A772B0">
        <w:rPr>
          <w:rFonts w:ascii="Times New Roman" w:hAnsi="Times New Roman"/>
          <w:szCs w:val="24"/>
        </w:rPr>
        <w:t>Recent data highlights contrasting trends in consumer inflation and retail sales between Hong Kong and Thailand. In Hong Kong, the Consumer Price Index (CPI) averaged 2.5% from 2012 to 2022, with a recent moderation to 1.4% by December 2024 (Trading Economics, 2024). This decline reflects the impact of global economic uncertainties, including the COVID-19 pandemic and geopolitical tensions, which have dampened consumer demand. Despite this, Hong Kong’s retail sector has shown resilience, with periods of strong growth driven by tourism and economic expansion. However, higher inflation rates have often correlated with slower retail sales growth, as seen in 2024, when a 1.4% inflation rate coincided with subdued consumer spending (Trading Economics, 2024). This trend underscores the sensitivity of Hong Kong’s retail market to inflationary pressures and external shocks.</w:t>
      </w:r>
    </w:p>
    <w:p w14:paraId="3F5F4326" w14:textId="77777777" w:rsidR="00A772B0" w:rsidRPr="00A772B0" w:rsidRDefault="00A772B0" w:rsidP="00AC0D94">
      <w:pPr>
        <w:adjustRightInd w:val="0"/>
        <w:snapToGrid w:val="0"/>
        <w:spacing w:line="360" w:lineRule="auto"/>
        <w:jc w:val="both"/>
        <w:rPr>
          <w:rFonts w:ascii="Times New Roman" w:hAnsi="Times New Roman"/>
          <w:szCs w:val="24"/>
        </w:rPr>
      </w:pPr>
      <w:r w:rsidRPr="00A772B0">
        <w:rPr>
          <w:rFonts w:ascii="Times New Roman" w:hAnsi="Times New Roman"/>
          <w:szCs w:val="24"/>
        </w:rPr>
        <w:t>In contrast, Thailand’s CPI has demonstrated greater stability, averaging 2.4% over the same period, supported by diversified economic policies and low unemployment (</w:t>
      </w:r>
      <w:proofErr w:type="spellStart"/>
      <w:r w:rsidRPr="00A772B0">
        <w:rPr>
          <w:rFonts w:ascii="Times New Roman" w:hAnsi="Times New Roman"/>
          <w:szCs w:val="24"/>
        </w:rPr>
        <w:t>FocusEconomics</w:t>
      </w:r>
      <w:proofErr w:type="spellEnd"/>
      <w:r w:rsidRPr="00A772B0">
        <w:rPr>
          <w:rFonts w:ascii="Times New Roman" w:hAnsi="Times New Roman"/>
          <w:szCs w:val="24"/>
        </w:rPr>
        <w:t>, 2024). Thailand’s inflation trends reflect its reliance on tourism and global commodity prices, with occasional deflationary periods (e.g., -0.9% in 2015) and inflation spikes (e.g., 5.9% in 2022). Despite these fluctuations, Thailand’s retail sector has maintained consistent performance, driven by a robust tourism industry and favorable economic conditions. For instance, the country’s tourism-driven economy has helped sustain retail sales even during periods of moderate inflation, as tourists contribute significantly to local spending. This stability makes Thailand an attractive market for retail expansion, particularly for businesses seeking to mitigate risks associated with volatile inflation.</w:t>
      </w:r>
    </w:p>
    <w:p w14:paraId="449FD049" w14:textId="77777777" w:rsidR="00A772B0" w:rsidRPr="00A772B0" w:rsidRDefault="00A772B0" w:rsidP="00AC0D94">
      <w:pPr>
        <w:adjustRightInd w:val="0"/>
        <w:snapToGrid w:val="0"/>
        <w:spacing w:line="360" w:lineRule="auto"/>
        <w:jc w:val="both"/>
        <w:rPr>
          <w:rFonts w:ascii="Times New Roman" w:hAnsi="Times New Roman"/>
          <w:szCs w:val="24"/>
        </w:rPr>
      </w:pPr>
      <w:r w:rsidRPr="00A772B0">
        <w:rPr>
          <w:rFonts w:ascii="Times New Roman" w:hAnsi="Times New Roman"/>
          <w:szCs w:val="24"/>
        </w:rPr>
        <w:t xml:space="preserve">The differing inflation and retail sales dynamics in Hong Kong and Thailand provide valuable insights for AAA’s market strategies. In Hong Kong, the correlation between higher inflation and slower retail </w:t>
      </w:r>
      <w:r w:rsidRPr="00A772B0">
        <w:rPr>
          <w:rFonts w:ascii="Times New Roman" w:hAnsi="Times New Roman"/>
          <w:szCs w:val="24"/>
        </w:rPr>
        <w:lastRenderedPageBreak/>
        <w:t>sales growth highlights the need for adaptive pricing strategies and cost management to maintain profitability. Conversely, Thailand’s stable inflation and strong tourism sector present opportunities for AAA to diversify its operations and reduce reliance on Hong Kong’s volatile market. By leveraging Thailand’s lower production costs and favorable retail environment, AAA can enhance its competitiveness and profitability. These trends underscore the importance of analyzing inflation-retail sales correlations in both regions to develop actionable strategies for market expansion and risk mitigation.</w:t>
      </w:r>
    </w:p>
    <w:p w14:paraId="02F02787" w14:textId="0C4AD308" w:rsidR="003A1A7C" w:rsidRDefault="003A1A7C" w:rsidP="00AC0D94">
      <w:pPr>
        <w:adjustRightInd w:val="0"/>
        <w:snapToGrid w:val="0"/>
        <w:spacing w:line="360" w:lineRule="auto"/>
        <w:jc w:val="both"/>
        <w:rPr>
          <w:rFonts w:ascii="Times New Roman" w:hAnsi="Times New Roman"/>
          <w:b/>
          <w:bCs/>
          <w:szCs w:val="24"/>
          <w:lang w:val="en-HK"/>
        </w:rPr>
      </w:pPr>
    </w:p>
    <w:p w14:paraId="16BF9A1B" w14:textId="77777777" w:rsidR="00A23972" w:rsidRDefault="00A23972" w:rsidP="00AC0D94">
      <w:pPr>
        <w:adjustRightInd w:val="0"/>
        <w:snapToGrid w:val="0"/>
        <w:spacing w:line="360" w:lineRule="auto"/>
        <w:jc w:val="both"/>
        <w:rPr>
          <w:rFonts w:ascii="Times New Roman" w:hAnsi="Times New Roman"/>
          <w:b/>
          <w:bCs/>
          <w:szCs w:val="24"/>
          <w:lang w:val="en-HK"/>
        </w:rPr>
      </w:pPr>
    </w:p>
    <w:p w14:paraId="2336145E" w14:textId="77777777" w:rsidR="00A23972" w:rsidRDefault="00A23972" w:rsidP="00AC0D94">
      <w:pPr>
        <w:adjustRightInd w:val="0"/>
        <w:snapToGrid w:val="0"/>
        <w:spacing w:line="360" w:lineRule="auto"/>
        <w:jc w:val="both"/>
        <w:rPr>
          <w:rFonts w:ascii="Times New Roman" w:hAnsi="Times New Roman"/>
          <w:b/>
          <w:bCs/>
          <w:szCs w:val="24"/>
          <w:lang w:val="en-HK"/>
        </w:rPr>
      </w:pPr>
    </w:p>
    <w:p w14:paraId="6D9331EA" w14:textId="77777777" w:rsidR="00A23972" w:rsidRDefault="00A23972" w:rsidP="00AC0D94">
      <w:pPr>
        <w:adjustRightInd w:val="0"/>
        <w:snapToGrid w:val="0"/>
        <w:spacing w:line="360" w:lineRule="auto"/>
        <w:jc w:val="both"/>
        <w:rPr>
          <w:rFonts w:ascii="Times New Roman" w:hAnsi="Times New Roman"/>
          <w:b/>
          <w:bCs/>
          <w:szCs w:val="24"/>
          <w:lang w:val="en-HK"/>
        </w:rPr>
      </w:pPr>
    </w:p>
    <w:p w14:paraId="5CD03D67" w14:textId="77777777" w:rsidR="00A23972" w:rsidRDefault="00A23972" w:rsidP="00AC0D94">
      <w:pPr>
        <w:adjustRightInd w:val="0"/>
        <w:snapToGrid w:val="0"/>
        <w:spacing w:line="360" w:lineRule="auto"/>
        <w:jc w:val="both"/>
        <w:rPr>
          <w:rFonts w:ascii="Times New Roman" w:hAnsi="Times New Roman"/>
          <w:b/>
          <w:bCs/>
          <w:szCs w:val="24"/>
          <w:lang w:val="en-HK"/>
        </w:rPr>
      </w:pPr>
    </w:p>
    <w:p w14:paraId="491AA45C" w14:textId="77777777" w:rsidR="00A23972" w:rsidRDefault="00A23972" w:rsidP="00AC0D94">
      <w:pPr>
        <w:adjustRightInd w:val="0"/>
        <w:snapToGrid w:val="0"/>
        <w:spacing w:line="360" w:lineRule="auto"/>
        <w:jc w:val="both"/>
        <w:rPr>
          <w:rFonts w:ascii="Times New Roman" w:hAnsi="Times New Roman"/>
          <w:b/>
          <w:bCs/>
          <w:szCs w:val="24"/>
          <w:lang w:val="en-HK"/>
        </w:rPr>
      </w:pPr>
    </w:p>
    <w:p w14:paraId="56CF21AC" w14:textId="77777777" w:rsidR="00A23972" w:rsidRDefault="00A23972" w:rsidP="00AC0D94">
      <w:pPr>
        <w:adjustRightInd w:val="0"/>
        <w:snapToGrid w:val="0"/>
        <w:spacing w:line="360" w:lineRule="auto"/>
        <w:jc w:val="both"/>
        <w:rPr>
          <w:rFonts w:ascii="Times New Roman" w:hAnsi="Times New Roman"/>
          <w:b/>
          <w:bCs/>
          <w:szCs w:val="24"/>
          <w:lang w:val="en-HK"/>
        </w:rPr>
      </w:pPr>
    </w:p>
    <w:p w14:paraId="6863595D" w14:textId="77777777" w:rsidR="00A23972" w:rsidRDefault="00A23972" w:rsidP="00AC0D94">
      <w:pPr>
        <w:adjustRightInd w:val="0"/>
        <w:snapToGrid w:val="0"/>
        <w:spacing w:line="360" w:lineRule="auto"/>
        <w:jc w:val="both"/>
        <w:rPr>
          <w:rFonts w:ascii="Times New Roman" w:hAnsi="Times New Roman"/>
          <w:b/>
          <w:bCs/>
          <w:szCs w:val="24"/>
          <w:lang w:val="en-HK"/>
        </w:rPr>
      </w:pPr>
    </w:p>
    <w:p w14:paraId="26377199" w14:textId="77777777" w:rsidR="00A23972" w:rsidRDefault="00A23972" w:rsidP="00AC0D94">
      <w:pPr>
        <w:adjustRightInd w:val="0"/>
        <w:snapToGrid w:val="0"/>
        <w:spacing w:line="360" w:lineRule="auto"/>
        <w:jc w:val="both"/>
        <w:rPr>
          <w:rFonts w:ascii="Times New Roman" w:hAnsi="Times New Roman"/>
          <w:b/>
          <w:bCs/>
          <w:szCs w:val="24"/>
          <w:lang w:val="en-HK"/>
        </w:rPr>
      </w:pPr>
    </w:p>
    <w:p w14:paraId="013CD738" w14:textId="77777777" w:rsidR="00A23972" w:rsidRDefault="00A23972" w:rsidP="00AC0D94">
      <w:pPr>
        <w:adjustRightInd w:val="0"/>
        <w:snapToGrid w:val="0"/>
        <w:spacing w:line="360" w:lineRule="auto"/>
        <w:jc w:val="both"/>
        <w:rPr>
          <w:rFonts w:ascii="Times New Roman" w:hAnsi="Times New Roman"/>
          <w:b/>
          <w:bCs/>
          <w:szCs w:val="24"/>
          <w:lang w:val="en-HK"/>
        </w:rPr>
      </w:pPr>
    </w:p>
    <w:p w14:paraId="5E74E2D5" w14:textId="77777777" w:rsidR="00A23972" w:rsidRDefault="00A23972" w:rsidP="00AC0D94">
      <w:pPr>
        <w:adjustRightInd w:val="0"/>
        <w:snapToGrid w:val="0"/>
        <w:spacing w:line="360" w:lineRule="auto"/>
        <w:jc w:val="both"/>
        <w:rPr>
          <w:rFonts w:ascii="Times New Roman" w:hAnsi="Times New Roman"/>
          <w:b/>
          <w:bCs/>
          <w:szCs w:val="24"/>
          <w:lang w:val="en-HK"/>
        </w:rPr>
      </w:pPr>
    </w:p>
    <w:p w14:paraId="35E67E7F" w14:textId="77777777" w:rsidR="00A23972" w:rsidRDefault="00A23972" w:rsidP="00AC0D94">
      <w:pPr>
        <w:adjustRightInd w:val="0"/>
        <w:snapToGrid w:val="0"/>
        <w:spacing w:line="360" w:lineRule="auto"/>
        <w:jc w:val="both"/>
        <w:rPr>
          <w:rFonts w:ascii="Times New Roman" w:hAnsi="Times New Roman"/>
          <w:b/>
          <w:bCs/>
          <w:szCs w:val="24"/>
          <w:lang w:val="en-HK"/>
        </w:rPr>
      </w:pPr>
    </w:p>
    <w:p w14:paraId="2DED0D5C" w14:textId="77777777" w:rsidR="00A23972" w:rsidRDefault="00A23972" w:rsidP="00AC0D94">
      <w:pPr>
        <w:adjustRightInd w:val="0"/>
        <w:snapToGrid w:val="0"/>
        <w:spacing w:line="360" w:lineRule="auto"/>
        <w:jc w:val="both"/>
        <w:rPr>
          <w:rFonts w:ascii="Times New Roman" w:hAnsi="Times New Roman"/>
          <w:b/>
          <w:bCs/>
          <w:szCs w:val="24"/>
          <w:lang w:val="en-HK"/>
        </w:rPr>
      </w:pPr>
    </w:p>
    <w:p w14:paraId="29A62AEE" w14:textId="77777777" w:rsidR="00A23972" w:rsidRDefault="00A23972" w:rsidP="00AC0D94">
      <w:pPr>
        <w:adjustRightInd w:val="0"/>
        <w:snapToGrid w:val="0"/>
        <w:spacing w:line="360" w:lineRule="auto"/>
        <w:jc w:val="both"/>
        <w:rPr>
          <w:rFonts w:ascii="Times New Roman" w:hAnsi="Times New Roman"/>
          <w:b/>
          <w:bCs/>
          <w:szCs w:val="24"/>
          <w:lang w:val="en-HK"/>
        </w:rPr>
      </w:pPr>
    </w:p>
    <w:p w14:paraId="65BDCA29" w14:textId="77777777" w:rsidR="00A23972" w:rsidRDefault="00A23972" w:rsidP="00AC0D94">
      <w:pPr>
        <w:adjustRightInd w:val="0"/>
        <w:snapToGrid w:val="0"/>
        <w:spacing w:line="360" w:lineRule="auto"/>
        <w:jc w:val="both"/>
        <w:rPr>
          <w:rFonts w:ascii="Times New Roman" w:hAnsi="Times New Roman"/>
          <w:b/>
          <w:bCs/>
          <w:szCs w:val="24"/>
          <w:lang w:val="en-HK"/>
        </w:rPr>
      </w:pPr>
    </w:p>
    <w:p w14:paraId="7B50024A" w14:textId="77777777" w:rsidR="00A23972" w:rsidRDefault="00A23972" w:rsidP="00AC0D94">
      <w:pPr>
        <w:adjustRightInd w:val="0"/>
        <w:snapToGrid w:val="0"/>
        <w:spacing w:line="360" w:lineRule="auto"/>
        <w:jc w:val="both"/>
        <w:rPr>
          <w:rFonts w:ascii="Times New Roman" w:hAnsi="Times New Roman"/>
          <w:b/>
          <w:bCs/>
          <w:szCs w:val="24"/>
          <w:lang w:val="en-HK"/>
        </w:rPr>
      </w:pPr>
    </w:p>
    <w:p w14:paraId="67860ABD" w14:textId="77777777" w:rsidR="00A23972" w:rsidRDefault="00A23972" w:rsidP="00AC0D94">
      <w:pPr>
        <w:adjustRightInd w:val="0"/>
        <w:snapToGrid w:val="0"/>
        <w:spacing w:line="360" w:lineRule="auto"/>
        <w:jc w:val="both"/>
        <w:rPr>
          <w:rFonts w:ascii="Times New Roman" w:hAnsi="Times New Roman"/>
          <w:b/>
          <w:bCs/>
          <w:szCs w:val="24"/>
          <w:lang w:val="en-HK"/>
        </w:rPr>
      </w:pPr>
    </w:p>
    <w:p w14:paraId="4A36EAEC" w14:textId="77777777" w:rsidR="00A23972" w:rsidRDefault="00A23972" w:rsidP="00AC0D94">
      <w:pPr>
        <w:adjustRightInd w:val="0"/>
        <w:snapToGrid w:val="0"/>
        <w:spacing w:line="360" w:lineRule="auto"/>
        <w:jc w:val="both"/>
        <w:rPr>
          <w:rFonts w:ascii="Times New Roman" w:hAnsi="Times New Roman"/>
          <w:b/>
          <w:bCs/>
          <w:szCs w:val="24"/>
          <w:lang w:val="en-HK"/>
        </w:rPr>
      </w:pPr>
    </w:p>
    <w:p w14:paraId="07A285BF" w14:textId="77777777" w:rsidR="00A23972" w:rsidRDefault="00A23972" w:rsidP="00AC0D94">
      <w:pPr>
        <w:adjustRightInd w:val="0"/>
        <w:snapToGrid w:val="0"/>
        <w:spacing w:line="360" w:lineRule="auto"/>
        <w:jc w:val="both"/>
        <w:rPr>
          <w:rFonts w:ascii="Times New Roman" w:hAnsi="Times New Roman"/>
          <w:b/>
          <w:bCs/>
          <w:szCs w:val="24"/>
          <w:lang w:val="en-HK"/>
        </w:rPr>
      </w:pPr>
    </w:p>
    <w:p w14:paraId="4F1FDE5D" w14:textId="77777777" w:rsidR="00A23972" w:rsidRDefault="00A23972" w:rsidP="00AC0D94">
      <w:pPr>
        <w:adjustRightInd w:val="0"/>
        <w:snapToGrid w:val="0"/>
        <w:spacing w:line="360" w:lineRule="auto"/>
        <w:jc w:val="both"/>
        <w:rPr>
          <w:rFonts w:ascii="Times New Roman" w:hAnsi="Times New Roman"/>
          <w:b/>
          <w:bCs/>
          <w:szCs w:val="24"/>
          <w:lang w:val="en-HK"/>
        </w:rPr>
      </w:pPr>
    </w:p>
    <w:p w14:paraId="391C6DAE" w14:textId="77777777" w:rsidR="00A23972" w:rsidRDefault="00A23972" w:rsidP="00AC0D94">
      <w:pPr>
        <w:adjustRightInd w:val="0"/>
        <w:snapToGrid w:val="0"/>
        <w:spacing w:line="360" w:lineRule="auto"/>
        <w:jc w:val="both"/>
        <w:rPr>
          <w:rFonts w:ascii="Times New Roman" w:hAnsi="Times New Roman"/>
          <w:b/>
          <w:bCs/>
          <w:szCs w:val="24"/>
          <w:lang w:val="en-HK"/>
        </w:rPr>
      </w:pPr>
    </w:p>
    <w:p w14:paraId="6664EFCE" w14:textId="77777777" w:rsidR="00A23972" w:rsidRDefault="00A23972" w:rsidP="00AC0D94">
      <w:pPr>
        <w:adjustRightInd w:val="0"/>
        <w:snapToGrid w:val="0"/>
        <w:spacing w:line="360" w:lineRule="auto"/>
        <w:jc w:val="both"/>
        <w:rPr>
          <w:rFonts w:ascii="Times New Roman" w:hAnsi="Times New Roman"/>
          <w:b/>
          <w:bCs/>
          <w:szCs w:val="24"/>
          <w:lang w:val="en-HK"/>
        </w:rPr>
      </w:pPr>
    </w:p>
    <w:p w14:paraId="36DF45E9" w14:textId="77777777" w:rsidR="00A23972" w:rsidRDefault="00A23972" w:rsidP="00AC0D94">
      <w:pPr>
        <w:adjustRightInd w:val="0"/>
        <w:snapToGrid w:val="0"/>
        <w:spacing w:line="360" w:lineRule="auto"/>
        <w:jc w:val="both"/>
        <w:rPr>
          <w:rFonts w:ascii="Times New Roman" w:hAnsi="Times New Roman"/>
          <w:b/>
          <w:bCs/>
          <w:szCs w:val="24"/>
          <w:lang w:val="en-HK"/>
        </w:rPr>
      </w:pPr>
    </w:p>
    <w:p w14:paraId="77A4D52A" w14:textId="77777777" w:rsidR="00A23972" w:rsidRDefault="00A23972" w:rsidP="00AC0D94">
      <w:pPr>
        <w:adjustRightInd w:val="0"/>
        <w:snapToGrid w:val="0"/>
        <w:spacing w:line="360" w:lineRule="auto"/>
        <w:jc w:val="both"/>
        <w:rPr>
          <w:rFonts w:ascii="Times New Roman" w:hAnsi="Times New Roman"/>
          <w:b/>
          <w:bCs/>
          <w:szCs w:val="24"/>
          <w:lang w:val="en-HK"/>
        </w:rPr>
      </w:pPr>
    </w:p>
    <w:p w14:paraId="3E7647DC" w14:textId="77777777" w:rsidR="000D4834" w:rsidRPr="000D4834" w:rsidRDefault="000D4834" w:rsidP="00AC0D94">
      <w:pPr>
        <w:adjustRightInd w:val="0"/>
        <w:snapToGrid w:val="0"/>
        <w:spacing w:line="360" w:lineRule="auto"/>
        <w:jc w:val="both"/>
        <w:rPr>
          <w:rFonts w:ascii="Times New Roman" w:hAnsi="Times New Roman"/>
          <w:b/>
          <w:bCs/>
          <w:szCs w:val="24"/>
        </w:rPr>
      </w:pPr>
      <w:r w:rsidRPr="000D4834">
        <w:rPr>
          <w:rFonts w:ascii="Times New Roman" w:hAnsi="Times New Roman"/>
          <w:b/>
          <w:bCs/>
          <w:szCs w:val="24"/>
        </w:rPr>
        <w:lastRenderedPageBreak/>
        <w:t>2.3 Dataset</w:t>
      </w:r>
    </w:p>
    <w:p w14:paraId="5AAFA3E1" w14:textId="77777777" w:rsidR="000D4834" w:rsidRPr="000D4834" w:rsidRDefault="000D4834" w:rsidP="00AC0D94">
      <w:pPr>
        <w:adjustRightInd w:val="0"/>
        <w:snapToGrid w:val="0"/>
        <w:spacing w:line="360" w:lineRule="auto"/>
        <w:jc w:val="both"/>
        <w:rPr>
          <w:rFonts w:ascii="Times New Roman" w:hAnsi="Times New Roman"/>
          <w:szCs w:val="24"/>
        </w:rPr>
      </w:pPr>
      <w:r w:rsidRPr="000D4834">
        <w:rPr>
          <w:rFonts w:ascii="Times New Roman" w:hAnsi="Times New Roman"/>
          <w:szCs w:val="24"/>
        </w:rPr>
        <w:t>The dataset for this analysis comprises historical data on consumer price indices (CPI) and retail sales values for Hong Kong and Thailand from 2006 to 2023. The key variables include:</w:t>
      </w:r>
    </w:p>
    <w:p w14:paraId="1F2ECA3A" w14:textId="77777777" w:rsidR="000D4834" w:rsidRPr="000D4834" w:rsidRDefault="000D4834" w:rsidP="003F53B9">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Hong Kong Retail Sales (HKVRS): Represents the total value of retail sales in Hong Kong, measured in Hong Kong dollars (HK$ million).</w:t>
      </w:r>
    </w:p>
    <w:p w14:paraId="6110E497" w14:textId="77777777" w:rsidR="000D4834" w:rsidRPr="000D4834" w:rsidRDefault="000D4834" w:rsidP="003F53B9">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Hong Kong Retail Sales (APCHKVRS): Measures the year-on-year growth rate of retail sales in Hong Kong.</w:t>
      </w:r>
    </w:p>
    <w:p w14:paraId="601E66AB" w14:textId="77777777" w:rsidR="000D4834" w:rsidRPr="000D4834" w:rsidRDefault="000D4834" w:rsidP="003F53B9">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Hong Kong Consumer Price Index (APCHKCCPI): Reflects the year-on-year inflation rate in Hong Kong, based on changes in the CPI.</w:t>
      </w:r>
    </w:p>
    <w:p w14:paraId="0955AAF5" w14:textId="77777777" w:rsidR="000D4834" w:rsidRPr="000D4834" w:rsidRDefault="000D4834" w:rsidP="003F53B9">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Thailand Consumer Price Index (APCTHCCPI): Captures the year-on-year inflation rate in Thailand, based on changes in the CPI.</w:t>
      </w:r>
    </w:p>
    <w:p w14:paraId="368C1DA5" w14:textId="77777777" w:rsidR="000D4834" w:rsidRPr="000D4834" w:rsidRDefault="000D4834" w:rsidP="00AC0D94">
      <w:pPr>
        <w:adjustRightInd w:val="0"/>
        <w:snapToGrid w:val="0"/>
        <w:spacing w:line="360" w:lineRule="auto"/>
        <w:jc w:val="both"/>
        <w:rPr>
          <w:rFonts w:ascii="Times New Roman" w:hAnsi="Times New Roman"/>
          <w:szCs w:val="24"/>
        </w:rPr>
      </w:pPr>
      <w:r w:rsidRPr="000D4834">
        <w:rPr>
          <w:rFonts w:ascii="Times New Roman" w:hAnsi="Times New Roman"/>
          <w:szCs w:val="24"/>
        </w:rPr>
        <w:t>The data for these variables were sourced from the following:</w:t>
      </w:r>
    </w:p>
    <w:p w14:paraId="385A15F6" w14:textId="77777777" w:rsidR="000D4834" w:rsidRPr="000D4834" w:rsidRDefault="000D4834" w:rsidP="003F53B9">
      <w:pPr>
        <w:numPr>
          <w:ilvl w:val="0"/>
          <w:numId w:val="5"/>
        </w:numPr>
        <w:adjustRightInd w:val="0"/>
        <w:snapToGrid w:val="0"/>
        <w:spacing w:line="360" w:lineRule="auto"/>
        <w:jc w:val="both"/>
        <w:rPr>
          <w:rFonts w:ascii="Times New Roman" w:hAnsi="Times New Roman"/>
          <w:szCs w:val="24"/>
        </w:rPr>
      </w:pPr>
      <w:r w:rsidRPr="000D4834">
        <w:rPr>
          <w:rFonts w:ascii="Times New Roman" w:hAnsi="Times New Roman"/>
          <w:szCs w:val="24"/>
        </w:rPr>
        <w:t>Consumer Price Index (CPI): Data for Hong Kong and Thailand were obtained from the International Monetary Fund (IMF) via their Data Mapper tool (IMF, 2024).</w:t>
      </w:r>
    </w:p>
    <w:p w14:paraId="73096218" w14:textId="77777777" w:rsidR="000D4834" w:rsidRPr="000D4834" w:rsidRDefault="000D4834" w:rsidP="003F53B9">
      <w:pPr>
        <w:numPr>
          <w:ilvl w:val="0"/>
          <w:numId w:val="5"/>
        </w:numPr>
        <w:adjustRightInd w:val="0"/>
        <w:snapToGrid w:val="0"/>
        <w:spacing w:line="360" w:lineRule="auto"/>
        <w:jc w:val="both"/>
        <w:rPr>
          <w:rFonts w:ascii="Times New Roman" w:hAnsi="Times New Roman"/>
          <w:szCs w:val="24"/>
        </w:rPr>
      </w:pPr>
      <w:r w:rsidRPr="000D4834">
        <w:rPr>
          <w:rFonts w:ascii="Times New Roman" w:hAnsi="Times New Roman"/>
          <w:szCs w:val="24"/>
        </w:rPr>
        <w:t>Retail Sales Values: Data for Hong Kong were sourced from the Census and Statistics Department of Hong Kong (CSD, 2024), while data for Thailand were obtained from Trading Economics (2024).</w:t>
      </w:r>
    </w:p>
    <w:p w14:paraId="620335E7" w14:textId="77777777" w:rsidR="00762099" w:rsidRDefault="00762099" w:rsidP="00AC0D94">
      <w:pPr>
        <w:adjustRightInd w:val="0"/>
        <w:snapToGrid w:val="0"/>
        <w:spacing w:line="360" w:lineRule="auto"/>
        <w:jc w:val="both"/>
        <w:rPr>
          <w:rFonts w:ascii="Times New Roman" w:hAnsi="Times New Roman"/>
          <w:szCs w:val="24"/>
        </w:rPr>
      </w:pPr>
    </w:p>
    <w:p w14:paraId="5C77E263" w14:textId="77777777" w:rsidR="00A23972" w:rsidRDefault="00A23972" w:rsidP="00AC0D94">
      <w:pPr>
        <w:adjustRightInd w:val="0"/>
        <w:snapToGrid w:val="0"/>
        <w:spacing w:line="360" w:lineRule="auto"/>
        <w:jc w:val="both"/>
        <w:rPr>
          <w:rFonts w:ascii="Times New Roman" w:hAnsi="Times New Roman"/>
          <w:szCs w:val="24"/>
        </w:rPr>
      </w:pPr>
    </w:p>
    <w:p w14:paraId="49C73A2A" w14:textId="77777777" w:rsidR="00A23972" w:rsidRDefault="00A23972" w:rsidP="00AC0D94">
      <w:pPr>
        <w:adjustRightInd w:val="0"/>
        <w:snapToGrid w:val="0"/>
        <w:spacing w:line="360" w:lineRule="auto"/>
        <w:jc w:val="both"/>
        <w:rPr>
          <w:rFonts w:ascii="Times New Roman" w:hAnsi="Times New Roman"/>
          <w:szCs w:val="24"/>
        </w:rPr>
      </w:pPr>
    </w:p>
    <w:p w14:paraId="10F29512" w14:textId="77777777" w:rsidR="00A23972" w:rsidRDefault="00A23972" w:rsidP="00AC0D94">
      <w:pPr>
        <w:adjustRightInd w:val="0"/>
        <w:snapToGrid w:val="0"/>
        <w:spacing w:line="360" w:lineRule="auto"/>
        <w:jc w:val="both"/>
        <w:rPr>
          <w:rFonts w:ascii="Times New Roman" w:hAnsi="Times New Roman"/>
          <w:szCs w:val="24"/>
        </w:rPr>
      </w:pPr>
    </w:p>
    <w:p w14:paraId="48AF083B" w14:textId="77777777" w:rsidR="00A23972" w:rsidRDefault="00A23972" w:rsidP="00AC0D94">
      <w:pPr>
        <w:adjustRightInd w:val="0"/>
        <w:snapToGrid w:val="0"/>
        <w:spacing w:line="360" w:lineRule="auto"/>
        <w:jc w:val="both"/>
        <w:rPr>
          <w:rFonts w:ascii="Times New Roman" w:hAnsi="Times New Roman"/>
          <w:szCs w:val="24"/>
        </w:rPr>
      </w:pPr>
    </w:p>
    <w:p w14:paraId="6CBC224A" w14:textId="77777777" w:rsidR="00A23972" w:rsidRDefault="00A23972" w:rsidP="00AC0D94">
      <w:pPr>
        <w:adjustRightInd w:val="0"/>
        <w:snapToGrid w:val="0"/>
        <w:spacing w:line="360" w:lineRule="auto"/>
        <w:jc w:val="both"/>
        <w:rPr>
          <w:rFonts w:ascii="Times New Roman" w:hAnsi="Times New Roman"/>
          <w:szCs w:val="24"/>
        </w:rPr>
      </w:pPr>
    </w:p>
    <w:p w14:paraId="26144CE2" w14:textId="77777777" w:rsidR="00A23972" w:rsidRDefault="00A23972" w:rsidP="00AC0D94">
      <w:pPr>
        <w:adjustRightInd w:val="0"/>
        <w:snapToGrid w:val="0"/>
        <w:spacing w:line="360" w:lineRule="auto"/>
        <w:jc w:val="both"/>
        <w:rPr>
          <w:rFonts w:ascii="Times New Roman" w:hAnsi="Times New Roman"/>
          <w:szCs w:val="24"/>
        </w:rPr>
      </w:pPr>
    </w:p>
    <w:p w14:paraId="7DAA5563" w14:textId="77777777" w:rsidR="00A23972" w:rsidRDefault="00A23972" w:rsidP="00AC0D94">
      <w:pPr>
        <w:adjustRightInd w:val="0"/>
        <w:snapToGrid w:val="0"/>
        <w:spacing w:line="360" w:lineRule="auto"/>
        <w:jc w:val="both"/>
        <w:rPr>
          <w:rFonts w:ascii="Times New Roman" w:hAnsi="Times New Roman"/>
          <w:szCs w:val="24"/>
        </w:rPr>
      </w:pPr>
    </w:p>
    <w:p w14:paraId="6BBF8662" w14:textId="77777777" w:rsidR="00A23972" w:rsidRDefault="00A23972" w:rsidP="00AC0D94">
      <w:pPr>
        <w:adjustRightInd w:val="0"/>
        <w:snapToGrid w:val="0"/>
        <w:spacing w:line="360" w:lineRule="auto"/>
        <w:jc w:val="both"/>
        <w:rPr>
          <w:rFonts w:ascii="Times New Roman" w:hAnsi="Times New Roman"/>
          <w:szCs w:val="24"/>
        </w:rPr>
      </w:pPr>
    </w:p>
    <w:p w14:paraId="65615484" w14:textId="77777777" w:rsidR="00762099" w:rsidRDefault="00762099" w:rsidP="00AC0D94">
      <w:pPr>
        <w:adjustRightInd w:val="0"/>
        <w:snapToGrid w:val="0"/>
        <w:spacing w:line="360" w:lineRule="auto"/>
        <w:jc w:val="both"/>
        <w:rPr>
          <w:rFonts w:ascii="Times New Roman" w:hAnsi="Times New Roman"/>
          <w:szCs w:val="24"/>
        </w:rPr>
      </w:pPr>
    </w:p>
    <w:p w14:paraId="5B637635" w14:textId="77777777" w:rsidR="00A23972" w:rsidRDefault="00A23972" w:rsidP="00AC0D94">
      <w:pPr>
        <w:adjustRightInd w:val="0"/>
        <w:snapToGrid w:val="0"/>
        <w:spacing w:line="360" w:lineRule="auto"/>
        <w:jc w:val="both"/>
        <w:rPr>
          <w:rFonts w:ascii="Times New Roman" w:hAnsi="Times New Roman"/>
          <w:szCs w:val="24"/>
        </w:rPr>
      </w:pPr>
    </w:p>
    <w:p w14:paraId="41E74487" w14:textId="77777777" w:rsidR="00A23972" w:rsidRDefault="00A23972" w:rsidP="00AC0D94">
      <w:pPr>
        <w:adjustRightInd w:val="0"/>
        <w:snapToGrid w:val="0"/>
        <w:spacing w:line="360" w:lineRule="auto"/>
        <w:jc w:val="both"/>
        <w:rPr>
          <w:rFonts w:ascii="Times New Roman" w:hAnsi="Times New Roman"/>
          <w:szCs w:val="24"/>
        </w:rPr>
      </w:pPr>
    </w:p>
    <w:p w14:paraId="2A53A682" w14:textId="77777777" w:rsidR="00452372" w:rsidRDefault="00452372" w:rsidP="00AC0D94">
      <w:pPr>
        <w:adjustRightInd w:val="0"/>
        <w:snapToGrid w:val="0"/>
        <w:spacing w:line="360" w:lineRule="auto"/>
        <w:jc w:val="both"/>
        <w:rPr>
          <w:rFonts w:ascii="Times New Roman" w:hAnsi="Times New Roman"/>
          <w:szCs w:val="24"/>
        </w:rPr>
      </w:pPr>
    </w:p>
    <w:p w14:paraId="158B842F" w14:textId="77777777" w:rsidR="00452372" w:rsidRDefault="00452372" w:rsidP="00AC0D94">
      <w:pPr>
        <w:adjustRightInd w:val="0"/>
        <w:snapToGrid w:val="0"/>
        <w:spacing w:line="360" w:lineRule="auto"/>
        <w:jc w:val="both"/>
        <w:rPr>
          <w:rFonts w:ascii="Times New Roman" w:hAnsi="Times New Roman"/>
          <w:szCs w:val="24"/>
        </w:rPr>
      </w:pPr>
    </w:p>
    <w:p w14:paraId="2D23707D" w14:textId="77777777" w:rsidR="00704247" w:rsidRPr="00704247" w:rsidRDefault="00704247" w:rsidP="00AC0D94">
      <w:pPr>
        <w:adjustRightInd w:val="0"/>
        <w:snapToGrid w:val="0"/>
        <w:spacing w:line="360" w:lineRule="auto"/>
        <w:jc w:val="both"/>
        <w:rPr>
          <w:rFonts w:ascii="Times New Roman" w:hAnsi="Times New Roman"/>
          <w:b/>
          <w:bCs/>
          <w:szCs w:val="24"/>
        </w:rPr>
      </w:pPr>
      <w:r w:rsidRPr="00704247">
        <w:rPr>
          <w:rFonts w:ascii="Times New Roman" w:hAnsi="Times New Roman"/>
          <w:b/>
          <w:bCs/>
          <w:szCs w:val="24"/>
        </w:rPr>
        <w:lastRenderedPageBreak/>
        <w:t>Table 1: Retail Sales and Consumer Inflation Rates (2005–2023)</w:t>
      </w:r>
    </w:p>
    <w:tbl>
      <w:tblPr>
        <w:tblW w:w="10000" w:type="dxa"/>
        <w:tblLook w:val="04A0" w:firstRow="1" w:lastRow="0" w:firstColumn="1" w:lastColumn="0" w:noHBand="0" w:noVBand="1"/>
      </w:tblPr>
      <w:tblGrid>
        <w:gridCol w:w="960"/>
        <w:gridCol w:w="2260"/>
        <w:gridCol w:w="2260"/>
        <w:gridCol w:w="2260"/>
        <w:gridCol w:w="2260"/>
      </w:tblGrid>
      <w:tr w:rsidR="00762099" w:rsidRPr="00762099" w14:paraId="546D7963" w14:textId="77777777" w:rsidTr="00762099">
        <w:trPr>
          <w:trHeight w:val="300"/>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35F1FD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Year</w:t>
            </w:r>
          </w:p>
        </w:tc>
        <w:tc>
          <w:tcPr>
            <w:tcW w:w="6780" w:type="dxa"/>
            <w:gridSpan w:val="3"/>
            <w:tcBorders>
              <w:top w:val="single" w:sz="8" w:space="0" w:color="auto"/>
              <w:left w:val="nil"/>
              <w:bottom w:val="single" w:sz="8" w:space="0" w:color="auto"/>
              <w:right w:val="single" w:sz="8" w:space="0" w:color="000000"/>
            </w:tcBorders>
            <w:shd w:val="clear" w:color="auto" w:fill="auto"/>
            <w:vAlign w:val="center"/>
            <w:hideMark/>
          </w:tcPr>
          <w:p w14:paraId="335675C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Hong Kong</w:t>
            </w:r>
          </w:p>
        </w:tc>
        <w:tc>
          <w:tcPr>
            <w:tcW w:w="2260" w:type="dxa"/>
            <w:tcBorders>
              <w:top w:val="single" w:sz="8" w:space="0" w:color="auto"/>
              <w:left w:val="nil"/>
              <w:bottom w:val="single" w:sz="8" w:space="0" w:color="auto"/>
              <w:right w:val="single" w:sz="8" w:space="0" w:color="auto"/>
            </w:tcBorders>
            <w:shd w:val="clear" w:color="auto" w:fill="auto"/>
            <w:vAlign w:val="center"/>
            <w:hideMark/>
          </w:tcPr>
          <w:p w14:paraId="16F1C70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Thailand</w:t>
            </w:r>
          </w:p>
        </w:tc>
      </w:tr>
      <w:tr w:rsidR="00762099" w:rsidRPr="00762099" w14:paraId="59B51916" w14:textId="77777777" w:rsidTr="00762099">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06D6B1FF" w14:textId="77777777" w:rsidR="00762099" w:rsidRPr="00762099" w:rsidRDefault="00762099" w:rsidP="00AC0D94">
            <w:pPr>
              <w:widowControl/>
              <w:rPr>
                <w:rFonts w:ascii="Times New Roman" w:eastAsia="Times New Roman" w:hAnsi="Times New Roman"/>
                <w:color w:val="000000"/>
                <w:kern w:val="0"/>
                <w:sz w:val="22"/>
              </w:rPr>
            </w:pPr>
          </w:p>
        </w:tc>
        <w:tc>
          <w:tcPr>
            <w:tcW w:w="2260" w:type="dxa"/>
            <w:tcBorders>
              <w:top w:val="nil"/>
              <w:left w:val="nil"/>
              <w:bottom w:val="single" w:sz="8" w:space="0" w:color="auto"/>
              <w:right w:val="single" w:sz="8" w:space="0" w:color="auto"/>
            </w:tcBorders>
            <w:shd w:val="clear" w:color="auto" w:fill="auto"/>
            <w:vAlign w:val="center"/>
            <w:hideMark/>
          </w:tcPr>
          <w:p w14:paraId="75772DB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HKVRS (HK$ Million)</w:t>
            </w:r>
          </w:p>
        </w:tc>
        <w:tc>
          <w:tcPr>
            <w:tcW w:w="2260" w:type="dxa"/>
            <w:tcBorders>
              <w:top w:val="nil"/>
              <w:left w:val="nil"/>
              <w:bottom w:val="single" w:sz="8" w:space="0" w:color="auto"/>
              <w:right w:val="single" w:sz="8" w:space="0" w:color="auto"/>
            </w:tcBorders>
            <w:shd w:val="clear" w:color="auto" w:fill="auto"/>
            <w:vAlign w:val="center"/>
            <w:hideMark/>
          </w:tcPr>
          <w:p w14:paraId="7822D55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APCHKVRS</w:t>
            </w:r>
          </w:p>
        </w:tc>
        <w:tc>
          <w:tcPr>
            <w:tcW w:w="2260" w:type="dxa"/>
            <w:tcBorders>
              <w:top w:val="nil"/>
              <w:left w:val="nil"/>
              <w:bottom w:val="single" w:sz="8" w:space="0" w:color="auto"/>
              <w:right w:val="single" w:sz="8" w:space="0" w:color="auto"/>
            </w:tcBorders>
            <w:shd w:val="clear" w:color="auto" w:fill="auto"/>
            <w:vAlign w:val="center"/>
            <w:hideMark/>
          </w:tcPr>
          <w:p w14:paraId="6B60876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APCHKCCPI</w:t>
            </w:r>
          </w:p>
        </w:tc>
        <w:tc>
          <w:tcPr>
            <w:tcW w:w="2260" w:type="dxa"/>
            <w:tcBorders>
              <w:top w:val="nil"/>
              <w:left w:val="nil"/>
              <w:bottom w:val="single" w:sz="8" w:space="0" w:color="auto"/>
              <w:right w:val="single" w:sz="8" w:space="0" w:color="auto"/>
            </w:tcBorders>
            <w:shd w:val="clear" w:color="auto" w:fill="auto"/>
            <w:vAlign w:val="center"/>
            <w:hideMark/>
          </w:tcPr>
          <w:p w14:paraId="7136ADC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APCTHCCPI</w:t>
            </w:r>
          </w:p>
        </w:tc>
      </w:tr>
      <w:tr w:rsidR="00762099" w:rsidRPr="00762099" w14:paraId="2AE68CD2"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1390359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2005</w:t>
            </w:r>
          </w:p>
        </w:tc>
        <w:tc>
          <w:tcPr>
            <w:tcW w:w="2260" w:type="dxa"/>
            <w:tcBorders>
              <w:top w:val="nil"/>
              <w:left w:val="nil"/>
              <w:bottom w:val="single" w:sz="8" w:space="0" w:color="auto"/>
              <w:right w:val="single" w:sz="8" w:space="0" w:color="auto"/>
            </w:tcBorders>
            <w:shd w:val="clear" w:color="auto" w:fill="auto"/>
            <w:noWrap/>
            <w:vAlign w:val="center"/>
            <w:hideMark/>
          </w:tcPr>
          <w:p w14:paraId="1E64981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21,072</w:t>
            </w:r>
          </w:p>
        </w:tc>
        <w:tc>
          <w:tcPr>
            <w:tcW w:w="2260" w:type="dxa"/>
            <w:tcBorders>
              <w:top w:val="nil"/>
              <w:left w:val="nil"/>
              <w:bottom w:val="single" w:sz="8" w:space="0" w:color="auto"/>
              <w:right w:val="single" w:sz="8" w:space="0" w:color="auto"/>
            </w:tcBorders>
            <w:shd w:val="clear" w:color="auto" w:fill="auto"/>
            <w:noWrap/>
            <w:vAlign w:val="center"/>
            <w:hideMark/>
          </w:tcPr>
          <w:p w14:paraId="142C0AC5" w14:textId="71082653"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 </w:t>
            </w:r>
            <w:proofErr w:type="spellStart"/>
            <w:r w:rsidR="00CF1672">
              <w:rPr>
                <w:rFonts w:ascii="Times New Roman" w:eastAsia="Times New Roman" w:hAnsi="Times New Roman"/>
                <w:color w:val="000000"/>
                <w:kern w:val="0"/>
                <w:sz w:val="22"/>
                <w:lang w:val="en-HK"/>
              </w:rPr>
              <w:t>n.a.</w:t>
            </w:r>
            <w:proofErr w:type="spellEnd"/>
          </w:p>
        </w:tc>
        <w:tc>
          <w:tcPr>
            <w:tcW w:w="2260" w:type="dxa"/>
            <w:tcBorders>
              <w:top w:val="nil"/>
              <w:left w:val="nil"/>
              <w:bottom w:val="single" w:sz="8" w:space="0" w:color="auto"/>
              <w:right w:val="single" w:sz="8" w:space="0" w:color="auto"/>
            </w:tcBorders>
            <w:shd w:val="clear" w:color="auto" w:fill="auto"/>
            <w:vAlign w:val="center"/>
            <w:hideMark/>
          </w:tcPr>
          <w:p w14:paraId="78A5DB9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1.4</w:t>
            </w:r>
          </w:p>
        </w:tc>
        <w:tc>
          <w:tcPr>
            <w:tcW w:w="2260" w:type="dxa"/>
            <w:tcBorders>
              <w:top w:val="nil"/>
              <w:left w:val="nil"/>
              <w:bottom w:val="single" w:sz="8" w:space="0" w:color="auto"/>
              <w:right w:val="single" w:sz="8" w:space="0" w:color="auto"/>
            </w:tcBorders>
            <w:shd w:val="clear" w:color="auto" w:fill="auto"/>
            <w:noWrap/>
            <w:vAlign w:val="center"/>
            <w:hideMark/>
          </w:tcPr>
          <w:p w14:paraId="0DE525C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5.7</w:t>
            </w:r>
          </w:p>
        </w:tc>
      </w:tr>
      <w:tr w:rsidR="00762099" w:rsidRPr="00762099" w14:paraId="609CD71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9B52C1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2006</w:t>
            </w:r>
          </w:p>
        </w:tc>
        <w:tc>
          <w:tcPr>
            <w:tcW w:w="2260" w:type="dxa"/>
            <w:tcBorders>
              <w:top w:val="nil"/>
              <w:left w:val="nil"/>
              <w:bottom w:val="single" w:sz="8" w:space="0" w:color="auto"/>
              <w:right w:val="single" w:sz="8" w:space="0" w:color="auto"/>
            </w:tcBorders>
            <w:shd w:val="clear" w:color="auto" w:fill="auto"/>
            <w:noWrap/>
            <w:vAlign w:val="center"/>
            <w:hideMark/>
          </w:tcPr>
          <w:p w14:paraId="6669DD2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22,770</w:t>
            </w:r>
          </w:p>
        </w:tc>
        <w:tc>
          <w:tcPr>
            <w:tcW w:w="2260" w:type="dxa"/>
            <w:tcBorders>
              <w:top w:val="nil"/>
              <w:left w:val="nil"/>
              <w:bottom w:val="single" w:sz="8" w:space="0" w:color="auto"/>
              <w:right w:val="single" w:sz="8" w:space="0" w:color="auto"/>
            </w:tcBorders>
            <w:shd w:val="clear" w:color="auto" w:fill="auto"/>
            <w:noWrap/>
            <w:vAlign w:val="center"/>
            <w:hideMark/>
          </w:tcPr>
          <w:p w14:paraId="0655F6B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8.10%</w:t>
            </w:r>
          </w:p>
        </w:tc>
        <w:tc>
          <w:tcPr>
            <w:tcW w:w="2260" w:type="dxa"/>
            <w:tcBorders>
              <w:top w:val="nil"/>
              <w:left w:val="nil"/>
              <w:bottom w:val="single" w:sz="8" w:space="0" w:color="auto"/>
              <w:right w:val="single" w:sz="8" w:space="0" w:color="auto"/>
            </w:tcBorders>
            <w:shd w:val="clear" w:color="auto" w:fill="auto"/>
            <w:vAlign w:val="center"/>
            <w:hideMark/>
          </w:tcPr>
          <w:p w14:paraId="2AE774C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w:t>
            </w:r>
          </w:p>
        </w:tc>
        <w:tc>
          <w:tcPr>
            <w:tcW w:w="2260" w:type="dxa"/>
            <w:tcBorders>
              <w:top w:val="nil"/>
              <w:left w:val="nil"/>
              <w:bottom w:val="single" w:sz="8" w:space="0" w:color="auto"/>
              <w:right w:val="single" w:sz="8" w:space="0" w:color="auto"/>
            </w:tcBorders>
            <w:shd w:val="clear" w:color="auto" w:fill="auto"/>
            <w:noWrap/>
            <w:vAlign w:val="center"/>
            <w:hideMark/>
          </w:tcPr>
          <w:p w14:paraId="0C7787A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3.7</w:t>
            </w:r>
          </w:p>
        </w:tc>
      </w:tr>
      <w:tr w:rsidR="00762099" w:rsidRPr="00762099" w14:paraId="5714DDC1"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BF415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2007</w:t>
            </w:r>
          </w:p>
        </w:tc>
        <w:tc>
          <w:tcPr>
            <w:tcW w:w="2260" w:type="dxa"/>
            <w:tcBorders>
              <w:top w:val="nil"/>
              <w:left w:val="nil"/>
              <w:bottom w:val="single" w:sz="8" w:space="0" w:color="auto"/>
              <w:right w:val="single" w:sz="8" w:space="0" w:color="auto"/>
            </w:tcBorders>
            <w:shd w:val="clear" w:color="auto" w:fill="auto"/>
            <w:noWrap/>
            <w:vAlign w:val="center"/>
            <w:hideMark/>
          </w:tcPr>
          <w:p w14:paraId="5DE1E83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25,654</w:t>
            </w:r>
          </w:p>
        </w:tc>
        <w:tc>
          <w:tcPr>
            <w:tcW w:w="2260" w:type="dxa"/>
            <w:tcBorders>
              <w:top w:val="nil"/>
              <w:left w:val="nil"/>
              <w:bottom w:val="single" w:sz="8" w:space="0" w:color="auto"/>
              <w:right w:val="single" w:sz="8" w:space="0" w:color="auto"/>
            </w:tcBorders>
            <w:shd w:val="clear" w:color="auto" w:fill="auto"/>
            <w:noWrap/>
            <w:vAlign w:val="center"/>
            <w:hideMark/>
          </w:tcPr>
          <w:p w14:paraId="3E9562B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12.70%</w:t>
            </w:r>
          </w:p>
        </w:tc>
        <w:tc>
          <w:tcPr>
            <w:tcW w:w="2260" w:type="dxa"/>
            <w:tcBorders>
              <w:top w:val="nil"/>
              <w:left w:val="nil"/>
              <w:bottom w:val="single" w:sz="8" w:space="0" w:color="auto"/>
              <w:right w:val="single" w:sz="8" w:space="0" w:color="auto"/>
            </w:tcBorders>
            <w:shd w:val="clear" w:color="auto" w:fill="auto"/>
            <w:vAlign w:val="center"/>
            <w:hideMark/>
          </w:tcPr>
          <w:p w14:paraId="03F8C1D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3.8</w:t>
            </w:r>
          </w:p>
        </w:tc>
        <w:tc>
          <w:tcPr>
            <w:tcW w:w="2260" w:type="dxa"/>
            <w:tcBorders>
              <w:top w:val="nil"/>
              <w:left w:val="nil"/>
              <w:bottom w:val="single" w:sz="8" w:space="0" w:color="auto"/>
              <w:right w:val="single" w:sz="8" w:space="0" w:color="auto"/>
            </w:tcBorders>
            <w:shd w:val="clear" w:color="auto" w:fill="auto"/>
            <w:noWrap/>
            <w:vAlign w:val="center"/>
            <w:hideMark/>
          </w:tcPr>
          <w:p w14:paraId="7930901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w:t>
            </w:r>
          </w:p>
        </w:tc>
      </w:tr>
      <w:tr w:rsidR="00762099" w:rsidRPr="00762099" w14:paraId="2A723618"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568C2AD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2008</w:t>
            </w:r>
          </w:p>
        </w:tc>
        <w:tc>
          <w:tcPr>
            <w:tcW w:w="2260" w:type="dxa"/>
            <w:tcBorders>
              <w:top w:val="nil"/>
              <w:left w:val="nil"/>
              <w:bottom w:val="single" w:sz="8" w:space="0" w:color="auto"/>
              <w:right w:val="single" w:sz="8" w:space="0" w:color="auto"/>
            </w:tcBorders>
            <w:shd w:val="clear" w:color="auto" w:fill="auto"/>
            <w:noWrap/>
            <w:vAlign w:val="center"/>
            <w:hideMark/>
          </w:tcPr>
          <w:p w14:paraId="5A53C83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27,856</w:t>
            </w:r>
          </w:p>
        </w:tc>
        <w:tc>
          <w:tcPr>
            <w:tcW w:w="2260" w:type="dxa"/>
            <w:tcBorders>
              <w:top w:val="nil"/>
              <w:left w:val="nil"/>
              <w:bottom w:val="single" w:sz="8" w:space="0" w:color="auto"/>
              <w:right w:val="single" w:sz="8" w:space="0" w:color="auto"/>
            </w:tcBorders>
            <w:shd w:val="clear" w:color="auto" w:fill="auto"/>
            <w:noWrap/>
            <w:vAlign w:val="center"/>
            <w:hideMark/>
          </w:tcPr>
          <w:p w14:paraId="5B344DC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8.60%</w:t>
            </w:r>
          </w:p>
        </w:tc>
        <w:tc>
          <w:tcPr>
            <w:tcW w:w="2260" w:type="dxa"/>
            <w:tcBorders>
              <w:top w:val="nil"/>
              <w:left w:val="nil"/>
              <w:bottom w:val="single" w:sz="8" w:space="0" w:color="auto"/>
              <w:right w:val="single" w:sz="8" w:space="0" w:color="auto"/>
            </w:tcBorders>
            <w:shd w:val="clear" w:color="auto" w:fill="auto"/>
            <w:vAlign w:val="center"/>
            <w:hideMark/>
          </w:tcPr>
          <w:p w14:paraId="0098B1C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w:t>
            </w:r>
          </w:p>
        </w:tc>
        <w:tc>
          <w:tcPr>
            <w:tcW w:w="2260" w:type="dxa"/>
            <w:tcBorders>
              <w:top w:val="nil"/>
              <w:left w:val="nil"/>
              <w:bottom w:val="single" w:sz="8" w:space="0" w:color="auto"/>
              <w:right w:val="single" w:sz="8" w:space="0" w:color="auto"/>
            </w:tcBorders>
            <w:shd w:val="clear" w:color="auto" w:fill="auto"/>
            <w:noWrap/>
            <w:vAlign w:val="center"/>
            <w:hideMark/>
          </w:tcPr>
          <w:p w14:paraId="7CE9A52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0.5</w:t>
            </w:r>
          </w:p>
        </w:tc>
      </w:tr>
      <w:tr w:rsidR="00762099" w:rsidRPr="00762099" w14:paraId="49A1E2A3"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A92031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2009</w:t>
            </w:r>
          </w:p>
        </w:tc>
        <w:tc>
          <w:tcPr>
            <w:tcW w:w="2260" w:type="dxa"/>
            <w:tcBorders>
              <w:top w:val="nil"/>
              <w:left w:val="nil"/>
              <w:bottom w:val="single" w:sz="8" w:space="0" w:color="auto"/>
              <w:right w:val="single" w:sz="8" w:space="0" w:color="auto"/>
            </w:tcBorders>
            <w:shd w:val="clear" w:color="auto" w:fill="auto"/>
            <w:noWrap/>
            <w:vAlign w:val="center"/>
            <w:hideMark/>
          </w:tcPr>
          <w:p w14:paraId="4E8CA6E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28,197</w:t>
            </w:r>
          </w:p>
        </w:tc>
        <w:tc>
          <w:tcPr>
            <w:tcW w:w="2260" w:type="dxa"/>
            <w:tcBorders>
              <w:top w:val="nil"/>
              <w:left w:val="nil"/>
              <w:bottom w:val="single" w:sz="8" w:space="0" w:color="auto"/>
              <w:right w:val="single" w:sz="8" w:space="0" w:color="auto"/>
            </w:tcBorders>
            <w:shd w:val="clear" w:color="auto" w:fill="auto"/>
            <w:noWrap/>
            <w:vAlign w:val="center"/>
            <w:hideMark/>
          </w:tcPr>
          <w:p w14:paraId="04EBABF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1.20%</w:t>
            </w:r>
          </w:p>
        </w:tc>
        <w:tc>
          <w:tcPr>
            <w:tcW w:w="2260" w:type="dxa"/>
            <w:tcBorders>
              <w:top w:val="nil"/>
              <w:left w:val="nil"/>
              <w:bottom w:val="single" w:sz="8" w:space="0" w:color="auto"/>
              <w:right w:val="single" w:sz="8" w:space="0" w:color="auto"/>
            </w:tcBorders>
            <w:shd w:val="clear" w:color="auto" w:fill="auto"/>
            <w:vAlign w:val="center"/>
            <w:hideMark/>
          </w:tcPr>
          <w:p w14:paraId="6031A1A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1.5</w:t>
            </w:r>
          </w:p>
        </w:tc>
        <w:tc>
          <w:tcPr>
            <w:tcW w:w="2260" w:type="dxa"/>
            <w:tcBorders>
              <w:top w:val="nil"/>
              <w:left w:val="nil"/>
              <w:bottom w:val="single" w:sz="8" w:space="0" w:color="auto"/>
              <w:right w:val="single" w:sz="8" w:space="0" w:color="auto"/>
            </w:tcBorders>
            <w:shd w:val="clear" w:color="auto" w:fill="auto"/>
            <w:noWrap/>
            <w:vAlign w:val="center"/>
            <w:hideMark/>
          </w:tcPr>
          <w:p w14:paraId="6B12C1C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w:t>
            </w:r>
          </w:p>
        </w:tc>
      </w:tr>
      <w:tr w:rsidR="00762099" w:rsidRPr="00762099" w14:paraId="546ABAC0"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280692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2010</w:t>
            </w:r>
          </w:p>
        </w:tc>
        <w:tc>
          <w:tcPr>
            <w:tcW w:w="2260" w:type="dxa"/>
            <w:tcBorders>
              <w:top w:val="nil"/>
              <w:left w:val="nil"/>
              <w:bottom w:val="single" w:sz="8" w:space="0" w:color="auto"/>
              <w:right w:val="single" w:sz="8" w:space="0" w:color="auto"/>
            </w:tcBorders>
            <w:shd w:val="clear" w:color="auto" w:fill="auto"/>
            <w:noWrap/>
            <w:vAlign w:val="center"/>
            <w:hideMark/>
          </w:tcPr>
          <w:p w14:paraId="734E99C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32,835</w:t>
            </w:r>
          </w:p>
        </w:tc>
        <w:tc>
          <w:tcPr>
            <w:tcW w:w="2260" w:type="dxa"/>
            <w:tcBorders>
              <w:top w:val="nil"/>
              <w:left w:val="nil"/>
              <w:bottom w:val="single" w:sz="8" w:space="0" w:color="auto"/>
              <w:right w:val="single" w:sz="8" w:space="0" w:color="auto"/>
            </w:tcBorders>
            <w:shd w:val="clear" w:color="auto" w:fill="auto"/>
            <w:noWrap/>
            <w:vAlign w:val="center"/>
            <w:hideMark/>
          </w:tcPr>
          <w:p w14:paraId="296EC30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16.40%</w:t>
            </w:r>
          </w:p>
        </w:tc>
        <w:tc>
          <w:tcPr>
            <w:tcW w:w="2260" w:type="dxa"/>
            <w:tcBorders>
              <w:top w:val="nil"/>
              <w:left w:val="nil"/>
              <w:bottom w:val="single" w:sz="8" w:space="0" w:color="auto"/>
              <w:right w:val="single" w:sz="8" w:space="0" w:color="auto"/>
            </w:tcBorders>
            <w:shd w:val="clear" w:color="auto" w:fill="auto"/>
            <w:vAlign w:val="center"/>
            <w:hideMark/>
          </w:tcPr>
          <w:p w14:paraId="193DE6D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w:t>
            </w:r>
          </w:p>
        </w:tc>
        <w:tc>
          <w:tcPr>
            <w:tcW w:w="2260" w:type="dxa"/>
            <w:tcBorders>
              <w:top w:val="nil"/>
              <w:left w:val="nil"/>
              <w:bottom w:val="single" w:sz="8" w:space="0" w:color="auto"/>
              <w:right w:val="single" w:sz="8" w:space="0" w:color="auto"/>
            </w:tcBorders>
            <w:shd w:val="clear" w:color="auto" w:fill="auto"/>
            <w:noWrap/>
            <w:vAlign w:val="center"/>
            <w:hideMark/>
          </w:tcPr>
          <w:p w14:paraId="76CDE8D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3.1</w:t>
            </w:r>
          </w:p>
        </w:tc>
      </w:tr>
      <w:tr w:rsidR="00762099" w:rsidRPr="00762099" w14:paraId="5E96F3A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1D8B439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2011</w:t>
            </w:r>
          </w:p>
        </w:tc>
        <w:tc>
          <w:tcPr>
            <w:tcW w:w="2260" w:type="dxa"/>
            <w:tcBorders>
              <w:top w:val="nil"/>
              <w:left w:val="nil"/>
              <w:bottom w:val="single" w:sz="8" w:space="0" w:color="auto"/>
              <w:right w:val="single" w:sz="8" w:space="0" w:color="auto"/>
            </w:tcBorders>
            <w:shd w:val="clear" w:color="auto" w:fill="auto"/>
            <w:noWrap/>
            <w:vAlign w:val="center"/>
            <w:hideMark/>
          </w:tcPr>
          <w:p w14:paraId="02AC20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39,938</w:t>
            </w:r>
          </w:p>
        </w:tc>
        <w:tc>
          <w:tcPr>
            <w:tcW w:w="2260" w:type="dxa"/>
            <w:tcBorders>
              <w:top w:val="nil"/>
              <w:left w:val="nil"/>
              <w:bottom w:val="single" w:sz="8" w:space="0" w:color="auto"/>
              <w:right w:val="single" w:sz="8" w:space="0" w:color="auto"/>
            </w:tcBorders>
            <w:shd w:val="clear" w:color="auto" w:fill="auto"/>
            <w:noWrap/>
            <w:vAlign w:val="center"/>
            <w:hideMark/>
          </w:tcPr>
          <w:p w14:paraId="20673D3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21.60%</w:t>
            </w:r>
          </w:p>
        </w:tc>
        <w:tc>
          <w:tcPr>
            <w:tcW w:w="2260" w:type="dxa"/>
            <w:tcBorders>
              <w:top w:val="nil"/>
              <w:left w:val="nil"/>
              <w:bottom w:val="single" w:sz="8" w:space="0" w:color="auto"/>
              <w:right w:val="single" w:sz="8" w:space="0" w:color="auto"/>
            </w:tcBorders>
            <w:shd w:val="clear" w:color="auto" w:fill="auto"/>
            <w:vAlign w:val="center"/>
            <w:hideMark/>
          </w:tcPr>
          <w:p w14:paraId="33A35C3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5.7</w:t>
            </w:r>
          </w:p>
        </w:tc>
        <w:tc>
          <w:tcPr>
            <w:tcW w:w="2260" w:type="dxa"/>
            <w:tcBorders>
              <w:top w:val="nil"/>
              <w:left w:val="nil"/>
              <w:bottom w:val="single" w:sz="8" w:space="0" w:color="auto"/>
              <w:right w:val="single" w:sz="8" w:space="0" w:color="auto"/>
            </w:tcBorders>
            <w:shd w:val="clear" w:color="auto" w:fill="auto"/>
            <w:noWrap/>
            <w:vAlign w:val="center"/>
            <w:hideMark/>
          </w:tcPr>
          <w:p w14:paraId="1D158B8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w:t>
            </w:r>
          </w:p>
        </w:tc>
      </w:tr>
      <w:tr w:rsidR="00762099" w:rsidRPr="00762099" w14:paraId="1EB05EB7"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00DB1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2012</w:t>
            </w:r>
          </w:p>
        </w:tc>
        <w:tc>
          <w:tcPr>
            <w:tcW w:w="2260" w:type="dxa"/>
            <w:tcBorders>
              <w:top w:val="nil"/>
              <w:left w:val="nil"/>
              <w:bottom w:val="single" w:sz="8" w:space="0" w:color="auto"/>
              <w:right w:val="single" w:sz="8" w:space="0" w:color="auto"/>
            </w:tcBorders>
            <w:shd w:val="clear" w:color="auto" w:fill="auto"/>
            <w:noWrap/>
            <w:vAlign w:val="center"/>
            <w:hideMark/>
          </w:tcPr>
          <w:p w14:paraId="085F239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43,811</w:t>
            </w:r>
          </w:p>
        </w:tc>
        <w:tc>
          <w:tcPr>
            <w:tcW w:w="2260" w:type="dxa"/>
            <w:tcBorders>
              <w:top w:val="nil"/>
              <w:left w:val="nil"/>
              <w:bottom w:val="single" w:sz="8" w:space="0" w:color="auto"/>
              <w:right w:val="single" w:sz="8" w:space="0" w:color="auto"/>
            </w:tcBorders>
            <w:shd w:val="clear" w:color="auto" w:fill="auto"/>
            <w:noWrap/>
            <w:vAlign w:val="center"/>
            <w:hideMark/>
          </w:tcPr>
          <w:p w14:paraId="44E5122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9.70%</w:t>
            </w:r>
          </w:p>
        </w:tc>
        <w:tc>
          <w:tcPr>
            <w:tcW w:w="2260" w:type="dxa"/>
            <w:tcBorders>
              <w:top w:val="nil"/>
              <w:left w:val="nil"/>
              <w:bottom w:val="single" w:sz="8" w:space="0" w:color="auto"/>
              <w:right w:val="single" w:sz="8" w:space="0" w:color="auto"/>
            </w:tcBorders>
            <w:shd w:val="clear" w:color="auto" w:fill="auto"/>
            <w:vAlign w:val="center"/>
            <w:hideMark/>
          </w:tcPr>
          <w:p w14:paraId="22F621C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3.6</w:t>
            </w:r>
          </w:p>
        </w:tc>
        <w:tc>
          <w:tcPr>
            <w:tcW w:w="2260" w:type="dxa"/>
            <w:tcBorders>
              <w:top w:val="nil"/>
              <w:left w:val="nil"/>
              <w:bottom w:val="single" w:sz="8" w:space="0" w:color="auto"/>
              <w:right w:val="single" w:sz="8" w:space="0" w:color="auto"/>
            </w:tcBorders>
            <w:shd w:val="clear" w:color="auto" w:fill="auto"/>
            <w:noWrap/>
            <w:vAlign w:val="center"/>
            <w:hideMark/>
          </w:tcPr>
          <w:p w14:paraId="577AD7A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3.6</w:t>
            </w:r>
          </w:p>
        </w:tc>
      </w:tr>
      <w:tr w:rsidR="00762099" w:rsidRPr="00762099" w14:paraId="7C8454A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F2E50A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2013</w:t>
            </w:r>
          </w:p>
        </w:tc>
        <w:tc>
          <w:tcPr>
            <w:tcW w:w="2260" w:type="dxa"/>
            <w:tcBorders>
              <w:top w:val="nil"/>
              <w:left w:val="nil"/>
              <w:bottom w:val="single" w:sz="8" w:space="0" w:color="auto"/>
              <w:right w:val="single" w:sz="8" w:space="0" w:color="auto"/>
            </w:tcBorders>
            <w:shd w:val="clear" w:color="auto" w:fill="auto"/>
            <w:noWrap/>
            <w:vAlign w:val="center"/>
            <w:hideMark/>
          </w:tcPr>
          <w:p w14:paraId="5ED9A72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51,586</w:t>
            </w:r>
          </w:p>
        </w:tc>
        <w:tc>
          <w:tcPr>
            <w:tcW w:w="2260" w:type="dxa"/>
            <w:tcBorders>
              <w:top w:val="nil"/>
              <w:left w:val="nil"/>
              <w:bottom w:val="single" w:sz="8" w:space="0" w:color="auto"/>
              <w:right w:val="single" w:sz="8" w:space="0" w:color="auto"/>
            </w:tcBorders>
            <w:shd w:val="clear" w:color="auto" w:fill="auto"/>
            <w:noWrap/>
            <w:vAlign w:val="center"/>
            <w:hideMark/>
          </w:tcPr>
          <w:p w14:paraId="5EEF81A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17.70%</w:t>
            </w:r>
          </w:p>
        </w:tc>
        <w:tc>
          <w:tcPr>
            <w:tcW w:w="2260" w:type="dxa"/>
            <w:tcBorders>
              <w:top w:val="nil"/>
              <w:left w:val="nil"/>
              <w:bottom w:val="single" w:sz="8" w:space="0" w:color="auto"/>
              <w:right w:val="single" w:sz="8" w:space="0" w:color="auto"/>
            </w:tcBorders>
            <w:shd w:val="clear" w:color="auto" w:fill="auto"/>
            <w:vAlign w:val="center"/>
            <w:hideMark/>
          </w:tcPr>
          <w:p w14:paraId="254EAE4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4.3</w:t>
            </w:r>
          </w:p>
        </w:tc>
        <w:tc>
          <w:tcPr>
            <w:tcW w:w="2260" w:type="dxa"/>
            <w:tcBorders>
              <w:top w:val="nil"/>
              <w:left w:val="nil"/>
              <w:bottom w:val="single" w:sz="8" w:space="0" w:color="auto"/>
              <w:right w:val="single" w:sz="8" w:space="0" w:color="auto"/>
            </w:tcBorders>
            <w:shd w:val="clear" w:color="auto" w:fill="auto"/>
            <w:noWrap/>
            <w:vAlign w:val="center"/>
            <w:hideMark/>
          </w:tcPr>
          <w:p w14:paraId="567FB66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w:t>
            </w:r>
          </w:p>
        </w:tc>
      </w:tr>
      <w:tr w:rsidR="00762099" w:rsidRPr="00762099" w14:paraId="6BE3EF2D"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BB01AA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2014</w:t>
            </w:r>
          </w:p>
        </w:tc>
        <w:tc>
          <w:tcPr>
            <w:tcW w:w="2260" w:type="dxa"/>
            <w:tcBorders>
              <w:top w:val="nil"/>
              <w:left w:val="nil"/>
              <w:bottom w:val="single" w:sz="8" w:space="0" w:color="auto"/>
              <w:right w:val="single" w:sz="8" w:space="0" w:color="auto"/>
            </w:tcBorders>
            <w:shd w:val="clear" w:color="auto" w:fill="auto"/>
            <w:noWrap/>
            <w:vAlign w:val="center"/>
            <w:hideMark/>
          </w:tcPr>
          <w:p w14:paraId="2DFA607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52,273</w:t>
            </w:r>
          </w:p>
        </w:tc>
        <w:tc>
          <w:tcPr>
            <w:tcW w:w="2260" w:type="dxa"/>
            <w:tcBorders>
              <w:top w:val="nil"/>
              <w:left w:val="nil"/>
              <w:bottom w:val="single" w:sz="8" w:space="0" w:color="auto"/>
              <w:right w:val="single" w:sz="8" w:space="0" w:color="auto"/>
            </w:tcBorders>
            <w:shd w:val="clear" w:color="auto" w:fill="auto"/>
            <w:noWrap/>
            <w:vAlign w:val="center"/>
            <w:hideMark/>
          </w:tcPr>
          <w:p w14:paraId="795478B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1.30%</w:t>
            </w:r>
          </w:p>
        </w:tc>
        <w:tc>
          <w:tcPr>
            <w:tcW w:w="2260" w:type="dxa"/>
            <w:tcBorders>
              <w:top w:val="nil"/>
              <w:left w:val="nil"/>
              <w:bottom w:val="single" w:sz="8" w:space="0" w:color="auto"/>
              <w:right w:val="single" w:sz="8" w:space="0" w:color="auto"/>
            </w:tcBorders>
            <w:shd w:val="clear" w:color="auto" w:fill="auto"/>
            <w:vAlign w:val="center"/>
            <w:hideMark/>
          </w:tcPr>
          <w:p w14:paraId="38A723F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4.9</w:t>
            </w:r>
          </w:p>
        </w:tc>
        <w:tc>
          <w:tcPr>
            <w:tcW w:w="2260" w:type="dxa"/>
            <w:tcBorders>
              <w:top w:val="nil"/>
              <w:left w:val="nil"/>
              <w:bottom w:val="single" w:sz="8" w:space="0" w:color="auto"/>
              <w:right w:val="single" w:sz="8" w:space="0" w:color="auto"/>
            </w:tcBorders>
            <w:shd w:val="clear" w:color="auto" w:fill="auto"/>
            <w:noWrap/>
            <w:vAlign w:val="center"/>
            <w:hideMark/>
          </w:tcPr>
          <w:p w14:paraId="7F1BE31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0.6</w:t>
            </w:r>
          </w:p>
        </w:tc>
      </w:tr>
      <w:tr w:rsidR="00762099" w:rsidRPr="00762099" w14:paraId="54A5AFFA"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225B7B1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2015</w:t>
            </w:r>
          </w:p>
        </w:tc>
        <w:tc>
          <w:tcPr>
            <w:tcW w:w="2260" w:type="dxa"/>
            <w:tcBorders>
              <w:top w:val="nil"/>
              <w:left w:val="nil"/>
              <w:bottom w:val="single" w:sz="8" w:space="0" w:color="auto"/>
              <w:right w:val="single" w:sz="8" w:space="0" w:color="auto"/>
            </w:tcBorders>
            <w:shd w:val="clear" w:color="auto" w:fill="auto"/>
            <w:noWrap/>
            <w:vAlign w:val="center"/>
            <w:hideMark/>
          </w:tcPr>
          <w:p w14:paraId="2A8D46C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50,123</w:t>
            </w:r>
          </w:p>
        </w:tc>
        <w:tc>
          <w:tcPr>
            <w:tcW w:w="2260" w:type="dxa"/>
            <w:tcBorders>
              <w:top w:val="nil"/>
              <w:left w:val="nil"/>
              <w:bottom w:val="single" w:sz="8" w:space="0" w:color="auto"/>
              <w:right w:val="single" w:sz="8" w:space="0" w:color="auto"/>
            </w:tcBorders>
            <w:shd w:val="clear" w:color="auto" w:fill="auto"/>
            <w:noWrap/>
            <w:vAlign w:val="center"/>
            <w:hideMark/>
          </w:tcPr>
          <w:p w14:paraId="08E0B64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-4.10%</w:t>
            </w:r>
          </w:p>
        </w:tc>
        <w:tc>
          <w:tcPr>
            <w:tcW w:w="2260" w:type="dxa"/>
            <w:tcBorders>
              <w:top w:val="nil"/>
              <w:left w:val="nil"/>
              <w:bottom w:val="single" w:sz="8" w:space="0" w:color="auto"/>
              <w:right w:val="single" w:sz="8" w:space="0" w:color="auto"/>
            </w:tcBorders>
            <w:shd w:val="clear" w:color="auto" w:fill="auto"/>
            <w:vAlign w:val="center"/>
            <w:hideMark/>
          </w:tcPr>
          <w:p w14:paraId="2FBCA86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2.3</w:t>
            </w:r>
          </w:p>
        </w:tc>
        <w:tc>
          <w:tcPr>
            <w:tcW w:w="2260" w:type="dxa"/>
            <w:tcBorders>
              <w:top w:val="nil"/>
              <w:left w:val="nil"/>
              <w:bottom w:val="single" w:sz="8" w:space="0" w:color="auto"/>
              <w:right w:val="single" w:sz="8" w:space="0" w:color="auto"/>
            </w:tcBorders>
            <w:shd w:val="clear" w:color="auto" w:fill="auto"/>
            <w:noWrap/>
            <w:vAlign w:val="center"/>
            <w:hideMark/>
          </w:tcPr>
          <w:p w14:paraId="7395CB5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r>
      <w:tr w:rsidR="00762099" w:rsidRPr="00762099" w14:paraId="0E0174D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35CE3A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2016</w:t>
            </w:r>
          </w:p>
        </w:tc>
        <w:tc>
          <w:tcPr>
            <w:tcW w:w="2260" w:type="dxa"/>
            <w:tcBorders>
              <w:top w:val="nil"/>
              <w:left w:val="nil"/>
              <w:bottom w:val="single" w:sz="8" w:space="0" w:color="auto"/>
              <w:right w:val="single" w:sz="8" w:space="0" w:color="auto"/>
            </w:tcBorders>
            <w:shd w:val="clear" w:color="auto" w:fill="auto"/>
            <w:noWrap/>
            <w:vAlign w:val="center"/>
            <w:hideMark/>
          </w:tcPr>
          <w:p w14:paraId="4D969C1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47,011</w:t>
            </w:r>
          </w:p>
        </w:tc>
        <w:tc>
          <w:tcPr>
            <w:tcW w:w="2260" w:type="dxa"/>
            <w:tcBorders>
              <w:top w:val="nil"/>
              <w:left w:val="nil"/>
              <w:bottom w:val="single" w:sz="8" w:space="0" w:color="auto"/>
              <w:right w:val="single" w:sz="8" w:space="0" w:color="auto"/>
            </w:tcBorders>
            <w:shd w:val="clear" w:color="auto" w:fill="auto"/>
            <w:noWrap/>
            <w:vAlign w:val="center"/>
            <w:hideMark/>
          </w:tcPr>
          <w:p w14:paraId="25EE11B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-6.20%</w:t>
            </w:r>
          </w:p>
        </w:tc>
        <w:tc>
          <w:tcPr>
            <w:tcW w:w="2260" w:type="dxa"/>
            <w:tcBorders>
              <w:top w:val="nil"/>
              <w:left w:val="nil"/>
              <w:bottom w:val="single" w:sz="8" w:space="0" w:color="auto"/>
              <w:right w:val="single" w:sz="8" w:space="0" w:color="auto"/>
            </w:tcBorders>
            <w:shd w:val="clear" w:color="auto" w:fill="auto"/>
            <w:vAlign w:val="center"/>
            <w:hideMark/>
          </w:tcPr>
          <w:p w14:paraId="392A75A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w:t>
            </w:r>
          </w:p>
        </w:tc>
        <w:tc>
          <w:tcPr>
            <w:tcW w:w="2260" w:type="dxa"/>
            <w:tcBorders>
              <w:top w:val="nil"/>
              <w:left w:val="nil"/>
              <w:bottom w:val="single" w:sz="8" w:space="0" w:color="auto"/>
              <w:right w:val="single" w:sz="8" w:space="0" w:color="auto"/>
            </w:tcBorders>
            <w:shd w:val="clear" w:color="auto" w:fill="auto"/>
            <w:noWrap/>
            <w:vAlign w:val="center"/>
            <w:hideMark/>
          </w:tcPr>
          <w:p w14:paraId="2CEFFE7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1.1</w:t>
            </w:r>
          </w:p>
        </w:tc>
      </w:tr>
      <w:tr w:rsidR="00762099" w:rsidRPr="00762099" w14:paraId="1A15987E"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8ED427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2017</w:t>
            </w:r>
          </w:p>
        </w:tc>
        <w:tc>
          <w:tcPr>
            <w:tcW w:w="2260" w:type="dxa"/>
            <w:tcBorders>
              <w:top w:val="nil"/>
              <w:left w:val="nil"/>
              <w:bottom w:val="single" w:sz="8" w:space="0" w:color="auto"/>
              <w:right w:val="single" w:sz="8" w:space="0" w:color="auto"/>
            </w:tcBorders>
            <w:shd w:val="clear" w:color="auto" w:fill="auto"/>
            <w:noWrap/>
            <w:vAlign w:val="center"/>
            <w:hideMark/>
          </w:tcPr>
          <w:p w14:paraId="711C871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48,617</w:t>
            </w:r>
          </w:p>
        </w:tc>
        <w:tc>
          <w:tcPr>
            <w:tcW w:w="2260" w:type="dxa"/>
            <w:tcBorders>
              <w:top w:val="nil"/>
              <w:left w:val="nil"/>
              <w:bottom w:val="single" w:sz="8" w:space="0" w:color="auto"/>
              <w:right w:val="single" w:sz="8" w:space="0" w:color="auto"/>
            </w:tcBorders>
            <w:shd w:val="clear" w:color="auto" w:fill="auto"/>
            <w:noWrap/>
            <w:vAlign w:val="center"/>
            <w:hideMark/>
          </w:tcPr>
          <w:p w14:paraId="6E770A0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3.40%</w:t>
            </w:r>
          </w:p>
        </w:tc>
        <w:tc>
          <w:tcPr>
            <w:tcW w:w="2260" w:type="dxa"/>
            <w:tcBorders>
              <w:top w:val="nil"/>
              <w:left w:val="nil"/>
              <w:bottom w:val="single" w:sz="8" w:space="0" w:color="auto"/>
              <w:right w:val="single" w:sz="8" w:space="0" w:color="auto"/>
            </w:tcBorders>
            <w:shd w:val="clear" w:color="auto" w:fill="auto"/>
            <w:vAlign w:val="center"/>
            <w:hideMark/>
          </w:tcPr>
          <w:p w14:paraId="67C8301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w:t>
            </w:r>
          </w:p>
        </w:tc>
        <w:tc>
          <w:tcPr>
            <w:tcW w:w="2260" w:type="dxa"/>
            <w:tcBorders>
              <w:top w:val="nil"/>
              <w:left w:val="nil"/>
              <w:bottom w:val="single" w:sz="8" w:space="0" w:color="auto"/>
              <w:right w:val="single" w:sz="8" w:space="0" w:color="auto"/>
            </w:tcBorders>
            <w:shd w:val="clear" w:color="auto" w:fill="auto"/>
            <w:noWrap/>
            <w:vAlign w:val="center"/>
            <w:hideMark/>
          </w:tcPr>
          <w:p w14:paraId="05EAC1B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0.8</w:t>
            </w:r>
          </w:p>
        </w:tc>
      </w:tr>
      <w:tr w:rsidR="00762099" w:rsidRPr="00762099" w14:paraId="4C29E307"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4987D08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2018</w:t>
            </w:r>
          </w:p>
        </w:tc>
        <w:tc>
          <w:tcPr>
            <w:tcW w:w="2260" w:type="dxa"/>
            <w:tcBorders>
              <w:top w:val="nil"/>
              <w:left w:val="nil"/>
              <w:bottom w:val="single" w:sz="8" w:space="0" w:color="auto"/>
              <w:right w:val="single" w:sz="8" w:space="0" w:color="auto"/>
            </w:tcBorders>
            <w:shd w:val="clear" w:color="auto" w:fill="auto"/>
            <w:noWrap/>
            <w:vAlign w:val="center"/>
            <w:hideMark/>
          </w:tcPr>
          <w:p w14:paraId="7A585C3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53,257</w:t>
            </w:r>
          </w:p>
        </w:tc>
        <w:tc>
          <w:tcPr>
            <w:tcW w:w="2260" w:type="dxa"/>
            <w:tcBorders>
              <w:top w:val="nil"/>
              <w:left w:val="nil"/>
              <w:bottom w:val="single" w:sz="8" w:space="0" w:color="auto"/>
              <w:right w:val="single" w:sz="8" w:space="0" w:color="auto"/>
            </w:tcBorders>
            <w:shd w:val="clear" w:color="auto" w:fill="auto"/>
            <w:noWrap/>
            <w:vAlign w:val="center"/>
            <w:hideMark/>
          </w:tcPr>
          <w:p w14:paraId="2AD7275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9.50%</w:t>
            </w:r>
          </w:p>
        </w:tc>
        <w:tc>
          <w:tcPr>
            <w:tcW w:w="2260" w:type="dxa"/>
            <w:tcBorders>
              <w:top w:val="nil"/>
              <w:left w:val="nil"/>
              <w:bottom w:val="single" w:sz="8" w:space="0" w:color="auto"/>
              <w:right w:val="single" w:sz="8" w:space="0" w:color="auto"/>
            </w:tcBorders>
            <w:shd w:val="clear" w:color="auto" w:fill="auto"/>
            <w:vAlign w:val="center"/>
            <w:hideMark/>
          </w:tcPr>
          <w:p w14:paraId="1B0C06D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2.5</w:t>
            </w:r>
          </w:p>
        </w:tc>
        <w:tc>
          <w:tcPr>
            <w:tcW w:w="2260" w:type="dxa"/>
            <w:tcBorders>
              <w:top w:val="nil"/>
              <w:left w:val="nil"/>
              <w:bottom w:val="single" w:sz="8" w:space="0" w:color="auto"/>
              <w:right w:val="single" w:sz="8" w:space="0" w:color="auto"/>
            </w:tcBorders>
            <w:shd w:val="clear" w:color="auto" w:fill="auto"/>
            <w:noWrap/>
            <w:vAlign w:val="center"/>
            <w:hideMark/>
          </w:tcPr>
          <w:p w14:paraId="376F840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0.4</w:t>
            </w:r>
          </w:p>
        </w:tc>
      </w:tr>
      <w:tr w:rsidR="00762099" w:rsidRPr="00762099" w14:paraId="7FC16D8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DF76A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2019</w:t>
            </w:r>
          </w:p>
        </w:tc>
        <w:tc>
          <w:tcPr>
            <w:tcW w:w="2260" w:type="dxa"/>
            <w:tcBorders>
              <w:top w:val="nil"/>
              <w:left w:val="nil"/>
              <w:bottom w:val="single" w:sz="8" w:space="0" w:color="auto"/>
              <w:right w:val="single" w:sz="8" w:space="0" w:color="auto"/>
            </w:tcBorders>
            <w:shd w:val="clear" w:color="auto" w:fill="auto"/>
            <w:noWrap/>
            <w:vAlign w:val="center"/>
            <w:hideMark/>
          </w:tcPr>
          <w:p w14:paraId="17BD53A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46,353</w:t>
            </w:r>
          </w:p>
        </w:tc>
        <w:tc>
          <w:tcPr>
            <w:tcW w:w="2260" w:type="dxa"/>
            <w:tcBorders>
              <w:top w:val="nil"/>
              <w:left w:val="nil"/>
              <w:bottom w:val="single" w:sz="8" w:space="0" w:color="auto"/>
              <w:right w:val="single" w:sz="8" w:space="0" w:color="auto"/>
            </w:tcBorders>
            <w:shd w:val="clear" w:color="auto" w:fill="auto"/>
            <w:noWrap/>
            <w:vAlign w:val="center"/>
            <w:hideMark/>
          </w:tcPr>
          <w:p w14:paraId="553E9BC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-13.00%</w:t>
            </w:r>
          </w:p>
        </w:tc>
        <w:tc>
          <w:tcPr>
            <w:tcW w:w="2260" w:type="dxa"/>
            <w:tcBorders>
              <w:top w:val="nil"/>
              <w:left w:val="nil"/>
              <w:bottom w:val="single" w:sz="8" w:space="0" w:color="auto"/>
              <w:right w:val="single" w:sz="8" w:space="0" w:color="auto"/>
            </w:tcBorders>
            <w:shd w:val="clear" w:color="auto" w:fill="auto"/>
            <w:vAlign w:val="center"/>
            <w:hideMark/>
          </w:tcPr>
          <w:p w14:paraId="5DEA51D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2.9</w:t>
            </w:r>
          </w:p>
        </w:tc>
        <w:tc>
          <w:tcPr>
            <w:tcW w:w="2260" w:type="dxa"/>
            <w:tcBorders>
              <w:top w:val="nil"/>
              <w:left w:val="nil"/>
              <w:bottom w:val="single" w:sz="8" w:space="0" w:color="auto"/>
              <w:right w:val="single" w:sz="8" w:space="0" w:color="auto"/>
            </w:tcBorders>
            <w:shd w:val="clear" w:color="auto" w:fill="auto"/>
            <w:noWrap/>
            <w:vAlign w:val="center"/>
            <w:hideMark/>
          </w:tcPr>
          <w:p w14:paraId="01539D2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r>
      <w:tr w:rsidR="00762099" w:rsidRPr="00762099" w14:paraId="3953E8E1"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3A94F93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2020</w:t>
            </w:r>
          </w:p>
        </w:tc>
        <w:tc>
          <w:tcPr>
            <w:tcW w:w="2260" w:type="dxa"/>
            <w:tcBorders>
              <w:top w:val="nil"/>
              <w:left w:val="nil"/>
              <w:bottom w:val="single" w:sz="8" w:space="0" w:color="auto"/>
              <w:right w:val="single" w:sz="8" w:space="0" w:color="auto"/>
            </w:tcBorders>
            <w:shd w:val="clear" w:color="auto" w:fill="auto"/>
            <w:noWrap/>
            <w:vAlign w:val="center"/>
            <w:hideMark/>
          </w:tcPr>
          <w:p w14:paraId="0029988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35,939</w:t>
            </w:r>
          </w:p>
        </w:tc>
        <w:tc>
          <w:tcPr>
            <w:tcW w:w="2260" w:type="dxa"/>
            <w:tcBorders>
              <w:top w:val="nil"/>
              <w:left w:val="nil"/>
              <w:bottom w:val="single" w:sz="8" w:space="0" w:color="auto"/>
              <w:right w:val="single" w:sz="8" w:space="0" w:color="auto"/>
            </w:tcBorders>
            <w:shd w:val="clear" w:color="auto" w:fill="auto"/>
            <w:noWrap/>
            <w:vAlign w:val="center"/>
            <w:hideMark/>
          </w:tcPr>
          <w:p w14:paraId="56CC91C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-22.50%</w:t>
            </w:r>
          </w:p>
        </w:tc>
        <w:tc>
          <w:tcPr>
            <w:tcW w:w="2260" w:type="dxa"/>
            <w:tcBorders>
              <w:top w:val="nil"/>
              <w:left w:val="nil"/>
              <w:bottom w:val="single" w:sz="8" w:space="0" w:color="auto"/>
              <w:right w:val="single" w:sz="8" w:space="0" w:color="auto"/>
            </w:tcBorders>
            <w:shd w:val="clear" w:color="auto" w:fill="auto"/>
            <w:vAlign w:val="center"/>
            <w:hideMark/>
          </w:tcPr>
          <w:p w14:paraId="0101AEB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c>
          <w:tcPr>
            <w:tcW w:w="2260" w:type="dxa"/>
            <w:tcBorders>
              <w:top w:val="nil"/>
              <w:left w:val="nil"/>
              <w:bottom w:val="single" w:sz="8" w:space="0" w:color="auto"/>
              <w:right w:val="single" w:sz="8" w:space="0" w:color="auto"/>
            </w:tcBorders>
            <w:shd w:val="clear" w:color="auto" w:fill="auto"/>
            <w:noWrap/>
            <w:vAlign w:val="center"/>
            <w:hideMark/>
          </w:tcPr>
          <w:p w14:paraId="3897F9B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-0.3</w:t>
            </w:r>
          </w:p>
        </w:tc>
      </w:tr>
      <w:tr w:rsidR="00762099" w:rsidRPr="00762099" w14:paraId="7B79B7BC"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319C7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2021</w:t>
            </w:r>
          </w:p>
        </w:tc>
        <w:tc>
          <w:tcPr>
            <w:tcW w:w="2260" w:type="dxa"/>
            <w:tcBorders>
              <w:top w:val="nil"/>
              <w:left w:val="nil"/>
              <w:bottom w:val="single" w:sz="8" w:space="0" w:color="auto"/>
              <w:right w:val="single" w:sz="8" w:space="0" w:color="auto"/>
            </w:tcBorders>
            <w:shd w:val="clear" w:color="auto" w:fill="auto"/>
            <w:noWrap/>
            <w:vAlign w:val="center"/>
            <w:hideMark/>
          </w:tcPr>
          <w:p w14:paraId="6EFF73F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34,752</w:t>
            </w:r>
          </w:p>
        </w:tc>
        <w:tc>
          <w:tcPr>
            <w:tcW w:w="2260" w:type="dxa"/>
            <w:tcBorders>
              <w:top w:val="nil"/>
              <w:left w:val="nil"/>
              <w:bottom w:val="single" w:sz="8" w:space="0" w:color="auto"/>
              <w:right w:val="single" w:sz="8" w:space="0" w:color="auto"/>
            </w:tcBorders>
            <w:shd w:val="clear" w:color="auto" w:fill="auto"/>
            <w:noWrap/>
            <w:vAlign w:val="center"/>
            <w:hideMark/>
          </w:tcPr>
          <w:p w14:paraId="5911B8C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-3.30%</w:t>
            </w:r>
          </w:p>
        </w:tc>
        <w:tc>
          <w:tcPr>
            <w:tcW w:w="2260" w:type="dxa"/>
            <w:tcBorders>
              <w:top w:val="nil"/>
              <w:left w:val="nil"/>
              <w:bottom w:val="single" w:sz="8" w:space="0" w:color="auto"/>
              <w:right w:val="single" w:sz="8" w:space="0" w:color="auto"/>
            </w:tcBorders>
            <w:shd w:val="clear" w:color="auto" w:fill="auto"/>
            <w:vAlign w:val="center"/>
            <w:hideMark/>
          </w:tcPr>
          <w:p w14:paraId="17E9AA1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2.4</w:t>
            </w:r>
          </w:p>
        </w:tc>
        <w:tc>
          <w:tcPr>
            <w:tcW w:w="2260" w:type="dxa"/>
            <w:tcBorders>
              <w:top w:val="nil"/>
              <w:left w:val="nil"/>
              <w:bottom w:val="single" w:sz="8" w:space="0" w:color="auto"/>
              <w:right w:val="single" w:sz="8" w:space="0" w:color="auto"/>
            </w:tcBorders>
            <w:shd w:val="clear" w:color="auto" w:fill="auto"/>
            <w:noWrap/>
            <w:vAlign w:val="center"/>
            <w:hideMark/>
          </w:tcPr>
          <w:p w14:paraId="7A2F165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w:t>
            </w:r>
          </w:p>
        </w:tc>
      </w:tr>
      <w:tr w:rsidR="00762099" w:rsidRPr="00762099" w14:paraId="216E542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078AB2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2022</w:t>
            </w:r>
          </w:p>
        </w:tc>
        <w:tc>
          <w:tcPr>
            <w:tcW w:w="2260" w:type="dxa"/>
            <w:tcBorders>
              <w:top w:val="nil"/>
              <w:left w:val="nil"/>
              <w:bottom w:val="single" w:sz="8" w:space="0" w:color="auto"/>
              <w:right w:val="single" w:sz="8" w:space="0" w:color="auto"/>
            </w:tcBorders>
            <w:shd w:val="clear" w:color="auto" w:fill="auto"/>
            <w:noWrap/>
            <w:vAlign w:val="center"/>
            <w:hideMark/>
          </w:tcPr>
          <w:p w14:paraId="6EE6989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31,294</w:t>
            </w:r>
          </w:p>
        </w:tc>
        <w:tc>
          <w:tcPr>
            <w:tcW w:w="2260" w:type="dxa"/>
            <w:tcBorders>
              <w:top w:val="nil"/>
              <w:left w:val="nil"/>
              <w:bottom w:val="single" w:sz="8" w:space="0" w:color="auto"/>
              <w:right w:val="single" w:sz="8" w:space="0" w:color="auto"/>
            </w:tcBorders>
            <w:shd w:val="clear" w:color="auto" w:fill="auto"/>
            <w:noWrap/>
            <w:vAlign w:val="center"/>
            <w:hideMark/>
          </w:tcPr>
          <w:p w14:paraId="1F7A008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-10.00%</w:t>
            </w:r>
          </w:p>
        </w:tc>
        <w:tc>
          <w:tcPr>
            <w:tcW w:w="2260" w:type="dxa"/>
            <w:tcBorders>
              <w:top w:val="nil"/>
              <w:left w:val="nil"/>
              <w:bottom w:val="single" w:sz="8" w:space="0" w:color="auto"/>
              <w:right w:val="single" w:sz="8" w:space="0" w:color="auto"/>
            </w:tcBorders>
            <w:shd w:val="clear" w:color="auto" w:fill="auto"/>
            <w:vAlign w:val="center"/>
            <w:hideMark/>
          </w:tcPr>
          <w:p w14:paraId="2672085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w:t>
            </w:r>
          </w:p>
        </w:tc>
        <w:tc>
          <w:tcPr>
            <w:tcW w:w="2260" w:type="dxa"/>
            <w:tcBorders>
              <w:top w:val="nil"/>
              <w:left w:val="nil"/>
              <w:bottom w:val="single" w:sz="8" w:space="0" w:color="auto"/>
              <w:right w:val="single" w:sz="8" w:space="0" w:color="auto"/>
            </w:tcBorders>
            <w:shd w:val="clear" w:color="auto" w:fill="auto"/>
            <w:noWrap/>
            <w:vAlign w:val="center"/>
            <w:hideMark/>
          </w:tcPr>
          <w:p w14:paraId="7FB6C34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5.9</w:t>
            </w:r>
          </w:p>
        </w:tc>
      </w:tr>
      <w:tr w:rsidR="00762099" w:rsidRPr="00762099" w14:paraId="0A70AE0D" w14:textId="77777777" w:rsidTr="00762099">
        <w:trPr>
          <w:trHeight w:val="300"/>
        </w:trPr>
        <w:tc>
          <w:tcPr>
            <w:tcW w:w="960" w:type="dxa"/>
            <w:tcBorders>
              <w:top w:val="nil"/>
              <w:left w:val="single" w:sz="8" w:space="0" w:color="auto"/>
              <w:bottom w:val="nil"/>
              <w:right w:val="single" w:sz="8" w:space="0" w:color="auto"/>
            </w:tcBorders>
            <w:shd w:val="clear" w:color="auto" w:fill="auto"/>
            <w:noWrap/>
            <w:vAlign w:val="center"/>
            <w:hideMark/>
          </w:tcPr>
          <w:p w14:paraId="20A05D6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2023</w:t>
            </w:r>
          </w:p>
        </w:tc>
        <w:tc>
          <w:tcPr>
            <w:tcW w:w="2260" w:type="dxa"/>
            <w:tcBorders>
              <w:top w:val="nil"/>
              <w:left w:val="nil"/>
              <w:bottom w:val="nil"/>
              <w:right w:val="single" w:sz="8" w:space="0" w:color="auto"/>
            </w:tcBorders>
            <w:shd w:val="clear" w:color="auto" w:fill="auto"/>
            <w:noWrap/>
            <w:vAlign w:val="center"/>
            <w:hideMark/>
          </w:tcPr>
          <w:p w14:paraId="432AFE9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35,176</w:t>
            </w:r>
          </w:p>
        </w:tc>
        <w:tc>
          <w:tcPr>
            <w:tcW w:w="2260" w:type="dxa"/>
            <w:tcBorders>
              <w:top w:val="nil"/>
              <w:left w:val="nil"/>
              <w:bottom w:val="nil"/>
              <w:right w:val="single" w:sz="8" w:space="0" w:color="auto"/>
            </w:tcBorders>
            <w:shd w:val="clear" w:color="auto" w:fill="auto"/>
            <w:noWrap/>
            <w:vAlign w:val="center"/>
            <w:hideMark/>
          </w:tcPr>
          <w:p w14:paraId="6375FB7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12.40%</w:t>
            </w:r>
          </w:p>
        </w:tc>
        <w:tc>
          <w:tcPr>
            <w:tcW w:w="2260" w:type="dxa"/>
            <w:tcBorders>
              <w:top w:val="nil"/>
              <w:left w:val="nil"/>
              <w:bottom w:val="nil"/>
              <w:right w:val="single" w:sz="8" w:space="0" w:color="auto"/>
            </w:tcBorders>
            <w:shd w:val="clear" w:color="auto" w:fill="auto"/>
            <w:vAlign w:val="center"/>
            <w:hideMark/>
          </w:tcPr>
          <w:p w14:paraId="403BD8F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2.3</w:t>
            </w:r>
          </w:p>
        </w:tc>
        <w:tc>
          <w:tcPr>
            <w:tcW w:w="2260" w:type="dxa"/>
            <w:tcBorders>
              <w:top w:val="nil"/>
              <w:left w:val="nil"/>
              <w:bottom w:val="nil"/>
              <w:right w:val="single" w:sz="8" w:space="0" w:color="auto"/>
            </w:tcBorders>
            <w:shd w:val="clear" w:color="auto" w:fill="auto"/>
            <w:noWrap/>
            <w:vAlign w:val="center"/>
            <w:hideMark/>
          </w:tcPr>
          <w:p w14:paraId="52FE8CE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-0.8</w:t>
            </w:r>
          </w:p>
        </w:tc>
      </w:tr>
      <w:tr w:rsidR="00762099" w:rsidRPr="00762099" w14:paraId="72E9F2B8" w14:textId="77777777" w:rsidTr="00762099">
        <w:trPr>
          <w:trHeight w:val="620"/>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FD1CF50" w14:textId="77777777" w:rsidR="00762099" w:rsidRPr="00762099" w:rsidRDefault="00762099" w:rsidP="00AC0D94">
            <w:pPr>
              <w:widowControl/>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Sources</w:t>
            </w: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4F0AF871"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https://www.censtatd.gov.hk/en/web_table.html?id=620-67012</w:t>
            </w:r>
          </w:p>
        </w:tc>
      </w:tr>
      <w:tr w:rsidR="00762099" w:rsidRPr="00762099" w14:paraId="694F504F" w14:textId="77777777" w:rsidTr="00762099">
        <w:trPr>
          <w:trHeight w:val="62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14117DB9" w14:textId="77777777" w:rsidR="00762099" w:rsidRPr="00762099" w:rsidRDefault="00762099" w:rsidP="00AC0D94">
            <w:pPr>
              <w:widowControl/>
              <w:rPr>
                <w:rFonts w:ascii="Times New Roman" w:eastAsia="Times New Roman" w:hAnsi="Times New Roman"/>
                <w:color w:val="000000"/>
                <w:kern w:val="0"/>
                <w:sz w:val="18"/>
                <w:szCs w:val="18"/>
              </w:rPr>
            </w:pP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7E10E5DD"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https://www.imf.org/external/datamapper/PCPIEPCH@WEO/HKG/THA</w:t>
            </w:r>
          </w:p>
        </w:tc>
      </w:tr>
      <w:tr w:rsidR="00762099" w:rsidRPr="00762099" w14:paraId="3BAEB70E" w14:textId="77777777" w:rsidTr="00762099">
        <w:trPr>
          <w:trHeight w:val="620"/>
        </w:trPr>
        <w:tc>
          <w:tcPr>
            <w:tcW w:w="960" w:type="dxa"/>
            <w:tcBorders>
              <w:top w:val="nil"/>
              <w:left w:val="single" w:sz="8" w:space="0" w:color="auto"/>
              <w:bottom w:val="single" w:sz="8" w:space="0" w:color="auto"/>
              <w:right w:val="single" w:sz="8" w:space="0" w:color="auto"/>
            </w:tcBorders>
            <w:shd w:val="clear" w:color="auto" w:fill="auto"/>
            <w:vAlign w:val="center"/>
            <w:hideMark/>
          </w:tcPr>
          <w:p w14:paraId="22C8DED0" w14:textId="77777777" w:rsidR="00762099" w:rsidRPr="00762099" w:rsidRDefault="00762099" w:rsidP="00AC0D94">
            <w:pPr>
              <w:widowControl/>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Notes</w:t>
            </w: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0F188B8F"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Inflation rate, end of period consumer prices (Annual percent change)</w:t>
            </w:r>
          </w:p>
        </w:tc>
      </w:tr>
    </w:tbl>
    <w:p w14:paraId="2CEC49E3" w14:textId="77777777" w:rsidR="00D407D3" w:rsidRPr="00762099" w:rsidRDefault="00D407D3" w:rsidP="00AC0D94">
      <w:pPr>
        <w:adjustRightInd w:val="0"/>
        <w:snapToGrid w:val="0"/>
        <w:spacing w:line="360" w:lineRule="auto"/>
        <w:jc w:val="both"/>
        <w:rPr>
          <w:rFonts w:ascii="Times New Roman" w:hAnsi="Times New Roman"/>
          <w:b/>
          <w:bCs/>
          <w:szCs w:val="24"/>
        </w:rPr>
      </w:pPr>
    </w:p>
    <w:p w14:paraId="11D728E8" w14:textId="77777777" w:rsidR="001B1D34" w:rsidRDefault="001B1D34" w:rsidP="00AC0D94">
      <w:pPr>
        <w:adjustRightInd w:val="0"/>
        <w:snapToGrid w:val="0"/>
        <w:spacing w:line="360" w:lineRule="auto"/>
        <w:jc w:val="both"/>
        <w:rPr>
          <w:rFonts w:ascii="Times New Roman" w:hAnsi="Times New Roman"/>
          <w:b/>
          <w:bCs/>
          <w:szCs w:val="24"/>
        </w:rPr>
      </w:pPr>
    </w:p>
    <w:p w14:paraId="3B2C3444" w14:textId="77777777" w:rsidR="001B1D34" w:rsidRDefault="001B1D34" w:rsidP="00AC0D94">
      <w:pPr>
        <w:adjustRightInd w:val="0"/>
        <w:snapToGrid w:val="0"/>
        <w:spacing w:line="360" w:lineRule="auto"/>
        <w:jc w:val="both"/>
        <w:rPr>
          <w:rFonts w:ascii="Times New Roman" w:hAnsi="Times New Roman"/>
          <w:b/>
          <w:bCs/>
          <w:szCs w:val="24"/>
        </w:rPr>
      </w:pPr>
    </w:p>
    <w:p w14:paraId="43D587FE" w14:textId="77777777" w:rsidR="001B1D34" w:rsidRDefault="001B1D34" w:rsidP="00AC0D94">
      <w:pPr>
        <w:adjustRightInd w:val="0"/>
        <w:snapToGrid w:val="0"/>
        <w:spacing w:line="360" w:lineRule="auto"/>
        <w:jc w:val="both"/>
        <w:rPr>
          <w:rFonts w:ascii="Times New Roman" w:hAnsi="Times New Roman"/>
          <w:b/>
          <w:bCs/>
          <w:szCs w:val="24"/>
        </w:rPr>
      </w:pPr>
    </w:p>
    <w:p w14:paraId="2CF15BF3" w14:textId="77777777" w:rsidR="001B1D34" w:rsidRDefault="001B1D34" w:rsidP="00AC0D94">
      <w:pPr>
        <w:adjustRightInd w:val="0"/>
        <w:snapToGrid w:val="0"/>
        <w:spacing w:line="360" w:lineRule="auto"/>
        <w:jc w:val="both"/>
        <w:rPr>
          <w:rFonts w:ascii="Times New Roman" w:hAnsi="Times New Roman"/>
          <w:b/>
          <w:bCs/>
          <w:szCs w:val="24"/>
        </w:rPr>
      </w:pPr>
    </w:p>
    <w:p w14:paraId="4B8B2960" w14:textId="71CEFDF4" w:rsidR="001B1D34" w:rsidRPr="001B1D34" w:rsidRDefault="001B1D34" w:rsidP="00AC0D94">
      <w:pPr>
        <w:adjustRightInd w:val="0"/>
        <w:snapToGrid w:val="0"/>
        <w:spacing w:line="360" w:lineRule="auto"/>
        <w:jc w:val="both"/>
        <w:rPr>
          <w:rFonts w:ascii="Times New Roman" w:hAnsi="Times New Roman"/>
          <w:b/>
          <w:bCs/>
          <w:szCs w:val="24"/>
        </w:rPr>
      </w:pPr>
      <w:r w:rsidRPr="001B1D34">
        <w:rPr>
          <w:rFonts w:ascii="Times New Roman" w:hAnsi="Times New Roman"/>
          <w:b/>
          <w:bCs/>
          <w:szCs w:val="24"/>
        </w:rPr>
        <w:lastRenderedPageBreak/>
        <w:t>Comparative Analysis of Retail Sales and Inflation Trends (2006–2013 vs. 2014–2023)</w:t>
      </w:r>
    </w:p>
    <w:p w14:paraId="34BF2071" w14:textId="77777777" w:rsidR="001B1D34" w:rsidRPr="001B1D34" w:rsidRDefault="001B1D34" w:rsidP="00AC0D94">
      <w:pPr>
        <w:adjustRightInd w:val="0"/>
        <w:snapToGrid w:val="0"/>
        <w:spacing w:line="360" w:lineRule="auto"/>
        <w:jc w:val="both"/>
        <w:rPr>
          <w:rFonts w:ascii="Times New Roman" w:hAnsi="Times New Roman"/>
          <w:szCs w:val="24"/>
        </w:rPr>
      </w:pPr>
      <w:r w:rsidRPr="001B1D34">
        <w:rPr>
          <w:rFonts w:ascii="Times New Roman" w:hAnsi="Times New Roman"/>
          <w:szCs w:val="24"/>
        </w:rPr>
        <w:t>To address the volatility and trends in retail sales and inflation, we calculated the average growth rates and standard deviations for the periods 2006–2013 and 2014–2023. The results are presented in Table 2 below.</w:t>
      </w:r>
    </w:p>
    <w:p w14:paraId="3A17345A" w14:textId="627E5FC5" w:rsidR="005B704A" w:rsidRDefault="005B704A" w:rsidP="00AC0D94">
      <w:pPr>
        <w:adjustRightInd w:val="0"/>
        <w:snapToGrid w:val="0"/>
        <w:spacing w:line="360" w:lineRule="auto"/>
        <w:jc w:val="both"/>
        <w:rPr>
          <w:rFonts w:ascii="Times New Roman" w:hAnsi="Times New Roman"/>
          <w:b/>
          <w:bCs/>
          <w:szCs w:val="24"/>
        </w:rPr>
      </w:pPr>
    </w:p>
    <w:p w14:paraId="3FCA1250" w14:textId="00C4BC45" w:rsidR="00D82D19" w:rsidRDefault="00D82D19" w:rsidP="00AC0D94">
      <w:pPr>
        <w:adjustRightInd w:val="0"/>
        <w:snapToGrid w:val="0"/>
        <w:spacing w:line="360" w:lineRule="auto"/>
        <w:jc w:val="both"/>
        <w:rPr>
          <w:rFonts w:ascii="Times New Roman" w:hAnsi="Times New Roman"/>
          <w:b/>
          <w:bCs/>
          <w:szCs w:val="24"/>
        </w:rPr>
      </w:pPr>
      <w:r w:rsidRPr="00D82D19">
        <w:rPr>
          <w:rFonts w:ascii="Times New Roman" w:hAnsi="Times New Roman"/>
          <w:b/>
          <w:bCs/>
          <w:szCs w:val="24"/>
        </w:rPr>
        <w:t>Table 2: Comparative Analysis of Retail Sales and Inflation Trends</w:t>
      </w:r>
    </w:p>
    <w:p w14:paraId="05302EA0" w14:textId="154E6CBC" w:rsidR="00D82D19" w:rsidRDefault="002B571B" w:rsidP="00AC0D94">
      <w:pPr>
        <w:adjustRightInd w:val="0"/>
        <w:snapToGrid w:val="0"/>
        <w:spacing w:line="360" w:lineRule="auto"/>
        <w:jc w:val="both"/>
        <w:rPr>
          <w:rFonts w:ascii="Times New Roman" w:hAnsi="Times New Roman"/>
          <w:b/>
          <w:bCs/>
          <w:szCs w:val="24"/>
        </w:rPr>
      </w:pPr>
      <w:r w:rsidRPr="002B571B">
        <w:rPr>
          <w:noProof/>
        </w:rPr>
        <w:drawing>
          <wp:inline distT="0" distB="0" distL="0" distR="0" wp14:anchorId="33B4C9CD" wp14:editId="7BD0856D">
            <wp:extent cx="5619750" cy="1844873"/>
            <wp:effectExtent l="19050" t="19050" r="19050" b="22225"/>
            <wp:docPr id="1077540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4789" cy="1846527"/>
                    </a:xfrm>
                    <a:prstGeom prst="rect">
                      <a:avLst/>
                    </a:prstGeom>
                    <a:noFill/>
                    <a:ln>
                      <a:solidFill>
                        <a:schemeClr val="tx1"/>
                      </a:solidFill>
                    </a:ln>
                  </pic:spPr>
                </pic:pic>
              </a:graphicData>
            </a:graphic>
          </wp:inline>
        </w:drawing>
      </w:r>
    </w:p>
    <w:p w14:paraId="312D314F" w14:textId="77777777" w:rsidR="002B571B" w:rsidRPr="008E3F76" w:rsidRDefault="002B571B" w:rsidP="00AC0D94">
      <w:pPr>
        <w:adjustRightInd w:val="0"/>
        <w:snapToGrid w:val="0"/>
        <w:spacing w:line="360" w:lineRule="auto"/>
        <w:jc w:val="both"/>
        <w:rPr>
          <w:rFonts w:ascii="Times New Roman" w:hAnsi="Times New Roman"/>
          <w:b/>
          <w:bCs/>
          <w:szCs w:val="24"/>
        </w:rPr>
      </w:pPr>
    </w:p>
    <w:p w14:paraId="04869DCD" w14:textId="45449BAC" w:rsidR="00524D6F" w:rsidRDefault="00524D6F" w:rsidP="00AC0D94">
      <w:pPr>
        <w:adjustRightInd w:val="0"/>
        <w:snapToGrid w:val="0"/>
        <w:spacing w:line="360" w:lineRule="auto"/>
        <w:jc w:val="both"/>
        <w:rPr>
          <w:rFonts w:ascii="Times New Roman" w:hAnsi="Times New Roman"/>
          <w:szCs w:val="24"/>
        </w:rPr>
      </w:pPr>
      <w:r w:rsidRPr="00524D6F">
        <w:rPr>
          <w:rFonts w:ascii="Times New Roman" w:hAnsi="Times New Roman"/>
          <w:szCs w:val="24"/>
        </w:rPr>
        <w:t>Table 1 and Table 2 highlight key trends in retail sales and consumer inflation in Hong Kong and Thailand from 2005 to 2023. Hong Kong’s retail sales experienced robust growth from 2006 to 2013, with an average annual growth rate of 10.1% and a standard deviation of 6.2%, indicating relatively stable growth during this period. However, post-2014, the sector became significantly more volatile, with an average annual growth rate of -1.2% and a standard deviation of 11.8%, reflecting sharp declines in 2015, 2016, 2019, and 2020. The -22.5% drop in 2020 underscores the severe impact of the COVID-19 pandemic on Hong Kong’s retail sector.</w:t>
      </w:r>
    </w:p>
    <w:p w14:paraId="38CE09A1" w14:textId="77777777" w:rsidR="00524D6F" w:rsidRPr="00524D6F" w:rsidRDefault="00524D6F" w:rsidP="00AC0D94">
      <w:pPr>
        <w:adjustRightInd w:val="0"/>
        <w:snapToGrid w:val="0"/>
        <w:spacing w:line="360" w:lineRule="auto"/>
        <w:jc w:val="both"/>
        <w:rPr>
          <w:rFonts w:ascii="Times New Roman" w:hAnsi="Times New Roman"/>
          <w:szCs w:val="24"/>
        </w:rPr>
      </w:pPr>
    </w:p>
    <w:p w14:paraId="565BD6E9" w14:textId="77777777" w:rsidR="00524D6F" w:rsidRDefault="00524D6F" w:rsidP="00AC0D94">
      <w:pPr>
        <w:adjustRightInd w:val="0"/>
        <w:snapToGrid w:val="0"/>
        <w:spacing w:line="360" w:lineRule="auto"/>
        <w:jc w:val="both"/>
        <w:rPr>
          <w:rFonts w:ascii="Times New Roman" w:hAnsi="Times New Roman"/>
          <w:szCs w:val="24"/>
        </w:rPr>
      </w:pPr>
      <w:r w:rsidRPr="00524D6F">
        <w:rPr>
          <w:rFonts w:ascii="Times New Roman" w:hAnsi="Times New Roman"/>
          <w:szCs w:val="24"/>
        </w:rPr>
        <w:t>In contrast, Thailand’s consumer inflation remained relatively stable throughout the entire period. From 2006 to 2013, Thailand’s average inflation rate was 3.1% with a standard deviation of 1.6%, while from 2014 to 2023, the average inflation rate dropped to 1.3% with a standard deviation of 1.9%. This stability, even during periods of global economic uncertainty, highlights the effectiveness of Thailand’s economic policies and price control measures.</w:t>
      </w:r>
    </w:p>
    <w:p w14:paraId="60425FE1" w14:textId="77777777" w:rsidR="00524D6F" w:rsidRPr="00524D6F" w:rsidRDefault="00524D6F" w:rsidP="00AC0D94">
      <w:pPr>
        <w:adjustRightInd w:val="0"/>
        <w:snapToGrid w:val="0"/>
        <w:spacing w:line="360" w:lineRule="auto"/>
        <w:jc w:val="both"/>
        <w:rPr>
          <w:rFonts w:ascii="Times New Roman" w:hAnsi="Times New Roman"/>
          <w:szCs w:val="24"/>
        </w:rPr>
      </w:pPr>
    </w:p>
    <w:p w14:paraId="6EE1338E" w14:textId="2C2D5EBD" w:rsidR="005B704A" w:rsidRPr="008E3F76" w:rsidRDefault="00524D6F" w:rsidP="00AC0D94">
      <w:pPr>
        <w:adjustRightInd w:val="0"/>
        <w:snapToGrid w:val="0"/>
        <w:spacing w:line="360" w:lineRule="auto"/>
        <w:jc w:val="both"/>
        <w:rPr>
          <w:rFonts w:ascii="Times New Roman" w:hAnsi="Times New Roman"/>
          <w:szCs w:val="24"/>
        </w:rPr>
      </w:pPr>
      <w:r w:rsidRPr="00524D6F">
        <w:rPr>
          <w:rFonts w:ascii="Times New Roman" w:hAnsi="Times New Roman"/>
          <w:szCs w:val="24"/>
        </w:rPr>
        <w:t xml:space="preserve">These diverging trends underscore the distinct economic structures and policy responses in the two regions. Hong Kong’s retail sector, heavily reliant on tourism and external demand, experienced significant volatility post-2014, while Thailand’s economy demonstrated greater resilience to external </w:t>
      </w:r>
    </w:p>
    <w:p w14:paraId="2802856C" w14:textId="77777777" w:rsidR="00C57A42" w:rsidRPr="008E3F76" w:rsidRDefault="00C57A42"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 Analysis and Discussion</w:t>
      </w:r>
    </w:p>
    <w:p w14:paraId="2E439DF1" w14:textId="53202296" w:rsidR="00D404A9" w:rsidRPr="008E3F76" w:rsidRDefault="00BB4B17"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 xml:space="preserve">This section provides a statistical and graphical analysis of consumer inflation and retail sales in Hong Kong and Thailand, supported by empirical data from 2005 to 2023. The analysis </w:t>
      </w:r>
      <w:r>
        <w:rPr>
          <w:rFonts w:ascii="Times New Roman" w:hAnsi="Times New Roman"/>
          <w:szCs w:val="24"/>
        </w:rPr>
        <w:t>aims to capture</w:t>
      </w:r>
      <w:r w:rsidR="0070040C">
        <w:rPr>
          <w:rFonts w:ascii="Times New Roman" w:hAnsi="Times New Roman"/>
          <w:szCs w:val="24"/>
        </w:rPr>
        <w:t xml:space="preserve"> he similari</w:t>
      </w:r>
      <w:r w:rsidR="00B51F32">
        <w:rPr>
          <w:rFonts w:ascii="Times New Roman" w:hAnsi="Times New Roman"/>
          <w:szCs w:val="24"/>
        </w:rPr>
        <w:t>ti</w:t>
      </w:r>
      <w:r w:rsidR="0070040C">
        <w:rPr>
          <w:rFonts w:ascii="Times New Roman" w:hAnsi="Times New Roman"/>
          <w:szCs w:val="24"/>
        </w:rPr>
        <w:t>es</w:t>
      </w:r>
      <w:r w:rsidR="00B51F32">
        <w:rPr>
          <w:rFonts w:ascii="Times New Roman" w:hAnsi="Times New Roman"/>
          <w:szCs w:val="24"/>
        </w:rPr>
        <w:t xml:space="preserve"> and differences in their </w:t>
      </w:r>
      <w:r w:rsidR="00D404A9" w:rsidRPr="00AA3DCD">
        <w:rPr>
          <w:rFonts w:ascii="Times New Roman" w:hAnsi="Times New Roman"/>
          <w:szCs w:val="24"/>
        </w:rPr>
        <w:t>patterns</w:t>
      </w:r>
      <w:r w:rsidR="00B51F32">
        <w:rPr>
          <w:rFonts w:ascii="Times New Roman" w:hAnsi="Times New Roman"/>
          <w:szCs w:val="24"/>
        </w:rPr>
        <w:t xml:space="preserve"> the </w:t>
      </w:r>
      <w:r w:rsidR="00D404A9" w:rsidRPr="00AA3DCD">
        <w:rPr>
          <w:rFonts w:ascii="Times New Roman" w:hAnsi="Times New Roman"/>
          <w:szCs w:val="24"/>
        </w:rPr>
        <w:t>trends</w:t>
      </w:r>
      <w:r w:rsidR="00C14223" w:rsidRPr="00AA3DCD">
        <w:rPr>
          <w:rFonts w:ascii="Times New Roman" w:hAnsi="Times New Roman"/>
          <w:szCs w:val="24"/>
        </w:rPr>
        <w:t xml:space="preserve"> </w:t>
      </w:r>
      <w:r w:rsidR="00D404A9" w:rsidRPr="00AA3DCD">
        <w:rPr>
          <w:rFonts w:ascii="Times New Roman" w:hAnsi="Times New Roman"/>
          <w:szCs w:val="24"/>
        </w:rPr>
        <w:t>and correlations between the</w:t>
      </w:r>
      <w:r w:rsidR="00B51F32">
        <w:rPr>
          <w:rFonts w:ascii="Times New Roman" w:hAnsi="Times New Roman"/>
          <w:szCs w:val="24"/>
        </w:rPr>
        <w:t xml:space="preserve"> selected </w:t>
      </w:r>
      <w:r w:rsidR="00D404A9" w:rsidRPr="00AA3DCD">
        <w:rPr>
          <w:rFonts w:ascii="Times New Roman" w:hAnsi="Times New Roman"/>
          <w:szCs w:val="24"/>
        </w:rPr>
        <w:t>variables</w:t>
      </w:r>
      <w:r w:rsidR="00C14223" w:rsidRPr="00AA3DCD">
        <w:rPr>
          <w:rFonts w:ascii="Times New Roman" w:hAnsi="Times New Roman"/>
          <w:szCs w:val="24"/>
        </w:rPr>
        <w:t xml:space="preserve">. </w:t>
      </w:r>
      <w:r w:rsidR="00D404A9" w:rsidRPr="00AA3DCD">
        <w:rPr>
          <w:rFonts w:ascii="Times New Roman" w:hAnsi="Times New Roman"/>
          <w:szCs w:val="24"/>
        </w:rPr>
        <w:t>The findings</w:t>
      </w:r>
      <w:r w:rsidR="0024549E">
        <w:rPr>
          <w:rFonts w:ascii="Times New Roman" w:hAnsi="Times New Roman"/>
          <w:szCs w:val="24"/>
        </w:rPr>
        <w:t xml:space="preserve"> are used to formulate </w:t>
      </w:r>
      <w:r w:rsidR="00D404A9" w:rsidRPr="00AA3DCD">
        <w:rPr>
          <w:rFonts w:ascii="Times New Roman" w:hAnsi="Times New Roman"/>
          <w:szCs w:val="24"/>
        </w:rPr>
        <w:t>strategic recommendations</w:t>
      </w:r>
      <w:r w:rsidR="006B01F5">
        <w:rPr>
          <w:rFonts w:ascii="Times New Roman" w:hAnsi="Times New Roman"/>
          <w:szCs w:val="24"/>
        </w:rPr>
        <w:t xml:space="preserve"> to the company</w:t>
      </w:r>
      <w:r w:rsidR="00491E35">
        <w:rPr>
          <w:rFonts w:ascii="Times New Roman" w:hAnsi="Times New Roman"/>
          <w:szCs w:val="24"/>
        </w:rPr>
        <w:t xml:space="preserve"> on matter</w:t>
      </w:r>
      <w:r w:rsidR="00090CC0">
        <w:rPr>
          <w:rFonts w:ascii="Times New Roman" w:hAnsi="Times New Roman"/>
          <w:szCs w:val="24"/>
        </w:rPr>
        <w:t xml:space="preserve"> concerning</w:t>
      </w:r>
      <w:ins w:id="0" w:author="User Poon" w:date="2025-03-02T12:02:00Z" w16du:dateUtc="2025-03-02T04:02:00Z">
        <w:r w:rsidR="00D404A9" w:rsidRPr="00AA3DCD">
          <w:rPr>
            <w:rFonts w:ascii="Times New Roman" w:hAnsi="Times New Roman"/>
            <w:szCs w:val="24"/>
          </w:rPr>
          <w:t xml:space="preserve"> </w:t>
        </w:r>
      </w:ins>
      <w:r w:rsidR="00D404A9" w:rsidRPr="00AA3DCD">
        <w:rPr>
          <w:rFonts w:ascii="Times New Roman" w:hAnsi="Times New Roman"/>
          <w:szCs w:val="24"/>
        </w:rPr>
        <w:t>market expansion and operational adjustments.</w:t>
      </w:r>
    </w:p>
    <w:p w14:paraId="59E0129D" w14:textId="77777777" w:rsidR="000D7320" w:rsidRDefault="000D7320" w:rsidP="00AC0D94">
      <w:pPr>
        <w:adjustRightInd w:val="0"/>
        <w:snapToGrid w:val="0"/>
        <w:spacing w:line="360" w:lineRule="auto"/>
        <w:jc w:val="both"/>
        <w:rPr>
          <w:rFonts w:ascii="Times New Roman" w:hAnsi="Times New Roman"/>
          <w:b/>
          <w:bCs/>
          <w:szCs w:val="24"/>
          <w:lang w:val="en-HK"/>
        </w:rPr>
      </w:pPr>
    </w:p>
    <w:p w14:paraId="0BA1045A" w14:textId="6011F949" w:rsidR="000D7320" w:rsidRPr="008E3F76" w:rsidRDefault="000D7320"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 xml:space="preserve">3.1 Trends </w:t>
      </w:r>
      <w:r w:rsidR="005551B4">
        <w:rPr>
          <w:rFonts w:ascii="Times New Roman" w:hAnsi="Times New Roman"/>
          <w:b/>
          <w:bCs/>
          <w:szCs w:val="24"/>
        </w:rPr>
        <w:t xml:space="preserve">of consumer inflation in </w:t>
      </w:r>
      <w:r w:rsidRPr="008E3F76">
        <w:rPr>
          <w:rFonts w:ascii="Times New Roman" w:hAnsi="Times New Roman"/>
          <w:b/>
          <w:bCs/>
          <w:szCs w:val="24"/>
        </w:rPr>
        <w:t>Hong Kong and Thailand:</w:t>
      </w:r>
    </w:p>
    <w:p w14:paraId="3B30AD2A" w14:textId="77777777" w:rsidR="000D7320" w:rsidRPr="008E3F76" w:rsidRDefault="000D7320"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Figure 1: Trends in Hong Kong Retail Sales (HKVRS), Hong Kong CPI, and Thailand CPI (2005–2023)</w:t>
      </w:r>
    </w:p>
    <w:p w14:paraId="4CFF60F7" w14:textId="77777777" w:rsidR="000D7320" w:rsidRPr="008E3F76" w:rsidRDefault="000D7320" w:rsidP="00AC0D94">
      <w:pPr>
        <w:adjustRightInd w:val="0"/>
        <w:snapToGrid w:val="0"/>
        <w:spacing w:line="360" w:lineRule="auto"/>
        <w:jc w:val="both"/>
        <w:rPr>
          <w:rFonts w:ascii="Times New Roman" w:hAnsi="Times New Roman"/>
          <w:b/>
          <w:bCs/>
          <w:szCs w:val="24"/>
          <w:lang w:val="en-HK"/>
        </w:rPr>
      </w:pPr>
    </w:p>
    <w:p w14:paraId="25477527" w14:textId="47FD7668" w:rsidR="001E46DB" w:rsidRPr="008E3F76" w:rsidRDefault="00F96824" w:rsidP="00AC0D94">
      <w:pPr>
        <w:adjustRightInd w:val="0"/>
        <w:snapToGrid w:val="0"/>
        <w:spacing w:line="360" w:lineRule="auto"/>
        <w:jc w:val="both"/>
        <w:rPr>
          <w:rFonts w:ascii="Times New Roman" w:hAnsi="Times New Roman"/>
          <w:b/>
          <w:bCs/>
          <w:szCs w:val="24"/>
          <w:lang w:val="en-HK"/>
        </w:rPr>
      </w:pPr>
      <w:r w:rsidRPr="008E3F76">
        <w:rPr>
          <w:rFonts w:ascii="Times New Roman" w:hAnsi="Times New Roman"/>
          <w:b/>
          <w:bCs/>
          <w:noProof/>
          <w:szCs w:val="24"/>
          <w:lang w:val="en-HK"/>
        </w:rPr>
        <w:drawing>
          <wp:inline distT="0" distB="0" distL="0" distR="0" wp14:anchorId="58184B30" wp14:editId="02CCB27F">
            <wp:extent cx="6120130" cy="4274185"/>
            <wp:effectExtent l="0" t="0" r="0" b="0"/>
            <wp:docPr id="118661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18994" name=""/>
                    <pic:cNvPicPr/>
                  </pic:nvPicPr>
                  <pic:blipFill>
                    <a:blip r:embed="rId11"/>
                    <a:stretch>
                      <a:fillRect/>
                    </a:stretch>
                  </pic:blipFill>
                  <pic:spPr>
                    <a:xfrm>
                      <a:off x="0" y="0"/>
                      <a:ext cx="6120130" cy="4274185"/>
                    </a:xfrm>
                    <a:prstGeom prst="rect">
                      <a:avLst/>
                    </a:prstGeom>
                  </pic:spPr>
                </pic:pic>
              </a:graphicData>
            </a:graphic>
          </wp:inline>
        </w:drawing>
      </w:r>
    </w:p>
    <w:p w14:paraId="6B4989DC" w14:textId="77777777" w:rsidR="00344EF3" w:rsidRDefault="00344EF3" w:rsidP="00AC0D94">
      <w:pPr>
        <w:adjustRightInd w:val="0"/>
        <w:snapToGrid w:val="0"/>
        <w:spacing w:line="360" w:lineRule="auto"/>
        <w:jc w:val="both"/>
        <w:rPr>
          <w:rFonts w:ascii="Times New Roman" w:hAnsi="Times New Roman"/>
          <w:szCs w:val="24"/>
        </w:rPr>
      </w:pPr>
    </w:p>
    <w:p w14:paraId="08824850" w14:textId="77777777" w:rsidR="00344EF3" w:rsidRDefault="00344EF3" w:rsidP="00AC0D94">
      <w:pPr>
        <w:adjustRightInd w:val="0"/>
        <w:snapToGrid w:val="0"/>
        <w:spacing w:line="360" w:lineRule="auto"/>
        <w:jc w:val="both"/>
        <w:rPr>
          <w:rFonts w:ascii="Times New Roman" w:hAnsi="Times New Roman"/>
          <w:szCs w:val="24"/>
        </w:rPr>
      </w:pPr>
    </w:p>
    <w:p w14:paraId="341067C5" w14:textId="77777777" w:rsidR="00344EF3" w:rsidRDefault="00344EF3" w:rsidP="00AC0D94">
      <w:pPr>
        <w:adjustRightInd w:val="0"/>
        <w:snapToGrid w:val="0"/>
        <w:spacing w:line="360" w:lineRule="auto"/>
        <w:jc w:val="both"/>
        <w:rPr>
          <w:rFonts w:ascii="Times New Roman" w:hAnsi="Times New Roman"/>
          <w:szCs w:val="24"/>
        </w:rPr>
      </w:pPr>
    </w:p>
    <w:p w14:paraId="179E1F71" w14:textId="77777777" w:rsidR="00344EF3" w:rsidRDefault="00344EF3" w:rsidP="00AC0D94">
      <w:pPr>
        <w:adjustRightInd w:val="0"/>
        <w:snapToGrid w:val="0"/>
        <w:spacing w:line="360" w:lineRule="auto"/>
        <w:jc w:val="both"/>
        <w:rPr>
          <w:rFonts w:ascii="Times New Roman" w:hAnsi="Times New Roman"/>
          <w:szCs w:val="24"/>
        </w:rPr>
      </w:pPr>
    </w:p>
    <w:p w14:paraId="68F0A510" w14:textId="7469BDAA" w:rsidR="00344EF3" w:rsidRPr="00860F2C" w:rsidRDefault="00344EF3" w:rsidP="00AC0D94">
      <w:pPr>
        <w:adjustRightInd w:val="0"/>
        <w:snapToGrid w:val="0"/>
        <w:spacing w:line="360" w:lineRule="auto"/>
        <w:jc w:val="both"/>
        <w:rPr>
          <w:rFonts w:ascii="Times New Roman" w:hAnsi="Times New Roman"/>
          <w:b/>
          <w:bCs/>
          <w:szCs w:val="24"/>
        </w:rPr>
      </w:pPr>
      <w:r w:rsidRPr="00860F2C">
        <w:rPr>
          <w:rFonts w:ascii="Times New Roman" w:hAnsi="Times New Roman"/>
          <w:b/>
          <w:bCs/>
          <w:szCs w:val="24"/>
        </w:rPr>
        <w:lastRenderedPageBreak/>
        <w:t>3.1.1 The Similarities</w:t>
      </w:r>
    </w:p>
    <w:p w14:paraId="72F95105" w14:textId="77777777" w:rsidR="00344EF3" w:rsidRPr="00344EF3" w:rsidRDefault="00344EF3" w:rsidP="003F53B9">
      <w:pPr>
        <w:numPr>
          <w:ilvl w:val="0"/>
          <w:numId w:val="6"/>
        </w:numPr>
        <w:adjustRightInd w:val="0"/>
        <w:snapToGrid w:val="0"/>
        <w:spacing w:line="360" w:lineRule="auto"/>
        <w:jc w:val="both"/>
        <w:rPr>
          <w:rFonts w:ascii="Times New Roman" w:hAnsi="Times New Roman"/>
          <w:b/>
          <w:bCs/>
          <w:szCs w:val="24"/>
        </w:rPr>
      </w:pPr>
      <w:r w:rsidRPr="00344EF3">
        <w:rPr>
          <w:rFonts w:ascii="Times New Roman" w:hAnsi="Times New Roman"/>
          <w:b/>
          <w:bCs/>
          <w:szCs w:val="24"/>
        </w:rPr>
        <w:t>Hong Kong Retail Sales (HKVRS):</w:t>
      </w:r>
    </w:p>
    <w:p w14:paraId="61A61078" w14:textId="77777777" w:rsidR="00344EF3" w:rsidRPr="00344EF3" w:rsidRDefault="00344EF3" w:rsidP="003F53B9">
      <w:pPr>
        <w:numPr>
          <w:ilvl w:val="1"/>
          <w:numId w:val="7"/>
        </w:numPr>
        <w:adjustRightInd w:val="0"/>
        <w:snapToGrid w:val="0"/>
        <w:spacing w:line="360" w:lineRule="auto"/>
        <w:jc w:val="both"/>
        <w:rPr>
          <w:rFonts w:ascii="Times New Roman" w:hAnsi="Times New Roman"/>
          <w:szCs w:val="24"/>
        </w:rPr>
      </w:pPr>
      <w:r w:rsidRPr="00344EF3">
        <w:rPr>
          <w:rFonts w:ascii="Times New Roman" w:hAnsi="Times New Roman"/>
          <w:b/>
          <w:bCs/>
          <w:szCs w:val="24"/>
        </w:rPr>
        <w:t>2005–2013: Growth Phase</w:t>
      </w:r>
      <w:r w:rsidRPr="00344EF3">
        <w:rPr>
          <w:rFonts w:ascii="Times New Roman" w:hAnsi="Times New Roman"/>
          <w:szCs w:val="24"/>
        </w:rPr>
        <w:br/>
        <w:t>Retail sales grew robustly during this period, driven by strong economic expansion, rising tourism (particularly from mainland China), and favorable credit conditions. The Individual Visit Scheme fueled a tourism boom, while low interest rates and a strengthening Renminbi (RMB) made Hong Kong an attractive shopping destination. Rising asset prices also contributed to a wealth effect, boosting consumer confidence and spending.</w:t>
      </w:r>
    </w:p>
    <w:p w14:paraId="3AD2BBE9" w14:textId="77777777" w:rsidR="00344EF3" w:rsidRPr="00344EF3" w:rsidRDefault="00344EF3" w:rsidP="003F53B9">
      <w:pPr>
        <w:numPr>
          <w:ilvl w:val="1"/>
          <w:numId w:val="8"/>
        </w:numPr>
        <w:adjustRightInd w:val="0"/>
        <w:snapToGrid w:val="0"/>
        <w:spacing w:line="360" w:lineRule="auto"/>
        <w:jc w:val="both"/>
        <w:rPr>
          <w:rFonts w:ascii="Times New Roman" w:hAnsi="Times New Roman"/>
          <w:szCs w:val="24"/>
        </w:rPr>
      </w:pPr>
      <w:r w:rsidRPr="00344EF3">
        <w:rPr>
          <w:rFonts w:ascii="Times New Roman" w:hAnsi="Times New Roman"/>
          <w:b/>
          <w:bCs/>
          <w:szCs w:val="24"/>
        </w:rPr>
        <w:t>2014–2023: Decline and Attempted Rebound</w:t>
      </w:r>
      <w:r w:rsidRPr="00344EF3">
        <w:rPr>
          <w:rFonts w:ascii="Times New Roman" w:hAnsi="Times New Roman"/>
          <w:szCs w:val="24"/>
        </w:rPr>
        <w:br/>
        <w:t>Retail sales became more volatile, with significant declines due to slowing economic growth in mainland China, political instability, and the COVID-19 pandemic. The 2019 protests and travel restrictions further disrupted retail activity, leading to a sharp drop in sales. However, a partial recovery was observed in 2023, with retail sales growing by 12.4%.</w:t>
      </w:r>
    </w:p>
    <w:p w14:paraId="417FBE33" w14:textId="77777777" w:rsidR="00344EF3" w:rsidRPr="00344EF3" w:rsidRDefault="00344EF3" w:rsidP="003F53B9">
      <w:pPr>
        <w:numPr>
          <w:ilvl w:val="0"/>
          <w:numId w:val="6"/>
        </w:numPr>
        <w:adjustRightInd w:val="0"/>
        <w:snapToGrid w:val="0"/>
        <w:spacing w:line="360" w:lineRule="auto"/>
        <w:jc w:val="both"/>
        <w:rPr>
          <w:rFonts w:ascii="Times New Roman" w:hAnsi="Times New Roman"/>
          <w:szCs w:val="24"/>
        </w:rPr>
      </w:pPr>
      <w:r w:rsidRPr="00344EF3">
        <w:rPr>
          <w:rFonts w:ascii="Times New Roman" w:hAnsi="Times New Roman"/>
          <w:b/>
          <w:bCs/>
          <w:szCs w:val="24"/>
        </w:rPr>
        <w:t>Hong Kong CPI:</w:t>
      </w:r>
      <w:r w:rsidRPr="00344EF3">
        <w:rPr>
          <w:rFonts w:ascii="Times New Roman" w:hAnsi="Times New Roman"/>
          <w:szCs w:val="24"/>
        </w:rPr>
        <w:br/>
        <w:t>Hong Kong’s CPI remained relatively stable, averaging around 2–3%, with occasional spikes (e.g., 5.7% in 2011) and dips (e.g., -0.9% in 2020). This stability contrasts with the volatility in retail sales, highlighting the resilience of consumer prices despite economic challenges.</w:t>
      </w:r>
    </w:p>
    <w:p w14:paraId="5CB07B39" w14:textId="77777777" w:rsidR="00344EF3" w:rsidRDefault="00344EF3" w:rsidP="003F53B9">
      <w:pPr>
        <w:numPr>
          <w:ilvl w:val="0"/>
          <w:numId w:val="6"/>
        </w:numPr>
        <w:adjustRightInd w:val="0"/>
        <w:snapToGrid w:val="0"/>
        <w:spacing w:line="360" w:lineRule="auto"/>
        <w:jc w:val="both"/>
        <w:rPr>
          <w:rFonts w:ascii="Times New Roman" w:hAnsi="Times New Roman"/>
          <w:szCs w:val="24"/>
        </w:rPr>
      </w:pPr>
      <w:r w:rsidRPr="00344EF3">
        <w:rPr>
          <w:rFonts w:ascii="Times New Roman" w:hAnsi="Times New Roman"/>
          <w:b/>
          <w:bCs/>
          <w:szCs w:val="24"/>
        </w:rPr>
        <w:t>Thailand CPI:</w:t>
      </w:r>
      <w:r w:rsidRPr="00344EF3">
        <w:rPr>
          <w:rFonts w:ascii="Times New Roman" w:hAnsi="Times New Roman"/>
          <w:b/>
          <w:bCs/>
          <w:szCs w:val="24"/>
        </w:rPr>
        <w:br/>
      </w:r>
      <w:r w:rsidRPr="00344EF3">
        <w:rPr>
          <w:rFonts w:ascii="Times New Roman" w:hAnsi="Times New Roman"/>
          <w:szCs w:val="24"/>
        </w:rPr>
        <w:t>Thailand’s CPI showed greater variability, with periods of deflation (e.g., -0.9% in 2015 and -0.8% in 2023) and inflation spikes (e.g., 5.9% in 2022). This reflects Thailand’s reliance on tourism and global commodity prices, making its inflation more susceptible to external shocks.</w:t>
      </w:r>
    </w:p>
    <w:p w14:paraId="74453686" w14:textId="77777777" w:rsidR="009F2F4E" w:rsidRPr="00344EF3" w:rsidRDefault="009F2F4E" w:rsidP="00AC0D94">
      <w:pPr>
        <w:adjustRightInd w:val="0"/>
        <w:snapToGrid w:val="0"/>
        <w:spacing w:line="360" w:lineRule="auto"/>
        <w:ind w:left="720"/>
        <w:jc w:val="both"/>
        <w:rPr>
          <w:rFonts w:ascii="Times New Roman" w:hAnsi="Times New Roman"/>
          <w:szCs w:val="24"/>
        </w:rPr>
      </w:pPr>
    </w:p>
    <w:p w14:paraId="2148B82C" w14:textId="77777777" w:rsidR="009F2F4E" w:rsidRPr="009F2F4E" w:rsidRDefault="009F2F4E" w:rsidP="00AC0D94">
      <w:p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t>3.1.2 The Differences</w:t>
      </w:r>
    </w:p>
    <w:p w14:paraId="7DCE360A" w14:textId="77777777" w:rsidR="009F2F4E" w:rsidRPr="009F2F4E" w:rsidRDefault="009F2F4E" w:rsidP="003F53B9">
      <w:pPr>
        <w:numPr>
          <w:ilvl w:val="0"/>
          <w:numId w:val="9"/>
        </w:num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t>Hong Kong Retail Sales (HKVRS):</w:t>
      </w:r>
    </w:p>
    <w:p w14:paraId="6AFC1777" w14:textId="77777777" w:rsidR="009F2F4E" w:rsidRPr="009F2F4E" w:rsidRDefault="009F2F4E" w:rsidP="003F53B9">
      <w:pPr>
        <w:numPr>
          <w:ilvl w:val="1"/>
          <w:numId w:val="10"/>
        </w:numPr>
        <w:adjustRightInd w:val="0"/>
        <w:snapToGrid w:val="0"/>
        <w:spacing w:line="360" w:lineRule="auto"/>
        <w:jc w:val="both"/>
        <w:rPr>
          <w:rFonts w:ascii="Times New Roman" w:hAnsi="Times New Roman"/>
          <w:szCs w:val="24"/>
        </w:rPr>
      </w:pPr>
      <w:r w:rsidRPr="009F2F4E">
        <w:rPr>
          <w:rFonts w:ascii="Times New Roman" w:hAnsi="Times New Roman"/>
          <w:szCs w:val="24"/>
        </w:rPr>
        <w:t>Hong Kong’s retail sales experienced significant volatility post-2014, with sharp declines in 2015, 2016, 2019, and 2020. The -22.5% drop in 2020 underscores the severe impact of the COVID-19 pandemic.</w:t>
      </w:r>
    </w:p>
    <w:p w14:paraId="641D178E" w14:textId="77777777" w:rsidR="009F2F4E" w:rsidRPr="009F2F4E" w:rsidRDefault="009F2F4E" w:rsidP="003F53B9">
      <w:pPr>
        <w:numPr>
          <w:ilvl w:val="1"/>
          <w:numId w:val="10"/>
        </w:numPr>
        <w:adjustRightInd w:val="0"/>
        <w:snapToGrid w:val="0"/>
        <w:spacing w:line="360" w:lineRule="auto"/>
        <w:jc w:val="both"/>
        <w:rPr>
          <w:rFonts w:ascii="Times New Roman" w:hAnsi="Times New Roman"/>
          <w:szCs w:val="24"/>
        </w:rPr>
      </w:pPr>
      <w:r w:rsidRPr="009F2F4E">
        <w:rPr>
          <w:rFonts w:ascii="Times New Roman" w:hAnsi="Times New Roman"/>
          <w:szCs w:val="24"/>
        </w:rPr>
        <w:t>In contrast, Thailand’s retail sector was less volatile, with inflation remaining relatively stable despite external shocks.</w:t>
      </w:r>
    </w:p>
    <w:p w14:paraId="4B1D8F02" w14:textId="77777777" w:rsidR="009F2F4E" w:rsidRPr="009F2F4E" w:rsidRDefault="009F2F4E" w:rsidP="003F53B9">
      <w:pPr>
        <w:numPr>
          <w:ilvl w:val="0"/>
          <w:numId w:val="9"/>
        </w:num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lastRenderedPageBreak/>
        <w:t>Hong Kong CPI vs. Thailand CPI:</w:t>
      </w:r>
    </w:p>
    <w:p w14:paraId="48041332" w14:textId="77777777" w:rsidR="009F2F4E" w:rsidRPr="009F2F4E" w:rsidRDefault="009F2F4E" w:rsidP="003F53B9">
      <w:pPr>
        <w:pStyle w:val="ListParagraph"/>
        <w:numPr>
          <w:ilvl w:val="1"/>
          <w:numId w:val="11"/>
        </w:numPr>
        <w:adjustRightInd w:val="0"/>
        <w:snapToGrid w:val="0"/>
        <w:spacing w:line="360" w:lineRule="auto"/>
        <w:ind w:leftChars="0"/>
        <w:jc w:val="both"/>
        <w:rPr>
          <w:rFonts w:ascii="Times New Roman" w:hAnsi="Times New Roman"/>
          <w:szCs w:val="24"/>
        </w:rPr>
      </w:pPr>
      <w:r w:rsidRPr="009F2F4E">
        <w:rPr>
          <w:rFonts w:ascii="Times New Roman" w:hAnsi="Times New Roman"/>
          <w:szCs w:val="24"/>
        </w:rPr>
        <w:t>Hong Kong’s CPI remained stable, averaging 2–3%, while Thailand’s CPI showed greater variability, with periods of deflation and inflation spikes.</w:t>
      </w:r>
    </w:p>
    <w:p w14:paraId="5F614C57" w14:textId="77777777" w:rsidR="009F2F4E" w:rsidRPr="009F2F4E" w:rsidRDefault="009F2F4E" w:rsidP="003F53B9">
      <w:pPr>
        <w:pStyle w:val="ListParagraph"/>
        <w:numPr>
          <w:ilvl w:val="1"/>
          <w:numId w:val="11"/>
        </w:numPr>
        <w:adjustRightInd w:val="0"/>
        <w:snapToGrid w:val="0"/>
        <w:spacing w:line="360" w:lineRule="auto"/>
        <w:ind w:leftChars="0"/>
        <w:jc w:val="both"/>
        <w:rPr>
          <w:rFonts w:ascii="Times New Roman" w:hAnsi="Times New Roman"/>
          <w:szCs w:val="24"/>
        </w:rPr>
      </w:pPr>
      <w:r w:rsidRPr="009F2F4E">
        <w:rPr>
          <w:rFonts w:ascii="Times New Roman" w:hAnsi="Times New Roman"/>
          <w:szCs w:val="24"/>
        </w:rPr>
        <w:t>Thailand’s inflation was more susceptible to external shocks due to its reliance on tourism and global commodity prices, whereas Hong Kong’s inflation was more resilient.</w:t>
      </w:r>
    </w:p>
    <w:p w14:paraId="4BC61593" w14:textId="77777777" w:rsidR="000851B7" w:rsidRPr="008E3F76" w:rsidRDefault="000851B7" w:rsidP="00AC0D94">
      <w:pPr>
        <w:adjustRightInd w:val="0"/>
        <w:snapToGrid w:val="0"/>
        <w:spacing w:line="360" w:lineRule="auto"/>
        <w:jc w:val="both"/>
        <w:rPr>
          <w:rFonts w:ascii="Times New Roman" w:hAnsi="Times New Roman"/>
          <w:b/>
          <w:bCs/>
          <w:szCs w:val="24"/>
        </w:rPr>
      </w:pPr>
    </w:p>
    <w:p w14:paraId="102845BC" w14:textId="5D4FD6B8" w:rsidR="005128B6" w:rsidRPr="008E3F76" w:rsidRDefault="005128B6" w:rsidP="00AC0D94">
      <w:pPr>
        <w:tabs>
          <w:tab w:val="left" w:pos="1940"/>
        </w:tabs>
        <w:adjustRightInd w:val="0"/>
        <w:snapToGrid w:val="0"/>
        <w:spacing w:line="360" w:lineRule="auto"/>
        <w:jc w:val="both"/>
        <w:rPr>
          <w:rFonts w:ascii="Times New Roman" w:hAnsi="Times New Roman"/>
          <w:b/>
          <w:bCs/>
          <w:szCs w:val="24"/>
        </w:rPr>
      </w:pPr>
      <w:bookmarkStart w:id="1" w:name="_Hlk187242621"/>
      <w:r w:rsidRPr="008E3F76">
        <w:rPr>
          <w:rFonts w:ascii="Times New Roman" w:hAnsi="Times New Roman"/>
          <w:b/>
          <w:bCs/>
          <w:szCs w:val="24"/>
        </w:rPr>
        <w:t xml:space="preserve">3.2 Analysis of </w:t>
      </w:r>
      <w:r w:rsidR="00F3000F">
        <w:rPr>
          <w:rFonts w:ascii="Times New Roman" w:hAnsi="Times New Roman"/>
          <w:b/>
          <w:bCs/>
          <w:szCs w:val="24"/>
        </w:rPr>
        <w:t>price changes in product category</w:t>
      </w:r>
    </w:p>
    <w:p w14:paraId="74080813" w14:textId="77777777" w:rsidR="005128B6" w:rsidRPr="008E3F76" w:rsidRDefault="005128B6"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t>This sub-section compares the inflation trends in Hong Kong and Thailand, focusing on key product categories such as food and clothing and footwear. By analyzing these trends, we can better understand the economic dynamics of both regions and identify opportunities for AAA to mitigate risks and capitalize on growth potential.</w:t>
      </w:r>
    </w:p>
    <w:p w14:paraId="24DEAAC8" w14:textId="77777777" w:rsidR="00E836ED" w:rsidRDefault="00E836ED" w:rsidP="00AC0D94">
      <w:pPr>
        <w:tabs>
          <w:tab w:val="left" w:pos="1940"/>
        </w:tabs>
        <w:adjustRightInd w:val="0"/>
        <w:snapToGrid w:val="0"/>
        <w:spacing w:line="360" w:lineRule="auto"/>
        <w:jc w:val="both"/>
        <w:rPr>
          <w:rFonts w:ascii="Times New Roman" w:hAnsi="Times New Roman"/>
          <w:szCs w:val="24"/>
        </w:rPr>
      </w:pPr>
    </w:p>
    <w:p w14:paraId="3769DAD6" w14:textId="77777777" w:rsidR="00C940E9" w:rsidRPr="00C940E9" w:rsidRDefault="00C940E9" w:rsidP="00AC0D94">
      <w:pPr>
        <w:tabs>
          <w:tab w:val="left" w:pos="1940"/>
        </w:tabs>
        <w:adjustRightInd w:val="0"/>
        <w:snapToGrid w:val="0"/>
        <w:spacing w:line="360" w:lineRule="auto"/>
        <w:jc w:val="both"/>
        <w:rPr>
          <w:rFonts w:ascii="Times New Roman" w:hAnsi="Times New Roman"/>
          <w:b/>
          <w:bCs/>
          <w:szCs w:val="24"/>
        </w:rPr>
      </w:pPr>
      <w:r w:rsidRPr="00C940E9">
        <w:rPr>
          <w:rFonts w:ascii="Times New Roman" w:hAnsi="Times New Roman"/>
          <w:b/>
          <w:bCs/>
          <w:szCs w:val="24"/>
        </w:rPr>
        <w:t>3.2.1 The Similarities</w:t>
      </w:r>
    </w:p>
    <w:p w14:paraId="72FD1124" w14:textId="77777777" w:rsidR="00C940E9" w:rsidRPr="00C940E9" w:rsidRDefault="00C940E9" w:rsidP="003F53B9">
      <w:pPr>
        <w:numPr>
          <w:ilvl w:val="0"/>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b/>
          <w:bCs/>
          <w:szCs w:val="24"/>
        </w:rPr>
        <w:t>Food Inflation:</w:t>
      </w:r>
    </w:p>
    <w:p w14:paraId="71878444"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Both Hong Kong and Thailand experienced consistent increases in food prices, driven by global commodity price fluctuations and rising demand for food products.</w:t>
      </w:r>
    </w:p>
    <w:p w14:paraId="76EA1E02"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In Hong Kong, food inflation peaked at +4.9% in 2019, while Thailand also saw significant food price increases during periods of global commodity price spikes.</w:t>
      </w:r>
    </w:p>
    <w:p w14:paraId="0E8E35EE" w14:textId="77777777" w:rsidR="00C940E9" w:rsidRPr="00C940E9" w:rsidRDefault="00C940E9" w:rsidP="003F53B9">
      <w:pPr>
        <w:numPr>
          <w:ilvl w:val="0"/>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b/>
          <w:bCs/>
          <w:szCs w:val="24"/>
        </w:rPr>
        <w:t>Clothing and Footwear Inflation:</w:t>
      </w:r>
    </w:p>
    <w:p w14:paraId="00B7A10A"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Both regions experienced volatility in clothing and footwear prices, with periods of deflation followed by sharp increases.</w:t>
      </w:r>
    </w:p>
    <w:p w14:paraId="1FA9AB3E"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For example, Hong Kong saw deflation in clothing and footwear prices in 2020 (-5.2%), followed by a sharp increase in 2023 (+5.8%). Thailand exhibited similar trends, reflecting the impact of global supply chain disruptions and changing consumer preferences.</w:t>
      </w:r>
    </w:p>
    <w:p w14:paraId="1A24CD70" w14:textId="77777777" w:rsidR="00C940E9" w:rsidRDefault="00C940E9" w:rsidP="00AC0D94">
      <w:pPr>
        <w:tabs>
          <w:tab w:val="left" w:pos="1940"/>
        </w:tabs>
        <w:adjustRightInd w:val="0"/>
        <w:snapToGrid w:val="0"/>
        <w:spacing w:line="360" w:lineRule="auto"/>
        <w:jc w:val="both"/>
        <w:rPr>
          <w:rFonts w:ascii="Times New Roman" w:hAnsi="Times New Roman"/>
          <w:szCs w:val="24"/>
        </w:rPr>
      </w:pPr>
    </w:p>
    <w:p w14:paraId="104CDCD5"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4842A93D"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41B13376"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73598BDA"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772C2959" w14:textId="77777777" w:rsidR="00D93997" w:rsidRPr="00D93997" w:rsidRDefault="00D93997" w:rsidP="00AC0D94">
      <w:p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lastRenderedPageBreak/>
        <w:t>3.2.2 The Differences</w:t>
      </w:r>
    </w:p>
    <w:p w14:paraId="743B2953" w14:textId="77777777" w:rsidR="00D93997" w:rsidRPr="00D93997" w:rsidRDefault="00D93997" w:rsidP="003F53B9">
      <w:pPr>
        <w:numPr>
          <w:ilvl w:val="0"/>
          <w:numId w:val="15"/>
        </w:num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t>Food Inflation:</w:t>
      </w:r>
    </w:p>
    <w:p w14:paraId="1CAD47DF" w14:textId="77777777" w:rsidR="00D93997" w:rsidRPr="00D93997" w:rsidRDefault="00D93997" w:rsidP="003F53B9">
      <w:pPr>
        <w:numPr>
          <w:ilvl w:val="1"/>
          <w:numId w:val="16"/>
        </w:numPr>
        <w:tabs>
          <w:tab w:val="left" w:pos="1940"/>
        </w:tabs>
        <w:adjustRightInd w:val="0"/>
        <w:snapToGrid w:val="0"/>
        <w:spacing w:line="360" w:lineRule="auto"/>
        <w:jc w:val="both"/>
        <w:rPr>
          <w:rFonts w:ascii="Times New Roman" w:hAnsi="Times New Roman"/>
          <w:szCs w:val="24"/>
        </w:rPr>
      </w:pPr>
      <w:r w:rsidRPr="00D93997">
        <w:rPr>
          <w:rFonts w:ascii="Times New Roman" w:hAnsi="Times New Roman"/>
          <w:szCs w:val="24"/>
        </w:rPr>
        <w:t>Hong Kong’s food inflation remained relatively high, with consistent increases over the years, while Thailand’s food inflation showed greater variability, with periods of deflation.</w:t>
      </w:r>
    </w:p>
    <w:p w14:paraId="3EAAED16" w14:textId="77777777" w:rsidR="00D93997" w:rsidRPr="00D93997" w:rsidRDefault="00D93997" w:rsidP="003F53B9">
      <w:pPr>
        <w:numPr>
          <w:ilvl w:val="1"/>
          <w:numId w:val="16"/>
        </w:numPr>
        <w:tabs>
          <w:tab w:val="left" w:pos="1940"/>
        </w:tabs>
        <w:adjustRightInd w:val="0"/>
        <w:snapToGrid w:val="0"/>
        <w:spacing w:line="360" w:lineRule="auto"/>
        <w:jc w:val="both"/>
        <w:rPr>
          <w:rFonts w:ascii="Times New Roman" w:hAnsi="Times New Roman"/>
          <w:szCs w:val="24"/>
        </w:rPr>
      </w:pPr>
      <w:r w:rsidRPr="00D93997">
        <w:rPr>
          <w:rFonts w:ascii="Times New Roman" w:hAnsi="Times New Roman"/>
          <w:szCs w:val="24"/>
        </w:rPr>
        <w:t>For example, Thailand experienced deflation in food prices in 2015 (-0.9%) and 2023 (-0.8%), while Hong Kong’s food prices consistently rose.</w:t>
      </w:r>
    </w:p>
    <w:p w14:paraId="3E562BE0" w14:textId="77777777" w:rsidR="00D93997" w:rsidRPr="00D93997" w:rsidRDefault="00D93997" w:rsidP="003F53B9">
      <w:pPr>
        <w:numPr>
          <w:ilvl w:val="0"/>
          <w:numId w:val="15"/>
        </w:num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t>Clothing and Footwear Inflation:</w:t>
      </w:r>
    </w:p>
    <w:p w14:paraId="0ADE03C6" w14:textId="77777777" w:rsidR="00D93997" w:rsidRPr="00D93997" w:rsidRDefault="00D93997" w:rsidP="003F53B9">
      <w:pPr>
        <w:pStyle w:val="ListParagraph"/>
        <w:numPr>
          <w:ilvl w:val="1"/>
          <w:numId w:val="17"/>
        </w:numPr>
        <w:tabs>
          <w:tab w:val="left" w:pos="1940"/>
        </w:tabs>
        <w:adjustRightInd w:val="0"/>
        <w:snapToGrid w:val="0"/>
        <w:spacing w:line="360" w:lineRule="auto"/>
        <w:ind w:leftChars="0"/>
        <w:jc w:val="both"/>
        <w:rPr>
          <w:rFonts w:ascii="Times New Roman" w:hAnsi="Times New Roman"/>
          <w:szCs w:val="24"/>
        </w:rPr>
      </w:pPr>
      <w:r w:rsidRPr="00D93997">
        <w:rPr>
          <w:rFonts w:ascii="Times New Roman" w:hAnsi="Times New Roman"/>
          <w:szCs w:val="24"/>
        </w:rPr>
        <w:t>Hong Kong’s clothing and footwear prices experienced sharper fluctuations, with significant deflationary periods (e.g., -5.2% in 2020) followed by sharp increases (e.g., +5.8% in 2023).</w:t>
      </w:r>
    </w:p>
    <w:p w14:paraId="02437CC7" w14:textId="77777777" w:rsidR="00D93997" w:rsidRPr="00D93997" w:rsidRDefault="00D93997" w:rsidP="003F53B9">
      <w:pPr>
        <w:pStyle w:val="ListParagraph"/>
        <w:numPr>
          <w:ilvl w:val="1"/>
          <w:numId w:val="17"/>
        </w:numPr>
        <w:tabs>
          <w:tab w:val="left" w:pos="1940"/>
        </w:tabs>
        <w:adjustRightInd w:val="0"/>
        <w:snapToGrid w:val="0"/>
        <w:spacing w:line="360" w:lineRule="auto"/>
        <w:ind w:leftChars="0"/>
        <w:jc w:val="both"/>
        <w:rPr>
          <w:rFonts w:ascii="Times New Roman" w:hAnsi="Times New Roman"/>
          <w:szCs w:val="24"/>
        </w:rPr>
      </w:pPr>
      <w:r w:rsidRPr="00D93997">
        <w:rPr>
          <w:rFonts w:ascii="Times New Roman" w:hAnsi="Times New Roman"/>
          <w:szCs w:val="24"/>
        </w:rPr>
        <w:t>Thailand’s clothing and footwear prices were less volatile, with smaller fluctuations and more stable trends.</w:t>
      </w:r>
    </w:p>
    <w:p w14:paraId="0FC5013B" w14:textId="77777777" w:rsidR="00076C37" w:rsidRPr="008E3F76" w:rsidRDefault="00076C37" w:rsidP="00AC0D94">
      <w:pPr>
        <w:tabs>
          <w:tab w:val="left" w:pos="1940"/>
        </w:tabs>
        <w:adjustRightInd w:val="0"/>
        <w:snapToGrid w:val="0"/>
        <w:spacing w:line="360" w:lineRule="auto"/>
        <w:jc w:val="both"/>
        <w:rPr>
          <w:rFonts w:ascii="Times New Roman" w:hAnsi="Times New Roman"/>
          <w:szCs w:val="24"/>
        </w:rPr>
      </w:pPr>
    </w:p>
    <w:p w14:paraId="4D3B1975" w14:textId="77777777" w:rsidR="00E836ED" w:rsidRPr="008E3F76" w:rsidRDefault="00E836E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Table 2: Inflation Trends for Food and Clothing &amp; Footwear in Hong Kong (2015–2024)</w:t>
      </w:r>
    </w:p>
    <w:p w14:paraId="567904C0" w14:textId="70857D89" w:rsidR="000851B7" w:rsidRPr="008E3F76" w:rsidRDefault="00241B66" w:rsidP="00AC0D94">
      <w:pPr>
        <w:tabs>
          <w:tab w:val="left" w:pos="1940"/>
        </w:tabs>
        <w:adjustRightInd w:val="0"/>
        <w:snapToGrid w:val="0"/>
        <w:spacing w:line="360" w:lineRule="auto"/>
        <w:jc w:val="both"/>
        <w:rPr>
          <w:rFonts w:ascii="Times New Roman" w:hAnsi="Times New Roman"/>
          <w:b/>
          <w:bCs/>
          <w:szCs w:val="24"/>
        </w:rPr>
      </w:pPr>
      <w:r w:rsidRPr="00241B66">
        <w:rPr>
          <w:noProof/>
        </w:rPr>
        <w:drawing>
          <wp:inline distT="0" distB="0" distL="0" distR="0" wp14:anchorId="7C6F3BB2" wp14:editId="2E0E7A25">
            <wp:extent cx="5581650" cy="3127735"/>
            <wp:effectExtent l="0" t="0" r="0" b="0"/>
            <wp:docPr id="8171100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8006" cy="3131296"/>
                    </a:xfrm>
                    <a:prstGeom prst="rect">
                      <a:avLst/>
                    </a:prstGeom>
                    <a:noFill/>
                    <a:ln>
                      <a:noFill/>
                    </a:ln>
                  </pic:spPr>
                </pic:pic>
              </a:graphicData>
            </a:graphic>
          </wp:inline>
        </w:drawing>
      </w:r>
    </w:p>
    <w:p w14:paraId="15FA20D5" w14:textId="77777777" w:rsidR="00AC31CE" w:rsidRPr="00AC31CE" w:rsidRDefault="00AC31CE" w:rsidP="00AC0D94">
      <w:pPr>
        <w:tabs>
          <w:tab w:val="left" w:pos="1940"/>
        </w:tabs>
        <w:adjustRightInd w:val="0"/>
        <w:snapToGrid w:val="0"/>
        <w:spacing w:line="360" w:lineRule="auto"/>
        <w:jc w:val="both"/>
        <w:rPr>
          <w:rFonts w:ascii="Times New Roman" w:hAnsi="Times New Roman"/>
          <w:b/>
          <w:bCs/>
          <w:szCs w:val="24"/>
        </w:rPr>
      </w:pPr>
      <w:r w:rsidRPr="00AC31CE">
        <w:rPr>
          <w:rFonts w:ascii="Times New Roman" w:hAnsi="Times New Roman"/>
          <w:b/>
          <w:bCs/>
          <w:szCs w:val="24"/>
        </w:rPr>
        <w:t>Sources:</w:t>
      </w:r>
    </w:p>
    <w:p w14:paraId="37CA4287" w14:textId="77777777" w:rsidR="00AC31CE" w:rsidRPr="00AC31CE" w:rsidRDefault="00AC31CE" w:rsidP="003F53B9">
      <w:pPr>
        <w:numPr>
          <w:ilvl w:val="0"/>
          <w:numId w:val="18"/>
        </w:numPr>
        <w:tabs>
          <w:tab w:val="left" w:pos="1940"/>
        </w:tabs>
        <w:adjustRightInd w:val="0"/>
        <w:snapToGrid w:val="0"/>
        <w:spacing w:line="360" w:lineRule="auto"/>
        <w:jc w:val="both"/>
        <w:rPr>
          <w:rFonts w:ascii="Times New Roman" w:hAnsi="Times New Roman"/>
          <w:szCs w:val="24"/>
        </w:rPr>
      </w:pPr>
      <w:r w:rsidRPr="00AC31CE">
        <w:rPr>
          <w:rFonts w:ascii="Times New Roman" w:hAnsi="Times New Roman"/>
          <w:szCs w:val="24"/>
        </w:rPr>
        <w:t>Hong Kong: Census and Statistics Department of Hong Kong (CSD, 2024)</w:t>
      </w:r>
    </w:p>
    <w:p w14:paraId="656702E4" w14:textId="77777777" w:rsidR="00AC31CE" w:rsidRPr="00AC31CE" w:rsidRDefault="00AC31CE" w:rsidP="003F53B9">
      <w:pPr>
        <w:numPr>
          <w:ilvl w:val="0"/>
          <w:numId w:val="18"/>
        </w:numPr>
        <w:tabs>
          <w:tab w:val="left" w:pos="1940"/>
        </w:tabs>
        <w:adjustRightInd w:val="0"/>
        <w:snapToGrid w:val="0"/>
        <w:spacing w:line="360" w:lineRule="auto"/>
        <w:jc w:val="both"/>
        <w:rPr>
          <w:rFonts w:ascii="Times New Roman" w:hAnsi="Times New Roman"/>
          <w:szCs w:val="24"/>
        </w:rPr>
      </w:pPr>
      <w:r w:rsidRPr="00AC31CE">
        <w:rPr>
          <w:rFonts w:ascii="Times New Roman" w:hAnsi="Times New Roman"/>
          <w:szCs w:val="24"/>
        </w:rPr>
        <w:t>Thailand: Trading Economics (2024)</w:t>
      </w:r>
    </w:p>
    <w:p w14:paraId="437FA930" w14:textId="77777777" w:rsidR="00AC31CE" w:rsidRDefault="00AC31CE" w:rsidP="00AC0D94">
      <w:pPr>
        <w:tabs>
          <w:tab w:val="left" w:pos="1940"/>
        </w:tabs>
        <w:adjustRightInd w:val="0"/>
        <w:snapToGrid w:val="0"/>
        <w:spacing w:line="360" w:lineRule="auto"/>
        <w:jc w:val="both"/>
        <w:rPr>
          <w:rFonts w:ascii="Times New Roman" w:hAnsi="Times New Roman"/>
          <w:b/>
          <w:bCs/>
          <w:szCs w:val="24"/>
        </w:rPr>
      </w:pPr>
    </w:p>
    <w:p w14:paraId="1B8065C6" w14:textId="6C9B382F" w:rsidR="0051251D" w:rsidRDefault="0051251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lastRenderedPageBreak/>
        <w:t>The table highlights significant trends in Hong Kong’s inflation for food and clothing and footwear from 2015 to 2024.</w:t>
      </w:r>
    </w:p>
    <w:p w14:paraId="7D46B23E" w14:textId="77777777" w:rsidR="00FD6627" w:rsidRPr="008E3F76" w:rsidRDefault="00FD6627" w:rsidP="00AC0D94">
      <w:pPr>
        <w:tabs>
          <w:tab w:val="left" w:pos="1940"/>
        </w:tabs>
        <w:adjustRightInd w:val="0"/>
        <w:snapToGrid w:val="0"/>
        <w:spacing w:line="360" w:lineRule="auto"/>
        <w:jc w:val="both"/>
        <w:rPr>
          <w:rFonts w:ascii="Times New Roman" w:hAnsi="Times New Roman"/>
          <w:szCs w:val="24"/>
        </w:rPr>
      </w:pPr>
    </w:p>
    <w:p w14:paraId="27CD125B" w14:textId="77777777" w:rsidR="0051251D" w:rsidRPr="008E3F76" w:rsidRDefault="0051251D" w:rsidP="00AC0D94">
      <w:pPr>
        <w:numPr>
          <w:ilvl w:val="0"/>
          <w:numId w:val="3"/>
        </w:num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Food Inflation:</w:t>
      </w:r>
      <w:r w:rsidRPr="008E3F76">
        <w:rPr>
          <w:rFonts w:ascii="Times New Roman" w:hAnsi="Times New Roman"/>
          <w:szCs w:val="24"/>
        </w:rPr>
        <w:br/>
        <w:t>Food prices have consistently risen over the years, with the highest increase recorded in 2019 (+4.9%). This trend reflects the impact of global commodity price fluctuations and rising demand for food products. However, food inflation has moderated in recent years, dropping to +1.5% in 2024, indicating some stabilization in prices.</w:t>
      </w:r>
    </w:p>
    <w:p w14:paraId="0145F418" w14:textId="77777777" w:rsidR="0051251D" w:rsidRPr="008E3F76" w:rsidRDefault="0051251D" w:rsidP="00AC0D94">
      <w:pPr>
        <w:numPr>
          <w:ilvl w:val="0"/>
          <w:numId w:val="3"/>
        </w:num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Clothing and Footwear Inflation:</w:t>
      </w:r>
      <w:r w:rsidRPr="008E3F76">
        <w:rPr>
          <w:rFonts w:ascii="Times New Roman" w:hAnsi="Times New Roman"/>
          <w:szCs w:val="24"/>
        </w:rPr>
        <w:br/>
        <w:t>Clothing and footwear prices experienced significant volatility, with deflationary periods (e.g., -5.2% in 2020) followed by sharp increases (e.g., +5.8% in 2023). The post-pandemic recovery and changing consumer preferences contributed to this volatility. The decline in 2024 (-0.5%) suggests a potential slowdown in demand or increased competition in the retail sector.</w:t>
      </w:r>
    </w:p>
    <w:p w14:paraId="73B1F7AF" w14:textId="77777777" w:rsidR="0051251D" w:rsidRPr="008E3F76" w:rsidRDefault="0051251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t>These trends underscore the importance of monitoring inflation in key product categories, as they directly impact consumer spending and retail performance. For AAA, this data highlights the need to adapt sourcing strategies and product offerings to align with evolving market conditions.</w:t>
      </w:r>
    </w:p>
    <w:p w14:paraId="43A11E7C" w14:textId="77777777" w:rsidR="00C3326F" w:rsidRPr="008E3F76" w:rsidRDefault="00C3326F" w:rsidP="00AC0D94">
      <w:pPr>
        <w:tabs>
          <w:tab w:val="left" w:pos="1940"/>
        </w:tabs>
        <w:adjustRightInd w:val="0"/>
        <w:snapToGrid w:val="0"/>
        <w:spacing w:line="360" w:lineRule="auto"/>
        <w:jc w:val="both"/>
        <w:rPr>
          <w:rFonts w:ascii="Times New Roman" w:hAnsi="Times New Roman"/>
          <w:szCs w:val="24"/>
        </w:rPr>
      </w:pPr>
    </w:p>
    <w:p w14:paraId="57237775" w14:textId="55808F1E" w:rsidR="00C430BC" w:rsidRPr="008E3F76" w:rsidRDefault="00C430B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3.</w:t>
      </w:r>
      <w:r w:rsidR="006F0C44">
        <w:rPr>
          <w:rFonts w:ascii="Times New Roman" w:hAnsi="Times New Roman"/>
          <w:b/>
          <w:bCs/>
          <w:szCs w:val="24"/>
        </w:rPr>
        <w:t>2.3</w:t>
      </w:r>
      <w:r w:rsidRPr="008E3F76">
        <w:rPr>
          <w:rFonts w:ascii="Times New Roman" w:hAnsi="Times New Roman"/>
          <w:b/>
          <w:bCs/>
          <w:szCs w:val="24"/>
        </w:rPr>
        <w:t xml:space="preserve"> Hong Kong’s Inflation and Retail Sales</w:t>
      </w:r>
    </w:p>
    <w:p w14:paraId="06AAA584" w14:textId="77777777" w:rsidR="00C430BC" w:rsidRPr="008E3F76" w:rsidRDefault="00C430BC"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Hong Kong’s CPI exhibited relative stability compared to Thailand, with fluctuations generally ranging between 1% and 5.7%. Two key peaks were observed:</w:t>
      </w:r>
    </w:p>
    <w:p w14:paraId="5B9C5C8B" w14:textId="77777777" w:rsidR="00C430BC" w:rsidRPr="008E3F76" w:rsidRDefault="00C430BC" w:rsidP="00AC0D94">
      <w:pPr>
        <w:numPr>
          <w:ilvl w:val="0"/>
          <w:numId w:val="2"/>
        </w:numPr>
        <w:adjustRightInd w:val="0"/>
        <w:snapToGrid w:val="0"/>
        <w:spacing w:line="360" w:lineRule="auto"/>
        <w:jc w:val="both"/>
        <w:rPr>
          <w:rFonts w:ascii="Times New Roman" w:hAnsi="Times New Roman"/>
          <w:szCs w:val="24"/>
        </w:rPr>
      </w:pPr>
      <w:r w:rsidRPr="008E3F76">
        <w:rPr>
          <w:rFonts w:ascii="Times New Roman" w:hAnsi="Times New Roman"/>
          <w:szCs w:val="24"/>
        </w:rPr>
        <w:t>Peak 1 (2007): CPI at 3.8%</w:t>
      </w:r>
      <w:r w:rsidRPr="008E3F76">
        <w:rPr>
          <w:rFonts w:ascii="Times New Roman" w:hAnsi="Times New Roman"/>
          <w:szCs w:val="24"/>
        </w:rPr>
        <w:br/>
        <w:t>This period reflected strong inflationary pressure, likely driven by higher global commodity prices and increased domestic demand. Despite rising prices, retail sales grew significantly, indicating robust consumer spending.</w:t>
      </w:r>
    </w:p>
    <w:p w14:paraId="1897250D" w14:textId="77777777" w:rsidR="00C430BC" w:rsidRPr="008E3F76" w:rsidRDefault="00C430BC" w:rsidP="00AC0D94">
      <w:pPr>
        <w:numPr>
          <w:ilvl w:val="0"/>
          <w:numId w:val="2"/>
        </w:numPr>
        <w:adjustRightInd w:val="0"/>
        <w:snapToGrid w:val="0"/>
        <w:spacing w:line="360" w:lineRule="auto"/>
        <w:jc w:val="both"/>
        <w:rPr>
          <w:rFonts w:ascii="Times New Roman" w:hAnsi="Times New Roman"/>
          <w:szCs w:val="24"/>
        </w:rPr>
      </w:pPr>
      <w:r w:rsidRPr="008E3F76">
        <w:rPr>
          <w:rFonts w:ascii="Times New Roman" w:hAnsi="Times New Roman"/>
          <w:szCs w:val="24"/>
        </w:rPr>
        <w:t>Peak 2 (2011): CPI at 5.7%</w:t>
      </w:r>
      <w:r w:rsidRPr="008E3F76">
        <w:rPr>
          <w:rFonts w:ascii="Times New Roman" w:hAnsi="Times New Roman"/>
          <w:szCs w:val="24"/>
        </w:rPr>
        <w:br/>
        <w:t>This represented a more significant inflationary peak, suggesting potential economic overheating. However, retail sales continued to grow, driven by strong economic confidence and rising disposable incomes.</w:t>
      </w:r>
    </w:p>
    <w:p w14:paraId="292BF4BD" w14:textId="77777777" w:rsidR="00E050AB" w:rsidRDefault="00E050AB" w:rsidP="00AC0D94">
      <w:pPr>
        <w:adjustRightInd w:val="0"/>
        <w:snapToGrid w:val="0"/>
        <w:spacing w:line="360" w:lineRule="auto"/>
        <w:ind w:left="720"/>
        <w:jc w:val="both"/>
        <w:rPr>
          <w:rFonts w:ascii="Times New Roman" w:hAnsi="Times New Roman"/>
          <w:szCs w:val="24"/>
        </w:rPr>
      </w:pPr>
    </w:p>
    <w:p w14:paraId="7F025FED" w14:textId="77777777" w:rsidR="00C46BD9" w:rsidRDefault="00C46BD9" w:rsidP="00AC0D94">
      <w:pPr>
        <w:adjustRightInd w:val="0"/>
        <w:snapToGrid w:val="0"/>
        <w:spacing w:line="360" w:lineRule="auto"/>
        <w:ind w:left="720"/>
        <w:jc w:val="both"/>
        <w:rPr>
          <w:rFonts w:ascii="Times New Roman" w:hAnsi="Times New Roman"/>
          <w:szCs w:val="24"/>
        </w:rPr>
      </w:pPr>
    </w:p>
    <w:p w14:paraId="07393EC7" w14:textId="77777777" w:rsidR="00C46BD9" w:rsidRPr="008E3F76" w:rsidRDefault="00C46BD9" w:rsidP="00AC0D94">
      <w:pPr>
        <w:adjustRightInd w:val="0"/>
        <w:snapToGrid w:val="0"/>
        <w:spacing w:line="360" w:lineRule="auto"/>
        <w:ind w:left="720"/>
        <w:jc w:val="both"/>
        <w:rPr>
          <w:rFonts w:ascii="Times New Roman" w:hAnsi="Times New Roman"/>
          <w:szCs w:val="24"/>
        </w:rPr>
      </w:pPr>
    </w:p>
    <w:p w14:paraId="49C037E1" w14:textId="02365436" w:rsidR="007F7AD6" w:rsidRPr="008E3F76" w:rsidRDefault="007F7AD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w:t>
      </w:r>
      <w:r w:rsidR="006F0C44">
        <w:rPr>
          <w:rFonts w:ascii="Times New Roman" w:hAnsi="Times New Roman"/>
          <w:b/>
          <w:bCs/>
          <w:szCs w:val="24"/>
        </w:rPr>
        <w:t>2.4</w:t>
      </w:r>
      <w:r w:rsidRPr="008E3F76">
        <w:rPr>
          <w:rFonts w:ascii="Times New Roman" w:hAnsi="Times New Roman"/>
          <w:b/>
          <w:bCs/>
          <w:szCs w:val="24"/>
        </w:rPr>
        <w:t xml:space="preserve"> Thailand’s Inflation Trends</w:t>
      </w:r>
    </w:p>
    <w:p w14:paraId="2E8487E5" w14:textId="08C6CD8A" w:rsidR="00CC347A" w:rsidRPr="008E3F76" w:rsidRDefault="008945AA"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Thailand’s CPI showed greater variability compared to Hong Kong, with periods of deflation (e.g., -0.9% in 2015) and inflation spikes (e.g., +59% in 2022). To better understand the drivers of inflation in Thailand, the following table provides a detailed breakdown of category-specific inflation trends for 2024.</w:t>
      </w:r>
    </w:p>
    <w:p w14:paraId="297DA162" w14:textId="77777777" w:rsidR="00C46BD9" w:rsidRDefault="00C46BD9" w:rsidP="00AC0D94">
      <w:pPr>
        <w:adjustRightInd w:val="0"/>
        <w:snapToGrid w:val="0"/>
        <w:spacing w:line="360" w:lineRule="auto"/>
        <w:jc w:val="both"/>
        <w:rPr>
          <w:rFonts w:ascii="Times New Roman" w:hAnsi="Times New Roman"/>
          <w:b/>
          <w:bCs/>
          <w:szCs w:val="24"/>
        </w:rPr>
      </w:pPr>
    </w:p>
    <w:p w14:paraId="21F2147B" w14:textId="28ADAAC9" w:rsidR="00CC347A" w:rsidRDefault="00CC347A"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Table 3: Category-Specific Inflation Trends in Thailand (2024)</w:t>
      </w:r>
    </w:p>
    <w:p w14:paraId="09CD416C" w14:textId="034008C6" w:rsidR="002A0A29" w:rsidRPr="008E3F76" w:rsidRDefault="008B3CC5" w:rsidP="00AC0D94">
      <w:pPr>
        <w:adjustRightInd w:val="0"/>
        <w:snapToGrid w:val="0"/>
        <w:spacing w:line="360" w:lineRule="auto"/>
        <w:jc w:val="both"/>
        <w:rPr>
          <w:rFonts w:ascii="Times New Roman" w:hAnsi="Times New Roman"/>
          <w:szCs w:val="24"/>
        </w:rPr>
      </w:pPr>
      <w:r w:rsidRPr="008B3CC5">
        <w:rPr>
          <w:noProof/>
        </w:rPr>
        <w:drawing>
          <wp:inline distT="0" distB="0" distL="0" distR="0" wp14:anchorId="0D88D287" wp14:editId="5F5C29E5">
            <wp:extent cx="6120130" cy="1536700"/>
            <wp:effectExtent l="0" t="0" r="0" b="6350"/>
            <wp:docPr id="4463347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1536700"/>
                    </a:xfrm>
                    <a:prstGeom prst="rect">
                      <a:avLst/>
                    </a:prstGeom>
                    <a:noFill/>
                    <a:ln>
                      <a:noFill/>
                    </a:ln>
                  </pic:spPr>
                </pic:pic>
              </a:graphicData>
            </a:graphic>
          </wp:inline>
        </w:drawing>
      </w:r>
    </w:p>
    <w:p w14:paraId="6CCE3D80" w14:textId="0A7C8060" w:rsidR="00BF3122" w:rsidRPr="008E3F76" w:rsidRDefault="00BF3122"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The table highlights significant trends in category-specific inflation in Thailand for 2024.</w:t>
      </w:r>
    </w:p>
    <w:p w14:paraId="19588B30" w14:textId="77777777" w:rsidR="000C50B1" w:rsidRPr="000C50B1" w:rsidRDefault="000C50B1" w:rsidP="003F53B9">
      <w:pPr>
        <w:pStyle w:val="ListParagraph"/>
        <w:numPr>
          <w:ilvl w:val="0"/>
          <w:numId w:val="19"/>
        </w:numPr>
        <w:adjustRightInd w:val="0"/>
        <w:snapToGrid w:val="0"/>
        <w:spacing w:line="360" w:lineRule="auto"/>
        <w:ind w:leftChars="0"/>
        <w:jc w:val="both"/>
        <w:rPr>
          <w:rFonts w:ascii="Times New Roman" w:hAnsi="Times New Roman"/>
          <w:szCs w:val="24"/>
        </w:rPr>
      </w:pPr>
      <w:r w:rsidRPr="000C50B1">
        <w:rPr>
          <w:rFonts w:ascii="Times New Roman" w:hAnsi="Times New Roman"/>
          <w:b/>
          <w:bCs/>
          <w:szCs w:val="24"/>
        </w:rPr>
        <w:t>Food and Non-Alcoholic Beverages</w:t>
      </w:r>
      <w:r w:rsidRPr="000C50B1">
        <w:rPr>
          <w:rFonts w:ascii="Times New Roman" w:hAnsi="Times New Roman"/>
          <w:szCs w:val="24"/>
        </w:rPr>
        <w:t>, which account for 30.5% of Thailand’s CPI, experienced a year-on-year inflation rate of +2.5%. This high weight and rising inflation indicate that food prices significantly impact overall inflation and consumer spending. As food prices rise, disposable income for non-essential items like clothing and footwear may decrease. To address this, AAA should consider offering affordable food options or promotions to attract price-sensitive consumers and mitigate the impact of rising food prices on discretionary spending.</w:t>
      </w:r>
    </w:p>
    <w:p w14:paraId="74E0713F" w14:textId="77777777" w:rsidR="000C50B1" w:rsidRPr="000C50B1" w:rsidRDefault="000C50B1" w:rsidP="003F53B9">
      <w:pPr>
        <w:pStyle w:val="ListParagraph"/>
        <w:numPr>
          <w:ilvl w:val="0"/>
          <w:numId w:val="19"/>
        </w:numPr>
        <w:adjustRightInd w:val="0"/>
        <w:snapToGrid w:val="0"/>
        <w:spacing w:line="360" w:lineRule="auto"/>
        <w:ind w:leftChars="0"/>
        <w:jc w:val="both"/>
        <w:rPr>
          <w:rFonts w:ascii="Times New Roman" w:hAnsi="Times New Roman"/>
          <w:szCs w:val="24"/>
        </w:rPr>
      </w:pPr>
      <w:r w:rsidRPr="000C50B1">
        <w:rPr>
          <w:rFonts w:ascii="Times New Roman" w:hAnsi="Times New Roman"/>
          <w:b/>
          <w:bCs/>
          <w:szCs w:val="24"/>
        </w:rPr>
        <w:t>Clothing and Footwear</w:t>
      </w:r>
      <w:r w:rsidRPr="000C50B1">
        <w:rPr>
          <w:rFonts w:ascii="Times New Roman" w:hAnsi="Times New Roman"/>
          <w:szCs w:val="24"/>
        </w:rPr>
        <w:t>, with a 6.2% weight in CPI and a +1.2% inflation rate, reflect moderate inflation driven by recovering consumer demand and higher raw material costs. This trend suggests that while demand is rebounding, cost pressures may affect profit margins. AAA should focus on cost-effective sourcing strategies and promote value-for-money clothing and footwear to maintain competitiveness in this category.</w:t>
      </w:r>
    </w:p>
    <w:p w14:paraId="3AC44C3F" w14:textId="29EEDD58" w:rsidR="00C430BC" w:rsidRDefault="00C430BC" w:rsidP="00AC0D94">
      <w:pPr>
        <w:adjustRightInd w:val="0"/>
        <w:snapToGrid w:val="0"/>
        <w:spacing w:line="360" w:lineRule="auto"/>
        <w:jc w:val="both"/>
        <w:rPr>
          <w:rFonts w:ascii="Times New Roman" w:hAnsi="Times New Roman"/>
          <w:b/>
          <w:bCs/>
          <w:szCs w:val="24"/>
        </w:rPr>
      </w:pPr>
    </w:p>
    <w:p w14:paraId="359A2810" w14:textId="77777777" w:rsidR="00E467B7" w:rsidRDefault="00E467B7" w:rsidP="00AC0D94">
      <w:pPr>
        <w:adjustRightInd w:val="0"/>
        <w:snapToGrid w:val="0"/>
        <w:spacing w:line="360" w:lineRule="auto"/>
        <w:jc w:val="both"/>
        <w:rPr>
          <w:rFonts w:ascii="Times New Roman" w:hAnsi="Times New Roman"/>
          <w:b/>
          <w:bCs/>
          <w:szCs w:val="24"/>
        </w:rPr>
      </w:pPr>
    </w:p>
    <w:p w14:paraId="71E89456" w14:textId="77777777" w:rsidR="00E467B7" w:rsidRDefault="00E467B7" w:rsidP="00AC0D94">
      <w:pPr>
        <w:adjustRightInd w:val="0"/>
        <w:snapToGrid w:val="0"/>
        <w:spacing w:line="360" w:lineRule="auto"/>
        <w:jc w:val="both"/>
        <w:rPr>
          <w:rFonts w:ascii="Times New Roman" w:hAnsi="Times New Roman"/>
          <w:b/>
          <w:bCs/>
          <w:szCs w:val="24"/>
        </w:rPr>
      </w:pPr>
    </w:p>
    <w:p w14:paraId="5965B133" w14:textId="77777777" w:rsidR="00E467B7" w:rsidRDefault="00E467B7" w:rsidP="00AC0D94">
      <w:pPr>
        <w:adjustRightInd w:val="0"/>
        <w:snapToGrid w:val="0"/>
        <w:spacing w:line="360" w:lineRule="auto"/>
        <w:jc w:val="both"/>
        <w:rPr>
          <w:rFonts w:ascii="Times New Roman" w:hAnsi="Times New Roman"/>
          <w:b/>
          <w:bCs/>
          <w:szCs w:val="24"/>
        </w:rPr>
      </w:pPr>
    </w:p>
    <w:p w14:paraId="4F7DE10E" w14:textId="77777777" w:rsidR="00E467B7" w:rsidRPr="008E3F76" w:rsidRDefault="00E467B7" w:rsidP="00AC0D94">
      <w:pPr>
        <w:adjustRightInd w:val="0"/>
        <w:snapToGrid w:val="0"/>
        <w:spacing w:line="360" w:lineRule="auto"/>
        <w:jc w:val="both"/>
        <w:rPr>
          <w:rFonts w:ascii="Times New Roman" w:hAnsi="Times New Roman"/>
          <w:b/>
          <w:bCs/>
          <w:szCs w:val="24"/>
        </w:rPr>
      </w:pPr>
    </w:p>
    <w:p w14:paraId="321AD392" w14:textId="0CEDB741" w:rsidR="00DB668C" w:rsidRPr="008E3F76" w:rsidRDefault="00DB668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 xml:space="preserve">3.3 Implications for </w:t>
      </w:r>
      <w:r w:rsidR="000C43CB">
        <w:rPr>
          <w:rFonts w:ascii="Times New Roman" w:hAnsi="Times New Roman"/>
          <w:b/>
          <w:bCs/>
          <w:szCs w:val="24"/>
        </w:rPr>
        <w:t>the company</w:t>
      </w:r>
    </w:p>
    <w:p w14:paraId="10780857" w14:textId="1F118CBD" w:rsidR="00EE2C03" w:rsidRDefault="007E011D" w:rsidP="00AC0D94">
      <w:pPr>
        <w:adjustRightInd w:val="0"/>
        <w:snapToGrid w:val="0"/>
        <w:spacing w:line="360" w:lineRule="auto"/>
        <w:jc w:val="both"/>
        <w:rPr>
          <w:rFonts w:ascii="Times New Roman" w:hAnsi="Times New Roman"/>
          <w:szCs w:val="24"/>
        </w:rPr>
      </w:pPr>
      <w:r w:rsidRPr="007E011D">
        <w:rPr>
          <w:rFonts w:ascii="Times New Roman" w:hAnsi="Times New Roman"/>
          <w:szCs w:val="24"/>
        </w:rPr>
        <w:t>The analysis of inflation and retail sales trends in Hong Kong and Thailand provides valuable insights for AAA’s strategic planning. Thailand’s lower inflation volatility and cost advantages, particularly in rent and operational expenses, make it an attractive market for expansion. By establishing franchise stores in Thailand, AAA</w:t>
      </w:r>
      <w:r>
        <w:rPr>
          <w:rFonts w:ascii="Times New Roman" w:hAnsi="Times New Roman"/>
          <w:szCs w:val="24"/>
        </w:rPr>
        <w:t xml:space="preserve"> company</w:t>
      </w:r>
      <w:r w:rsidRPr="007E011D">
        <w:rPr>
          <w:rFonts w:ascii="Times New Roman" w:hAnsi="Times New Roman"/>
          <w:szCs w:val="24"/>
        </w:rPr>
        <w:t xml:space="preserve"> can diversify its market presence, mitigate risks associated with Hong Kong’s retail volatility, and capitalize on Thailand’s growing consumer demand. These findings underscore the importance of adapting AAA</w:t>
      </w:r>
      <w:r>
        <w:rPr>
          <w:rFonts w:ascii="Times New Roman" w:hAnsi="Times New Roman"/>
          <w:szCs w:val="24"/>
        </w:rPr>
        <w:t xml:space="preserve"> company</w:t>
      </w:r>
      <w:r w:rsidRPr="007E011D">
        <w:rPr>
          <w:rFonts w:ascii="Times New Roman" w:hAnsi="Times New Roman"/>
          <w:szCs w:val="24"/>
        </w:rPr>
        <w:t>’s business model to align with regional economic dynamics and consumer behavior.</w:t>
      </w:r>
    </w:p>
    <w:p w14:paraId="0A451E07" w14:textId="77777777" w:rsidR="007E011D" w:rsidRPr="008E3F76" w:rsidRDefault="007E011D" w:rsidP="00AC0D94">
      <w:pPr>
        <w:adjustRightInd w:val="0"/>
        <w:snapToGrid w:val="0"/>
        <w:spacing w:line="360" w:lineRule="auto"/>
        <w:jc w:val="both"/>
        <w:rPr>
          <w:rFonts w:ascii="Times New Roman" w:hAnsi="Times New Roman"/>
          <w:szCs w:val="24"/>
        </w:rPr>
      </w:pPr>
    </w:p>
    <w:p w14:paraId="406E9512" w14:textId="77777777" w:rsidR="0084096B" w:rsidRDefault="0084096B" w:rsidP="00AC0D94">
      <w:pPr>
        <w:adjustRightInd w:val="0"/>
        <w:snapToGrid w:val="0"/>
        <w:spacing w:line="360" w:lineRule="auto"/>
        <w:jc w:val="both"/>
        <w:rPr>
          <w:rFonts w:ascii="Times New Roman" w:hAnsi="Times New Roman"/>
          <w:b/>
          <w:bCs/>
          <w:szCs w:val="24"/>
        </w:rPr>
      </w:pPr>
    </w:p>
    <w:p w14:paraId="225D8AEF" w14:textId="77777777" w:rsidR="0084096B" w:rsidRDefault="0084096B" w:rsidP="00AC0D94">
      <w:pPr>
        <w:adjustRightInd w:val="0"/>
        <w:snapToGrid w:val="0"/>
        <w:spacing w:line="360" w:lineRule="auto"/>
        <w:jc w:val="both"/>
        <w:rPr>
          <w:rFonts w:ascii="Times New Roman" w:hAnsi="Times New Roman"/>
          <w:b/>
          <w:bCs/>
          <w:szCs w:val="24"/>
        </w:rPr>
      </w:pPr>
    </w:p>
    <w:p w14:paraId="3044A267" w14:textId="77777777" w:rsidR="0084096B" w:rsidRDefault="0084096B" w:rsidP="00AC0D94">
      <w:pPr>
        <w:adjustRightInd w:val="0"/>
        <w:snapToGrid w:val="0"/>
        <w:spacing w:line="360" w:lineRule="auto"/>
        <w:jc w:val="both"/>
        <w:rPr>
          <w:rFonts w:ascii="Times New Roman" w:hAnsi="Times New Roman"/>
          <w:b/>
          <w:bCs/>
          <w:szCs w:val="24"/>
        </w:rPr>
      </w:pPr>
    </w:p>
    <w:p w14:paraId="168DEE34" w14:textId="77777777" w:rsidR="0084096B" w:rsidRDefault="0084096B" w:rsidP="00AC0D94">
      <w:pPr>
        <w:adjustRightInd w:val="0"/>
        <w:snapToGrid w:val="0"/>
        <w:spacing w:line="360" w:lineRule="auto"/>
        <w:jc w:val="both"/>
        <w:rPr>
          <w:rFonts w:ascii="Times New Roman" w:hAnsi="Times New Roman"/>
          <w:b/>
          <w:bCs/>
          <w:szCs w:val="24"/>
        </w:rPr>
      </w:pPr>
    </w:p>
    <w:p w14:paraId="0DFEB976" w14:textId="77777777" w:rsidR="0084096B" w:rsidRDefault="0084096B" w:rsidP="00AC0D94">
      <w:pPr>
        <w:adjustRightInd w:val="0"/>
        <w:snapToGrid w:val="0"/>
        <w:spacing w:line="360" w:lineRule="auto"/>
        <w:jc w:val="both"/>
        <w:rPr>
          <w:rFonts w:ascii="Times New Roman" w:hAnsi="Times New Roman"/>
          <w:b/>
          <w:bCs/>
          <w:szCs w:val="24"/>
        </w:rPr>
      </w:pPr>
    </w:p>
    <w:p w14:paraId="08BCEE3C" w14:textId="77777777" w:rsidR="0084096B" w:rsidRDefault="0084096B" w:rsidP="00AC0D94">
      <w:pPr>
        <w:adjustRightInd w:val="0"/>
        <w:snapToGrid w:val="0"/>
        <w:spacing w:line="360" w:lineRule="auto"/>
        <w:jc w:val="both"/>
        <w:rPr>
          <w:rFonts w:ascii="Times New Roman" w:hAnsi="Times New Roman"/>
          <w:b/>
          <w:bCs/>
          <w:szCs w:val="24"/>
        </w:rPr>
      </w:pPr>
    </w:p>
    <w:p w14:paraId="11FB631F" w14:textId="77777777" w:rsidR="0084096B" w:rsidRDefault="0084096B" w:rsidP="00AC0D94">
      <w:pPr>
        <w:adjustRightInd w:val="0"/>
        <w:snapToGrid w:val="0"/>
        <w:spacing w:line="360" w:lineRule="auto"/>
        <w:jc w:val="both"/>
        <w:rPr>
          <w:rFonts w:ascii="Times New Roman" w:hAnsi="Times New Roman"/>
          <w:b/>
          <w:bCs/>
          <w:szCs w:val="24"/>
        </w:rPr>
      </w:pPr>
    </w:p>
    <w:p w14:paraId="1A67B005" w14:textId="77777777" w:rsidR="0084096B" w:rsidRDefault="0084096B" w:rsidP="00AC0D94">
      <w:pPr>
        <w:adjustRightInd w:val="0"/>
        <w:snapToGrid w:val="0"/>
        <w:spacing w:line="360" w:lineRule="auto"/>
        <w:jc w:val="both"/>
        <w:rPr>
          <w:rFonts w:ascii="Times New Roman" w:hAnsi="Times New Roman"/>
          <w:b/>
          <w:bCs/>
          <w:szCs w:val="24"/>
        </w:rPr>
      </w:pPr>
    </w:p>
    <w:p w14:paraId="08546FAD" w14:textId="77777777" w:rsidR="0084096B" w:rsidRDefault="0084096B" w:rsidP="00AC0D94">
      <w:pPr>
        <w:adjustRightInd w:val="0"/>
        <w:snapToGrid w:val="0"/>
        <w:spacing w:line="360" w:lineRule="auto"/>
        <w:jc w:val="both"/>
        <w:rPr>
          <w:rFonts w:ascii="Times New Roman" w:hAnsi="Times New Roman"/>
          <w:b/>
          <w:bCs/>
          <w:szCs w:val="24"/>
        </w:rPr>
      </w:pPr>
    </w:p>
    <w:p w14:paraId="6810A6F0" w14:textId="77777777" w:rsidR="0084096B" w:rsidRDefault="0084096B" w:rsidP="00AC0D94">
      <w:pPr>
        <w:adjustRightInd w:val="0"/>
        <w:snapToGrid w:val="0"/>
        <w:spacing w:line="360" w:lineRule="auto"/>
        <w:jc w:val="both"/>
        <w:rPr>
          <w:rFonts w:ascii="Times New Roman" w:hAnsi="Times New Roman"/>
          <w:b/>
          <w:bCs/>
          <w:szCs w:val="24"/>
        </w:rPr>
      </w:pPr>
    </w:p>
    <w:p w14:paraId="1949E959" w14:textId="77777777" w:rsidR="0084096B" w:rsidRDefault="0084096B" w:rsidP="00AC0D94">
      <w:pPr>
        <w:adjustRightInd w:val="0"/>
        <w:snapToGrid w:val="0"/>
        <w:spacing w:line="360" w:lineRule="auto"/>
        <w:jc w:val="both"/>
        <w:rPr>
          <w:rFonts w:ascii="Times New Roman" w:hAnsi="Times New Roman"/>
          <w:b/>
          <w:bCs/>
          <w:szCs w:val="24"/>
        </w:rPr>
      </w:pPr>
    </w:p>
    <w:p w14:paraId="175CA656" w14:textId="77777777" w:rsidR="0084096B" w:rsidRDefault="0084096B" w:rsidP="00AC0D94">
      <w:pPr>
        <w:adjustRightInd w:val="0"/>
        <w:snapToGrid w:val="0"/>
        <w:spacing w:line="360" w:lineRule="auto"/>
        <w:jc w:val="both"/>
        <w:rPr>
          <w:rFonts w:ascii="Times New Roman" w:hAnsi="Times New Roman"/>
          <w:b/>
          <w:bCs/>
          <w:szCs w:val="24"/>
        </w:rPr>
      </w:pPr>
    </w:p>
    <w:p w14:paraId="57E1BA11" w14:textId="77777777" w:rsidR="0084096B" w:rsidRDefault="0084096B" w:rsidP="00AC0D94">
      <w:pPr>
        <w:adjustRightInd w:val="0"/>
        <w:snapToGrid w:val="0"/>
        <w:spacing w:line="360" w:lineRule="auto"/>
        <w:jc w:val="both"/>
        <w:rPr>
          <w:rFonts w:ascii="Times New Roman" w:hAnsi="Times New Roman"/>
          <w:b/>
          <w:bCs/>
          <w:szCs w:val="24"/>
        </w:rPr>
      </w:pPr>
    </w:p>
    <w:p w14:paraId="26EEB0C3" w14:textId="77777777" w:rsidR="0084096B" w:rsidRDefault="0084096B" w:rsidP="00AC0D94">
      <w:pPr>
        <w:adjustRightInd w:val="0"/>
        <w:snapToGrid w:val="0"/>
        <w:spacing w:line="360" w:lineRule="auto"/>
        <w:jc w:val="both"/>
        <w:rPr>
          <w:rFonts w:ascii="Times New Roman" w:hAnsi="Times New Roman"/>
          <w:b/>
          <w:bCs/>
          <w:szCs w:val="24"/>
        </w:rPr>
      </w:pPr>
    </w:p>
    <w:p w14:paraId="4FECB078" w14:textId="77777777" w:rsidR="0084096B" w:rsidRDefault="0084096B" w:rsidP="00AC0D94">
      <w:pPr>
        <w:adjustRightInd w:val="0"/>
        <w:snapToGrid w:val="0"/>
        <w:spacing w:line="360" w:lineRule="auto"/>
        <w:jc w:val="both"/>
        <w:rPr>
          <w:rFonts w:ascii="Times New Roman" w:hAnsi="Times New Roman"/>
          <w:b/>
          <w:bCs/>
          <w:szCs w:val="24"/>
        </w:rPr>
      </w:pPr>
    </w:p>
    <w:p w14:paraId="5B249D6C" w14:textId="77777777" w:rsidR="0084096B" w:rsidRDefault="0084096B" w:rsidP="00AC0D94">
      <w:pPr>
        <w:adjustRightInd w:val="0"/>
        <w:snapToGrid w:val="0"/>
        <w:spacing w:line="360" w:lineRule="auto"/>
        <w:jc w:val="both"/>
        <w:rPr>
          <w:rFonts w:ascii="Times New Roman" w:hAnsi="Times New Roman"/>
          <w:b/>
          <w:bCs/>
          <w:szCs w:val="24"/>
        </w:rPr>
      </w:pPr>
    </w:p>
    <w:p w14:paraId="7F46ACD0" w14:textId="77777777" w:rsidR="0084096B" w:rsidRDefault="0084096B" w:rsidP="00AC0D94">
      <w:pPr>
        <w:adjustRightInd w:val="0"/>
        <w:snapToGrid w:val="0"/>
        <w:spacing w:line="360" w:lineRule="auto"/>
        <w:jc w:val="both"/>
        <w:rPr>
          <w:rFonts w:ascii="Times New Roman" w:hAnsi="Times New Roman"/>
          <w:b/>
          <w:bCs/>
          <w:szCs w:val="24"/>
        </w:rPr>
      </w:pPr>
    </w:p>
    <w:p w14:paraId="75703A36" w14:textId="77777777" w:rsidR="0084096B" w:rsidRDefault="0084096B" w:rsidP="00AC0D94">
      <w:pPr>
        <w:adjustRightInd w:val="0"/>
        <w:snapToGrid w:val="0"/>
        <w:spacing w:line="360" w:lineRule="auto"/>
        <w:jc w:val="both"/>
        <w:rPr>
          <w:rFonts w:ascii="Times New Roman" w:hAnsi="Times New Roman"/>
          <w:b/>
          <w:bCs/>
          <w:szCs w:val="24"/>
        </w:rPr>
      </w:pPr>
    </w:p>
    <w:p w14:paraId="6532BCDF" w14:textId="77777777" w:rsidR="0084096B" w:rsidRDefault="0084096B" w:rsidP="00AC0D94">
      <w:pPr>
        <w:adjustRightInd w:val="0"/>
        <w:snapToGrid w:val="0"/>
        <w:spacing w:line="360" w:lineRule="auto"/>
        <w:jc w:val="both"/>
        <w:rPr>
          <w:rFonts w:ascii="Times New Roman" w:hAnsi="Times New Roman"/>
          <w:b/>
          <w:bCs/>
          <w:szCs w:val="24"/>
        </w:rPr>
      </w:pPr>
    </w:p>
    <w:p w14:paraId="076DC498" w14:textId="77777777" w:rsidR="0084096B" w:rsidRDefault="0084096B" w:rsidP="00AC0D94">
      <w:pPr>
        <w:adjustRightInd w:val="0"/>
        <w:snapToGrid w:val="0"/>
        <w:spacing w:line="360" w:lineRule="auto"/>
        <w:jc w:val="both"/>
        <w:rPr>
          <w:rFonts w:ascii="Times New Roman" w:hAnsi="Times New Roman"/>
          <w:b/>
          <w:bCs/>
          <w:szCs w:val="24"/>
        </w:rPr>
      </w:pPr>
    </w:p>
    <w:p w14:paraId="56B06CD5" w14:textId="77777777" w:rsidR="0084096B" w:rsidRDefault="0084096B" w:rsidP="00AC0D94">
      <w:pPr>
        <w:adjustRightInd w:val="0"/>
        <w:snapToGrid w:val="0"/>
        <w:spacing w:line="360" w:lineRule="auto"/>
        <w:jc w:val="both"/>
        <w:rPr>
          <w:rFonts w:ascii="Times New Roman" w:hAnsi="Times New Roman"/>
          <w:b/>
          <w:bCs/>
          <w:szCs w:val="24"/>
        </w:rPr>
      </w:pPr>
    </w:p>
    <w:p w14:paraId="0832E0D7" w14:textId="77777777" w:rsidR="0084096B" w:rsidRDefault="0084096B" w:rsidP="00AC0D94">
      <w:pPr>
        <w:adjustRightInd w:val="0"/>
        <w:snapToGrid w:val="0"/>
        <w:spacing w:line="360" w:lineRule="auto"/>
        <w:jc w:val="both"/>
        <w:rPr>
          <w:rFonts w:ascii="Times New Roman" w:hAnsi="Times New Roman"/>
          <w:b/>
          <w:bCs/>
          <w:szCs w:val="24"/>
        </w:rPr>
      </w:pPr>
    </w:p>
    <w:p w14:paraId="5B18606E" w14:textId="494C1E4A" w:rsidR="00EE2C03" w:rsidRDefault="00EE2C0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3.3.1 Rent Trends in Hong Kong and Thailand</w:t>
      </w:r>
    </w:p>
    <w:p w14:paraId="513841F0" w14:textId="1FC399B2" w:rsidR="00EE2C03" w:rsidRPr="008E3F76" w:rsidRDefault="00E67E7D" w:rsidP="00AC0D94">
      <w:pPr>
        <w:adjustRightInd w:val="0"/>
        <w:snapToGrid w:val="0"/>
        <w:spacing w:line="360" w:lineRule="auto"/>
        <w:jc w:val="both"/>
        <w:rPr>
          <w:rFonts w:ascii="Times New Roman" w:hAnsi="Times New Roman"/>
          <w:b/>
          <w:bCs/>
          <w:szCs w:val="24"/>
        </w:rPr>
      </w:pPr>
      <w:r>
        <w:rPr>
          <w:rFonts w:ascii="Times New Roman" w:hAnsi="Times New Roman"/>
          <w:b/>
          <w:bCs/>
          <w:szCs w:val="24"/>
        </w:rPr>
        <w:t>Table</w:t>
      </w:r>
      <w:r w:rsidR="00EE2C03" w:rsidRPr="008E3F76">
        <w:rPr>
          <w:rFonts w:ascii="Times New Roman" w:hAnsi="Times New Roman"/>
          <w:b/>
          <w:bCs/>
          <w:szCs w:val="24"/>
        </w:rPr>
        <w:t xml:space="preserve"> 4: Rent Trends in Hong Kong (2009–2024)</w:t>
      </w:r>
    </w:p>
    <w:p w14:paraId="4958EB68" w14:textId="2C38A38F" w:rsidR="00EE2C03" w:rsidRPr="008E3F76" w:rsidRDefault="00112CD9" w:rsidP="00AC0D94">
      <w:pPr>
        <w:adjustRightInd w:val="0"/>
        <w:snapToGrid w:val="0"/>
        <w:spacing w:line="360" w:lineRule="auto"/>
        <w:jc w:val="both"/>
        <w:rPr>
          <w:rFonts w:ascii="Times New Roman" w:hAnsi="Times New Roman"/>
          <w:szCs w:val="24"/>
        </w:rPr>
      </w:pPr>
      <w:r w:rsidRPr="00112CD9">
        <w:rPr>
          <w:noProof/>
        </w:rPr>
        <w:drawing>
          <wp:inline distT="0" distB="0" distL="0" distR="0" wp14:anchorId="618DE9E9" wp14:editId="73D7C76B">
            <wp:extent cx="3838575" cy="5512021"/>
            <wp:effectExtent l="0" t="0" r="0" b="0"/>
            <wp:docPr id="16219604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5343" cy="5521739"/>
                    </a:xfrm>
                    <a:prstGeom prst="rect">
                      <a:avLst/>
                    </a:prstGeom>
                    <a:noFill/>
                    <a:ln>
                      <a:noFill/>
                    </a:ln>
                  </pic:spPr>
                </pic:pic>
              </a:graphicData>
            </a:graphic>
          </wp:inline>
        </w:drawing>
      </w:r>
    </w:p>
    <w:p w14:paraId="1468094D" w14:textId="77777777" w:rsidR="00CE7ABB" w:rsidRPr="00CE7ABB" w:rsidRDefault="00CE7ABB" w:rsidP="00AC0D94">
      <w:pPr>
        <w:adjustRightInd w:val="0"/>
        <w:snapToGrid w:val="0"/>
        <w:spacing w:line="360" w:lineRule="auto"/>
        <w:jc w:val="both"/>
        <w:rPr>
          <w:rFonts w:ascii="Times New Roman" w:hAnsi="Times New Roman"/>
          <w:szCs w:val="24"/>
        </w:rPr>
      </w:pPr>
      <w:r w:rsidRPr="00CE7ABB">
        <w:rPr>
          <w:rFonts w:ascii="Times New Roman" w:hAnsi="Times New Roman"/>
          <w:b/>
          <w:bCs/>
          <w:szCs w:val="24"/>
        </w:rPr>
        <w:t>Sources:</w:t>
      </w:r>
    </w:p>
    <w:p w14:paraId="76398106" w14:textId="77777777" w:rsidR="00CE7ABB" w:rsidRPr="00CE7ABB" w:rsidRDefault="00CE7ABB" w:rsidP="003F53B9">
      <w:pPr>
        <w:numPr>
          <w:ilvl w:val="0"/>
          <w:numId w:val="20"/>
        </w:numPr>
        <w:adjustRightInd w:val="0"/>
        <w:snapToGrid w:val="0"/>
        <w:spacing w:line="360" w:lineRule="auto"/>
        <w:jc w:val="both"/>
        <w:rPr>
          <w:rFonts w:ascii="Times New Roman" w:hAnsi="Times New Roman"/>
          <w:szCs w:val="24"/>
        </w:rPr>
      </w:pPr>
      <w:r w:rsidRPr="00CE7ABB">
        <w:rPr>
          <w:rFonts w:ascii="Times New Roman" w:hAnsi="Times New Roman"/>
          <w:szCs w:val="24"/>
        </w:rPr>
        <w:t>Hong Kong Rating and Valuation Department (RVD, 2024)</w:t>
      </w:r>
    </w:p>
    <w:p w14:paraId="1717A9E9" w14:textId="77777777" w:rsidR="00CE7ABB" w:rsidRPr="00CE7ABB" w:rsidRDefault="00CE7ABB" w:rsidP="003F53B9">
      <w:pPr>
        <w:numPr>
          <w:ilvl w:val="0"/>
          <w:numId w:val="20"/>
        </w:numPr>
        <w:adjustRightInd w:val="0"/>
        <w:snapToGrid w:val="0"/>
        <w:spacing w:line="360" w:lineRule="auto"/>
        <w:jc w:val="both"/>
        <w:rPr>
          <w:rFonts w:ascii="Times New Roman" w:hAnsi="Times New Roman"/>
          <w:szCs w:val="24"/>
        </w:rPr>
      </w:pPr>
      <w:r w:rsidRPr="00CE7ABB">
        <w:rPr>
          <w:rFonts w:ascii="Times New Roman" w:hAnsi="Times New Roman"/>
          <w:szCs w:val="24"/>
        </w:rPr>
        <w:t>CBRE Hong Kong Market Reports (2024)</w:t>
      </w:r>
    </w:p>
    <w:p w14:paraId="319E7455" w14:textId="77777777" w:rsidR="005E5B12" w:rsidRDefault="005E5B12" w:rsidP="00AC0D94">
      <w:pPr>
        <w:adjustRightInd w:val="0"/>
        <w:snapToGrid w:val="0"/>
        <w:spacing w:line="360" w:lineRule="auto"/>
        <w:jc w:val="both"/>
        <w:rPr>
          <w:rFonts w:ascii="Times New Roman" w:hAnsi="Times New Roman"/>
          <w:szCs w:val="24"/>
        </w:rPr>
      </w:pPr>
    </w:p>
    <w:p w14:paraId="348CDDC9" w14:textId="77777777" w:rsidR="002648A5" w:rsidRDefault="002648A5" w:rsidP="00AC0D94">
      <w:pPr>
        <w:adjustRightInd w:val="0"/>
        <w:snapToGrid w:val="0"/>
        <w:spacing w:line="360" w:lineRule="auto"/>
        <w:jc w:val="both"/>
        <w:rPr>
          <w:rFonts w:ascii="Times New Roman" w:hAnsi="Times New Roman"/>
          <w:szCs w:val="24"/>
        </w:rPr>
      </w:pPr>
    </w:p>
    <w:p w14:paraId="7C88072E" w14:textId="77777777" w:rsidR="002648A5" w:rsidRDefault="002648A5" w:rsidP="00AC0D94">
      <w:pPr>
        <w:adjustRightInd w:val="0"/>
        <w:snapToGrid w:val="0"/>
        <w:spacing w:line="360" w:lineRule="auto"/>
        <w:jc w:val="both"/>
        <w:rPr>
          <w:rFonts w:ascii="Times New Roman" w:hAnsi="Times New Roman"/>
          <w:szCs w:val="24"/>
        </w:rPr>
      </w:pPr>
    </w:p>
    <w:p w14:paraId="529071E0" w14:textId="77777777" w:rsidR="002648A5" w:rsidRDefault="002648A5" w:rsidP="00AC0D94">
      <w:pPr>
        <w:adjustRightInd w:val="0"/>
        <w:snapToGrid w:val="0"/>
        <w:spacing w:line="360" w:lineRule="auto"/>
        <w:jc w:val="both"/>
        <w:rPr>
          <w:rFonts w:ascii="Times New Roman" w:hAnsi="Times New Roman"/>
          <w:szCs w:val="24"/>
        </w:rPr>
      </w:pPr>
    </w:p>
    <w:p w14:paraId="245C0B25" w14:textId="77777777" w:rsidR="002648A5" w:rsidRPr="008E3F76" w:rsidRDefault="002648A5" w:rsidP="00AC0D94">
      <w:pPr>
        <w:adjustRightInd w:val="0"/>
        <w:snapToGrid w:val="0"/>
        <w:spacing w:line="360" w:lineRule="auto"/>
        <w:jc w:val="both"/>
        <w:rPr>
          <w:rFonts w:ascii="Times New Roman" w:hAnsi="Times New Roman"/>
          <w:szCs w:val="24"/>
        </w:rPr>
      </w:pPr>
    </w:p>
    <w:p w14:paraId="3C40BC77" w14:textId="5AADF1B5" w:rsidR="005E5B12" w:rsidRPr="008E3F76" w:rsidRDefault="00CE7ABB" w:rsidP="00AC0D94">
      <w:pPr>
        <w:adjustRightInd w:val="0"/>
        <w:snapToGrid w:val="0"/>
        <w:spacing w:line="360" w:lineRule="auto"/>
        <w:jc w:val="both"/>
        <w:rPr>
          <w:rFonts w:ascii="Times New Roman" w:hAnsi="Times New Roman"/>
          <w:b/>
          <w:bCs/>
          <w:szCs w:val="24"/>
        </w:rPr>
      </w:pPr>
      <w:r>
        <w:rPr>
          <w:rFonts w:ascii="Times New Roman" w:hAnsi="Times New Roman"/>
          <w:b/>
          <w:bCs/>
          <w:szCs w:val="24"/>
        </w:rPr>
        <w:lastRenderedPageBreak/>
        <w:t>Table</w:t>
      </w:r>
      <w:r w:rsidR="005E5B12" w:rsidRPr="008E3F76">
        <w:rPr>
          <w:rFonts w:ascii="Times New Roman" w:hAnsi="Times New Roman"/>
          <w:b/>
          <w:bCs/>
          <w:szCs w:val="24"/>
        </w:rPr>
        <w:t xml:space="preserve"> 5: Rent Trends in Thailand (Q1 2013 – Q4 2019)</w:t>
      </w:r>
    </w:p>
    <w:p w14:paraId="682C9134" w14:textId="41D78E3E" w:rsidR="00E050AB" w:rsidRPr="008E3F76" w:rsidRDefault="00215192" w:rsidP="00AC0D94">
      <w:pPr>
        <w:adjustRightInd w:val="0"/>
        <w:snapToGrid w:val="0"/>
        <w:spacing w:line="360" w:lineRule="auto"/>
        <w:jc w:val="both"/>
        <w:rPr>
          <w:rFonts w:ascii="Times New Roman" w:hAnsi="Times New Roman"/>
          <w:b/>
          <w:bCs/>
          <w:szCs w:val="24"/>
        </w:rPr>
      </w:pPr>
      <w:r w:rsidRPr="00215192">
        <w:rPr>
          <w:noProof/>
        </w:rPr>
        <w:drawing>
          <wp:inline distT="0" distB="0" distL="0" distR="0" wp14:anchorId="2A58E729" wp14:editId="0E2F2628">
            <wp:extent cx="3448050" cy="5172075"/>
            <wp:effectExtent l="0" t="0" r="0" b="9525"/>
            <wp:docPr id="1111349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48050" cy="5172075"/>
                    </a:xfrm>
                    <a:prstGeom prst="rect">
                      <a:avLst/>
                    </a:prstGeom>
                    <a:noFill/>
                    <a:ln>
                      <a:noFill/>
                    </a:ln>
                  </pic:spPr>
                </pic:pic>
              </a:graphicData>
            </a:graphic>
          </wp:inline>
        </w:drawing>
      </w:r>
    </w:p>
    <w:p w14:paraId="435FF935" w14:textId="77777777" w:rsidR="00D553FB" w:rsidRPr="00BA71ED" w:rsidRDefault="00D553FB" w:rsidP="00AC0D94">
      <w:pPr>
        <w:adjustRightInd w:val="0"/>
        <w:snapToGrid w:val="0"/>
        <w:spacing w:line="360" w:lineRule="auto"/>
        <w:jc w:val="both"/>
        <w:rPr>
          <w:rFonts w:ascii="Times New Roman" w:hAnsi="Times New Roman"/>
          <w:b/>
          <w:bCs/>
          <w:szCs w:val="24"/>
        </w:rPr>
      </w:pPr>
      <w:r w:rsidRPr="00BA71ED">
        <w:rPr>
          <w:rFonts w:ascii="Times New Roman" w:hAnsi="Times New Roman"/>
          <w:b/>
          <w:bCs/>
          <w:szCs w:val="24"/>
        </w:rPr>
        <w:t>The rent trends in Hong Kong and Thailand highlight significant differences in the two markets:</w:t>
      </w:r>
    </w:p>
    <w:p w14:paraId="3671BD36" w14:textId="77777777" w:rsidR="00A277CF" w:rsidRDefault="00D553FB" w:rsidP="003F53B9">
      <w:pPr>
        <w:numPr>
          <w:ilvl w:val="0"/>
          <w:numId w:val="21"/>
        </w:numPr>
        <w:adjustRightInd w:val="0"/>
        <w:snapToGrid w:val="0"/>
        <w:spacing w:line="360" w:lineRule="auto"/>
        <w:jc w:val="both"/>
        <w:rPr>
          <w:rFonts w:ascii="Times New Roman" w:hAnsi="Times New Roman"/>
          <w:szCs w:val="24"/>
        </w:rPr>
      </w:pPr>
      <w:r w:rsidRPr="00A277CF">
        <w:rPr>
          <w:rFonts w:ascii="Times New Roman" w:hAnsi="Times New Roman"/>
          <w:b/>
          <w:bCs/>
          <w:szCs w:val="24"/>
        </w:rPr>
        <w:t>Hong Kong’s Rental Market:</w:t>
      </w:r>
      <w:r w:rsidRPr="00A277CF">
        <w:rPr>
          <w:rFonts w:ascii="Times New Roman" w:hAnsi="Times New Roman"/>
          <w:szCs w:val="24"/>
        </w:rPr>
        <w:br/>
      </w:r>
      <w:r w:rsidR="007F3EA6" w:rsidRPr="00A277CF">
        <w:rPr>
          <w:rFonts w:ascii="Times New Roman" w:hAnsi="Times New Roman"/>
          <w:szCs w:val="24"/>
        </w:rPr>
        <w:t>Hong Kong’s rental market is characterized by high costs and volatility. Rents peaked in 2015 (182.5) and remained high until 2019 (187.2). However, the COVID-19 pandemic caused a sharp decline in 2020 (169.9), reflecting reduced demand and economic uncertainty. Despite a slight recovery in 2021 (172.0), rents have remained below pre-pandemic levels, with a further decline projected for 2024 (165.3). This volatility poses challenges for retailers like AAA, as high rental costs can erode profit margins and increase operational risks.</w:t>
      </w:r>
    </w:p>
    <w:p w14:paraId="01C9C622" w14:textId="77777777" w:rsidR="00A831BA" w:rsidRDefault="00A831BA" w:rsidP="00AC0D94">
      <w:pPr>
        <w:adjustRightInd w:val="0"/>
        <w:snapToGrid w:val="0"/>
        <w:spacing w:line="360" w:lineRule="auto"/>
        <w:ind w:left="720"/>
        <w:jc w:val="both"/>
        <w:rPr>
          <w:rFonts w:ascii="Times New Roman" w:hAnsi="Times New Roman"/>
          <w:szCs w:val="24"/>
        </w:rPr>
      </w:pPr>
    </w:p>
    <w:p w14:paraId="48A3E8AF" w14:textId="77777777" w:rsidR="00A277CF" w:rsidRPr="00A277CF" w:rsidRDefault="00A277CF" w:rsidP="00AC0D94">
      <w:pPr>
        <w:adjustRightInd w:val="0"/>
        <w:snapToGrid w:val="0"/>
        <w:spacing w:line="360" w:lineRule="auto"/>
        <w:ind w:left="720"/>
        <w:jc w:val="both"/>
        <w:rPr>
          <w:rFonts w:ascii="Times New Roman" w:hAnsi="Times New Roman"/>
          <w:szCs w:val="24"/>
        </w:rPr>
      </w:pPr>
    </w:p>
    <w:p w14:paraId="0DF5C128" w14:textId="21C2322F" w:rsidR="00D553FB" w:rsidRPr="00E57497" w:rsidRDefault="00D553FB" w:rsidP="003F53B9">
      <w:pPr>
        <w:pStyle w:val="ListParagraph"/>
        <w:numPr>
          <w:ilvl w:val="0"/>
          <w:numId w:val="21"/>
        </w:numPr>
        <w:adjustRightInd w:val="0"/>
        <w:snapToGrid w:val="0"/>
        <w:spacing w:line="360" w:lineRule="auto"/>
        <w:ind w:leftChars="0"/>
        <w:jc w:val="both"/>
        <w:rPr>
          <w:rFonts w:ascii="Times New Roman" w:hAnsi="Times New Roman"/>
          <w:szCs w:val="24"/>
        </w:rPr>
      </w:pPr>
      <w:r w:rsidRPr="00E57497">
        <w:rPr>
          <w:rFonts w:ascii="Times New Roman" w:hAnsi="Times New Roman"/>
          <w:b/>
          <w:bCs/>
          <w:szCs w:val="24"/>
        </w:rPr>
        <w:lastRenderedPageBreak/>
        <w:t>Thailand’s Rental Market:</w:t>
      </w:r>
      <w:r w:rsidRPr="00E57497">
        <w:rPr>
          <w:rFonts w:ascii="Times New Roman" w:hAnsi="Times New Roman"/>
          <w:szCs w:val="24"/>
        </w:rPr>
        <w:br/>
      </w:r>
      <w:r w:rsidR="002F6054" w:rsidRPr="00E57497">
        <w:rPr>
          <w:rFonts w:ascii="Times New Roman" w:hAnsi="Times New Roman"/>
          <w:szCs w:val="24"/>
        </w:rPr>
        <w:t>In contrast, Thailand’s rental market is more stable and cost-effective. Rents have shown moderate fluctuations, with no significant spikes or declines. This stability, combined with lower rental costs compared to Hong Kong, makes Thailand an attractive market for AAA’s expansion.</w:t>
      </w:r>
    </w:p>
    <w:p w14:paraId="27FFCAF6" w14:textId="42AD6C9A" w:rsidR="00D553FB" w:rsidRPr="008E3F76" w:rsidRDefault="00D553FB" w:rsidP="00AC0D94">
      <w:pPr>
        <w:adjustRightInd w:val="0"/>
        <w:snapToGrid w:val="0"/>
        <w:spacing w:line="360" w:lineRule="auto"/>
        <w:jc w:val="both"/>
        <w:rPr>
          <w:rFonts w:ascii="Times New Roman" w:hAnsi="Times New Roman"/>
          <w:b/>
          <w:bCs/>
          <w:szCs w:val="24"/>
        </w:rPr>
      </w:pPr>
    </w:p>
    <w:p w14:paraId="760D4654" w14:textId="637ABF29"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 xml:space="preserve"> Correlation Analysis</w:t>
      </w:r>
    </w:p>
    <w:p w14:paraId="764FF521" w14:textId="02E62445"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.1 Similarities in Correlation Patterns</w:t>
      </w:r>
    </w:p>
    <w:p w14:paraId="747BF37D"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correlation analysis of annual percent changes in retail sales and consumer inflation rates in Hong Kong and Thailand from 2006 to 2023 reveals several shared trends. Both economies were significantly influenced by major global events, such as the 2008 financial crisis and the COVID-19 pandemic. During these periods, both Hong Kong and Thailand experienced sharp declines in retail sales and inflation rates due to reduced consumer spending and economic uncertainty. For instance, the 2008 financial crisis led to a contraction in retail sales and inflation in both regions, while the COVID-19 pandemic caused Hong Kong’s retail sales to plummet by -22.5% in 2020 and Thailand’s inflation to dip into deflationary territory (-0.3% in 2020).</w:t>
      </w:r>
    </w:p>
    <w:p w14:paraId="5238F008" w14:textId="77777777" w:rsid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long-term correlation matrix (2006–2023) highlights a strong positive correlation (0.69) between Hong Kong’s and Thailand’s inflation rates, indicating that their inflation trends are moderately synchronized. This synchronization is likely driven by their shared exposure to global economic conditions, such as fluctuations in commodity prices and international trade dynamics. Additionally, the moderate positive correlation (0.51) between Thailand’s inflation and Hong Kong’s retail sales underscores the interconnectedness of the two economies, particularly through tourism and trade. This relationship is evident during periods of economic recovery, such as 2021–2023, when both economies began to rebound from the pandemic.</w:t>
      </w:r>
    </w:p>
    <w:p w14:paraId="6C1D7CEA" w14:textId="77777777" w:rsidR="000C2EFD" w:rsidRPr="008D7042" w:rsidRDefault="000C2EFD" w:rsidP="00AC0D94">
      <w:pPr>
        <w:adjustRightInd w:val="0"/>
        <w:snapToGrid w:val="0"/>
        <w:spacing w:line="360" w:lineRule="auto"/>
        <w:jc w:val="both"/>
        <w:rPr>
          <w:rFonts w:ascii="Times New Roman" w:hAnsi="Times New Roman"/>
          <w:szCs w:val="24"/>
        </w:rPr>
      </w:pPr>
    </w:p>
    <w:p w14:paraId="6D5D32DA" w14:textId="66AD69EA"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.2 Differences in Correlation Patterns</w:t>
      </w:r>
    </w:p>
    <w:p w14:paraId="2B74CE22"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 xml:space="preserve">Despite these similarities, there are notable differences in how Hong Kong and Thailand responded to global and local economic shocks. Hong Kong’s retail sales growth exhibited significant volatility, with peaks in 2011 (21.6%) and 2013 (17.7%) driven by strong consumer spending and tourism. However, the 2019 protests and the COVID-19 pandemic led to sharp declines, with retail sales dropping by -13.0% in 2019 and -22.5% in 2020. In contrast, Hong Kong’s inflation remained </w:t>
      </w:r>
      <w:r w:rsidRPr="008D7042">
        <w:rPr>
          <w:rFonts w:ascii="Times New Roman" w:hAnsi="Times New Roman"/>
          <w:szCs w:val="24"/>
        </w:rPr>
        <w:lastRenderedPageBreak/>
        <w:t>relatively stable, averaging around 2–3%, and only dipped into negative territory in 2020 (-0.9%) due to weak demand during the pandemic.</w:t>
      </w:r>
    </w:p>
    <w:p w14:paraId="3B14A86C"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Thailand’s inflation, on the other hand, showed greater variability, with periods of deflation (e.g., -0.9% in 2015 and -0.8% in 2023) due to falling global commodity prices and weak domestic demand. However, inflation spiked in 2022 (5.9%) due to post-pandemic recovery and rising energy prices. Thailand’s economic performance is closely tied to tourism, which explains the strong correlation (0.51) between its inflation and Hong Kong’s retail sales, as Hong Kong is a key source of tourists for Thailand.</w:t>
      </w:r>
    </w:p>
    <w:p w14:paraId="228E084F" w14:textId="77777777" w:rsid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short-term correlation matrix (2019–2023) further highlights these differences. During this period, the correlation between Hong Kong’s inflation and retail sales turned weakly negative (-0.37), suggesting that higher inflation may have suppressed retail sales due to economic uncertainty. In contrast, the correlation between Thailand’s inflation and Hong Kong’s retail sales remained moderately positive (0.51), indicating that Thailand’s economic conditions continued to influence Hong Kong’s retail sector, particularly through tourism.</w:t>
      </w:r>
    </w:p>
    <w:p w14:paraId="0018E1DF" w14:textId="77777777" w:rsidR="00975470" w:rsidRPr="008D7042" w:rsidRDefault="00975470" w:rsidP="00AC0D94">
      <w:pPr>
        <w:adjustRightInd w:val="0"/>
        <w:snapToGrid w:val="0"/>
        <w:spacing w:line="360" w:lineRule="auto"/>
        <w:jc w:val="both"/>
        <w:rPr>
          <w:rFonts w:ascii="Times New Roman" w:hAnsi="Times New Roman"/>
          <w:szCs w:val="24"/>
        </w:rPr>
      </w:pPr>
    </w:p>
    <w:bookmarkEnd w:id="1"/>
    <w:p w14:paraId="49E8685D" w14:textId="15AFD5FB" w:rsidR="00D87D1F" w:rsidRPr="00D87D1F" w:rsidRDefault="00D87D1F" w:rsidP="00AC0D94">
      <w:pPr>
        <w:adjustRightInd w:val="0"/>
        <w:snapToGrid w:val="0"/>
        <w:spacing w:line="360" w:lineRule="auto"/>
        <w:jc w:val="both"/>
        <w:rPr>
          <w:rFonts w:ascii="Times New Roman" w:hAnsi="Times New Roman"/>
          <w:b/>
          <w:bCs/>
          <w:szCs w:val="24"/>
        </w:rPr>
      </w:pPr>
      <w:r w:rsidRPr="00D87D1F">
        <w:rPr>
          <w:rFonts w:ascii="Times New Roman" w:hAnsi="Times New Roman"/>
          <w:b/>
          <w:bCs/>
          <w:szCs w:val="24"/>
        </w:rPr>
        <w:t>3.</w:t>
      </w:r>
      <w:r w:rsidR="00BA71ED">
        <w:rPr>
          <w:rFonts w:ascii="Times New Roman" w:hAnsi="Times New Roman"/>
          <w:b/>
          <w:bCs/>
          <w:szCs w:val="24"/>
        </w:rPr>
        <w:t>4</w:t>
      </w:r>
      <w:r w:rsidRPr="00D87D1F">
        <w:rPr>
          <w:rFonts w:ascii="Times New Roman" w:hAnsi="Times New Roman"/>
          <w:b/>
          <w:bCs/>
          <w:szCs w:val="24"/>
        </w:rPr>
        <w:t>.3 Interpretation of Correlation Matrices</w:t>
      </w:r>
    </w:p>
    <w:p w14:paraId="73F894FE" w14:textId="77777777" w:rsidR="00D87D1F" w:rsidRPr="00D87D1F" w:rsidRDefault="00D87D1F" w:rsidP="00AC0D94">
      <w:pPr>
        <w:adjustRightInd w:val="0"/>
        <w:snapToGrid w:val="0"/>
        <w:spacing w:line="360" w:lineRule="auto"/>
        <w:jc w:val="both"/>
        <w:rPr>
          <w:rFonts w:ascii="Times New Roman" w:hAnsi="Times New Roman"/>
          <w:szCs w:val="24"/>
        </w:rPr>
      </w:pPr>
      <w:r w:rsidRPr="00D87D1F">
        <w:rPr>
          <w:rFonts w:ascii="Times New Roman" w:hAnsi="Times New Roman"/>
          <w:szCs w:val="24"/>
        </w:rPr>
        <w:t>The decision to analyze correlation matrices for the periods 2006–2018 and 2019–2023 was driven by the need to distinguish between pre- and post-2019 economic conditions. The 2006–2018 matrix provides a long-term perspective on the relationship between inflation and retail sales in Hong Kong and Thailand, capturing trends during a period of relative stability and growth, as well as the impact of the 2008 financial crisis. This period allows for an understanding of how inflation and retail sales interacted before the significant disruptions caused by the 2019 social unrest and the COVID-19 pandemic.</w:t>
      </w:r>
    </w:p>
    <w:p w14:paraId="2278D2FB" w14:textId="77777777" w:rsidR="00D87D1F" w:rsidRPr="00D87D1F" w:rsidRDefault="00D87D1F" w:rsidP="00AC0D94">
      <w:pPr>
        <w:adjustRightInd w:val="0"/>
        <w:snapToGrid w:val="0"/>
        <w:spacing w:line="360" w:lineRule="auto"/>
        <w:jc w:val="both"/>
        <w:rPr>
          <w:rFonts w:ascii="Times New Roman" w:hAnsi="Times New Roman"/>
          <w:szCs w:val="24"/>
        </w:rPr>
      </w:pPr>
      <w:r w:rsidRPr="00D87D1F">
        <w:rPr>
          <w:rFonts w:ascii="Times New Roman" w:hAnsi="Times New Roman"/>
          <w:szCs w:val="24"/>
        </w:rPr>
        <w:t>In contrast, the 2019–2023 matrix focuses on the post-2019 period, which was marked by unprecedented global and local shocks, including social unrest in Hong Kong, the COVID-19 pandemic, and subsequent recovery efforts. This short-term perspective highlights how these disruptions influenced the correlation patterns between the two economies. By comparing these two periods, the analysis provides a nuanced understanding of how economic relationships have evolved in response to both long-term trends and recent shocks.</w:t>
      </w:r>
    </w:p>
    <w:p w14:paraId="754DE5D7" w14:textId="77777777" w:rsidR="00D87D1F" w:rsidRDefault="00D87D1F" w:rsidP="00AC0D94">
      <w:pPr>
        <w:adjustRightInd w:val="0"/>
        <w:snapToGrid w:val="0"/>
        <w:spacing w:line="360" w:lineRule="auto"/>
        <w:jc w:val="both"/>
        <w:rPr>
          <w:rFonts w:ascii="Times New Roman" w:hAnsi="Times New Roman"/>
          <w:b/>
          <w:bCs/>
          <w:szCs w:val="24"/>
        </w:rPr>
      </w:pPr>
    </w:p>
    <w:p w14:paraId="35466175" w14:textId="77777777" w:rsidR="00BA71ED" w:rsidRDefault="00BA71ED" w:rsidP="00AC0D94">
      <w:pPr>
        <w:adjustRightInd w:val="0"/>
        <w:snapToGrid w:val="0"/>
        <w:spacing w:line="360" w:lineRule="auto"/>
        <w:jc w:val="both"/>
        <w:rPr>
          <w:rFonts w:ascii="Times New Roman" w:hAnsi="Times New Roman"/>
          <w:b/>
          <w:bCs/>
          <w:szCs w:val="24"/>
        </w:rPr>
      </w:pPr>
    </w:p>
    <w:p w14:paraId="74F6187F" w14:textId="4927F725" w:rsidR="00A14006" w:rsidRPr="008E3F76" w:rsidRDefault="00A1400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Table 2: Pearson Correlation Matrix (2006–20</w:t>
      </w:r>
      <w:r w:rsidR="00D87D1F">
        <w:rPr>
          <w:rFonts w:ascii="Times New Roman" w:hAnsi="Times New Roman"/>
          <w:b/>
          <w:bCs/>
          <w:szCs w:val="24"/>
        </w:rPr>
        <w:t>18</w:t>
      </w:r>
      <w:r w:rsidRPr="008E3F76">
        <w:rPr>
          <w:rFonts w:ascii="Times New Roman" w:hAnsi="Times New Roman"/>
          <w:b/>
          <w:bCs/>
          <w:szCs w:val="24"/>
        </w:rPr>
        <w:t>)</w:t>
      </w:r>
    </w:p>
    <w:tbl>
      <w:tblPr>
        <w:tblW w:w="6600" w:type="dxa"/>
        <w:tblLook w:val="04A0" w:firstRow="1" w:lastRow="0" w:firstColumn="1" w:lastColumn="0" w:noHBand="0" w:noVBand="1"/>
      </w:tblPr>
      <w:tblGrid>
        <w:gridCol w:w="1977"/>
        <w:gridCol w:w="1560"/>
        <w:gridCol w:w="1500"/>
        <w:gridCol w:w="1563"/>
      </w:tblGrid>
      <w:tr w:rsidR="002C60EF" w:rsidRPr="008E3F76" w14:paraId="3042ACB6" w14:textId="77777777" w:rsidTr="00BA71ED">
        <w:trPr>
          <w:trHeight w:val="720"/>
        </w:trPr>
        <w:tc>
          <w:tcPr>
            <w:tcW w:w="197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E79388" w14:textId="77777777" w:rsidR="002C60EF" w:rsidRPr="008E3F76" w:rsidRDefault="002C60EF" w:rsidP="00AC0D94">
            <w:pPr>
              <w:widowControl/>
              <w:spacing w:line="360" w:lineRule="auto"/>
              <w:rPr>
                <w:rFonts w:ascii="Times New Roman" w:eastAsia="Times New Roman" w:hAnsi="Times New Roman"/>
                <w:color w:val="000000"/>
                <w:kern w:val="0"/>
                <w:szCs w:val="24"/>
              </w:rPr>
            </w:pPr>
            <w:r w:rsidRPr="008E3F76">
              <w:rPr>
                <w:rFonts w:ascii="Times New Roman" w:eastAsia="Times New Roman" w:hAnsi="Times New Roman"/>
                <w:color w:val="000000"/>
                <w:kern w:val="0"/>
                <w:szCs w:val="24"/>
              </w:rPr>
              <w:t> </w:t>
            </w:r>
          </w:p>
        </w:tc>
        <w:tc>
          <w:tcPr>
            <w:tcW w:w="1560" w:type="dxa"/>
            <w:tcBorders>
              <w:top w:val="single" w:sz="4" w:space="0" w:color="auto"/>
              <w:left w:val="nil"/>
              <w:bottom w:val="single" w:sz="4" w:space="0" w:color="auto"/>
              <w:right w:val="single" w:sz="4" w:space="0" w:color="auto"/>
            </w:tcBorders>
            <w:shd w:val="clear" w:color="auto" w:fill="auto"/>
            <w:vAlign w:val="center"/>
            <w:hideMark/>
          </w:tcPr>
          <w:p w14:paraId="4613C4F0"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500" w:type="dxa"/>
            <w:tcBorders>
              <w:top w:val="single" w:sz="4" w:space="0" w:color="auto"/>
              <w:left w:val="nil"/>
              <w:bottom w:val="single" w:sz="4" w:space="0" w:color="auto"/>
              <w:right w:val="single" w:sz="4" w:space="0" w:color="auto"/>
            </w:tcBorders>
            <w:shd w:val="clear" w:color="auto" w:fill="auto"/>
            <w:vAlign w:val="center"/>
            <w:hideMark/>
          </w:tcPr>
          <w:p w14:paraId="7F7700AD"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563" w:type="dxa"/>
            <w:tcBorders>
              <w:top w:val="single" w:sz="4" w:space="0" w:color="auto"/>
              <w:left w:val="nil"/>
              <w:bottom w:val="single" w:sz="4" w:space="0" w:color="auto"/>
              <w:right w:val="single" w:sz="4" w:space="0" w:color="auto"/>
            </w:tcBorders>
            <w:shd w:val="clear" w:color="auto" w:fill="auto"/>
            <w:vAlign w:val="center"/>
            <w:hideMark/>
          </w:tcPr>
          <w:p w14:paraId="1361F6B8"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r>
      <w:tr w:rsidR="002C60EF" w:rsidRPr="008E3F76" w14:paraId="2A339271"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08E8A0FB"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560" w:type="dxa"/>
            <w:tcBorders>
              <w:top w:val="nil"/>
              <w:left w:val="nil"/>
              <w:bottom w:val="single" w:sz="4" w:space="0" w:color="auto"/>
              <w:right w:val="single" w:sz="4" w:space="0" w:color="auto"/>
            </w:tcBorders>
            <w:shd w:val="clear" w:color="auto" w:fill="auto"/>
            <w:vAlign w:val="center"/>
            <w:hideMark/>
          </w:tcPr>
          <w:p w14:paraId="5F746F02"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500" w:type="dxa"/>
            <w:tcBorders>
              <w:top w:val="nil"/>
              <w:left w:val="nil"/>
              <w:bottom w:val="single" w:sz="4" w:space="0" w:color="auto"/>
              <w:right w:val="single" w:sz="4" w:space="0" w:color="auto"/>
            </w:tcBorders>
            <w:shd w:val="clear" w:color="auto" w:fill="auto"/>
            <w:vAlign w:val="center"/>
            <w:hideMark/>
          </w:tcPr>
          <w:p w14:paraId="10D397EA"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0.69</w:t>
            </w:r>
          </w:p>
        </w:tc>
        <w:tc>
          <w:tcPr>
            <w:tcW w:w="1563" w:type="dxa"/>
            <w:tcBorders>
              <w:top w:val="nil"/>
              <w:left w:val="nil"/>
              <w:bottom w:val="single" w:sz="4" w:space="0" w:color="auto"/>
              <w:right w:val="single" w:sz="4" w:space="0" w:color="auto"/>
            </w:tcBorders>
            <w:shd w:val="clear" w:color="auto" w:fill="auto"/>
            <w:vAlign w:val="center"/>
            <w:hideMark/>
          </w:tcPr>
          <w:p w14:paraId="2077ACF9"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0.36</w:t>
            </w:r>
          </w:p>
        </w:tc>
      </w:tr>
      <w:tr w:rsidR="002C60EF" w:rsidRPr="008E3F76" w14:paraId="3F198E29"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1785C58E"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560" w:type="dxa"/>
            <w:tcBorders>
              <w:top w:val="nil"/>
              <w:left w:val="nil"/>
              <w:bottom w:val="single" w:sz="4" w:space="0" w:color="auto"/>
              <w:right w:val="single" w:sz="4" w:space="0" w:color="auto"/>
            </w:tcBorders>
            <w:shd w:val="clear" w:color="auto" w:fill="auto"/>
            <w:vAlign w:val="center"/>
            <w:hideMark/>
          </w:tcPr>
          <w:p w14:paraId="01F89D86"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0.69</w:t>
            </w:r>
          </w:p>
        </w:tc>
        <w:tc>
          <w:tcPr>
            <w:tcW w:w="1500" w:type="dxa"/>
            <w:tcBorders>
              <w:top w:val="nil"/>
              <w:left w:val="nil"/>
              <w:bottom w:val="single" w:sz="4" w:space="0" w:color="auto"/>
              <w:right w:val="single" w:sz="4" w:space="0" w:color="auto"/>
            </w:tcBorders>
            <w:shd w:val="clear" w:color="auto" w:fill="auto"/>
            <w:vAlign w:val="center"/>
            <w:hideMark/>
          </w:tcPr>
          <w:p w14:paraId="39BFD55A"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563" w:type="dxa"/>
            <w:tcBorders>
              <w:top w:val="nil"/>
              <w:left w:val="nil"/>
              <w:bottom w:val="single" w:sz="4" w:space="0" w:color="auto"/>
              <w:right w:val="single" w:sz="4" w:space="0" w:color="auto"/>
            </w:tcBorders>
            <w:shd w:val="clear" w:color="auto" w:fill="auto"/>
            <w:vAlign w:val="center"/>
            <w:hideMark/>
          </w:tcPr>
          <w:p w14:paraId="0F68B5F7"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r>
      <w:tr w:rsidR="002C60EF" w:rsidRPr="008E3F76" w14:paraId="0247BDAA"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526F9508"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c>
          <w:tcPr>
            <w:tcW w:w="1560" w:type="dxa"/>
            <w:tcBorders>
              <w:top w:val="nil"/>
              <w:left w:val="nil"/>
              <w:bottom w:val="single" w:sz="4" w:space="0" w:color="auto"/>
              <w:right w:val="single" w:sz="4" w:space="0" w:color="auto"/>
            </w:tcBorders>
            <w:shd w:val="clear" w:color="auto" w:fill="auto"/>
            <w:vAlign w:val="center"/>
            <w:hideMark/>
          </w:tcPr>
          <w:p w14:paraId="1DB54174"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0.36</w:t>
            </w:r>
          </w:p>
        </w:tc>
        <w:tc>
          <w:tcPr>
            <w:tcW w:w="1500" w:type="dxa"/>
            <w:tcBorders>
              <w:top w:val="nil"/>
              <w:left w:val="nil"/>
              <w:bottom w:val="single" w:sz="4" w:space="0" w:color="auto"/>
              <w:right w:val="single" w:sz="4" w:space="0" w:color="auto"/>
            </w:tcBorders>
            <w:shd w:val="clear" w:color="auto" w:fill="auto"/>
            <w:vAlign w:val="center"/>
            <w:hideMark/>
          </w:tcPr>
          <w:p w14:paraId="4D9CC80C"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c>
          <w:tcPr>
            <w:tcW w:w="1563" w:type="dxa"/>
            <w:tcBorders>
              <w:top w:val="nil"/>
              <w:left w:val="nil"/>
              <w:bottom w:val="single" w:sz="4" w:space="0" w:color="auto"/>
              <w:right w:val="single" w:sz="4" w:space="0" w:color="auto"/>
            </w:tcBorders>
            <w:shd w:val="clear" w:color="auto" w:fill="auto"/>
            <w:vAlign w:val="center"/>
            <w:hideMark/>
          </w:tcPr>
          <w:p w14:paraId="12B34416"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r>
    </w:tbl>
    <w:p w14:paraId="5DF29856" w14:textId="77777777" w:rsidR="00407073" w:rsidRPr="008E3F76" w:rsidRDefault="00407073" w:rsidP="00AC0D94">
      <w:pPr>
        <w:adjustRightInd w:val="0"/>
        <w:snapToGrid w:val="0"/>
        <w:spacing w:line="360" w:lineRule="auto"/>
        <w:jc w:val="both"/>
        <w:rPr>
          <w:rFonts w:ascii="Times New Roman" w:hAnsi="Times New Roman"/>
          <w:b/>
          <w:bCs/>
          <w:szCs w:val="24"/>
        </w:rPr>
      </w:pPr>
    </w:p>
    <w:p w14:paraId="27851A99" w14:textId="77777777" w:rsidR="00331C03" w:rsidRPr="008E3F76" w:rsidRDefault="00331C0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Key Insights:</w:t>
      </w:r>
    </w:p>
    <w:p w14:paraId="5C01CE96"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strong positive correlation (0.69) between Hong Kong’s and Thailand’s inflation rates suggests that their inflation trends were moderately synchronized during this period. This synchronization is likely due to their shared exposure to global economic conditions, such as fluctuations in commodity prices and international trade dynamics.</w:t>
      </w:r>
    </w:p>
    <w:p w14:paraId="4C5F3126"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moderate positive correlation (0.36) between Hong Kong’s inflation and retail sales indicates that higher inflation may have slightly boosted retail sales, possibly due to increased consumer spending during inflationary periods.</w:t>
      </w:r>
    </w:p>
    <w:p w14:paraId="7AED64C7"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moderate positive correlation (0.51) between Thailand’s inflation and Hong Kong’s retail sales highlights the interconnectedness of the two economies, particularly through tourism and trade. This relationship was particularly evident during periods of economic stability and growth.</w:t>
      </w:r>
    </w:p>
    <w:p w14:paraId="15C7D890" w14:textId="77777777" w:rsidR="00331C03" w:rsidRPr="008E3F76" w:rsidRDefault="00331C03" w:rsidP="00AC0D94">
      <w:pPr>
        <w:adjustRightInd w:val="0"/>
        <w:snapToGrid w:val="0"/>
        <w:spacing w:line="360" w:lineRule="auto"/>
        <w:ind w:left="720"/>
        <w:jc w:val="both"/>
        <w:rPr>
          <w:rFonts w:ascii="Times New Roman" w:hAnsi="Times New Roman"/>
          <w:szCs w:val="24"/>
        </w:rPr>
      </w:pPr>
    </w:p>
    <w:p w14:paraId="67316317" w14:textId="77777777" w:rsidR="00E01E96" w:rsidRPr="008E3F76" w:rsidRDefault="00E01E96" w:rsidP="00AC0D94">
      <w:pPr>
        <w:adjustRightInd w:val="0"/>
        <w:snapToGrid w:val="0"/>
        <w:spacing w:line="360" w:lineRule="auto"/>
        <w:ind w:left="720"/>
        <w:jc w:val="both"/>
        <w:rPr>
          <w:rFonts w:ascii="Times New Roman" w:hAnsi="Times New Roman"/>
          <w:b/>
          <w:bCs/>
          <w:szCs w:val="24"/>
        </w:rPr>
      </w:pPr>
    </w:p>
    <w:p w14:paraId="067A169E" w14:textId="77777777" w:rsidR="00A14006" w:rsidRPr="008E3F76" w:rsidRDefault="00A1400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Table 3: Pearson Correlation Matrix (2019–2023)</w:t>
      </w:r>
    </w:p>
    <w:tbl>
      <w:tblPr>
        <w:tblW w:w="7440" w:type="dxa"/>
        <w:tblLook w:val="04A0" w:firstRow="1" w:lastRow="0" w:firstColumn="1" w:lastColumn="0" w:noHBand="0" w:noVBand="1"/>
      </w:tblPr>
      <w:tblGrid>
        <w:gridCol w:w="1980"/>
        <w:gridCol w:w="1820"/>
        <w:gridCol w:w="1820"/>
        <w:gridCol w:w="1820"/>
      </w:tblGrid>
      <w:tr w:rsidR="0002418D" w:rsidRPr="008E3F76" w14:paraId="6C3D95E1" w14:textId="77777777" w:rsidTr="0002418D">
        <w:trPr>
          <w:trHeight w:val="770"/>
        </w:trPr>
        <w:tc>
          <w:tcPr>
            <w:tcW w:w="198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DEF9BB"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color w:val="000000"/>
                <w:kern w:val="0"/>
                <w:szCs w:val="24"/>
              </w:rPr>
              <w:t> </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5D1F4FC0"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15436A45"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565093A9"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r>
      <w:tr w:rsidR="0002418D" w:rsidRPr="008E3F76" w14:paraId="00CC007F"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11ABD0A0"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820" w:type="dxa"/>
            <w:tcBorders>
              <w:top w:val="nil"/>
              <w:left w:val="nil"/>
              <w:bottom w:val="single" w:sz="4" w:space="0" w:color="auto"/>
              <w:right w:val="single" w:sz="4" w:space="0" w:color="auto"/>
            </w:tcBorders>
            <w:shd w:val="clear" w:color="auto" w:fill="auto"/>
            <w:vAlign w:val="center"/>
            <w:hideMark/>
          </w:tcPr>
          <w:p w14:paraId="076F5595"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820" w:type="dxa"/>
            <w:tcBorders>
              <w:top w:val="nil"/>
              <w:left w:val="nil"/>
              <w:bottom w:val="single" w:sz="4" w:space="0" w:color="auto"/>
              <w:right w:val="single" w:sz="4" w:space="0" w:color="auto"/>
            </w:tcBorders>
            <w:shd w:val="clear" w:color="auto" w:fill="auto"/>
            <w:vAlign w:val="center"/>
            <w:hideMark/>
          </w:tcPr>
          <w:p w14:paraId="5532E53B"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0.59</w:t>
            </w:r>
          </w:p>
        </w:tc>
        <w:tc>
          <w:tcPr>
            <w:tcW w:w="1820" w:type="dxa"/>
            <w:tcBorders>
              <w:top w:val="nil"/>
              <w:left w:val="nil"/>
              <w:bottom w:val="single" w:sz="4" w:space="0" w:color="auto"/>
              <w:right w:val="single" w:sz="4" w:space="0" w:color="auto"/>
            </w:tcBorders>
            <w:shd w:val="clear" w:color="auto" w:fill="auto"/>
            <w:vAlign w:val="center"/>
            <w:hideMark/>
          </w:tcPr>
          <w:p w14:paraId="1C90F9CD"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-0.37</w:t>
            </w:r>
          </w:p>
        </w:tc>
      </w:tr>
      <w:tr w:rsidR="0002418D" w:rsidRPr="008E3F76" w14:paraId="1ADD9FBC"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2D3BC581"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820" w:type="dxa"/>
            <w:tcBorders>
              <w:top w:val="nil"/>
              <w:left w:val="nil"/>
              <w:bottom w:val="single" w:sz="4" w:space="0" w:color="auto"/>
              <w:right w:val="single" w:sz="4" w:space="0" w:color="auto"/>
            </w:tcBorders>
            <w:shd w:val="clear" w:color="auto" w:fill="auto"/>
            <w:vAlign w:val="center"/>
            <w:hideMark/>
          </w:tcPr>
          <w:p w14:paraId="6914B6A3"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0.59</w:t>
            </w:r>
          </w:p>
        </w:tc>
        <w:tc>
          <w:tcPr>
            <w:tcW w:w="1820" w:type="dxa"/>
            <w:tcBorders>
              <w:top w:val="nil"/>
              <w:left w:val="nil"/>
              <w:bottom w:val="single" w:sz="4" w:space="0" w:color="auto"/>
              <w:right w:val="single" w:sz="4" w:space="0" w:color="auto"/>
            </w:tcBorders>
            <w:shd w:val="clear" w:color="auto" w:fill="auto"/>
            <w:vAlign w:val="center"/>
            <w:hideMark/>
          </w:tcPr>
          <w:p w14:paraId="5AAF6936"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820" w:type="dxa"/>
            <w:tcBorders>
              <w:top w:val="nil"/>
              <w:left w:val="nil"/>
              <w:bottom w:val="single" w:sz="4" w:space="0" w:color="auto"/>
              <w:right w:val="single" w:sz="4" w:space="0" w:color="auto"/>
            </w:tcBorders>
            <w:shd w:val="clear" w:color="auto" w:fill="auto"/>
            <w:vAlign w:val="center"/>
            <w:hideMark/>
          </w:tcPr>
          <w:p w14:paraId="1664249F"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r>
      <w:tr w:rsidR="0002418D" w:rsidRPr="008E3F76" w14:paraId="72F326DC"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4345BD13"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c>
          <w:tcPr>
            <w:tcW w:w="1820" w:type="dxa"/>
            <w:tcBorders>
              <w:top w:val="nil"/>
              <w:left w:val="nil"/>
              <w:bottom w:val="single" w:sz="4" w:space="0" w:color="auto"/>
              <w:right w:val="single" w:sz="4" w:space="0" w:color="auto"/>
            </w:tcBorders>
            <w:shd w:val="clear" w:color="auto" w:fill="auto"/>
            <w:vAlign w:val="center"/>
            <w:hideMark/>
          </w:tcPr>
          <w:p w14:paraId="65734A35"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-0.37</w:t>
            </w:r>
          </w:p>
        </w:tc>
        <w:tc>
          <w:tcPr>
            <w:tcW w:w="1820" w:type="dxa"/>
            <w:tcBorders>
              <w:top w:val="nil"/>
              <w:left w:val="nil"/>
              <w:bottom w:val="single" w:sz="4" w:space="0" w:color="auto"/>
              <w:right w:val="single" w:sz="4" w:space="0" w:color="auto"/>
            </w:tcBorders>
            <w:shd w:val="clear" w:color="auto" w:fill="auto"/>
            <w:vAlign w:val="center"/>
            <w:hideMark/>
          </w:tcPr>
          <w:p w14:paraId="12F2B7F6"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c>
          <w:tcPr>
            <w:tcW w:w="1820" w:type="dxa"/>
            <w:tcBorders>
              <w:top w:val="nil"/>
              <w:left w:val="nil"/>
              <w:bottom w:val="single" w:sz="4" w:space="0" w:color="auto"/>
              <w:right w:val="single" w:sz="4" w:space="0" w:color="auto"/>
            </w:tcBorders>
            <w:shd w:val="clear" w:color="auto" w:fill="auto"/>
            <w:vAlign w:val="center"/>
            <w:hideMark/>
          </w:tcPr>
          <w:p w14:paraId="048810A4"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r>
    </w:tbl>
    <w:p w14:paraId="54A8539C" w14:textId="77777777" w:rsidR="0002418D" w:rsidRPr="008E3F76" w:rsidRDefault="0002418D" w:rsidP="00AC0D94">
      <w:pPr>
        <w:adjustRightInd w:val="0"/>
        <w:snapToGrid w:val="0"/>
        <w:spacing w:line="360" w:lineRule="auto"/>
        <w:jc w:val="both"/>
        <w:rPr>
          <w:rFonts w:ascii="Times New Roman" w:hAnsi="Times New Roman"/>
          <w:b/>
          <w:bCs/>
          <w:szCs w:val="24"/>
        </w:rPr>
      </w:pPr>
    </w:p>
    <w:p w14:paraId="2978856C" w14:textId="77777777" w:rsidR="00BA71ED" w:rsidRDefault="00BA71ED" w:rsidP="00AC0D94">
      <w:pPr>
        <w:adjustRightInd w:val="0"/>
        <w:snapToGrid w:val="0"/>
        <w:spacing w:line="360" w:lineRule="auto"/>
        <w:jc w:val="both"/>
        <w:rPr>
          <w:rFonts w:ascii="Times New Roman" w:hAnsi="Times New Roman"/>
          <w:b/>
          <w:bCs/>
          <w:szCs w:val="24"/>
        </w:rPr>
      </w:pPr>
    </w:p>
    <w:p w14:paraId="05B85FA0" w14:textId="77777777" w:rsidR="00BA71ED" w:rsidRDefault="00BA71ED" w:rsidP="00AC0D94">
      <w:pPr>
        <w:adjustRightInd w:val="0"/>
        <w:snapToGrid w:val="0"/>
        <w:spacing w:line="360" w:lineRule="auto"/>
        <w:jc w:val="both"/>
        <w:rPr>
          <w:rFonts w:ascii="Times New Roman" w:hAnsi="Times New Roman"/>
          <w:b/>
          <w:bCs/>
          <w:szCs w:val="24"/>
        </w:rPr>
      </w:pPr>
    </w:p>
    <w:p w14:paraId="2DD9B603" w14:textId="0FA345C5" w:rsidR="00E01E96" w:rsidRPr="008E3F76" w:rsidRDefault="00E01E9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Key Insights:</w:t>
      </w:r>
    </w:p>
    <w:p w14:paraId="297C0AF3"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positive correlation (0.59) between Hong Kong’s and Thailand’s inflation rates during this period reflects their shared exposure to global economic shocks, such as the COVID-19 pandemic. However, the slightly lower correlation compared to the 2006–2018 period suggests that the pandemic may have introduced some divergence in their inflation trends.</w:t>
      </w:r>
    </w:p>
    <w:p w14:paraId="16BCDCE7"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weak negative correlation (-0.37) between Hong Kong’s inflation and retail sales suggests that higher inflation may have suppressed retail sales during this period, likely due to economic uncertainty and reduced consumer confidence caused by the pandemic and social unrest.</w:t>
      </w:r>
    </w:p>
    <w:p w14:paraId="66734E7A"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moderate positive correlation (0.51) between Thailand’s inflation and Hong Kong’s retail sales indicates that Thailand’s economic conditions continued to influence Hong Kong’s retail sector, particularly through tourism. This relationship underscores the importance of tourism as a key driver of economic interconnectedness between the two regions, even during periods of global disruption.</w:t>
      </w:r>
    </w:p>
    <w:p w14:paraId="063A7BBD" w14:textId="77777777" w:rsidR="00A941F6" w:rsidRPr="008E3F76" w:rsidRDefault="00A941F6" w:rsidP="00AC0D94">
      <w:pPr>
        <w:adjustRightInd w:val="0"/>
        <w:snapToGrid w:val="0"/>
        <w:spacing w:line="360" w:lineRule="auto"/>
        <w:ind w:left="360"/>
        <w:jc w:val="both"/>
        <w:rPr>
          <w:rFonts w:ascii="Times New Roman" w:hAnsi="Times New Roman"/>
          <w:szCs w:val="24"/>
        </w:rPr>
      </w:pPr>
    </w:p>
    <w:p w14:paraId="0DEEFBFD" w14:textId="669CEF05" w:rsidR="00D3080E" w:rsidRPr="008E3F76" w:rsidRDefault="00D3080E"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3.</w:t>
      </w:r>
      <w:r w:rsidR="00BA71ED">
        <w:rPr>
          <w:rFonts w:ascii="Times New Roman" w:hAnsi="Times New Roman"/>
          <w:b/>
          <w:bCs/>
          <w:szCs w:val="24"/>
        </w:rPr>
        <w:t>4</w:t>
      </w:r>
      <w:r w:rsidR="00DC103F">
        <w:rPr>
          <w:rFonts w:ascii="Times New Roman" w:hAnsi="Times New Roman"/>
          <w:b/>
          <w:bCs/>
          <w:szCs w:val="24"/>
        </w:rPr>
        <w:t>.</w:t>
      </w:r>
      <w:r w:rsidR="0077040C">
        <w:rPr>
          <w:rFonts w:ascii="Times New Roman" w:hAnsi="Times New Roman"/>
          <w:b/>
          <w:bCs/>
          <w:szCs w:val="24"/>
        </w:rPr>
        <w:t>4</w:t>
      </w:r>
      <w:r w:rsidRPr="008E3F76">
        <w:rPr>
          <w:rFonts w:ascii="Times New Roman" w:hAnsi="Times New Roman"/>
          <w:b/>
          <w:bCs/>
          <w:szCs w:val="24"/>
        </w:rPr>
        <w:t xml:space="preserve"> Similarities and Differences in Patterns and Trends</w:t>
      </w:r>
    </w:p>
    <w:p w14:paraId="46F5EE3A" w14:textId="77777777" w:rsidR="00AC797E" w:rsidRDefault="00AC797E" w:rsidP="00AC0D94">
      <w:pPr>
        <w:adjustRightInd w:val="0"/>
        <w:snapToGrid w:val="0"/>
        <w:spacing w:line="360" w:lineRule="auto"/>
        <w:jc w:val="both"/>
        <w:rPr>
          <w:rFonts w:ascii="Times New Roman" w:hAnsi="Times New Roman"/>
          <w:b/>
          <w:bCs/>
          <w:szCs w:val="24"/>
        </w:rPr>
      </w:pPr>
    </w:p>
    <w:p w14:paraId="12FDC0F3" w14:textId="50376BC6" w:rsidR="0045634D" w:rsidRDefault="0045634D" w:rsidP="00AC0D94">
      <w:pPr>
        <w:adjustRightInd w:val="0"/>
        <w:snapToGrid w:val="0"/>
        <w:spacing w:line="360" w:lineRule="auto"/>
        <w:jc w:val="both"/>
        <w:rPr>
          <w:rFonts w:ascii="Times New Roman" w:hAnsi="Times New Roman"/>
          <w:szCs w:val="24"/>
        </w:rPr>
      </w:pPr>
      <w:r w:rsidRPr="0045634D">
        <w:rPr>
          <w:rFonts w:ascii="Times New Roman" w:hAnsi="Times New Roman"/>
          <w:szCs w:val="24"/>
        </w:rPr>
        <w:t>The analysis of summary statistics (Table 4: 2006–2023 and Table 5: 2019–2023) reveals both similarities and differences in the economic patterns and trends of Hong Kong and Thailand.</w:t>
      </w:r>
    </w:p>
    <w:p w14:paraId="3C3CA624" w14:textId="77777777" w:rsidR="00EB733B" w:rsidRDefault="00EB733B" w:rsidP="00AC0D94">
      <w:pPr>
        <w:adjustRightInd w:val="0"/>
        <w:snapToGrid w:val="0"/>
        <w:spacing w:line="360" w:lineRule="auto"/>
        <w:jc w:val="both"/>
        <w:rPr>
          <w:rFonts w:ascii="Times New Roman" w:hAnsi="Times New Roman"/>
          <w:b/>
          <w:bCs/>
          <w:szCs w:val="24"/>
        </w:rPr>
      </w:pPr>
    </w:p>
    <w:p w14:paraId="677C189E" w14:textId="77777777" w:rsidR="00A33374" w:rsidRPr="00A33374" w:rsidRDefault="00A33374" w:rsidP="00AC0D94">
      <w:p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Similarities:</w:t>
      </w:r>
    </w:p>
    <w:p w14:paraId="1EC9533F" w14:textId="77777777" w:rsidR="00A33374" w:rsidRPr="00A33374" w:rsidRDefault="00A33374" w:rsidP="003F53B9">
      <w:pPr>
        <w:numPr>
          <w:ilvl w:val="0"/>
          <w:numId w:val="24"/>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Impact of Global Events:</w:t>
      </w:r>
    </w:p>
    <w:p w14:paraId="2C8B564E" w14:textId="77777777" w:rsidR="00A33374" w:rsidRPr="00A33374" w:rsidRDefault="00A33374" w:rsidP="003F53B9">
      <w:pPr>
        <w:pStyle w:val="ListParagraph"/>
        <w:numPr>
          <w:ilvl w:val="0"/>
          <w:numId w:val="26"/>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Both economies were significantly impacted by global events such as the 2008 financial crisis and the COVID-19 pandemic, with sharp declines in retail sales and inflation during these periods.</w:t>
      </w:r>
    </w:p>
    <w:p w14:paraId="787AAD93" w14:textId="77777777" w:rsidR="00A33374" w:rsidRPr="00A33374" w:rsidRDefault="00A33374" w:rsidP="003F53B9">
      <w:pPr>
        <w:pStyle w:val="ListParagraph"/>
        <w:numPr>
          <w:ilvl w:val="0"/>
          <w:numId w:val="26"/>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Both regions demonstrated resilience in certain areas: Hong Kong’s inflation remained stable, while Thailand’s inflation recovered post-pandemic.</w:t>
      </w:r>
    </w:p>
    <w:p w14:paraId="1561C5EF" w14:textId="77777777" w:rsidR="00A33374" w:rsidRPr="00A33374" w:rsidRDefault="00A33374" w:rsidP="003F53B9">
      <w:pPr>
        <w:numPr>
          <w:ilvl w:val="0"/>
          <w:numId w:val="24"/>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Interconnectedness:</w:t>
      </w:r>
    </w:p>
    <w:p w14:paraId="62F31A18" w14:textId="77777777" w:rsidR="00A33374" w:rsidRPr="00A33374" w:rsidRDefault="00A33374" w:rsidP="003F53B9">
      <w:pPr>
        <w:pStyle w:val="ListParagraph"/>
        <w:numPr>
          <w:ilvl w:val="0"/>
          <w:numId w:val="27"/>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The strong correlation (0.69) between Hong Kong’s and Thailand’s inflation rates (Table 2: 2006–2018) indicates moderate synchronization due to shared exposure to global economic conditions.</w:t>
      </w:r>
    </w:p>
    <w:p w14:paraId="233CF45F" w14:textId="77777777" w:rsidR="00A33374" w:rsidRPr="00A33374" w:rsidRDefault="00A33374" w:rsidP="003F53B9">
      <w:pPr>
        <w:pStyle w:val="ListParagraph"/>
        <w:numPr>
          <w:ilvl w:val="0"/>
          <w:numId w:val="27"/>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lastRenderedPageBreak/>
        <w:t>The moderate correlation (0.51) between Thailand’s inflation and Hong Kong’s retail sales highlights the interconnectedness of the two economies, particularly through tourism and trade.</w:t>
      </w:r>
    </w:p>
    <w:p w14:paraId="55347931" w14:textId="77777777" w:rsidR="00A33374" w:rsidRDefault="00A33374" w:rsidP="00AC0D94">
      <w:pPr>
        <w:adjustRightInd w:val="0"/>
        <w:snapToGrid w:val="0"/>
        <w:spacing w:line="360" w:lineRule="auto"/>
        <w:jc w:val="both"/>
        <w:rPr>
          <w:rFonts w:ascii="Times New Roman" w:hAnsi="Times New Roman"/>
          <w:b/>
          <w:bCs/>
          <w:szCs w:val="24"/>
        </w:rPr>
      </w:pPr>
    </w:p>
    <w:p w14:paraId="5BADCEB9" w14:textId="77777777" w:rsidR="00A33374" w:rsidRDefault="00A33374" w:rsidP="00AC0D94">
      <w:pPr>
        <w:adjustRightInd w:val="0"/>
        <w:snapToGrid w:val="0"/>
        <w:spacing w:line="360" w:lineRule="auto"/>
        <w:jc w:val="both"/>
        <w:rPr>
          <w:rFonts w:ascii="Times New Roman" w:hAnsi="Times New Roman"/>
          <w:b/>
          <w:bCs/>
          <w:szCs w:val="24"/>
        </w:rPr>
      </w:pPr>
    </w:p>
    <w:p w14:paraId="7E7B13E6" w14:textId="77777777" w:rsidR="00A33374" w:rsidRDefault="00A33374" w:rsidP="00AC0D94">
      <w:pPr>
        <w:adjustRightInd w:val="0"/>
        <w:snapToGrid w:val="0"/>
        <w:spacing w:line="360" w:lineRule="auto"/>
        <w:jc w:val="both"/>
        <w:rPr>
          <w:rFonts w:ascii="Times New Roman" w:hAnsi="Times New Roman"/>
          <w:b/>
          <w:bCs/>
          <w:szCs w:val="24"/>
        </w:rPr>
      </w:pPr>
    </w:p>
    <w:p w14:paraId="5C6550B5" w14:textId="77777777" w:rsidR="00A33374" w:rsidRDefault="00A33374" w:rsidP="00AC0D94">
      <w:pPr>
        <w:adjustRightInd w:val="0"/>
        <w:snapToGrid w:val="0"/>
        <w:spacing w:line="360" w:lineRule="auto"/>
        <w:jc w:val="both"/>
        <w:rPr>
          <w:rFonts w:ascii="Times New Roman" w:hAnsi="Times New Roman"/>
          <w:b/>
          <w:bCs/>
          <w:szCs w:val="24"/>
        </w:rPr>
      </w:pPr>
    </w:p>
    <w:p w14:paraId="74779855" w14:textId="52B74881" w:rsidR="00A33374" w:rsidRPr="00A33374" w:rsidRDefault="00A33374" w:rsidP="00AC0D94">
      <w:p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Differences:</w:t>
      </w:r>
    </w:p>
    <w:p w14:paraId="2B1BDB15"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Volatility in Retail Sales:</w:t>
      </w:r>
    </w:p>
    <w:p w14:paraId="66B0852D" w14:textId="77777777" w:rsidR="00A33374" w:rsidRPr="00A33374" w:rsidRDefault="00A33374" w:rsidP="003F53B9">
      <w:pPr>
        <w:pStyle w:val="ListParagraph"/>
        <w:numPr>
          <w:ilvl w:val="0"/>
          <w:numId w:val="29"/>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retail sales exhibited extreme volatility, with a range of 44.1% (2006–2023) and 34.9% (2019–2023), driven by social unrest and structural challenges.</w:t>
      </w:r>
    </w:p>
    <w:p w14:paraId="1CF1F34E" w14:textId="77777777" w:rsidR="00A33374" w:rsidRPr="00A33374" w:rsidRDefault="00A33374" w:rsidP="003F53B9">
      <w:pPr>
        <w:pStyle w:val="ListParagraph"/>
        <w:numPr>
          <w:ilvl w:val="0"/>
          <w:numId w:val="29"/>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In contrast, Thailand’s retail environment was more stable, with less extreme fluctuations.</w:t>
      </w:r>
    </w:p>
    <w:p w14:paraId="090FB6A7"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Sensitivity to External Shocks:</w:t>
      </w:r>
    </w:p>
    <w:p w14:paraId="3ADEEACD" w14:textId="77777777" w:rsidR="00A33374" w:rsidRPr="00A33374" w:rsidRDefault="00A33374" w:rsidP="003F53B9">
      <w:pPr>
        <w:pStyle w:val="ListParagraph"/>
        <w:numPr>
          <w:ilvl w:val="0"/>
          <w:numId w:val="28"/>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Thailand’s inflation showed greater sensitivity to external shocks, such as global commodity prices and tourism trends, leading to periods of deflation (e.g., -0.9% in 2015) and inflation spikes (e.g., 5.9% in 2022).</w:t>
      </w:r>
    </w:p>
    <w:p w14:paraId="14E294EA" w14:textId="77777777" w:rsidR="00A33374" w:rsidRPr="00A33374" w:rsidRDefault="00A33374" w:rsidP="003F53B9">
      <w:pPr>
        <w:pStyle w:val="ListParagraph"/>
        <w:numPr>
          <w:ilvl w:val="0"/>
          <w:numId w:val="28"/>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inflation, on the other hand, remained relatively stable, with a mean growth rate of 3.5% (2006–2023) and 1.7% (2019–2023), indicating resilience despite economic challenges.</w:t>
      </w:r>
    </w:p>
    <w:p w14:paraId="537791B3"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Post-2019 Trends:</w:t>
      </w:r>
    </w:p>
    <w:p w14:paraId="2D1D5ED0" w14:textId="77777777" w:rsidR="00A33374" w:rsidRPr="00A33374" w:rsidRDefault="00A33374" w:rsidP="003F53B9">
      <w:pPr>
        <w:pStyle w:val="ListParagraph"/>
        <w:numPr>
          <w:ilvl w:val="0"/>
          <w:numId w:val="30"/>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retail sales experienced a sharp decline post-2019, with a mean growth rate of -7.3% (2019–2023), reflecting the combined impact of social unrest and the pandemic.</w:t>
      </w:r>
    </w:p>
    <w:p w14:paraId="5ACB22C9" w14:textId="77777777" w:rsidR="00A33374" w:rsidRPr="00A33374" w:rsidRDefault="00A33374" w:rsidP="003F53B9">
      <w:pPr>
        <w:pStyle w:val="ListParagraph"/>
        <w:numPr>
          <w:ilvl w:val="0"/>
          <w:numId w:val="30"/>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Thailand’s inflation, while also affected by the pandemic, showed signs of recovery, with a mean growth rate of 1.58% (2019–2023) and a spike in 2022 (5.9%) due to post-pandemic recovery.</w:t>
      </w:r>
    </w:p>
    <w:p w14:paraId="511FDFB0" w14:textId="77777777" w:rsidR="00A33374" w:rsidRPr="008E3F76" w:rsidRDefault="00A33374" w:rsidP="00AC0D94">
      <w:pPr>
        <w:adjustRightInd w:val="0"/>
        <w:snapToGrid w:val="0"/>
        <w:spacing w:line="360" w:lineRule="auto"/>
        <w:jc w:val="both"/>
        <w:rPr>
          <w:rFonts w:ascii="Times New Roman" w:hAnsi="Times New Roman"/>
          <w:b/>
          <w:bCs/>
          <w:szCs w:val="24"/>
        </w:rPr>
      </w:pPr>
    </w:p>
    <w:p w14:paraId="02557FE6" w14:textId="77777777" w:rsidR="00551718" w:rsidRDefault="00551718" w:rsidP="00AC0D94">
      <w:pPr>
        <w:adjustRightInd w:val="0"/>
        <w:snapToGrid w:val="0"/>
        <w:spacing w:line="360" w:lineRule="auto"/>
        <w:ind w:left="720"/>
        <w:jc w:val="both"/>
        <w:rPr>
          <w:rFonts w:ascii="Times New Roman" w:hAnsi="Times New Roman"/>
          <w:szCs w:val="24"/>
        </w:rPr>
      </w:pPr>
    </w:p>
    <w:p w14:paraId="1057CC29" w14:textId="77777777" w:rsidR="00953EE7" w:rsidRDefault="00953EE7" w:rsidP="00AC0D94">
      <w:pPr>
        <w:adjustRightInd w:val="0"/>
        <w:snapToGrid w:val="0"/>
        <w:spacing w:line="360" w:lineRule="auto"/>
        <w:ind w:left="720"/>
        <w:jc w:val="both"/>
        <w:rPr>
          <w:rFonts w:ascii="Times New Roman" w:hAnsi="Times New Roman"/>
          <w:szCs w:val="24"/>
        </w:rPr>
      </w:pPr>
    </w:p>
    <w:p w14:paraId="6BA28BA5" w14:textId="77777777" w:rsidR="001B445C" w:rsidRPr="001B445C" w:rsidRDefault="001B445C" w:rsidP="00AC0D94">
      <w:pPr>
        <w:adjustRightInd w:val="0"/>
        <w:snapToGrid w:val="0"/>
        <w:spacing w:line="360" w:lineRule="auto"/>
        <w:jc w:val="both"/>
        <w:rPr>
          <w:rFonts w:ascii="Times New Roman" w:hAnsi="Times New Roman"/>
          <w:b/>
          <w:bCs/>
          <w:szCs w:val="24"/>
        </w:rPr>
      </w:pPr>
      <w:r w:rsidRPr="001B445C">
        <w:rPr>
          <w:rFonts w:ascii="Times New Roman" w:hAnsi="Times New Roman"/>
          <w:b/>
          <w:bCs/>
          <w:szCs w:val="24"/>
        </w:rPr>
        <w:lastRenderedPageBreak/>
        <w:t>4. Conclusion and Recommendations</w:t>
      </w:r>
    </w:p>
    <w:p w14:paraId="55D434DF" w14:textId="77777777" w:rsidR="001B445C" w:rsidRPr="001B445C" w:rsidRDefault="001B445C" w:rsidP="00AC0D94">
      <w:pPr>
        <w:adjustRightInd w:val="0"/>
        <w:snapToGrid w:val="0"/>
        <w:spacing w:line="360" w:lineRule="auto"/>
        <w:jc w:val="both"/>
        <w:rPr>
          <w:rFonts w:ascii="Times New Roman" w:hAnsi="Times New Roman"/>
          <w:b/>
          <w:bCs/>
          <w:szCs w:val="24"/>
        </w:rPr>
      </w:pPr>
      <w:r w:rsidRPr="001B445C">
        <w:rPr>
          <w:rFonts w:ascii="Times New Roman" w:hAnsi="Times New Roman"/>
          <w:b/>
          <w:bCs/>
          <w:szCs w:val="24"/>
        </w:rPr>
        <w:t>4.1 Conclusion</w:t>
      </w:r>
    </w:p>
    <w:p w14:paraId="48FD39A2" w14:textId="5E7F399B"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This research analyzed consumer inflation and retail sales trends in Hong Kong and Thailand from 2005 to 2023, achieving its objectives and providing actionable insights for AAA Department Store’s investment strategy. The findings reveal contrasting economic dynamics in both regions, supporting the rationale for strategic diversification.</w:t>
      </w:r>
    </w:p>
    <w:p w14:paraId="3598E7E6" w14:textId="77777777" w:rsid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Hong Kong’s retail sector experienced strong growth from 2005 to 2013, fueled by economic expansion, rising tourism, and favorable credit conditions. However, from 2014 to 2023, it faced significant volatility due to slowing growth in mainland China, political instability, and the COVID-19 pandemic. Retail sales plummeted by 22.5% in 2020, with only a partial recovery noted in 2023. Despite this volatility, Hong Kong’s CPI remained stable, averaging 2–3%, indicating resilience in consumer prices.</w:t>
      </w:r>
    </w:p>
    <w:p w14:paraId="0C672539" w14:textId="77777777" w:rsidR="001B445C" w:rsidRPr="001B445C" w:rsidRDefault="001B445C" w:rsidP="00AC0D94">
      <w:pPr>
        <w:adjustRightInd w:val="0"/>
        <w:snapToGrid w:val="0"/>
        <w:spacing w:line="360" w:lineRule="auto"/>
        <w:jc w:val="both"/>
        <w:rPr>
          <w:rFonts w:ascii="Times New Roman" w:hAnsi="Times New Roman"/>
          <w:szCs w:val="24"/>
        </w:rPr>
      </w:pPr>
    </w:p>
    <w:p w14:paraId="4605398C" w14:textId="77777777" w:rsid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In contrast, Thailand’s retail environment displayed greater variability in inflation, with deflationary periods such as -0.9% in 2015 and inflation spikes like 5.9% in 2022, reflecting its dependence on tourism and global commodity prices. Thailand demonstrated a more stable retail environment, characterized by lower inflation and competitive production costs, especially in clothing and footwear. The country also benefited from a booming tourism sector and a favorable real estate market, making it an attractive destination for market expansion.</w:t>
      </w:r>
    </w:p>
    <w:p w14:paraId="18606355" w14:textId="77777777" w:rsidR="001B445C" w:rsidRPr="001B445C" w:rsidRDefault="001B445C" w:rsidP="00AC0D94">
      <w:pPr>
        <w:adjustRightInd w:val="0"/>
        <w:snapToGrid w:val="0"/>
        <w:spacing w:line="360" w:lineRule="auto"/>
        <w:jc w:val="both"/>
        <w:rPr>
          <w:rFonts w:ascii="Times New Roman" w:hAnsi="Times New Roman"/>
          <w:szCs w:val="24"/>
        </w:rPr>
      </w:pPr>
    </w:p>
    <w:p w14:paraId="517D8547" w14:textId="72346122"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The correlation analysis revealed a strong positive correlation (0.69) between Hong Kong and Thailand’s inflation rates and a moderate correlation (0.51) between Thailand’s inflation and Hong Kong’s retail sales. These findings confirm that diversifying into Thailand offers AAA a strategic opportunity to mitigate risks associated with Hong Kong’s volatile retail market while capitalizing on Thailand’s stable inflation, growing tourism, and cost-effective production.</w:t>
      </w:r>
    </w:p>
    <w:p w14:paraId="576ED154" w14:textId="014615F9"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In summary, the research highlights the importance of diversification and strategic adaptation to navigate the contrasting economic landscapes of Hong Kong and Thailand. By leveraging these insights, AAA can enhance its resilience and capitalize on emerging opportunities in both regions.</w:t>
      </w:r>
    </w:p>
    <w:p w14:paraId="0055675D" w14:textId="572F77F0" w:rsidR="00551718" w:rsidRDefault="00551718" w:rsidP="00AC0D94">
      <w:pPr>
        <w:adjustRightInd w:val="0"/>
        <w:snapToGrid w:val="0"/>
        <w:spacing w:line="360" w:lineRule="auto"/>
        <w:jc w:val="both"/>
        <w:rPr>
          <w:rFonts w:ascii="Times New Roman" w:hAnsi="Times New Roman"/>
          <w:b/>
          <w:bCs/>
          <w:szCs w:val="24"/>
        </w:rPr>
      </w:pPr>
    </w:p>
    <w:p w14:paraId="532CA149" w14:textId="77777777" w:rsidR="00502B88" w:rsidRDefault="00502B88" w:rsidP="00AC0D94">
      <w:pPr>
        <w:adjustRightInd w:val="0"/>
        <w:snapToGrid w:val="0"/>
        <w:spacing w:line="360" w:lineRule="auto"/>
        <w:jc w:val="both"/>
        <w:rPr>
          <w:rFonts w:ascii="Times New Roman" w:hAnsi="Times New Roman"/>
          <w:b/>
          <w:bCs/>
          <w:szCs w:val="24"/>
        </w:rPr>
      </w:pPr>
    </w:p>
    <w:p w14:paraId="67A532B9" w14:textId="77777777" w:rsidR="001B445C" w:rsidRPr="00551718" w:rsidRDefault="001B445C" w:rsidP="00AC0D94">
      <w:pPr>
        <w:adjustRightInd w:val="0"/>
        <w:snapToGrid w:val="0"/>
        <w:spacing w:line="360" w:lineRule="auto"/>
        <w:jc w:val="both"/>
        <w:rPr>
          <w:rFonts w:ascii="Times New Roman" w:hAnsi="Times New Roman"/>
          <w:b/>
          <w:bCs/>
          <w:szCs w:val="24"/>
        </w:rPr>
      </w:pPr>
    </w:p>
    <w:p w14:paraId="676B0471" w14:textId="77777777" w:rsidR="00551718" w:rsidRPr="00551718" w:rsidRDefault="00551718" w:rsidP="00AC0D94">
      <w:pPr>
        <w:adjustRightInd w:val="0"/>
        <w:snapToGrid w:val="0"/>
        <w:spacing w:line="360" w:lineRule="auto"/>
        <w:jc w:val="both"/>
        <w:rPr>
          <w:rFonts w:ascii="Times New Roman" w:hAnsi="Times New Roman"/>
          <w:b/>
          <w:bCs/>
          <w:szCs w:val="24"/>
        </w:rPr>
      </w:pPr>
      <w:r w:rsidRPr="00551718">
        <w:rPr>
          <w:rFonts w:ascii="Times New Roman" w:hAnsi="Times New Roman"/>
          <w:b/>
          <w:bCs/>
          <w:szCs w:val="24"/>
        </w:rPr>
        <w:lastRenderedPageBreak/>
        <w:t>4.2 Recommendations</w:t>
      </w:r>
    </w:p>
    <w:p w14:paraId="132B0E2F" w14:textId="4969F76E"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Based on the findings, the following recommendations are proposed to support AAA’s investment strategy. First, the company should expand into Thailand to reduce reliance on Hong Kong’s volatile market. Targeting high-traffic tourist locations and leveraging Thailand’s stable retail environment will be key to this expansion. Additionally, exploring other Southeast Asian markets could provide further diversification opportunities.</w:t>
      </w:r>
    </w:p>
    <w:p w14:paraId="75CBE63B" w14:textId="09C959C8"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Second, AAA should align its marketing strategies with tourism trends by targeting high-spending tourists in both regions. Collaborating with travel agencies to promote the brand as a preferred shopping destination and enhancing the tourist experience through multilingual staff, tax refund services, and exclusive discounts will help attract and retain customers.</w:t>
      </w:r>
    </w:p>
    <w:p w14:paraId="2A4C5860" w14:textId="77777777"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Third, the company should take advantage of Thailand’s lower production costs by importing clothing and footwear from the country. Partnering with Thai suppliers who prioritize sustainable and high-quality production will not only enhance profit margins but also meet evolving consumer preferences.</w:t>
      </w:r>
    </w:p>
    <w:p w14:paraId="4DE726ED" w14:textId="0C85FA64"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 xml:space="preserve">Fourth, AAA should develop e-commerce platforms to compete with digital retailers and cater to the growing demand for online shopping. Adopting an omnichannel approach that combines </w:t>
      </w:r>
      <w:proofErr w:type="gramStart"/>
      <w:r w:rsidRPr="007C0D68">
        <w:rPr>
          <w:rFonts w:ascii="Times New Roman" w:hAnsi="Times New Roman"/>
          <w:szCs w:val="24"/>
        </w:rPr>
        <w:t>online</w:t>
      </w:r>
      <w:proofErr w:type="gramEnd"/>
      <w:r w:rsidRPr="007C0D68">
        <w:rPr>
          <w:rFonts w:ascii="Times New Roman" w:hAnsi="Times New Roman"/>
          <w:szCs w:val="24"/>
        </w:rPr>
        <w:t xml:space="preserve"> and offline retail channels will provide a seamless customer experience.</w:t>
      </w:r>
    </w:p>
    <w:p w14:paraId="37CD39F3" w14:textId="77777777"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Fifth, optimizing rental costs in Hong Kong by negotiating favorable terms or downsizing underperforming stores will help reduce operational expenses. In Thailand, focusing on cost-effective locations such as outer Bangkok, where rental costs are lower (e.g., THB 300/</w:t>
      </w:r>
      <w:proofErr w:type="spellStart"/>
      <w:r w:rsidRPr="007C0D68">
        <w:rPr>
          <w:rFonts w:ascii="Times New Roman" w:hAnsi="Times New Roman"/>
          <w:szCs w:val="24"/>
        </w:rPr>
        <w:t>sq.m</w:t>
      </w:r>
      <w:proofErr w:type="spellEnd"/>
      <w:r w:rsidRPr="007C0D68">
        <w:rPr>
          <w:rFonts w:ascii="Times New Roman" w:hAnsi="Times New Roman"/>
          <w:szCs w:val="24"/>
        </w:rPr>
        <w:t>/month), will further enhance profitability.</w:t>
      </w:r>
    </w:p>
    <w:p w14:paraId="5734EFAD" w14:textId="0AE392AB"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Finally, AAA should regularly review inflation, retail sales, and tourism trends in both regions to adapt its strategies accordingly. Developing contingency plans to address potential economic shocks, such as global pandemics or geopolitical tensions, will ensure long-term sustainability.</w:t>
      </w:r>
    </w:p>
    <w:p w14:paraId="77EDEAD3" w14:textId="6A9D22A5" w:rsidR="00551718" w:rsidRDefault="00551718" w:rsidP="00AC0D94">
      <w:pPr>
        <w:adjustRightInd w:val="0"/>
        <w:snapToGrid w:val="0"/>
        <w:spacing w:line="360" w:lineRule="auto"/>
        <w:jc w:val="both"/>
        <w:rPr>
          <w:rFonts w:ascii="Times New Roman" w:hAnsi="Times New Roman"/>
          <w:b/>
          <w:bCs/>
          <w:szCs w:val="24"/>
        </w:rPr>
      </w:pPr>
    </w:p>
    <w:p w14:paraId="539374CE" w14:textId="77777777" w:rsidR="00787682" w:rsidRDefault="00787682" w:rsidP="00AC0D94">
      <w:pPr>
        <w:adjustRightInd w:val="0"/>
        <w:snapToGrid w:val="0"/>
        <w:spacing w:line="360" w:lineRule="auto"/>
        <w:jc w:val="both"/>
        <w:rPr>
          <w:rFonts w:ascii="Times New Roman" w:hAnsi="Times New Roman"/>
          <w:b/>
          <w:bCs/>
          <w:szCs w:val="24"/>
        </w:rPr>
      </w:pPr>
    </w:p>
    <w:p w14:paraId="013B0E12" w14:textId="77777777" w:rsidR="00787682" w:rsidRDefault="00787682" w:rsidP="00AC0D94">
      <w:pPr>
        <w:adjustRightInd w:val="0"/>
        <w:snapToGrid w:val="0"/>
        <w:spacing w:line="360" w:lineRule="auto"/>
        <w:jc w:val="both"/>
        <w:rPr>
          <w:rFonts w:ascii="Times New Roman" w:hAnsi="Times New Roman"/>
          <w:b/>
          <w:bCs/>
          <w:szCs w:val="24"/>
        </w:rPr>
      </w:pPr>
    </w:p>
    <w:p w14:paraId="3D889F97" w14:textId="77777777" w:rsidR="00787682" w:rsidRDefault="00787682" w:rsidP="00AC0D94">
      <w:pPr>
        <w:adjustRightInd w:val="0"/>
        <w:snapToGrid w:val="0"/>
        <w:spacing w:line="360" w:lineRule="auto"/>
        <w:jc w:val="both"/>
        <w:rPr>
          <w:rFonts w:ascii="Times New Roman" w:hAnsi="Times New Roman"/>
          <w:b/>
          <w:bCs/>
          <w:szCs w:val="24"/>
        </w:rPr>
      </w:pPr>
    </w:p>
    <w:p w14:paraId="084A98CC" w14:textId="77777777" w:rsidR="00787682" w:rsidRDefault="00787682" w:rsidP="00AC0D94">
      <w:pPr>
        <w:adjustRightInd w:val="0"/>
        <w:snapToGrid w:val="0"/>
        <w:spacing w:line="360" w:lineRule="auto"/>
        <w:jc w:val="both"/>
        <w:rPr>
          <w:rFonts w:ascii="Times New Roman" w:hAnsi="Times New Roman"/>
          <w:b/>
          <w:bCs/>
          <w:szCs w:val="24"/>
        </w:rPr>
      </w:pPr>
    </w:p>
    <w:p w14:paraId="65B434B4" w14:textId="77777777" w:rsidR="00787682" w:rsidRDefault="00787682" w:rsidP="00AC0D94">
      <w:pPr>
        <w:adjustRightInd w:val="0"/>
        <w:snapToGrid w:val="0"/>
        <w:spacing w:line="360" w:lineRule="auto"/>
        <w:jc w:val="both"/>
        <w:rPr>
          <w:rFonts w:ascii="Times New Roman" w:hAnsi="Times New Roman"/>
          <w:b/>
          <w:bCs/>
          <w:szCs w:val="24"/>
        </w:rPr>
      </w:pPr>
    </w:p>
    <w:p w14:paraId="539C27A5" w14:textId="77777777" w:rsidR="00174BFB" w:rsidRDefault="00174BFB" w:rsidP="00AC0D94">
      <w:pPr>
        <w:adjustRightInd w:val="0"/>
        <w:snapToGrid w:val="0"/>
        <w:spacing w:line="360" w:lineRule="auto"/>
        <w:jc w:val="both"/>
        <w:rPr>
          <w:rFonts w:ascii="Times New Roman" w:hAnsi="Times New Roman"/>
          <w:b/>
          <w:bCs/>
          <w:szCs w:val="24"/>
        </w:rPr>
      </w:pPr>
    </w:p>
    <w:p w14:paraId="12E5826D" w14:textId="77777777" w:rsidR="00787682" w:rsidRPr="00551718" w:rsidRDefault="00787682" w:rsidP="00AC0D94">
      <w:pPr>
        <w:adjustRightInd w:val="0"/>
        <w:snapToGrid w:val="0"/>
        <w:spacing w:line="360" w:lineRule="auto"/>
        <w:jc w:val="both"/>
        <w:rPr>
          <w:rFonts w:ascii="Times New Roman" w:hAnsi="Times New Roman"/>
          <w:b/>
          <w:bCs/>
          <w:szCs w:val="24"/>
        </w:rPr>
      </w:pPr>
    </w:p>
    <w:p w14:paraId="7D56A38C" w14:textId="77777777" w:rsidR="00551718" w:rsidRPr="00551718" w:rsidRDefault="00551718" w:rsidP="00AC0D94">
      <w:pPr>
        <w:adjustRightInd w:val="0"/>
        <w:snapToGrid w:val="0"/>
        <w:spacing w:line="360" w:lineRule="auto"/>
        <w:jc w:val="both"/>
        <w:rPr>
          <w:rFonts w:ascii="Times New Roman" w:hAnsi="Times New Roman"/>
          <w:b/>
          <w:bCs/>
          <w:szCs w:val="24"/>
        </w:rPr>
      </w:pPr>
      <w:r w:rsidRPr="00551718">
        <w:rPr>
          <w:rFonts w:ascii="Times New Roman" w:hAnsi="Times New Roman"/>
          <w:b/>
          <w:bCs/>
          <w:szCs w:val="24"/>
        </w:rPr>
        <w:lastRenderedPageBreak/>
        <w:t>4.3 Limitations and Future Research</w:t>
      </w:r>
    </w:p>
    <w:p w14:paraId="0106280A" w14:textId="77777777" w:rsid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This study has certain limitations that should be acknowledged. The analysis relies on historical data (2005–2023), which may not fully capture future economic shifts or emerging trends. Additionally, the scope is limited to Hong Kong and Thailand, excluding other Southeast Asian markets that could provide additional insights into regional dynamics.</w:t>
      </w:r>
    </w:p>
    <w:p w14:paraId="620F3DFF" w14:textId="77777777" w:rsidR="009E288D" w:rsidRPr="00787682" w:rsidRDefault="009E288D" w:rsidP="00AC0D94">
      <w:pPr>
        <w:widowControl/>
        <w:adjustRightInd w:val="0"/>
        <w:snapToGrid w:val="0"/>
        <w:spacing w:line="360" w:lineRule="auto"/>
        <w:rPr>
          <w:rFonts w:ascii="Times New Roman" w:hAnsi="Times New Roman"/>
          <w:szCs w:val="24"/>
        </w:rPr>
      </w:pPr>
    </w:p>
    <w:p w14:paraId="643AC3CC" w14:textId="77777777" w:rsidR="00787682" w:rsidRP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Future research should incorporate real-time data and predictive analytics to enhance the accuracy of forecasts and provide more timely insights. Expanding the analysis to include other Southeast Asian markets, such as Singapore, Malaysia, and Vietnam, would offer a broader perspective on regional retail and inflation trends. Furthermore, conducting qualitative research, such as consumer surveys and focus groups, could deepen the understanding of shopping behaviors, preferences, and the impact of cultural factors on retail performance.</w:t>
      </w:r>
    </w:p>
    <w:p w14:paraId="3D7663D8" w14:textId="4B8C0DD7" w:rsidR="00787682" w:rsidRP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By addressing these limitations and pursuing future research opportunities, AAA can further refine its strategies and maintain a competitive edge in the evolving retail landscape.</w:t>
      </w:r>
    </w:p>
    <w:p w14:paraId="14EE957B" w14:textId="77777777" w:rsidR="00010307" w:rsidRDefault="00010307" w:rsidP="00AC0D94">
      <w:pPr>
        <w:widowControl/>
        <w:adjustRightInd w:val="0"/>
        <w:snapToGrid w:val="0"/>
        <w:spacing w:line="360" w:lineRule="auto"/>
        <w:rPr>
          <w:sz w:val="26"/>
        </w:rPr>
      </w:pPr>
    </w:p>
    <w:p w14:paraId="0FA712C9" w14:textId="77777777" w:rsidR="00170579" w:rsidRDefault="00170579" w:rsidP="00AC0D94">
      <w:pPr>
        <w:widowControl/>
        <w:adjustRightInd w:val="0"/>
        <w:snapToGrid w:val="0"/>
        <w:spacing w:line="360" w:lineRule="auto"/>
        <w:rPr>
          <w:sz w:val="26"/>
        </w:rPr>
      </w:pPr>
    </w:p>
    <w:p w14:paraId="6728B099" w14:textId="77777777" w:rsidR="00170579" w:rsidRDefault="00170579" w:rsidP="00AC0D94">
      <w:pPr>
        <w:widowControl/>
        <w:adjustRightInd w:val="0"/>
        <w:snapToGrid w:val="0"/>
        <w:spacing w:line="360" w:lineRule="auto"/>
        <w:rPr>
          <w:sz w:val="26"/>
        </w:rPr>
      </w:pPr>
    </w:p>
    <w:p w14:paraId="21AAA356" w14:textId="77777777" w:rsidR="00170579" w:rsidRDefault="00170579" w:rsidP="00AC0D94">
      <w:pPr>
        <w:widowControl/>
        <w:adjustRightInd w:val="0"/>
        <w:snapToGrid w:val="0"/>
        <w:spacing w:line="360" w:lineRule="auto"/>
        <w:rPr>
          <w:sz w:val="26"/>
        </w:rPr>
      </w:pPr>
    </w:p>
    <w:p w14:paraId="495BB73C" w14:textId="77777777" w:rsidR="00170579" w:rsidRDefault="00170579" w:rsidP="00AC0D94">
      <w:pPr>
        <w:widowControl/>
        <w:adjustRightInd w:val="0"/>
        <w:snapToGrid w:val="0"/>
        <w:spacing w:line="360" w:lineRule="auto"/>
        <w:rPr>
          <w:sz w:val="26"/>
        </w:rPr>
      </w:pPr>
    </w:p>
    <w:p w14:paraId="0935BC37" w14:textId="77777777" w:rsidR="00170579" w:rsidRDefault="00170579" w:rsidP="00AC0D94">
      <w:pPr>
        <w:widowControl/>
        <w:adjustRightInd w:val="0"/>
        <w:snapToGrid w:val="0"/>
        <w:spacing w:line="360" w:lineRule="auto"/>
        <w:rPr>
          <w:sz w:val="26"/>
        </w:rPr>
      </w:pPr>
    </w:p>
    <w:p w14:paraId="3B22E4A8" w14:textId="77777777" w:rsidR="00170579" w:rsidRDefault="00170579" w:rsidP="00AC0D94">
      <w:pPr>
        <w:widowControl/>
        <w:adjustRightInd w:val="0"/>
        <w:snapToGrid w:val="0"/>
        <w:spacing w:line="360" w:lineRule="auto"/>
        <w:rPr>
          <w:sz w:val="26"/>
        </w:rPr>
      </w:pPr>
    </w:p>
    <w:p w14:paraId="678A867A" w14:textId="77777777" w:rsidR="00170579" w:rsidRDefault="00170579" w:rsidP="00AC0D94">
      <w:pPr>
        <w:widowControl/>
        <w:adjustRightInd w:val="0"/>
        <w:snapToGrid w:val="0"/>
        <w:spacing w:line="360" w:lineRule="auto"/>
        <w:rPr>
          <w:sz w:val="26"/>
        </w:rPr>
      </w:pPr>
    </w:p>
    <w:p w14:paraId="15A3B254" w14:textId="77777777" w:rsidR="00174BFB" w:rsidRDefault="00174BFB" w:rsidP="00AC0D94">
      <w:pPr>
        <w:widowControl/>
        <w:adjustRightInd w:val="0"/>
        <w:snapToGrid w:val="0"/>
        <w:spacing w:line="360" w:lineRule="auto"/>
        <w:rPr>
          <w:sz w:val="26"/>
        </w:rPr>
      </w:pPr>
    </w:p>
    <w:p w14:paraId="5A8AE48C" w14:textId="77777777" w:rsidR="00174BFB" w:rsidRDefault="00174BFB" w:rsidP="00AC0D94">
      <w:pPr>
        <w:widowControl/>
        <w:adjustRightInd w:val="0"/>
        <w:snapToGrid w:val="0"/>
        <w:spacing w:line="360" w:lineRule="auto"/>
        <w:rPr>
          <w:sz w:val="26"/>
        </w:rPr>
      </w:pPr>
    </w:p>
    <w:p w14:paraId="3B391675" w14:textId="77777777" w:rsidR="00174BFB" w:rsidRDefault="00174BFB" w:rsidP="00AC0D94">
      <w:pPr>
        <w:widowControl/>
        <w:adjustRightInd w:val="0"/>
        <w:snapToGrid w:val="0"/>
        <w:spacing w:line="360" w:lineRule="auto"/>
        <w:rPr>
          <w:sz w:val="26"/>
        </w:rPr>
      </w:pPr>
    </w:p>
    <w:p w14:paraId="03F141FA" w14:textId="77777777" w:rsidR="00174BFB" w:rsidRDefault="00174BFB" w:rsidP="00AC0D94">
      <w:pPr>
        <w:widowControl/>
        <w:adjustRightInd w:val="0"/>
        <w:snapToGrid w:val="0"/>
        <w:spacing w:line="360" w:lineRule="auto"/>
        <w:rPr>
          <w:sz w:val="26"/>
        </w:rPr>
      </w:pPr>
    </w:p>
    <w:p w14:paraId="22108AA1" w14:textId="77777777" w:rsidR="00174BFB" w:rsidRDefault="00174BFB" w:rsidP="00AC0D94">
      <w:pPr>
        <w:widowControl/>
        <w:adjustRightInd w:val="0"/>
        <w:snapToGrid w:val="0"/>
        <w:spacing w:line="360" w:lineRule="auto"/>
        <w:rPr>
          <w:sz w:val="26"/>
        </w:rPr>
      </w:pPr>
    </w:p>
    <w:p w14:paraId="237514A6" w14:textId="77777777" w:rsidR="00170579" w:rsidRDefault="00170579" w:rsidP="00AC0D94">
      <w:pPr>
        <w:widowControl/>
        <w:adjustRightInd w:val="0"/>
        <w:snapToGrid w:val="0"/>
        <w:spacing w:line="360" w:lineRule="auto"/>
        <w:rPr>
          <w:sz w:val="26"/>
        </w:rPr>
      </w:pPr>
    </w:p>
    <w:p w14:paraId="415642AB" w14:textId="77777777" w:rsidR="00170579" w:rsidRDefault="00170579" w:rsidP="00AC0D94">
      <w:pPr>
        <w:widowControl/>
        <w:adjustRightInd w:val="0"/>
        <w:snapToGrid w:val="0"/>
        <w:spacing w:line="360" w:lineRule="auto"/>
        <w:rPr>
          <w:sz w:val="26"/>
        </w:rPr>
      </w:pPr>
    </w:p>
    <w:p w14:paraId="4C734944" w14:textId="77777777" w:rsidR="000F1124" w:rsidRPr="000F1124" w:rsidRDefault="000F1124" w:rsidP="000F1124">
      <w:pPr>
        <w:tabs>
          <w:tab w:val="num" w:pos="720"/>
        </w:tabs>
        <w:adjustRightInd w:val="0"/>
        <w:snapToGrid w:val="0"/>
        <w:ind w:left="521" w:hangingChars="200" w:hanging="521"/>
        <w:rPr>
          <w:rFonts w:ascii="Times New Roman" w:hAnsi="Times New Roman"/>
          <w:b/>
          <w:bCs/>
          <w:sz w:val="26"/>
        </w:rPr>
      </w:pPr>
      <w:r w:rsidRPr="000F1124">
        <w:rPr>
          <w:rFonts w:ascii="Times New Roman" w:hAnsi="Times New Roman"/>
          <w:b/>
          <w:bCs/>
          <w:sz w:val="26"/>
        </w:rPr>
        <w:lastRenderedPageBreak/>
        <w:t>References</w:t>
      </w:r>
    </w:p>
    <w:p w14:paraId="7DCEA20C" w14:textId="5ED197FF"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AAA Company International Limited. (2022). </w:t>
      </w:r>
      <w:r w:rsidRPr="000F1124">
        <w:rPr>
          <w:rFonts w:ascii="Times New Roman" w:hAnsi="Times New Roman"/>
          <w:i/>
          <w:iCs/>
          <w:sz w:val="26"/>
        </w:rPr>
        <w:t>Interim Report 2022</w:t>
      </w:r>
      <w:r w:rsidRPr="000F1124">
        <w:rPr>
          <w:rFonts w:ascii="Times New Roman" w:hAnsi="Times New Roman"/>
          <w:sz w:val="26"/>
        </w:rPr>
        <w:t>. Retrieved from [</w:t>
      </w:r>
      <w:r w:rsidR="00572D40" w:rsidRPr="00572D40">
        <w:rPr>
          <w:rFonts w:ascii="Times New Roman" w:hAnsi="Times New Roman"/>
          <w:sz w:val="26"/>
        </w:rPr>
        <w:t>https://www.hkexnews.hk/listedco/listconews/sehk/2023/0428/2023042800719.pdf</w:t>
      </w:r>
      <w:r w:rsidRPr="000F1124">
        <w:rPr>
          <w:rFonts w:ascii="Times New Roman" w:hAnsi="Times New Roman"/>
          <w:sz w:val="26"/>
        </w:rPr>
        <w:t>].</w:t>
      </w:r>
    </w:p>
    <w:p w14:paraId="1032F03F" w14:textId="77777777" w:rsidR="00A0731C" w:rsidRDefault="00A0731C" w:rsidP="00A0731C">
      <w:pPr>
        <w:adjustRightInd w:val="0"/>
        <w:snapToGrid w:val="0"/>
        <w:ind w:left="720"/>
        <w:rPr>
          <w:rFonts w:ascii="Times New Roman" w:hAnsi="Times New Roman"/>
          <w:sz w:val="26"/>
        </w:rPr>
      </w:pPr>
    </w:p>
    <w:p w14:paraId="7B2B9939" w14:textId="1E40B566"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AAA Company International Limited. (2024). </w:t>
      </w:r>
      <w:r w:rsidRPr="000F1124">
        <w:rPr>
          <w:rFonts w:ascii="Times New Roman" w:hAnsi="Times New Roman"/>
          <w:i/>
          <w:iCs/>
          <w:sz w:val="26"/>
        </w:rPr>
        <w:t>Interim Report 2024</w:t>
      </w:r>
      <w:r w:rsidRPr="000F1124">
        <w:rPr>
          <w:rFonts w:ascii="Times New Roman" w:hAnsi="Times New Roman"/>
          <w:sz w:val="26"/>
        </w:rPr>
        <w:t>. Retrieved from [</w:t>
      </w:r>
      <w:r w:rsidR="00B044A5" w:rsidRPr="00B044A5">
        <w:rPr>
          <w:rFonts w:ascii="Times New Roman" w:hAnsi="Times New Roman"/>
          <w:sz w:val="26"/>
        </w:rPr>
        <w:t>https://www.tricor.com.hk/webservice/000289/file/financial_report/eng/E_00289_IR_2024.pdf</w:t>
      </w:r>
      <w:r w:rsidRPr="000F1124">
        <w:rPr>
          <w:rFonts w:ascii="Times New Roman" w:hAnsi="Times New Roman"/>
          <w:sz w:val="26"/>
        </w:rPr>
        <w:t>].</w:t>
      </w:r>
    </w:p>
    <w:p w14:paraId="431548F6" w14:textId="77777777" w:rsidR="00A0731C" w:rsidRPr="000F1124" w:rsidRDefault="00A0731C" w:rsidP="00A0731C">
      <w:pPr>
        <w:adjustRightInd w:val="0"/>
        <w:snapToGrid w:val="0"/>
        <w:ind w:left="720"/>
        <w:rPr>
          <w:rFonts w:ascii="Times New Roman" w:hAnsi="Times New Roman"/>
          <w:sz w:val="26"/>
        </w:rPr>
      </w:pPr>
    </w:p>
    <w:p w14:paraId="52A20B14"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Census and Statistics Department of Hong Kong (CSD). (2024). </w:t>
      </w:r>
      <w:r w:rsidRPr="000F1124">
        <w:rPr>
          <w:rFonts w:ascii="Times New Roman" w:hAnsi="Times New Roman"/>
          <w:i/>
          <w:iCs/>
          <w:sz w:val="26"/>
        </w:rPr>
        <w:t>Hong Kong Retail Sales Data</w:t>
      </w:r>
      <w:r w:rsidRPr="000F1124">
        <w:rPr>
          <w:rFonts w:ascii="Times New Roman" w:hAnsi="Times New Roman"/>
          <w:sz w:val="26"/>
        </w:rPr>
        <w:t>. Retrieved from </w:t>
      </w:r>
      <w:hyperlink r:id="rId16" w:tgtFrame="_blank" w:history="1">
        <w:r w:rsidRPr="000F1124">
          <w:rPr>
            <w:rStyle w:val="Hyperlink"/>
            <w:rFonts w:ascii="Times New Roman" w:hAnsi="Times New Roman"/>
            <w:sz w:val="26"/>
          </w:rPr>
          <w:t>https://www.censtatd.gov.hk/en/web_table.html?id=620-67012</w:t>
        </w:r>
      </w:hyperlink>
      <w:r w:rsidRPr="000F1124">
        <w:rPr>
          <w:rFonts w:ascii="Times New Roman" w:hAnsi="Times New Roman"/>
          <w:sz w:val="26"/>
        </w:rPr>
        <w:t>.</w:t>
      </w:r>
    </w:p>
    <w:p w14:paraId="264724E3" w14:textId="77777777" w:rsidR="00A0731C" w:rsidRDefault="00A0731C" w:rsidP="00A0731C">
      <w:pPr>
        <w:pStyle w:val="ListParagraph"/>
        <w:rPr>
          <w:rFonts w:ascii="Times New Roman" w:hAnsi="Times New Roman"/>
          <w:sz w:val="26"/>
        </w:rPr>
      </w:pPr>
    </w:p>
    <w:p w14:paraId="20BA4DCB" w14:textId="77777777" w:rsidR="00A0731C" w:rsidRPr="000F1124" w:rsidRDefault="00A0731C" w:rsidP="00A0731C">
      <w:pPr>
        <w:adjustRightInd w:val="0"/>
        <w:snapToGrid w:val="0"/>
        <w:ind w:left="720"/>
        <w:rPr>
          <w:rFonts w:ascii="Times New Roman" w:hAnsi="Times New Roman"/>
          <w:sz w:val="26"/>
        </w:rPr>
      </w:pPr>
    </w:p>
    <w:p w14:paraId="2D8FE358" w14:textId="697388CB" w:rsidR="000F1124" w:rsidRDefault="000F1124" w:rsidP="003F53B9">
      <w:pPr>
        <w:numPr>
          <w:ilvl w:val="0"/>
          <w:numId w:val="31"/>
        </w:numPr>
        <w:adjustRightInd w:val="0"/>
        <w:snapToGrid w:val="0"/>
        <w:rPr>
          <w:rFonts w:ascii="Times New Roman" w:hAnsi="Times New Roman"/>
          <w:sz w:val="26"/>
        </w:rPr>
      </w:pPr>
      <w:proofErr w:type="spellStart"/>
      <w:r w:rsidRPr="000F1124">
        <w:rPr>
          <w:rFonts w:ascii="Times New Roman" w:hAnsi="Times New Roman"/>
          <w:sz w:val="26"/>
        </w:rPr>
        <w:t>FocusEconomics</w:t>
      </w:r>
      <w:proofErr w:type="spellEnd"/>
      <w:r w:rsidRPr="000F1124">
        <w:rPr>
          <w:rFonts w:ascii="Times New Roman" w:hAnsi="Times New Roman"/>
          <w:sz w:val="26"/>
        </w:rPr>
        <w:t>. (2024). </w:t>
      </w:r>
      <w:r w:rsidRPr="000F1124">
        <w:rPr>
          <w:rFonts w:ascii="Times New Roman" w:hAnsi="Times New Roman"/>
          <w:i/>
          <w:iCs/>
          <w:sz w:val="26"/>
        </w:rPr>
        <w:t>Thailand Inflation Data</w:t>
      </w:r>
      <w:r w:rsidRPr="000F1124">
        <w:rPr>
          <w:rFonts w:ascii="Times New Roman" w:hAnsi="Times New Roman"/>
          <w:sz w:val="26"/>
        </w:rPr>
        <w:t>. Retrieved from [</w:t>
      </w:r>
      <w:r w:rsidR="00396CE6" w:rsidRPr="00396CE6">
        <w:rPr>
          <w:rFonts w:ascii="Times New Roman" w:hAnsi="Times New Roman"/>
          <w:sz w:val="26"/>
        </w:rPr>
        <w:t>https://www.focus-economics.com/countries/thailand/</w:t>
      </w:r>
      <w:r w:rsidRPr="000F1124">
        <w:rPr>
          <w:rFonts w:ascii="Times New Roman" w:hAnsi="Times New Roman"/>
          <w:sz w:val="26"/>
        </w:rPr>
        <w:t>].</w:t>
      </w:r>
    </w:p>
    <w:p w14:paraId="5C8B8E26" w14:textId="77777777" w:rsidR="00A0731C" w:rsidRPr="000F1124" w:rsidRDefault="00A0731C" w:rsidP="00B872ED">
      <w:pPr>
        <w:adjustRightInd w:val="0"/>
        <w:snapToGrid w:val="0"/>
        <w:ind w:left="720"/>
        <w:rPr>
          <w:rFonts w:ascii="Times New Roman" w:hAnsi="Times New Roman"/>
          <w:sz w:val="26"/>
        </w:rPr>
      </w:pPr>
    </w:p>
    <w:p w14:paraId="04118216" w14:textId="5E7244D8"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Hong Kong General Chamber of Commerce. (2024). </w:t>
      </w:r>
      <w:r w:rsidRPr="000F1124">
        <w:rPr>
          <w:rFonts w:ascii="Times New Roman" w:hAnsi="Times New Roman"/>
          <w:i/>
          <w:iCs/>
          <w:sz w:val="26"/>
        </w:rPr>
        <w:t>Retail Sector Report</w:t>
      </w:r>
      <w:r w:rsidRPr="000F1124">
        <w:rPr>
          <w:rFonts w:ascii="Times New Roman" w:hAnsi="Times New Roman"/>
          <w:sz w:val="26"/>
        </w:rPr>
        <w:t>. Retrieved from [</w:t>
      </w:r>
      <w:r w:rsidR="006B4544" w:rsidRPr="006B4544">
        <w:rPr>
          <w:rFonts w:ascii="Times New Roman" w:hAnsi="Times New Roman"/>
          <w:sz w:val="26"/>
        </w:rPr>
        <w:t>https://www.chamber.org.hk/en/information/the-bulletin_detail.aspx?id=1383</w:t>
      </w:r>
      <w:r w:rsidRPr="000F1124">
        <w:rPr>
          <w:rFonts w:ascii="Times New Roman" w:hAnsi="Times New Roman"/>
          <w:sz w:val="26"/>
        </w:rPr>
        <w:t>].</w:t>
      </w:r>
    </w:p>
    <w:p w14:paraId="6D50709E" w14:textId="77777777" w:rsidR="00B872ED" w:rsidRDefault="00B872ED" w:rsidP="00B872ED">
      <w:pPr>
        <w:pStyle w:val="ListParagraph"/>
        <w:rPr>
          <w:rFonts w:ascii="Times New Roman" w:hAnsi="Times New Roman"/>
          <w:sz w:val="26"/>
        </w:rPr>
      </w:pPr>
    </w:p>
    <w:p w14:paraId="66553147" w14:textId="77777777" w:rsidR="00B872ED" w:rsidRPr="000F1124" w:rsidRDefault="00B872ED" w:rsidP="00B872ED">
      <w:pPr>
        <w:adjustRightInd w:val="0"/>
        <w:snapToGrid w:val="0"/>
        <w:ind w:left="720"/>
        <w:rPr>
          <w:rFonts w:ascii="Times New Roman" w:hAnsi="Times New Roman"/>
          <w:sz w:val="26"/>
        </w:rPr>
      </w:pPr>
    </w:p>
    <w:p w14:paraId="2EB834AD" w14:textId="6BEBBB8B"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Hong Kong Rating and Valuation Department (RVD). (2024). </w:t>
      </w:r>
      <w:r w:rsidRPr="000F1124">
        <w:rPr>
          <w:rFonts w:ascii="Times New Roman" w:hAnsi="Times New Roman"/>
          <w:i/>
          <w:iCs/>
          <w:sz w:val="26"/>
        </w:rPr>
        <w:t>Rent Trends in Hong Kong</w:t>
      </w:r>
      <w:r w:rsidRPr="000F1124">
        <w:rPr>
          <w:rFonts w:ascii="Times New Roman" w:hAnsi="Times New Roman"/>
          <w:sz w:val="26"/>
        </w:rPr>
        <w:t>. Retrieved from [</w:t>
      </w:r>
      <w:r w:rsidR="00091E84" w:rsidRPr="00091E84">
        <w:rPr>
          <w:rFonts w:ascii="Times New Roman" w:hAnsi="Times New Roman"/>
          <w:sz w:val="26"/>
        </w:rPr>
        <w:t>https://www.rvd.gov.hk/en/publications/property_market_statistics.html</w:t>
      </w:r>
      <w:r w:rsidRPr="000F1124">
        <w:rPr>
          <w:rFonts w:ascii="Times New Roman" w:hAnsi="Times New Roman"/>
          <w:sz w:val="26"/>
        </w:rPr>
        <w:t>].</w:t>
      </w:r>
    </w:p>
    <w:p w14:paraId="2F4A76B6" w14:textId="77777777" w:rsidR="00B872ED" w:rsidRPr="000F1124" w:rsidRDefault="00B872ED" w:rsidP="00B872ED">
      <w:pPr>
        <w:adjustRightInd w:val="0"/>
        <w:snapToGrid w:val="0"/>
        <w:ind w:left="720"/>
        <w:rPr>
          <w:rFonts w:ascii="Times New Roman" w:hAnsi="Times New Roman"/>
          <w:sz w:val="26"/>
        </w:rPr>
      </w:pPr>
    </w:p>
    <w:p w14:paraId="6BC98A8A"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International Monetary Fund (IMF). (2024). </w:t>
      </w:r>
      <w:r w:rsidRPr="000F1124">
        <w:rPr>
          <w:rFonts w:ascii="Times New Roman" w:hAnsi="Times New Roman"/>
          <w:i/>
          <w:iCs/>
          <w:sz w:val="26"/>
        </w:rPr>
        <w:t>Consumer Price Index (CPI) Data</w:t>
      </w:r>
      <w:r w:rsidRPr="000F1124">
        <w:rPr>
          <w:rFonts w:ascii="Times New Roman" w:hAnsi="Times New Roman"/>
          <w:sz w:val="26"/>
        </w:rPr>
        <w:t>. Retrieved from </w:t>
      </w:r>
      <w:hyperlink r:id="rId17" w:tgtFrame="_blank" w:history="1">
        <w:r w:rsidRPr="000F1124">
          <w:rPr>
            <w:rStyle w:val="Hyperlink"/>
            <w:rFonts w:ascii="Times New Roman" w:hAnsi="Times New Roman"/>
            <w:sz w:val="26"/>
          </w:rPr>
          <w:t>https://www.imf.org/external/datamapper/PCPIEPCH@WEO/HKG/THA</w:t>
        </w:r>
      </w:hyperlink>
      <w:r w:rsidRPr="000F1124">
        <w:rPr>
          <w:rFonts w:ascii="Times New Roman" w:hAnsi="Times New Roman"/>
          <w:sz w:val="26"/>
        </w:rPr>
        <w:t>.</w:t>
      </w:r>
    </w:p>
    <w:p w14:paraId="479218BD" w14:textId="77777777" w:rsidR="00E41641" w:rsidRDefault="00E41641" w:rsidP="00E41641">
      <w:pPr>
        <w:pStyle w:val="ListParagraph"/>
        <w:rPr>
          <w:rFonts w:ascii="Times New Roman" w:hAnsi="Times New Roman"/>
          <w:sz w:val="26"/>
        </w:rPr>
      </w:pPr>
    </w:p>
    <w:p w14:paraId="72EEA08C" w14:textId="77777777" w:rsidR="00E41641" w:rsidRPr="000F1124" w:rsidRDefault="00E41641" w:rsidP="00E41641">
      <w:pPr>
        <w:adjustRightInd w:val="0"/>
        <w:snapToGrid w:val="0"/>
        <w:ind w:left="720"/>
        <w:rPr>
          <w:rFonts w:ascii="Times New Roman" w:hAnsi="Times New Roman"/>
          <w:sz w:val="26"/>
        </w:rPr>
      </w:pPr>
    </w:p>
    <w:p w14:paraId="2DD4CB17"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Mankiw, N. G. (2021). </w:t>
      </w:r>
      <w:r w:rsidRPr="000F1124">
        <w:rPr>
          <w:rFonts w:ascii="Times New Roman" w:hAnsi="Times New Roman"/>
          <w:i/>
          <w:iCs/>
          <w:sz w:val="26"/>
        </w:rPr>
        <w:t>Principles of Economics</w:t>
      </w:r>
      <w:r w:rsidRPr="000F1124">
        <w:rPr>
          <w:rFonts w:ascii="Times New Roman" w:hAnsi="Times New Roman"/>
          <w:sz w:val="26"/>
        </w:rPr>
        <w:t>. 9th Edition. Cengage Learning.</w:t>
      </w:r>
    </w:p>
    <w:p w14:paraId="0BEFC9D4" w14:textId="77777777" w:rsidR="00E41641" w:rsidRPr="000F1124" w:rsidRDefault="00E41641" w:rsidP="00E41641">
      <w:pPr>
        <w:adjustRightInd w:val="0"/>
        <w:snapToGrid w:val="0"/>
        <w:ind w:left="720"/>
        <w:rPr>
          <w:rFonts w:ascii="Times New Roman" w:hAnsi="Times New Roman"/>
          <w:sz w:val="26"/>
        </w:rPr>
      </w:pPr>
    </w:p>
    <w:p w14:paraId="57800E0A"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Marshall, A. (1890). </w:t>
      </w:r>
      <w:r w:rsidRPr="000F1124">
        <w:rPr>
          <w:rFonts w:ascii="Times New Roman" w:hAnsi="Times New Roman"/>
          <w:i/>
          <w:iCs/>
          <w:sz w:val="26"/>
        </w:rPr>
        <w:t>Principles of Economics</w:t>
      </w:r>
      <w:r w:rsidRPr="000F1124">
        <w:rPr>
          <w:rFonts w:ascii="Times New Roman" w:hAnsi="Times New Roman"/>
          <w:sz w:val="26"/>
        </w:rPr>
        <w:t>. Macmillan and Co.</w:t>
      </w:r>
    </w:p>
    <w:p w14:paraId="1BFCA8B8" w14:textId="77777777" w:rsidR="00E41641" w:rsidRDefault="00E41641" w:rsidP="00E41641">
      <w:pPr>
        <w:pStyle w:val="ListParagraph"/>
        <w:rPr>
          <w:rFonts w:ascii="Times New Roman" w:hAnsi="Times New Roman"/>
          <w:sz w:val="26"/>
        </w:rPr>
      </w:pPr>
    </w:p>
    <w:p w14:paraId="7405C252" w14:textId="77777777" w:rsidR="00E41641" w:rsidRPr="000F1124" w:rsidRDefault="00E41641" w:rsidP="00E41641">
      <w:pPr>
        <w:adjustRightInd w:val="0"/>
        <w:snapToGrid w:val="0"/>
        <w:ind w:left="720"/>
        <w:rPr>
          <w:rFonts w:ascii="Times New Roman" w:hAnsi="Times New Roman"/>
          <w:sz w:val="26"/>
        </w:rPr>
      </w:pPr>
    </w:p>
    <w:p w14:paraId="66A789EB" w14:textId="78643B39"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Trading Economics. (2024). </w:t>
      </w:r>
      <w:r w:rsidRPr="000F1124">
        <w:rPr>
          <w:rFonts w:ascii="Times New Roman" w:hAnsi="Times New Roman"/>
          <w:i/>
          <w:iCs/>
          <w:sz w:val="26"/>
        </w:rPr>
        <w:t>Thailand Retail Sales Data</w:t>
      </w:r>
      <w:r w:rsidRPr="000F1124">
        <w:rPr>
          <w:rFonts w:ascii="Times New Roman" w:hAnsi="Times New Roman"/>
          <w:sz w:val="26"/>
        </w:rPr>
        <w:t>. Retrieved from [</w:t>
      </w:r>
      <w:r w:rsidR="00A218C1" w:rsidRPr="00A218C1">
        <w:rPr>
          <w:rFonts w:ascii="Times New Roman" w:hAnsi="Times New Roman"/>
          <w:sz w:val="26"/>
        </w:rPr>
        <w:t>https://tradingeconomics.com/thailand/retail-sales-annual</w:t>
      </w:r>
      <w:r w:rsidRPr="000F1124">
        <w:rPr>
          <w:rFonts w:ascii="Times New Roman" w:hAnsi="Times New Roman"/>
          <w:sz w:val="26"/>
        </w:rPr>
        <w:t>].</w:t>
      </w:r>
    </w:p>
    <w:p w14:paraId="506344F9" w14:textId="77777777" w:rsidR="00E41641" w:rsidRPr="000F1124" w:rsidRDefault="00E41641" w:rsidP="00E41641">
      <w:pPr>
        <w:adjustRightInd w:val="0"/>
        <w:snapToGrid w:val="0"/>
        <w:ind w:left="720"/>
        <w:rPr>
          <w:rFonts w:ascii="Times New Roman" w:hAnsi="Times New Roman"/>
          <w:sz w:val="26"/>
        </w:rPr>
      </w:pPr>
    </w:p>
    <w:p w14:paraId="4462F8FA" w14:textId="1E73EBE4" w:rsidR="000F1124" w:rsidRP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Trading Economics. (2024). </w:t>
      </w:r>
      <w:r w:rsidRPr="000F1124">
        <w:rPr>
          <w:rFonts w:ascii="Times New Roman" w:hAnsi="Times New Roman"/>
          <w:i/>
          <w:iCs/>
          <w:sz w:val="26"/>
        </w:rPr>
        <w:t>Hong Kong Inflation Data</w:t>
      </w:r>
      <w:r w:rsidRPr="000F1124">
        <w:rPr>
          <w:rFonts w:ascii="Times New Roman" w:hAnsi="Times New Roman"/>
          <w:sz w:val="26"/>
        </w:rPr>
        <w:t>. Retrieved from [</w:t>
      </w:r>
      <w:r w:rsidR="003F53B9" w:rsidRPr="003F53B9">
        <w:rPr>
          <w:rFonts w:ascii="Times New Roman" w:hAnsi="Times New Roman"/>
          <w:sz w:val="26"/>
        </w:rPr>
        <w:t>https://tradingeconomics.com/hong-kong/inflation-cpi</w:t>
      </w:r>
      <w:r w:rsidRPr="000F1124">
        <w:rPr>
          <w:rFonts w:ascii="Times New Roman" w:hAnsi="Times New Roman"/>
          <w:sz w:val="26"/>
        </w:rPr>
        <w:t>].</w:t>
      </w:r>
    </w:p>
    <w:p w14:paraId="23F66B49" w14:textId="1A2E9708" w:rsidR="000F1124" w:rsidRPr="000F1124" w:rsidRDefault="000F1124" w:rsidP="000F1124">
      <w:pPr>
        <w:tabs>
          <w:tab w:val="num" w:pos="720"/>
        </w:tabs>
        <w:adjustRightInd w:val="0"/>
        <w:snapToGrid w:val="0"/>
        <w:ind w:left="521" w:hangingChars="200" w:hanging="521"/>
        <w:rPr>
          <w:rFonts w:ascii="Times New Roman" w:hAnsi="Times New Roman"/>
          <w:b/>
          <w:bCs/>
          <w:sz w:val="26"/>
        </w:rPr>
      </w:pPr>
    </w:p>
    <w:p w14:paraId="3F4B5223" w14:textId="4F602F30" w:rsidR="001E1C86" w:rsidRPr="00A71F0C" w:rsidRDefault="001E1C86" w:rsidP="00AC0D94">
      <w:pPr>
        <w:tabs>
          <w:tab w:val="num" w:pos="720"/>
        </w:tabs>
        <w:adjustRightInd w:val="0"/>
        <w:snapToGrid w:val="0"/>
        <w:ind w:left="480" w:hangingChars="200" w:hanging="480"/>
        <w:rPr>
          <w:rFonts w:ascii="Times New Roman" w:hAnsi="Times New Roman"/>
          <w:color w:val="0000CC"/>
          <w:szCs w:val="24"/>
        </w:rPr>
      </w:pPr>
    </w:p>
    <w:sectPr w:rsidR="001E1C86" w:rsidRPr="00A71F0C" w:rsidSect="005E0786">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B2FA3" w14:textId="77777777" w:rsidR="001961DB" w:rsidRDefault="001961DB">
      <w:r>
        <w:separator/>
      </w:r>
    </w:p>
  </w:endnote>
  <w:endnote w:type="continuationSeparator" w:id="0">
    <w:p w14:paraId="4F2860A3" w14:textId="77777777" w:rsidR="001961DB" w:rsidRDefault="001961DB">
      <w:r>
        <w:continuationSeparator/>
      </w:r>
    </w:p>
  </w:endnote>
  <w:endnote w:type="continuationNotice" w:id="1">
    <w:p w14:paraId="16ED87CB" w14:textId="77777777" w:rsidR="001961DB" w:rsidRDefault="001961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DFKai-SB">
    <w:altName w:val="Microsoft YaHei"/>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393A8" w14:textId="77777777" w:rsidR="001961DB" w:rsidRDefault="001961DB">
      <w:r>
        <w:separator/>
      </w:r>
    </w:p>
  </w:footnote>
  <w:footnote w:type="continuationSeparator" w:id="0">
    <w:p w14:paraId="20D3C0FE" w14:textId="77777777" w:rsidR="001961DB" w:rsidRDefault="001961DB">
      <w:r>
        <w:continuationSeparator/>
      </w:r>
    </w:p>
  </w:footnote>
  <w:footnote w:type="continuationNotice" w:id="1">
    <w:p w14:paraId="6528C4E6" w14:textId="77777777" w:rsidR="001961DB" w:rsidRDefault="001961D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7813"/>
    <w:multiLevelType w:val="multilevel"/>
    <w:tmpl w:val="6CA6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240A7"/>
    <w:multiLevelType w:val="hybridMultilevel"/>
    <w:tmpl w:val="EF4E0E7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59601BE"/>
    <w:multiLevelType w:val="hybridMultilevel"/>
    <w:tmpl w:val="13561F1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15:restartNumberingAfterBreak="0">
    <w:nsid w:val="06372838"/>
    <w:multiLevelType w:val="hybridMultilevel"/>
    <w:tmpl w:val="58CE3E2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0EF61DE2"/>
    <w:multiLevelType w:val="multilevel"/>
    <w:tmpl w:val="3F7E3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AB361E"/>
    <w:multiLevelType w:val="multilevel"/>
    <w:tmpl w:val="90F6A2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140366"/>
    <w:multiLevelType w:val="multilevel"/>
    <w:tmpl w:val="2ECC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E15A1"/>
    <w:multiLevelType w:val="multilevel"/>
    <w:tmpl w:val="F266F2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2422B6"/>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C30E54"/>
    <w:multiLevelType w:val="multilevel"/>
    <w:tmpl w:val="B010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6674F"/>
    <w:multiLevelType w:val="hybridMultilevel"/>
    <w:tmpl w:val="FEE400E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15:restartNumberingAfterBreak="0">
    <w:nsid w:val="27DD7516"/>
    <w:multiLevelType w:val="multilevel"/>
    <w:tmpl w:val="27B80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E12B7B"/>
    <w:multiLevelType w:val="multilevel"/>
    <w:tmpl w:val="5A0C034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44FF0"/>
    <w:multiLevelType w:val="multilevel"/>
    <w:tmpl w:val="5A0C034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744EFF"/>
    <w:multiLevelType w:val="multilevel"/>
    <w:tmpl w:val="7CFA025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D13230"/>
    <w:multiLevelType w:val="multilevel"/>
    <w:tmpl w:val="2C82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0826D4"/>
    <w:multiLevelType w:val="multilevel"/>
    <w:tmpl w:val="9A567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EF5C99"/>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10C3AA1"/>
    <w:multiLevelType w:val="hybridMultilevel"/>
    <w:tmpl w:val="0F2AFB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495878"/>
    <w:multiLevelType w:val="multilevel"/>
    <w:tmpl w:val="5E6A8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2B0377"/>
    <w:multiLevelType w:val="hybridMultilevel"/>
    <w:tmpl w:val="2482FF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1" w15:restartNumberingAfterBreak="0">
    <w:nsid w:val="550F75BB"/>
    <w:multiLevelType w:val="multilevel"/>
    <w:tmpl w:val="A638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285CD5"/>
    <w:multiLevelType w:val="multilevel"/>
    <w:tmpl w:val="2C4260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3839DC"/>
    <w:multiLevelType w:val="multilevel"/>
    <w:tmpl w:val="5740A98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091120"/>
    <w:multiLevelType w:val="multilevel"/>
    <w:tmpl w:val="6D68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6D5CF2"/>
    <w:multiLevelType w:val="multilevel"/>
    <w:tmpl w:val="EC3651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C147A5F"/>
    <w:multiLevelType w:val="multilevel"/>
    <w:tmpl w:val="C16A7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DE066F1"/>
    <w:multiLevelType w:val="multilevel"/>
    <w:tmpl w:val="897A820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B565CEC"/>
    <w:multiLevelType w:val="multilevel"/>
    <w:tmpl w:val="3A064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175446"/>
    <w:multiLevelType w:val="multilevel"/>
    <w:tmpl w:val="70248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D478DC"/>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395728">
    <w:abstractNumId w:val="4"/>
  </w:num>
  <w:num w:numId="2" w16cid:durableId="68894802">
    <w:abstractNumId w:val="0"/>
  </w:num>
  <w:num w:numId="3" w16cid:durableId="2063865783">
    <w:abstractNumId w:val="16"/>
  </w:num>
  <w:num w:numId="4" w16cid:durableId="83570932">
    <w:abstractNumId w:val="29"/>
  </w:num>
  <w:num w:numId="5" w16cid:durableId="483620177">
    <w:abstractNumId w:val="15"/>
  </w:num>
  <w:num w:numId="6" w16cid:durableId="197545770">
    <w:abstractNumId w:val="19"/>
  </w:num>
  <w:num w:numId="7" w16cid:durableId="1294755477">
    <w:abstractNumId w:val="14"/>
  </w:num>
  <w:num w:numId="8" w16cid:durableId="56907192">
    <w:abstractNumId w:val="27"/>
  </w:num>
  <w:num w:numId="9" w16cid:durableId="882524935">
    <w:abstractNumId w:val="5"/>
  </w:num>
  <w:num w:numId="10" w16cid:durableId="1206943703">
    <w:abstractNumId w:val="12"/>
  </w:num>
  <w:num w:numId="11" w16cid:durableId="1441604083">
    <w:abstractNumId w:val="13"/>
  </w:num>
  <w:num w:numId="12" w16cid:durableId="59988518">
    <w:abstractNumId w:val="28"/>
  </w:num>
  <w:num w:numId="13" w16cid:durableId="481627468">
    <w:abstractNumId w:val="11"/>
  </w:num>
  <w:num w:numId="14" w16cid:durableId="400561215">
    <w:abstractNumId w:val="26"/>
  </w:num>
  <w:num w:numId="15" w16cid:durableId="1776830711">
    <w:abstractNumId w:val="7"/>
  </w:num>
  <w:num w:numId="16" w16cid:durableId="1780292250">
    <w:abstractNumId w:val="8"/>
  </w:num>
  <w:num w:numId="17" w16cid:durableId="859321126">
    <w:abstractNumId w:val="30"/>
  </w:num>
  <w:num w:numId="18" w16cid:durableId="852455263">
    <w:abstractNumId w:val="24"/>
  </w:num>
  <w:num w:numId="19" w16cid:durableId="1020543688">
    <w:abstractNumId w:val="17"/>
  </w:num>
  <w:num w:numId="20" w16cid:durableId="1797601032">
    <w:abstractNumId w:val="9"/>
  </w:num>
  <w:num w:numId="21" w16cid:durableId="92364547">
    <w:abstractNumId w:val="18"/>
  </w:num>
  <w:num w:numId="22" w16cid:durableId="2078937065">
    <w:abstractNumId w:val="21"/>
  </w:num>
  <w:num w:numId="23" w16cid:durableId="936444921">
    <w:abstractNumId w:val="6"/>
  </w:num>
  <w:num w:numId="24" w16cid:durableId="1274676699">
    <w:abstractNumId w:val="22"/>
  </w:num>
  <w:num w:numId="25" w16cid:durableId="1594818762">
    <w:abstractNumId w:val="25"/>
  </w:num>
  <w:num w:numId="26" w16cid:durableId="71590488">
    <w:abstractNumId w:val="2"/>
  </w:num>
  <w:num w:numId="27" w16cid:durableId="2080054086">
    <w:abstractNumId w:val="1"/>
  </w:num>
  <w:num w:numId="28" w16cid:durableId="1557005858">
    <w:abstractNumId w:val="3"/>
  </w:num>
  <w:num w:numId="29" w16cid:durableId="2004040859">
    <w:abstractNumId w:val="20"/>
  </w:num>
  <w:num w:numId="30" w16cid:durableId="680670238">
    <w:abstractNumId w:val="10"/>
  </w:num>
  <w:num w:numId="31" w16cid:durableId="1631472675">
    <w:abstractNumId w:val="23"/>
  </w:num>
  <w:numIdMacAtCleanup w:val="3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User Poon">
    <w15:presenceInfo w15:providerId="Windows Live" w15:userId="2fdc3d3f77cbee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B30"/>
    <w:rsid w:val="00006A55"/>
    <w:rsid w:val="00007AA5"/>
    <w:rsid w:val="00010307"/>
    <w:rsid w:val="000122C2"/>
    <w:rsid w:val="00014578"/>
    <w:rsid w:val="00015359"/>
    <w:rsid w:val="00020EC7"/>
    <w:rsid w:val="0002315F"/>
    <w:rsid w:val="0002418D"/>
    <w:rsid w:val="0002460B"/>
    <w:rsid w:val="00030DDC"/>
    <w:rsid w:val="0003119F"/>
    <w:rsid w:val="00032C95"/>
    <w:rsid w:val="00036DE9"/>
    <w:rsid w:val="000462DC"/>
    <w:rsid w:val="00051BCE"/>
    <w:rsid w:val="000617B8"/>
    <w:rsid w:val="000669F2"/>
    <w:rsid w:val="00071F4A"/>
    <w:rsid w:val="000734C8"/>
    <w:rsid w:val="00073C3C"/>
    <w:rsid w:val="00074310"/>
    <w:rsid w:val="00074B88"/>
    <w:rsid w:val="00076C37"/>
    <w:rsid w:val="000851B7"/>
    <w:rsid w:val="000864BE"/>
    <w:rsid w:val="00090CC0"/>
    <w:rsid w:val="00091E84"/>
    <w:rsid w:val="0009242B"/>
    <w:rsid w:val="00092C42"/>
    <w:rsid w:val="000930BE"/>
    <w:rsid w:val="00093362"/>
    <w:rsid w:val="00093ECA"/>
    <w:rsid w:val="00094180"/>
    <w:rsid w:val="00095CED"/>
    <w:rsid w:val="000A0ED9"/>
    <w:rsid w:val="000A45B2"/>
    <w:rsid w:val="000A61AC"/>
    <w:rsid w:val="000A6642"/>
    <w:rsid w:val="000B2F69"/>
    <w:rsid w:val="000B39AA"/>
    <w:rsid w:val="000B3E47"/>
    <w:rsid w:val="000B5F4C"/>
    <w:rsid w:val="000B6600"/>
    <w:rsid w:val="000B7D44"/>
    <w:rsid w:val="000C2EFD"/>
    <w:rsid w:val="000C43CB"/>
    <w:rsid w:val="000C50B1"/>
    <w:rsid w:val="000C61E4"/>
    <w:rsid w:val="000D00F3"/>
    <w:rsid w:val="000D21B6"/>
    <w:rsid w:val="000D3340"/>
    <w:rsid w:val="000D4113"/>
    <w:rsid w:val="000D4834"/>
    <w:rsid w:val="000D5BB6"/>
    <w:rsid w:val="000D67D2"/>
    <w:rsid w:val="000D7320"/>
    <w:rsid w:val="000E38AA"/>
    <w:rsid w:val="000E410F"/>
    <w:rsid w:val="000E6A1A"/>
    <w:rsid w:val="000F1124"/>
    <w:rsid w:val="000F73BB"/>
    <w:rsid w:val="00100962"/>
    <w:rsid w:val="00102DE8"/>
    <w:rsid w:val="00103B7F"/>
    <w:rsid w:val="00105959"/>
    <w:rsid w:val="001070B0"/>
    <w:rsid w:val="001104A8"/>
    <w:rsid w:val="00111969"/>
    <w:rsid w:val="00112CD9"/>
    <w:rsid w:val="00115487"/>
    <w:rsid w:val="00115D8C"/>
    <w:rsid w:val="001169BA"/>
    <w:rsid w:val="001174CD"/>
    <w:rsid w:val="00121B24"/>
    <w:rsid w:val="00122236"/>
    <w:rsid w:val="001222BD"/>
    <w:rsid w:val="0012643D"/>
    <w:rsid w:val="00127E5F"/>
    <w:rsid w:val="001305AC"/>
    <w:rsid w:val="001320BA"/>
    <w:rsid w:val="00133300"/>
    <w:rsid w:val="00133640"/>
    <w:rsid w:val="00136AF2"/>
    <w:rsid w:val="00141D43"/>
    <w:rsid w:val="00142C22"/>
    <w:rsid w:val="001456A2"/>
    <w:rsid w:val="00147247"/>
    <w:rsid w:val="001529C3"/>
    <w:rsid w:val="0015361A"/>
    <w:rsid w:val="001543FF"/>
    <w:rsid w:val="00154CFC"/>
    <w:rsid w:val="00155454"/>
    <w:rsid w:val="0016233F"/>
    <w:rsid w:val="00165DC3"/>
    <w:rsid w:val="00170579"/>
    <w:rsid w:val="00170B6A"/>
    <w:rsid w:val="00171878"/>
    <w:rsid w:val="00173F08"/>
    <w:rsid w:val="00174BFB"/>
    <w:rsid w:val="001765FC"/>
    <w:rsid w:val="00176DCB"/>
    <w:rsid w:val="001772B0"/>
    <w:rsid w:val="001817CC"/>
    <w:rsid w:val="001835B8"/>
    <w:rsid w:val="001870C1"/>
    <w:rsid w:val="00193611"/>
    <w:rsid w:val="001961DB"/>
    <w:rsid w:val="001A5C97"/>
    <w:rsid w:val="001A771E"/>
    <w:rsid w:val="001B0195"/>
    <w:rsid w:val="001B1D34"/>
    <w:rsid w:val="001B1DF5"/>
    <w:rsid w:val="001B34C7"/>
    <w:rsid w:val="001B3E8B"/>
    <w:rsid w:val="001B445C"/>
    <w:rsid w:val="001B79AC"/>
    <w:rsid w:val="001C0483"/>
    <w:rsid w:val="001C2EAE"/>
    <w:rsid w:val="001C6DC2"/>
    <w:rsid w:val="001D4213"/>
    <w:rsid w:val="001D43BB"/>
    <w:rsid w:val="001D66ED"/>
    <w:rsid w:val="001D7408"/>
    <w:rsid w:val="001E1C86"/>
    <w:rsid w:val="001E2AE8"/>
    <w:rsid w:val="001E4456"/>
    <w:rsid w:val="001E46DB"/>
    <w:rsid w:val="001E5D2C"/>
    <w:rsid w:val="001E6BC3"/>
    <w:rsid w:val="001E74AF"/>
    <w:rsid w:val="001F27A0"/>
    <w:rsid w:val="001F3715"/>
    <w:rsid w:val="001F42FE"/>
    <w:rsid w:val="001F4B40"/>
    <w:rsid w:val="001F65FD"/>
    <w:rsid w:val="001F7E31"/>
    <w:rsid w:val="0020154A"/>
    <w:rsid w:val="00202E67"/>
    <w:rsid w:val="00203FF5"/>
    <w:rsid w:val="002041CF"/>
    <w:rsid w:val="002046EC"/>
    <w:rsid w:val="002076ED"/>
    <w:rsid w:val="002077CB"/>
    <w:rsid w:val="002106EC"/>
    <w:rsid w:val="002128CD"/>
    <w:rsid w:val="00215192"/>
    <w:rsid w:val="00217F36"/>
    <w:rsid w:val="0022187C"/>
    <w:rsid w:val="00222688"/>
    <w:rsid w:val="00225A6A"/>
    <w:rsid w:val="00225FC1"/>
    <w:rsid w:val="0022794E"/>
    <w:rsid w:val="00236CD2"/>
    <w:rsid w:val="0024164F"/>
    <w:rsid w:val="00241B66"/>
    <w:rsid w:val="002433E4"/>
    <w:rsid w:val="00243A85"/>
    <w:rsid w:val="0024533A"/>
    <w:rsid w:val="0024549E"/>
    <w:rsid w:val="00246080"/>
    <w:rsid w:val="00246DD2"/>
    <w:rsid w:val="0024756E"/>
    <w:rsid w:val="00253C2D"/>
    <w:rsid w:val="002648A5"/>
    <w:rsid w:val="00267D06"/>
    <w:rsid w:val="00271053"/>
    <w:rsid w:val="00271492"/>
    <w:rsid w:val="00271DC6"/>
    <w:rsid w:val="00271EAD"/>
    <w:rsid w:val="002730EA"/>
    <w:rsid w:val="0027453D"/>
    <w:rsid w:val="002747B8"/>
    <w:rsid w:val="00277CD1"/>
    <w:rsid w:val="00280E7A"/>
    <w:rsid w:val="00281B5F"/>
    <w:rsid w:val="00281E3D"/>
    <w:rsid w:val="00281F6E"/>
    <w:rsid w:val="00287636"/>
    <w:rsid w:val="002904D7"/>
    <w:rsid w:val="0029381B"/>
    <w:rsid w:val="00293F31"/>
    <w:rsid w:val="00294774"/>
    <w:rsid w:val="002949CB"/>
    <w:rsid w:val="002978EF"/>
    <w:rsid w:val="002A0A29"/>
    <w:rsid w:val="002A0C6E"/>
    <w:rsid w:val="002A2DC8"/>
    <w:rsid w:val="002B082C"/>
    <w:rsid w:val="002B2A22"/>
    <w:rsid w:val="002B571B"/>
    <w:rsid w:val="002B69A7"/>
    <w:rsid w:val="002B6A2C"/>
    <w:rsid w:val="002B6D4F"/>
    <w:rsid w:val="002C00FA"/>
    <w:rsid w:val="002C2200"/>
    <w:rsid w:val="002C5008"/>
    <w:rsid w:val="002C60EF"/>
    <w:rsid w:val="002C6D36"/>
    <w:rsid w:val="002C7259"/>
    <w:rsid w:val="002D2A6A"/>
    <w:rsid w:val="002D33B3"/>
    <w:rsid w:val="002D7695"/>
    <w:rsid w:val="002E106E"/>
    <w:rsid w:val="002E43EB"/>
    <w:rsid w:val="002E510C"/>
    <w:rsid w:val="002E752B"/>
    <w:rsid w:val="002F0AB7"/>
    <w:rsid w:val="002F0D20"/>
    <w:rsid w:val="002F1756"/>
    <w:rsid w:val="002F1ED7"/>
    <w:rsid w:val="002F56C9"/>
    <w:rsid w:val="002F5A28"/>
    <w:rsid w:val="002F6054"/>
    <w:rsid w:val="002F60EE"/>
    <w:rsid w:val="002F6FB5"/>
    <w:rsid w:val="003047B3"/>
    <w:rsid w:val="00306563"/>
    <w:rsid w:val="00311ADA"/>
    <w:rsid w:val="00313CFB"/>
    <w:rsid w:val="00313DE8"/>
    <w:rsid w:val="00315E00"/>
    <w:rsid w:val="003200B2"/>
    <w:rsid w:val="00320E26"/>
    <w:rsid w:val="0032410B"/>
    <w:rsid w:val="00324A12"/>
    <w:rsid w:val="003254CB"/>
    <w:rsid w:val="00327933"/>
    <w:rsid w:val="00331C03"/>
    <w:rsid w:val="003322E0"/>
    <w:rsid w:val="003335B9"/>
    <w:rsid w:val="00335FE0"/>
    <w:rsid w:val="0033662B"/>
    <w:rsid w:val="00340A26"/>
    <w:rsid w:val="00341747"/>
    <w:rsid w:val="0034358B"/>
    <w:rsid w:val="003448E2"/>
    <w:rsid w:val="00344EF3"/>
    <w:rsid w:val="00344FA1"/>
    <w:rsid w:val="00345729"/>
    <w:rsid w:val="00347E67"/>
    <w:rsid w:val="00351ED5"/>
    <w:rsid w:val="00352B90"/>
    <w:rsid w:val="003531DD"/>
    <w:rsid w:val="00353909"/>
    <w:rsid w:val="00360139"/>
    <w:rsid w:val="003625AC"/>
    <w:rsid w:val="00362C77"/>
    <w:rsid w:val="003632B8"/>
    <w:rsid w:val="00366724"/>
    <w:rsid w:val="00367475"/>
    <w:rsid w:val="00372343"/>
    <w:rsid w:val="0037238F"/>
    <w:rsid w:val="00372DB8"/>
    <w:rsid w:val="00373A97"/>
    <w:rsid w:val="00374E46"/>
    <w:rsid w:val="00381C0B"/>
    <w:rsid w:val="00390575"/>
    <w:rsid w:val="003920A7"/>
    <w:rsid w:val="00393D1C"/>
    <w:rsid w:val="00394615"/>
    <w:rsid w:val="00396AF3"/>
    <w:rsid w:val="00396BAD"/>
    <w:rsid w:val="00396CE6"/>
    <w:rsid w:val="003A0D8D"/>
    <w:rsid w:val="003A1A7C"/>
    <w:rsid w:val="003A326C"/>
    <w:rsid w:val="003B1AA3"/>
    <w:rsid w:val="003B2FB3"/>
    <w:rsid w:val="003B3DC2"/>
    <w:rsid w:val="003B6109"/>
    <w:rsid w:val="003B70ED"/>
    <w:rsid w:val="003C1399"/>
    <w:rsid w:val="003D50F6"/>
    <w:rsid w:val="003D5704"/>
    <w:rsid w:val="003D5BBF"/>
    <w:rsid w:val="003D607E"/>
    <w:rsid w:val="003D70E6"/>
    <w:rsid w:val="003E0399"/>
    <w:rsid w:val="003F442C"/>
    <w:rsid w:val="003F53B9"/>
    <w:rsid w:val="003F7BD3"/>
    <w:rsid w:val="003F7FC0"/>
    <w:rsid w:val="00400416"/>
    <w:rsid w:val="0040156A"/>
    <w:rsid w:val="00407073"/>
    <w:rsid w:val="00407DD6"/>
    <w:rsid w:val="00410E35"/>
    <w:rsid w:val="00415BDC"/>
    <w:rsid w:val="004212D7"/>
    <w:rsid w:val="004221A0"/>
    <w:rsid w:val="004227B2"/>
    <w:rsid w:val="00422A1D"/>
    <w:rsid w:val="004238D8"/>
    <w:rsid w:val="00423F59"/>
    <w:rsid w:val="0042641C"/>
    <w:rsid w:val="004268B6"/>
    <w:rsid w:val="00430340"/>
    <w:rsid w:val="00431D86"/>
    <w:rsid w:val="00433146"/>
    <w:rsid w:val="00435197"/>
    <w:rsid w:val="0043548C"/>
    <w:rsid w:val="00435FBA"/>
    <w:rsid w:val="0043666E"/>
    <w:rsid w:val="00441768"/>
    <w:rsid w:val="004461AA"/>
    <w:rsid w:val="004465ED"/>
    <w:rsid w:val="00452372"/>
    <w:rsid w:val="0045395A"/>
    <w:rsid w:val="00454780"/>
    <w:rsid w:val="0045634D"/>
    <w:rsid w:val="00457419"/>
    <w:rsid w:val="00464445"/>
    <w:rsid w:val="00464744"/>
    <w:rsid w:val="00473214"/>
    <w:rsid w:val="004737E6"/>
    <w:rsid w:val="00473FC8"/>
    <w:rsid w:val="00476518"/>
    <w:rsid w:val="004819D0"/>
    <w:rsid w:val="004857C6"/>
    <w:rsid w:val="00486184"/>
    <w:rsid w:val="00490413"/>
    <w:rsid w:val="00490CE9"/>
    <w:rsid w:val="00491E35"/>
    <w:rsid w:val="00492397"/>
    <w:rsid w:val="004971AB"/>
    <w:rsid w:val="004A16A5"/>
    <w:rsid w:val="004A2B65"/>
    <w:rsid w:val="004B1D19"/>
    <w:rsid w:val="004B2CC2"/>
    <w:rsid w:val="004C4D38"/>
    <w:rsid w:val="004C7B6B"/>
    <w:rsid w:val="004D04ED"/>
    <w:rsid w:val="004D1502"/>
    <w:rsid w:val="004D36C1"/>
    <w:rsid w:val="004D6E44"/>
    <w:rsid w:val="004E4F42"/>
    <w:rsid w:val="004E5F5E"/>
    <w:rsid w:val="004F2917"/>
    <w:rsid w:val="004F53AD"/>
    <w:rsid w:val="004F6A54"/>
    <w:rsid w:val="004F75CD"/>
    <w:rsid w:val="004F7F82"/>
    <w:rsid w:val="00500AA3"/>
    <w:rsid w:val="0050188F"/>
    <w:rsid w:val="00501F00"/>
    <w:rsid w:val="00501F33"/>
    <w:rsid w:val="00502B88"/>
    <w:rsid w:val="005031C5"/>
    <w:rsid w:val="00504C19"/>
    <w:rsid w:val="0050557D"/>
    <w:rsid w:val="005068C7"/>
    <w:rsid w:val="00510CB3"/>
    <w:rsid w:val="00511351"/>
    <w:rsid w:val="00511D68"/>
    <w:rsid w:val="00512365"/>
    <w:rsid w:val="0051251D"/>
    <w:rsid w:val="005128B6"/>
    <w:rsid w:val="00516634"/>
    <w:rsid w:val="00516A51"/>
    <w:rsid w:val="00517C02"/>
    <w:rsid w:val="0052173A"/>
    <w:rsid w:val="00524D6F"/>
    <w:rsid w:val="005267E5"/>
    <w:rsid w:val="00526851"/>
    <w:rsid w:val="00526EF0"/>
    <w:rsid w:val="0052784E"/>
    <w:rsid w:val="00532BC2"/>
    <w:rsid w:val="00537D94"/>
    <w:rsid w:val="00540F11"/>
    <w:rsid w:val="005425E0"/>
    <w:rsid w:val="005439C6"/>
    <w:rsid w:val="0054412F"/>
    <w:rsid w:val="0054548B"/>
    <w:rsid w:val="00545FB1"/>
    <w:rsid w:val="0054639B"/>
    <w:rsid w:val="00551718"/>
    <w:rsid w:val="00553A41"/>
    <w:rsid w:val="005551B4"/>
    <w:rsid w:val="00566A2F"/>
    <w:rsid w:val="00567282"/>
    <w:rsid w:val="00572047"/>
    <w:rsid w:val="005720E9"/>
    <w:rsid w:val="00572C3F"/>
    <w:rsid w:val="00572D40"/>
    <w:rsid w:val="0057719E"/>
    <w:rsid w:val="005800B6"/>
    <w:rsid w:val="00581964"/>
    <w:rsid w:val="005827E1"/>
    <w:rsid w:val="00582BF0"/>
    <w:rsid w:val="0058630D"/>
    <w:rsid w:val="00592946"/>
    <w:rsid w:val="00593173"/>
    <w:rsid w:val="00594F7D"/>
    <w:rsid w:val="00597207"/>
    <w:rsid w:val="005A0D1A"/>
    <w:rsid w:val="005A5DA4"/>
    <w:rsid w:val="005A735B"/>
    <w:rsid w:val="005A7877"/>
    <w:rsid w:val="005B1967"/>
    <w:rsid w:val="005B40FD"/>
    <w:rsid w:val="005B4E77"/>
    <w:rsid w:val="005B51E2"/>
    <w:rsid w:val="005B5679"/>
    <w:rsid w:val="005B704A"/>
    <w:rsid w:val="005B7498"/>
    <w:rsid w:val="005C4ED3"/>
    <w:rsid w:val="005D12B4"/>
    <w:rsid w:val="005D2A07"/>
    <w:rsid w:val="005D3924"/>
    <w:rsid w:val="005D570E"/>
    <w:rsid w:val="005D5EF0"/>
    <w:rsid w:val="005D61EC"/>
    <w:rsid w:val="005D645D"/>
    <w:rsid w:val="005E0786"/>
    <w:rsid w:val="005E2C59"/>
    <w:rsid w:val="005E4AA8"/>
    <w:rsid w:val="005E5B12"/>
    <w:rsid w:val="005E731B"/>
    <w:rsid w:val="005E7E3D"/>
    <w:rsid w:val="005F478E"/>
    <w:rsid w:val="005F4C88"/>
    <w:rsid w:val="005F5BA8"/>
    <w:rsid w:val="005F6E6F"/>
    <w:rsid w:val="005F6F3B"/>
    <w:rsid w:val="0060178C"/>
    <w:rsid w:val="00602ACE"/>
    <w:rsid w:val="00603E07"/>
    <w:rsid w:val="0060563E"/>
    <w:rsid w:val="006067C2"/>
    <w:rsid w:val="00611BE5"/>
    <w:rsid w:val="00615002"/>
    <w:rsid w:val="00617F7E"/>
    <w:rsid w:val="0062280C"/>
    <w:rsid w:val="00623415"/>
    <w:rsid w:val="00627B86"/>
    <w:rsid w:val="00631303"/>
    <w:rsid w:val="00633990"/>
    <w:rsid w:val="006343CA"/>
    <w:rsid w:val="00634788"/>
    <w:rsid w:val="00635D3C"/>
    <w:rsid w:val="006363AA"/>
    <w:rsid w:val="00640797"/>
    <w:rsid w:val="00641F6D"/>
    <w:rsid w:val="006425E0"/>
    <w:rsid w:val="006508F5"/>
    <w:rsid w:val="006523C5"/>
    <w:rsid w:val="00652A6C"/>
    <w:rsid w:val="00652AFD"/>
    <w:rsid w:val="00660A7E"/>
    <w:rsid w:val="00660EF0"/>
    <w:rsid w:val="006657B3"/>
    <w:rsid w:val="006667BB"/>
    <w:rsid w:val="00672128"/>
    <w:rsid w:val="0067404A"/>
    <w:rsid w:val="006768F7"/>
    <w:rsid w:val="00676C77"/>
    <w:rsid w:val="00677188"/>
    <w:rsid w:val="00677ADC"/>
    <w:rsid w:val="006841F6"/>
    <w:rsid w:val="00684616"/>
    <w:rsid w:val="00685E33"/>
    <w:rsid w:val="00691AE0"/>
    <w:rsid w:val="006927F5"/>
    <w:rsid w:val="00694D29"/>
    <w:rsid w:val="006A0855"/>
    <w:rsid w:val="006A0BDA"/>
    <w:rsid w:val="006A0C91"/>
    <w:rsid w:val="006A1A92"/>
    <w:rsid w:val="006A22B7"/>
    <w:rsid w:val="006A2EA1"/>
    <w:rsid w:val="006A3E24"/>
    <w:rsid w:val="006B01F5"/>
    <w:rsid w:val="006B4544"/>
    <w:rsid w:val="006B5B67"/>
    <w:rsid w:val="006B5E6D"/>
    <w:rsid w:val="006B606F"/>
    <w:rsid w:val="006B7269"/>
    <w:rsid w:val="006B7F22"/>
    <w:rsid w:val="006C12DB"/>
    <w:rsid w:val="006C3494"/>
    <w:rsid w:val="006C64AE"/>
    <w:rsid w:val="006C7A04"/>
    <w:rsid w:val="006D1D96"/>
    <w:rsid w:val="006D7E73"/>
    <w:rsid w:val="006E2ECA"/>
    <w:rsid w:val="006E2EE7"/>
    <w:rsid w:val="006E4A7D"/>
    <w:rsid w:val="006E508D"/>
    <w:rsid w:val="006E5EC3"/>
    <w:rsid w:val="006E6814"/>
    <w:rsid w:val="006F0C44"/>
    <w:rsid w:val="006F122E"/>
    <w:rsid w:val="006F186A"/>
    <w:rsid w:val="006F346A"/>
    <w:rsid w:val="006F373D"/>
    <w:rsid w:val="006F5A45"/>
    <w:rsid w:val="006F6EF7"/>
    <w:rsid w:val="006F7050"/>
    <w:rsid w:val="0070040C"/>
    <w:rsid w:val="00701BC3"/>
    <w:rsid w:val="0070326B"/>
    <w:rsid w:val="00704247"/>
    <w:rsid w:val="00711ACD"/>
    <w:rsid w:val="00712857"/>
    <w:rsid w:val="007132C6"/>
    <w:rsid w:val="007172FD"/>
    <w:rsid w:val="00717738"/>
    <w:rsid w:val="007262A4"/>
    <w:rsid w:val="00730255"/>
    <w:rsid w:val="00732ED0"/>
    <w:rsid w:val="00733A00"/>
    <w:rsid w:val="0074232F"/>
    <w:rsid w:val="007437F7"/>
    <w:rsid w:val="00744DAE"/>
    <w:rsid w:val="00745245"/>
    <w:rsid w:val="00747E09"/>
    <w:rsid w:val="007520B9"/>
    <w:rsid w:val="00753C4B"/>
    <w:rsid w:val="00754E9A"/>
    <w:rsid w:val="00755540"/>
    <w:rsid w:val="007612B9"/>
    <w:rsid w:val="00762099"/>
    <w:rsid w:val="00762426"/>
    <w:rsid w:val="00762607"/>
    <w:rsid w:val="00765CB5"/>
    <w:rsid w:val="00767A43"/>
    <w:rsid w:val="0077040C"/>
    <w:rsid w:val="0077084A"/>
    <w:rsid w:val="00771126"/>
    <w:rsid w:val="00773076"/>
    <w:rsid w:val="00774BFB"/>
    <w:rsid w:val="0077605D"/>
    <w:rsid w:val="007802A3"/>
    <w:rsid w:val="007824BA"/>
    <w:rsid w:val="00783714"/>
    <w:rsid w:val="007839F3"/>
    <w:rsid w:val="007853FA"/>
    <w:rsid w:val="00785B24"/>
    <w:rsid w:val="00787682"/>
    <w:rsid w:val="00790E4E"/>
    <w:rsid w:val="007935E5"/>
    <w:rsid w:val="00793757"/>
    <w:rsid w:val="00794FDF"/>
    <w:rsid w:val="007970B7"/>
    <w:rsid w:val="007971E5"/>
    <w:rsid w:val="007A59B0"/>
    <w:rsid w:val="007A5C66"/>
    <w:rsid w:val="007A74C0"/>
    <w:rsid w:val="007A75E9"/>
    <w:rsid w:val="007B5369"/>
    <w:rsid w:val="007B6446"/>
    <w:rsid w:val="007B6C56"/>
    <w:rsid w:val="007C0D68"/>
    <w:rsid w:val="007C3F4C"/>
    <w:rsid w:val="007C5988"/>
    <w:rsid w:val="007C672A"/>
    <w:rsid w:val="007C6862"/>
    <w:rsid w:val="007D21C7"/>
    <w:rsid w:val="007D3754"/>
    <w:rsid w:val="007E0097"/>
    <w:rsid w:val="007E011D"/>
    <w:rsid w:val="007E3261"/>
    <w:rsid w:val="007E3D26"/>
    <w:rsid w:val="007E5997"/>
    <w:rsid w:val="007F0744"/>
    <w:rsid w:val="007F0822"/>
    <w:rsid w:val="007F1E7D"/>
    <w:rsid w:val="007F3EA6"/>
    <w:rsid w:val="007F4EC3"/>
    <w:rsid w:val="007F6448"/>
    <w:rsid w:val="007F7AD6"/>
    <w:rsid w:val="0080050E"/>
    <w:rsid w:val="00802306"/>
    <w:rsid w:val="00802856"/>
    <w:rsid w:val="00806C45"/>
    <w:rsid w:val="008107B1"/>
    <w:rsid w:val="0081088B"/>
    <w:rsid w:val="00810FB0"/>
    <w:rsid w:val="00812138"/>
    <w:rsid w:val="00812A3C"/>
    <w:rsid w:val="00816E31"/>
    <w:rsid w:val="008173BC"/>
    <w:rsid w:val="008174B4"/>
    <w:rsid w:val="00817919"/>
    <w:rsid w:val="00817C46"/>
    <w:rsid w:val="00821FBB"/>
    <w:rsid w:val="00822A52"/>
    <w:rsid w:val="0083316F"/>
    <w:rsid w:val="008349B4"/>
    <w:rsid w:val="008402A6"/>
    <w:rsid w:val="0084096B"/>
    <w:rsid w:val="00840A81"/>
    <w:rsid w:val="008423E0"/>
    <w:rsid w:val="0084679D"/>
    <w:rsid w:val="00850120"/>
    <w:rsid w:val="00850AF7"/>
    <w:rsid w:val="008527D9"/>
    <w:rsid w:val="00853106"/>
    <w:rsid w:val="00854698"/>
    <w:rsid w:val="008547EF"/>
    <w:rsid w:val="008554FD"/>
    <w:rsid w:val="008565BA"/>
    <w:rsid w:val="008601A3"/>
    <w:rsid w:val="00860F2C"/>
    <w:rsid w:val="00860F95"/>
    <w:rsid w:val="008666C7"/>
    <w:rsid w:val="008676F4"/>
    <w:rsid w:val="00873B63"/>
    <w:rsid w:val="00876D08"/>
    <w:rsid w:val="008777A7"/>
    <w:rsid w:val="0088141B"/>
    <w:rsid w:val="008832F1"/>
    <w:rsid w:val="008837E1"/>
    <w:rsid w:val="008844BB"/>
    <w:rsid w:val="00885DD8"/>
    <w:rsid w:val="00890AB2"/>
    <w:rsid w:val="00890ABC"/>
    <w:rsid w:val="008917CB"/>
    <w:rsid w:val="008945AA"/>
    <w:rsid w:val="00894DAD"/>
    <w:rsid w:val="008A1E92"/>
    <w:rsid w:val="008A4B3D"/>
    <w:rsid w:val="008B0DA2"/>
    <w:rsid w:val="008B389D"/>
    <w:rsid w:val="008B3CC5"/>
    <w:rsid w:val="008B6705"/>
    <w:rsid w:val="008B6B7B"/>
    <w:rsid w:val="008C1F39"/>
    <w:rsid w:val="008C30CE"/>
    <w:rsid w:val="008C478F"/>
    <w:rsid w:val="008C61AF"/>
    <w:rsid w:val="008C66E3"/>
    <w:rsid w:val="008C7EC7"/>
    <w:rsid w:val="008D24B7"/>
    <w:rsid w:val="008D585C"/>
    <w:rsid w:val="008D6AE0"/>
    <w:rsid w:val="008D7042"/>
    <w:rsid w:val="008E17A3"/>
    <w:rsid w:val="008E19F0"/>
    <w:rsid w:val="008E3F76"/>
    <w:rsid w:val="008E6BB5"/>
    <w:rsid w:val="008F075C"/>
    <w:rsid w:val="008F73A5"/>
    <w:rsid w:val="00904F96"/>
    <w:rsid w:val="00910037"/>
    <w:rsid w:val="009112F3"/>
    <w:rsid w:val="009222A2"/>
    <w:rsid w:val="00924D4A"/>
    <w:rsid w:val="00925DC6"/>
    <w:rsid w:val="009268D4"/>
    <w:rsid w:val="00932FE7"/>
    <w:rsid w:val="00933664"/>
    <w:rsid w:val="00934FB3"/>
    <w:rsid w:val="009379CF"/>
    <w:rsid w:val="00940F0C"/>
    <w:rsid w:val="00953EE7"/>
    <w:rsid w:val="009561C5"/>
    <w:rsid w:val="00956F19"/>
    <w:rsid w:val="0096038B"/>
    <w:rsid w:val="009622B9"/>
    <w:rsid w:val="0096250A"/>
    <w:rsid w:val="00964084"/>
    <w:rsid w:val="00966FCE"/>
    <w:rsid w:val="00972FC3"/>
    <w:rsid w:val="00974040"/>
    <w:rsid w:val="00974431"/>
    <w:rsid w:val="0097518E"/>
    <w:rsid w:val="00975470"/>
    <w:rsid w:val="00975B07"/>
    <w:rsid w:val="00976F55"/>
    <w:rsid w:val="009800C7"/>
    <w:rsid w:val="0098364E"/>
    <w:rsid w:val="00985B14"/>
    <w:rsid w:val="009879AC"/>
    <w:rsid w:val="00992705"/>
    <w:rsid w:val="009928BC"/>
    <w:rsid w:val="00994590"/>
    <w:rsid w:val="00995D07"/>
    <w:rsid w:val="009971C0"/>
    <w:rsid w:val="0099772D"/>
    <w:rsid w:val="00997803"/>
    <w:rsid w:val="00997987"/>
    <w:rsid w:val="009A1B96"/>
    <w:rsid w:val="009A2201"/>
    <w:rsid w:val="009A45D5"/>
    <w:rsid w:val="009A5067"/>
    <w:rsid w:val="009A546E"/>
    <w:rsid w:val="009A7025"/>
    <w:rsid w:val="009A7AC2"/>
    <w:rsid w:val="009B0B7F"/>
    <w:rsid w:val="009B217A"/>
    <w:rsid w:val="009B27F9"/>
    <w:rsid w:val="009B5596"/>
    <w:rsid w:val="009C1F23"/>
    <w:rsid w:val="009C3942"/>
    <w:rsid w:val="009C3A70"/>
    <w:rsid w:val="009C4242"/>
    <w:rsid w:val="009C6A86"/>
    <w:rsid w:val="009D0F8F"/>
    <w:rsid w:val="009D382A"/>
    <w:rsid w:val="009D5429"/>
    <w:rsid w:val="009E0A99"/>
    <w:rsid w:val="009E288D"/>
    <w:rsid w:val="009E3BA5"/>
    <w:rsid w:val="009E6700"/>
    <w:rsid w:val="009F12B7"/>
    <w:rsid w:val="009F2AA0"/>
    <w:rsid w:val="009F2F4E"/>
    <w:rsid w:val="00A0155F"/>
    <w:rsid w:val="00A01F30"/>
    <w:rsid w:val="00A02987"/>
    <w:rsid w:val="00A04371"/>
    <w:rsid w:val="00A04537"/>
    <w:rsid w:val="00A0488C"/>
    <w:rsid w:val="00A0731C"/>
    <w:rsid w:val="00A1193C"/>
    <w:rsid w:val="00A12865"/>
    <w:rsid w:val="00A14006"/>
    <w:rsid w:val="00A143DE"/>
    <w:rsid w:val="00A14D54"/>
    <w:rsid w:val="00A17265"/>
    <w:rsid w:val="00A218C1"/>
    <w:rsid w:val="00A22DD0"/>
    <w:rsid w:val="00A23972"/>
    <w:rsid w:val="00A26724"/>
    <w:rsid w:val="00A277CF"/>
    <w:rsid w:val="00A33374"/>
    <w:rsid w:val="00A33F6A"/>
    <w:rsid w:val="00A345CA"/>
    <w:rsid w:val="00A349CE"/>
    <w:rsid w:val="00A372FD"/>
    <w:rsid w:val="00A37748"/>
    <w:rsid w:val="00A37E8E"/>
    <w:rsid w:val="00A42E5C"/>
    <w:rsid w:val="00A45A43"/>
    <w:rsid w:val="00A51061"/>
    <w:rsid w:val="00A51190"/>
    <w:rsid w:val="00A5139B"/>
    <w:rsid w:val="00A51BFC"/>
    <w:rsid w:val="00A535B5"/>
    <w:rsid w:val="00A5435D"/>
    <w:rsid w:val="00A5780D"/>
    <w:rsid w:val="00A65DBE"/>
    <w:rsid w:val="00A662DE"/>
    <w:rsid w:val="00A664EE"/>
    <w:rsid w:val="00A66BD8"/>
    <w:rsid w:val="00A66BDA"/>
    <w:rsid w:val="00A70379"/>
    <w:rsid w:val="00A71F0C"/>
    <w:rsid w:val="00A72751"/>
    <w:rsid w:val="00A74548"/>
    <w:rsid w:val="00A772B0"/>
    <w:rsid w:val="00A7773D"/>
    <w:rsid w:val="00A831BA"/>
    <w:rsid w:val="00A83E23"/>
    <w:rsid w:val="00A9020C"/>
    <w:rsid w:val="00A91E2D"/>
    <w:rsid w:val="00A93647"/>
    <w:rsid w:val="00A941F6"/>
    <w:rsid w:val="00A97B65"/>
    <w:rsid w:val="00AA036E"/>
    <w:rsid w:val="00AA3DCD"/>
    <w:rsid w:val="00AA582E"/>
    <w:rsid w:val="00AA74D3"/>
    <w:rsid w:val="00AA77AC"/>
    <w:rsid w:val="00AB0914"/>
    <w:rsid w:val="00AB4694"/>
    <w:rsid w:val="00AB576F"/>
    <w:rsid w:val="00AB5D04"/>
    <w:rsid w:val="00AB64D7"/>
    <w:rsid w:val="00AC03C9"/>
    <w:rsid w:val="00AC0476"/>
    <w:rsid w:val="00AC04FF"/>
    <w:rsid w:val="00AC0D94"/>
    <w:rsid w:val="00AC31CE"/>
    <w:rsid w:val="00AC34A1"/>
    <w:rsid w:val="00AC75E9"/>
    <w:rsid w:val="00AC797E"/>
    <w:rsid w:val="00AD3EA5"/>
    <w:rsid w:val="00AD7B1F"/>
    <w:rsid w:val="00AE3CA3"/>
    <w:rsid w:val="00AE3EC8"/>
    <w:rsid w:val="00AE6A38"/>
    <w:rsid w:val="00AF0637"/>
    <w:rsid w:val="00AF224C"/>
    <w:rsid w:val="00AF3DAE"/>
    <w:rsid w:val="00AF417C"/>
    <w:rsid w:val="00AF4C14"/>
    <w:rsid w:val="00AF5295"/>
    <w:rsid w:val="00AF5B50"/>
    <w:rsid w:val="00AF5E6A"/>
    <w:rsid w:val="00AF5EEC"/>
    <w:rsid w:val="00AF6616"/>
    <w:rsid w:val="00B0321E"/>
    <w:rsid w:val="00B044A5"/>
    <w:rsid w:val="00B04CE9"/>
    <w:rsid w:val="00B04D0D"/>
    <w:rsid w:val="00B077EF"/>
    <w:rsid w:val="00B079FB"/>
    <w:rsid w:val="00B107D5"/>
    <w:rsid w:val="00B13F44"/>
    <w:rsid w:val="00B16D6E"/>
    <w:rsid w:val="00B209E3"/>
    <w:rsid w:val="00B21787"/>
    <w:rsid w:val="00B21892"/>
    <w:rsid w:val="00B21C8B"/>
    <w:rsid w:val="00B23CB0"/>
    <w:rsid w:val="00B248BB"/>
    <w:rsid w:val="00B25B3D"/>
    <w:rsid w:val="00B2674E"/>
    <w:rsid w:val="00B343CF"/>
    <w:rsid w:val="00B34D89"/>
    <w:rsid w:val="00B354BC"/>
    <w:rsid w:val="00B36A2A"/>
    <w:rsid w:val="00B37B4D"/>
    <w:rsid w:val="00B40A21"/>
    <w:rsid w:val="00B40D11"/>
    <w:rsid w:val="00B41057"/>
    <w:rsid w:val="00B4314C"/>
    <w:rsid w:val="00B45AC4"/>
    <w:rsid w:val="00B465A7"/>
    <w:rsid w:val="00B51F32"/>
    <w:rsid w:val="00B54B17"/>
    <w:rsid w:val="00B638D9"/>
    <w:rsid w:val="00B65A6B"/>
    <w:rsid w:val="00B65B2E"/>
    <w:rsid w:val="00B67920"/>
    <w:rsid w:val="00B7025F"/>
    <w:rsid w:val="00B70FAA"/>
    <w:rsid w:val="00B7126C"/>
    <w:rsid w:val="00B75187"/>
    <w:rsid w:val="00B7735B"/>
    <w:rsid w:val="00B81D44"/>
    <w:rsid w:val="00B85A24"/>
    <w:rsid w:val="00B872ED"/>
    <w:rsid w:val="00B87C79"/>
    <w:rsid w:val="00B91213"/>
    <w:rsid w:val="00B91315"/>
    <w:rsid w:val="00B92681"/>
    <w:rsid w:val="00B92C3B"/>
    <w:rsid w:val="00B9338E"/>
    <w:rsid w:val="00B94B34"/>
    <w:rsid w:val="00B953FD"/>
    <w:rsid w:val="00BA07CA"/>
    <w:rsid w:val="00BA5064"/>
    <w:rsid w:val="00BA5E50"/>
    <w:rsid w:val="00BA5FA9"/>
    <w:rsid w:val="00BA71ED"/>
    <w:rsid w:val="00BB17DB"/>
    <w:rsid w:val="00BB1849"/>
    <w:rsid w:val="00BB1D03"/>
    <w:rsid w:val="00BB3FE6"/>
    <w:rsid w:val="00BB4B17"/>
    <w:rsid w:val="00BB4C1B"/>
    <w:rsid w:val="00BB762A"/>
    <w:rsid w:val="00BC09F0"/>
    <w:rsid w:val="00BC114B"/>
    <w:rsid w:val="00BC14FB"/>
    <w:rsid w:val="00BC3552"/>
    <w:rsid w:val="00BC3940"/>
    <w:rsid w:val="00BC3E66"/>
    <w:rsid w:val="00BC74F5"/>
    <w:rsid w:val="00BD3CC8"/>
    <w:rsid w:val="00BD439E"/>
    <w:rsid w:val="00BD64CF"/>
    <w:rsid w:val="00BE12B2"/>
    <w:rsid w:val="00BF0404"/>
    <w:rsid w:val="00BF0CC8"/>
    <w:rsid w:val="00BF19D4"/>
    <w:rsid w:val="00BF3122"/>
    <w:rsid w:val="00BF3708"/>
    <w:rsid w:val="00BF62A1"/>
    <w:rsid w:val="00C01CED"/>
    <w:rsid w:val="00C02066"/>
    <w:rsid w:val="00C039CC"/>
    <w:rsid w:val="00C04205"/>
    <w:rsid w:val="00C04DD8"/>
    <w:rsid w:val="00C05543"/>
    <w:rsid w:val="00C0575D"/>
    <w:rsid w:val="00C067B6"/>
    <w:rsid w:val="00C14223"/>
    <w:rsid w:val="00C146E5"/>
    <w:rsid w:val="00C14B56"/>
    <w:rsid w:val="00C17926"/>
    <w:rsid w:val="00C30A5D"/>
    <w:rsid w:val="00C32D0D"/>
    <w:rsid w:val="00C3326F"/>
    <w:rsid w:val="00C40B94"/>
    <w:rsid w:val="00C430BC"/>
    <w:rsid w:val="00C43D72"/>
    <w:rsid w:val="00C442BD"/>
    <w:rsid w:val="00C4500F"/>
    <w:rsid w:val="00C46BD9"/>
    <w:rsid w:val="00C53550"/>
    <w:rsid w:val="00C57A42"/>
    <w:rsid w:val="00C603AF"/>
    <w:rsid w:val="00C61861"/>
    <w:rsid w:val="00C62D35"/>
    <w:rsid w:val="00C6413D"/>
    <w:rsid w:val="00C64A1E"/>
    <w:rsid w:val="00C65A3F"/>
    <w:rsid w:val="00C65DE0"/>
    <w:rsid w:val="00C678F0"/>
    <w:rsid w:val="00C748AB"/>
    <w:rsid w:val="00C74E8B"/>
    <w:rsid w:val="00C75BDC"/>
    <w:rsid w:val="00C8202C"/>
    <w:rsid w:val="00C8273A"/>
    <w:rsid w:val="00C924B8"/>
    <w:rsid w:val="00C940E9"/>
    <w:rsid w:val="00C95BE3"/>
    <w:rsid w:val="00CA0613"/>
    <w:rsid w:val="00CA09A1"/>
    <w:rsid w:val="00CA1589"/>
    <w:rsid w:val="00CA1DA1"/>
    <w:rsid w:val="00CA27E0"/>
    <w:rsid w:val="00CA2B78"/>
    <w:rsid w:val="00CA47EE"/>
    <w:rsid w:val="00CA798C"/>
    <w:rsid w:val="00CB40ED"/>
    <w:rsid w:val="00CB4B5D"/>
    <w:rsid w:val="00CB525E"/>
    <w:rsid w:val="00CB68AE"/>
    <w:rsid w:val="00CB7453"/>
    <w:rsid w:val="00CC0AA6"/>
    <w:rsid w:val="00CC0E1D"/>
    <w:rsid w:val="00CC347A"/>
    <w:rsid w:val="00CC3D03"/>
    <w:rsid w:val="00CC69B2"/>
    <w:rsid w:val="00CC7217"/>
    <w:rsid w:val="00CC7B8D"/>
    <w:rsid w:val="00CD251F"/>
    <w:rsid w:val="00CD4800"/>
    <w:rsid w:val="00CD5E2D"/>
    <w:rsid w:val="00CD6383"/>
    <w:rsid w:val="00CD7E3B"/>
    <w:rsid w:val="00CE2668"/>
    <w:rsid w:val="00CE40C7"/>
    <w:rsid w:val="00CE45CB"/>
    <w:rsid w:val="00CE699D"/>
    <w:rsid w:val="00CE7ABB"/>
    <w:rsid w:val="00CF1672"/>
    <w:rsid w:val="00CF25BF"/>
    <w:rsid w:val="00CF330D"/>
    <w:rsid w:val="00D05157"/>
    <w:rsid w:val="00D17F93"/>
    <w:rsid w:val="00D21A9D"/>
    <w:rsid w:val="00D24F24"/>
    <w:rsid w:val="00D2543F"/>
    <w:rsid w:val="00D3080E"/>
    <w:rsid w:val="00D30979"/>
    <w:rsid w:val="00D30C87"/>
    <w:rsid w:val="00D32032"/>
    <w:rsid w:val="00D3216B"/>
    <w:rsid w:val="00D404A9"/>
    <w:rsid w:val="00D407D3"/>
    <w:rsid w:val="00D417A9"/>
    <w:rsid w:val="00D45280"/>
    <w:rsid w:val="00D46E71"/>
    <w:rsid w:val="00D50925"/>
    <w:rsid w:val="00D5484F"/>
    <w:rsid w:val="00D553FB"/>
    <w:rsid w:val="00D56CB9"/>
    <w:rsid w:val="00D60DD7"/>
    <w:rsid w:val="00D62E13"/>
    <w:rsid w:val="00D66270"/>
    <w:rsid w:val="00D66450"/>
    <w:rsid w:val="00D66696"/>
    <w:rsid w:val="00D712B7"/>
    <w:rsid w:val="00D7343D"/>
    <w:rsid w:val="00D74BBD"/>
    <w:rsid w:val="00D75F38"/>
    <w:rsid w:val="00D76698"/>
    <w:rsid w:val="00D771A8"/>
    <w:rsid w:val="00D82022"/>
    <w:rsid w:val="00D82D19"/>
    <w:rsid w:val="00D837E2"/>
    <w:rsid w:val="00D838BD"/>
    <w:rsid w:val="00D87C69"/>
    <w:rsid w:val="00D87D1F"/>
    <w:rsid w:val="00D93997"/>
    <w:rsid w:val="00DA0204"/>
    <w:rsid w:val="00DA0FF4"/>
    <w:rsid w:val="00DB166D"/>
    <w:rsid w:val="00DB2551"/>
    <w:rsid w:val="00DB31BE"/>
    <w:rsid w:val="00DB3F2E"/>
    <w:rsid w:val="00DB488B"/>
    <w:rsid w:val="00DB5D15"/>
    <w:rsid w:val="00DB668C"/>
    <w:rsid w:val="00DC0AF1"/>
    <w:rsid w:val="00DC103F"/>
    <w:rsid w:val="00DC2AA0"/>
    <w:rsid w:val="00DC498F"/>
    <w:rsid w:val="00DC50B0"/>
    <w:rsid w:val="00DC563A"/>
    <w:rsid w:val="00DC68C9"/>
    <w:rsid w:val="00DD2307"/>
    <w:rsid w:val="00DD79F6"/>
    <w:rsid w:val="00DE3DC6"/>
    <w:rsid w:val="00DE4132"/>
    <w:rsid w:val="00DE4536"/>
    <w:rsid w:val="00DE6316"/>
    <w:rsid w:val="00DF198B"/>
    <w:rsid w:val="00DF2366"/>
    <w:rsid w:val="00DF39E6"/>
    <w:rsid w:val="00DF3AF6"/>
    <w:rsid w:val="00DF59D9"/>
    <w:rsid w:val="00DF6F15"/>
    <w:rsid w:val="00E01E96"/>
    <w:rsid w:val="00E050AB"/>
    <w:rsid w:val="00E12526"/>
    <w:rsid w:val="00E12851"/>
    <w:rsid w:val="00E15BF4"/>
    <w:rsid w:val="00E15C1D"/>
    <w:rsid w:val="00E207F5"/>
    <w:rsid w:val="00E208A2"/>
    <w:rsid w:val="00E21DAE"/>
    <w:rsid w:val="00E21DEC"/>
    <w:rsid w:val="00E224D7"/>
    <w:rsid w:val="00E2533F"/>
    <w:rsid w:val="00E302C5"/>
    <w:rsid w:val="00E312E1"/>
    <w:rsid w:val="00E31970"/>
    <w:rsid w:val="00E35601"/>
    <w:rsid w:val="00E3660E"/>
    <w:rsid w:val="00E41641"/>
    <w:rsid w:val="00E441F5"/>
    <w:rsid w:val="00E467B7"/>
    <w:rsid w:val="00E5066F"/>
    <w:rsid w:val="00E519ED"/>
    <w:rsid w:val="00E57497"/>
    <w:rsid w:val="00E6133C"/>
    <w:rsid w:val="00E67E7D"/>
    <w:rsid w:val="00E73448"/>
    <w:rsid w:val="00E76DD1"/>
    <w:rsid w:val="00E8042D"/>
    <w:rsid w:val="00E80A07"/>
    <w:rsid w:val="00E80CF7"/>
    <w:rsid w:val="00E80E06"/>
    <w:rsid w:val="00E8167E"/>
    <w:rsid w:val="00E82032"/>
    <w:rsid w:val="00E82A99"/>
    <w:rsid w:val="00E836ED"/>
    <w:rsid w:val="00E846B0"/>
    <w:rsid w:val="00E87C93"/>
    <w:rsid w:val="00E940F0"/>
    <w:rsid w:val="00E94A00"/>
    <w:rsid w:val="00E96916"/>
    <w:rsid w:val="00EA0CAE"/>
    <w:rsid w:val="00EA3110"/>
    <w:rsid w:val="00EB10A1"/>
    <w:rsid w:val="00EB12D4"/>
    <w:rsid w:val="00EB733B"/>
    <w:rsid w:val="00EC09F7"/>
    <w:rsid w:val="00EC0AFA"/>
    <w:rsid w:val="00EC1610"/>
    <w:rsid w:val="00EC1D54"/>
    <w:rsid w:val="00EC64C3"/>
    <w:rsid w:val="00EC79A2"/>
    <w:rsid w:val="00ED09C9"/>
    <w:rsid w:val="00ED1E18"/>
    <w:rsid w:val="00ED32A9"/>
    <w:rsid w:val="00ED5F42"/>
    <w:rsid w:val="00EE2C03"/>
    <w:rsid w:val="00EE3C3B"/>
    <w:rsid w:val="00EE7909"/>
    <w:rsid w:val="00EE7EB5"/>
    <w:rsid w:val="00EF001E"/>
    <w:rsid w:val="00EF1B05"/>
    <w:rsid w:val="00EF340D"/>
    <w:rsid w:val="00EF62C7"/>
    <w:rsid w:val="00EF6FE1"/>
    <w:rsid w:val="00F03170"/>
    <w:rsid w:val="00F035D2"/>
    <w:rsid w:val="00F03AA6"/>
    <w:rsid w:val="00F063CC"/>
    <w:rsid w:val="00F06856"/>
    <w:rsid w:val="00F2188A"/>
    <w:rsid w:val="00F23A47"/>
    <w:rsid w:val="00F3000F"/>
    <w:rsid w:val="00F31E86"/>
    <w:rsid w:val="00F32EEE"/>
    <w:rsid w:val="00F33D84"/>
    <w:rsid w:val="00F33F08"/>
    <w:rsid w:val="00F34743"/>
    <w:rsid w:val="00F34801"/>
    <w:rsid w:val="00F3790B"/>
    <w:rsid w:val="00F46A67"/>
    <w:rsid w:val="00F511DC"/>
    <w:rsid w:val="00F53719"/>
    <w:rsid w:val="00F65CC1"/>
    <w:rsid w:val="00F6671F"/>
    <w:rsid w:val="00F66B0A"/>
    <w:rsid w:val="00F703B7"/>
    <w:rsid w:val="00F70C9D"/>
    <w:rsid w:val="00F71397"/>
    <w:rsid w:val="00F71704"/>
    <w:rsid w:val="00F7219F"/>
    <w:rsid w:val="00F74BBF"/>
    <w:rsid w:val="00F74E58"/>
    <w:rsid w:val="00F7592F"/>
    <w:rsid w:val="00F77B74"/>
    <w:rsid w:val="00F80142"/>
    <w:rsid w:val="00F80421"/>
    <w:rsid w:val="00F823AA"/>
    <w:rsid w:val="00F83748"/>
    <w:rsid w:val="00F83813"/>
    <w:rsid w:val="00F86CF4"/>
    <w:rsid w:val="00F90F85"/>
    <w:rsid w:val="00F92D01"/>
    <w:rsid w:val="00F930B4"/>
    <w:rsid w:val="00F95016"/>
    <w:rsid w:val="00F96824"/>
    <w:rsid w:val="00FA0063"/>
    <w:rsid w:val="00FA40BD"/>
    <w:rsid w:val="00FB2111"/>
    <w:rsid w:val="00FB25ED"/>
    <w:rsid w:val="00FB401C"/>
    <w:rsid w:val="00FB4044"/>
    <w:rsid w:val="00FB5A6C"/>
    <w:rsid w:val="00FC4759"/>
    <w:rsid w:val="00FC58EA"/>
    <w:rsid w:val="00FC6DCA"/>
    <w:rsid w:val="00FD412D"/>
    <w:rsid w:val="00FD5656"/>
    <w:rsid w:val="00FD615B"/>
    <w:rsid w:val="00FD6627"/>
    <w:rsid w:val="00FE2BDF"/>
    <w:rsid w:val="00FE6608"/>
    <w:rsid w:val="00FF200F"/>
    <w:rsid w:val="00FF2EB4"/>
    <w:rsid w:val="00FF45EB"/>
    <w:rsid w:val="00FF5212"/>
    <w:rsid w:val="00FF5509"/>
    <w:rsid w:val="00FF608C"/>
    <w:rsid w:val="00FF652A"/>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1DC4BF2D-0595-48F8-9660-1233C09A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32F"/>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unhideWhenUsed/>
    <w:qFormat/>
    <w:rsid w:val="0096250A"/>
    <w:pPr>
      <w:keepNext/>
      <w:spacing w:line="720" w:lineRule="auto"/>
      <w:outlineLvl w:val="3"/>
    </w:pPr>
    <w:rPr>
      <w:rFonts w:ascii="Cambria" w:hAnsi="Cambria"/>
      <w:sz w:val="36"/>
      <w:szCs w:val="36"/>
    </w:rPr>
  </w:style>
  <w:style w:type="paragraph" w:styleId="Heading5">
    <w:name w:val="heading 5"/>
    <w:basedOn w:val="Normal"/>
    <w:next w:val="Normal"/>
    <w:link w:val="Heading5Char"/>
    <w:uiPriority w:val="9"/>
    <w:semiHidden/>
    <w:unhideWhenUsed/>
    <w:qFormat/>
    <w:rsid w:val="00C430BC"/>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uiPriority w:val="22"/>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table" w:styleId="PlainTable1">
    <w:name w:val="Plain Table 1"/>
    <w:basedOn w:val="TableNormal"/>
    <w:uiPriority w:val="41"/>
    <w:rsid w:val="00BC35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my-0">
    <w:name w:val="my-0"/>
    <w:basedOn w:val="Normal"/>
    <w:rsid w:val="006C7A04"/>
    <w:pPr>
      <w:widowControl/>
      <w:spacing w:before="100" w:beforeAutospacing="1" w:after="100" w:afterAutospacing="1"/>
    </w:pPr>
    <w:rPr>
      <w:rFonts w:ascii="Times New Roman" w:eastAsia="Times New Roman" w:hAnsi="Times New Roman"/>
      <w:kern w:val="0"/>
      <w:szCs w:val="24"/>
      <w:lang w:val="en-HK"/>
    </w:rPr>
  </w:style>
  <w:style w:type="character" w:customStyle="1" w:styleId="Heading5Char">
    <w:name w:val="Heading 5 Char"/>
    <w:basedOn w:val="DefaultParagraphFont"/>
    <w:link w:val="Heading5"/>
    <w:uiPriority w:val="9"/>
    <w:semiHidden/>
    <w:rsid w:val="00C430BC"/>
    <w:rPr>
      <w:rFonts w:asciiTheme="majorHAnsi" w:eastAsiaTheme="majorEastAsia" w:hAnsiTheme="majorHAnsi" w:cstheme="majorBidi"/>
      <w:color w:val="365F91" w:themeColor="accent1" w:themeShade="BF"/>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4100">
      <w:bodyDiv w:val="1"/>
      <w:marLeft w:val="0"/>
      <w:marRight w:val="0"/>
      <w:marTop w:val="0"/>
      <w:marBottom w:val="0"/>
      <w:divBdr>
        <w:top w:val="none" w:sz="0" w:space="0" w:color="auto"/>
        <w:left w:val="none" w:sz="0" w:space="0" w:color="auto"/>
        <w:bottom w:val="none" w:sz="0" w:space="0" w:color="auto"/>
        <w:right w:val="none" w:sz="0" w:space="0" w:color="auto"/>
      </w:divBdr>
    </w:div>
    <w:div w:id="9187358">
      <w:bodyDiv w:val="1"/>
      <w:marLeft w:val="0"/>
      <w:marRight w:val="0"/>
      <w:marTop w:val="0"/>
      <w:marBottom w:val="0"/>
      <w:divBdr>
        <w:top w:val="none" w:sz="0" w:space="0" w:color="auto"/>
        <w:left w:val="none" w:sz="0" w:space="0" w:color="auto"/>
        <w:bottom w:val="none" w:sz="0" w:space="0" w:color="auto"/>
        <w:right w:val="none" w:sz="0" w:space="0" w:color="auto"/>
      </w:divBdr>
    </w:div>
    <w:div w:id="16202394">
      <w:bodyDiv w:val="1"/>
      <w:marLeft w:val="0"/>
      <w:marRight w:val="0"/>
      <w:marTop w:val="0"/>
      <w:marBottom w:val="0"/>
      <w:divBdr>
        <w:top w:val="none" w:sz="0" w:space="0" w:color="auto"/>
        <w:left w:val="none" w:sz="0" w:space="0" w:color="auto"/>
        <w:bottom w:val="none" w:sz="0" w:space="0" w:color="auto"/>
        <w:right w:val="none" w:sz="0" w:space="0" w:color="auto"/>
      </w:divBdr>
    </w:div>
    <w:div w:id="19093806">
      <w:bodyDiv w:val="1"/>
      <w:marLeft w:val="0"/>
      <w:marRight w:val="0"/>
      <w:marTop w:val="0"/>
      <w:marBottom w:val="0"/>
      <w:divBdr>
        <w:top w:val="none" w:sz="0" w:space="0" w:color="auto"/>
        <w:left w:val="none" w:sz="0" w:space="0" w:color="auto"/>
        <w:bottom w:val="none" w:sz="0" w:space="0" w:color="auto"/>
        <w:right w:val="none" w:sz="0" w:space="0" w:color="auto"/>
      </w:divBdr>
    </w:div>
    <w:div w:id="22024338">
      <w:bodyDiv w:val="1"/>
      <w:marLeft w:val="0"/>
      <w:marRight w:val="0"/>
      <w:marTop w:val="0"/>
      <w:marBottom w:val="0"/>
      <w:divBdr>
        <w:top w:val="none" w:sz="0" w:space="0" w:color="auto"/>
        <w:left w:val="none" w:sz="0" w:space="0" w:color="auto"/>
        <w:bottom w:val="none" w:sz="0" w:space="0" w:color="auto"/>
        <w:right w:val="none" w:sz="0" w:space="0" w:color="auto"/>
      </w:divBdr>
    </w:div>
    <w:div w:id="48308128">
      <w:bodyDiv w:val="1"/>
      <w:marLeft w:val="0"/>
      <w:marRight w:val="0"/>
      <w:marTop w:val="0"/>
      <w:marBottom w:val="0"/>
      <w:divBdr>
        <w:top w:val="none" w:sz="0" w:space="0" w:color="auto"/>
        <w:left w:val="none" w:sz="0" w:space="0" w:color="auto"/>
        <w:bottom w:val="none" w:sz="0" w:space="0" w:color="auto"/>
        <w:right w:val="none" w:sz="0" w:space="0" w:color="auto"/>
      </w:divBdr>
    </w:div>
    <w:div w:id="54277964">
      <w:bodyDiv w:val="1"/>
      <w:marLeft w:val="0"/>
      <w:marRight w:val="0"/>
      <w:marTop w:val="0"/>
      <w:marBottom w:val="0"/>
      <w:divBdr>
        <w:top w:val="none" w:sz="0" w:space="0" w:color="auto"/>
        <w:left w:val="none" w:sz="0" w:space="0" w:color="auto"/>
        <w:bottom w:val="none" w:sz="0" w:space="0" w:color="auto"/>
        <w:right w:val="none" w:sz="0" w:space="0" w:color="auto"/>
      </w:divBdr>
    </w:div>
    <w:div w:id="55469855">
      <w:bodyDiv w:val="1"/>
      <w:marLeft w:val="0"/>
      <w:marRight w:val="0"/>
      <w:marTop w:val="0"/>
      <w:marBottom w:val="0"/>
      <w:divBdr>
        <w:top w:val="none" w:sz="0" w:space="0" w:color="auto"/>
        <w:left w:val="none" w:sz="0" w:space="0" w:color="auto"/>
        <w:bottom w:val="none" w:sz="0" w:space="0" w:color="auto"/>
        <w:right w:val="none" w:sz="0" w:space="0" w:color="auto"/>
      </w:divBdr>
    </w:div>
    <w:div w:id="62066985">
      <w:bodyDiv w:val="1"/>
      <w:marLeft w:val="0"/>
      <w:marRight w:val="0"/>
      <w:marTop w:val="0"/>
      <w:marBottom w:val="0"/>
      <w:divBdr>
        <w:top w:val="none" w:sz="0" w:space="0" w:color="auto"/>
        <w:left w:val="none" w:sz="0" w:space="0" w:color="auto"/>
        <w:bottom w:val="none" w:sz="0" w:space="0" w:color="auto"/>
        <w:right w:val="none" w:sz="0" w:space="0" w:color="auto"/>
      </w:divBdr>
    </w:div>
    <w:div w:id="63795393">
      <w:bodyDiv w:val="1"/>
      <w:marLeft w:val="0"/>
      <w:marRight w:val="0"/>
      <w:marTop w:val="0"/>
      <w:marBottom w:val="0"/>
      <w:divBdr>
        <w:top w:val="none" w:sz="0" w:space="0" w:color="auto"/>
        <w:left w:val="none" w:sz="0" w:space="0" w:color="auto"/>
        <w:bottom w:val="none" w:sz="0" w:space="0" w:color="auto"/>
        <w:right w:val="none" w:sz="0" w:space="0" w:color="auto"/>
      </w:divBdr>
    </w:div>
    <w:div w:id="80297103">
      <w:bodyDiv w:val="1"/>
      <w:marLeft w:val="0"/>
      <w:marRight w:val="0"/>
      <w:marTop w:val="0"/>
      <w:marBottom w:val="0"/>
      <w:divBdr>
        <w:top w:val="none" w:sz="0" w:space="0" w:color="auto"/>
        <w:left w:val="none" w:sz="0" w:space="0" w:color="auto"/>
        <w:bottom w:val="none" w:sz="0" w:space="0" w:color="auto"/>
        <w:right w:val="none" w:sz="0" w:space="0" w:color="auto"/>
      </w:divBdr>
    </w:div>
    <w:div w:id="97067126">
      <w:bodyDiv w:val="1"/>
      <w:marLeft w:val="0"/>
      <w:marRight w:val="0"/>
      <w:marTop w:val="0"/>
      <w:marBottom w:val="0"/>
      <w:divBdr>
        <w:top w:val="none" w:sz="0" w:space="0" w:color="auto"/>
        <w:left w:val="none" w:sz="0" w:space="0" w:color="auto"/>
        <w:bottom w:val="none" w:sz="0" w:space="0" w:color="auto"/>
        <w:right w:val="none" w:sz="0" w:space="0" w:color="auto"/>
      </w:divBdr>
    </w:div>
    <w:div w:id="111824333">
      <w:bodyDiv w:val="1"/>
      <w:marLeft w:val="0"/>
      <w:marRight w:val="0"/>
      <w:marTop w:val="0"/>
      <w:marBottom w:val="0"/>
      <w:divBdr>
        <w:top w:val="none" w:sz="0" w:space="0" w:color="auto"/>
        <w:left w:val="none" w:sz="0" w:space="0" w:color="auto"/>
        <w:bottom w:val="none" w:sz="0" w:space="0" w:color="auto"/>
        <w:right w:val="none" w:sz="0" w:space="0" w:color="auto"/>
      </w:divBdr>
    </w:div>
    <w:div w:id="117140877">
      <w:bodyDiv w:val="1"/>
      <w:marLeft w:val="0"/>
      <w:marRight w:val="0"/>
      <w:marTop w:val="0"/>
      <w:marBottom w:val="0"/>
      <w:divBdr>
        <w:top w:val="none" w:sz="0" w:space="0" w:color="auto"/>
        <w:left w:val="none" w:sz="0" w:space="0" w:color="auto"/>
        <w:bottom w:val="none" w:sz="0" w:space="0" w:color="auto"/>
        <w:right w:val="none" w:sz="0" w:space="0" w:color="auto"/>
      </w:divBdr>
    </w:div>
    <w:div w:id="125240479">
      <w:bodyDiv w:val="1"/>
      <w:marLeft w:val="0"/>
      <w:marRight w:val="0"/>
      <w:marTop w:val="0"/>
      <w:marBottom w:val="0"/>
      <w:divBdr>
        <w:top w:val="none" w:sz="0" w:space="0" w:color="auto"/>
        <w:left w:val="none" w:sz="0" w:space="0" w:color="auto"/>
        <w:bottom w:val="none" w:sz="0" w:space="0" w:color="auto"/>
        <w:right w:val="none" w:sz="0" w:space="0" w:color="auto"/>
      </w:divBdr>
    </w:div>
    <w:div w:id="131872098">
      <w:bodyDiv w:val="1"/>
      <w:marLeft w:val="0"/>
      <w:marRight w:val="0"/>
      <w:marTop w:val="0"/>
      <w:marBottom w:val="0"/>
      <w:divBdr>
        <w:top w:val="none" w:sz="0" w:space="0" w:color="auto"/>
        <w:left w:val="none" w:sz="0" w:space="0" w:color="auto"/>
        <w:bottom w:val="none" w:sz="0" w:space="0" w:color="auto"/>
        <w:right w:val="none" w:sz="0" w:space="0" w:color="auto"/>
      </w:divBdr>
    </w:div>
    <w:div w:id="134374234">
      <w:bodyDiv w:val="1"/>
      <w:marLeft w:val="0"/>
      <w:marRight w:val="0"/>
      <w:marTop w:val="0"/>
      <w:marBottom w:val="0"/>
      <w:divBdr>
        <w:top w:val="none" w:sz="0" w:space="0" w:color="auto"/>
        <w:left w:val="none" w:sz="0" w:space="0" w:color="auto"/>
        <w:bottom w:val="none" w:sz="0" w:space="0" w:color="auto"/>
        <w:right w:val="none" w:sz="0" w:space="0" w:color="auto"/>
      </w:divBdr>
    </w:div>
    <w:div w:id="139806868">
      <w:bodyDiv w:val="1"/>
      <w:marLeft w:val="0"/>
      <w:marRight w:val="0"/>
      <w:marTop w:val="0"/>
      <w:marBottom w:val="0"/>
      <w:divBdr>
        <w:top w:val="none" w:sz="0" w:space="0" w:color="auto"/>
        <w:left w:val="none" w:sz="0" w:space="0" w:color="auto"/>
        <w:bottom w:val="none" w:sz="0" w:space="0" w:color="auto"/>
        <w:right w:val="none" w:sz="0" w:space="0" w:color="auto"/>
      </w:divBdr>
    </w:div>
    <w:div w:id="140580782">
      <w:bodyDiv w:val="1"/>
      <w:marLeft w:val="0"/>
      <w:marRight w:val="0"/>
      <w:marTop w:val="0"/>
      <w:marBottom w:val="0"/>
      <w:divBdr>
        <w:top w:val="none" w:sz="0" w:space="0" w:color="auto"/>
        <w:left w:val="none" w:sz="0" w:space="0" w:color="auto"/>
        <w:bottom w:val="none" w:sz="0" w:space="0" w:color="auto"/>
        <w:right w:val="none" w:sz="0" w:space="0" w:color="auto"/>
      </w:divBdr>
    </w:div>
    <w:div w:id="145823257">
      <w:bodyDiv w:val="1"/>
      <w:marLeft w:val="0"/>
      <w:marRight w:val="0"/>
      <w:marTop w:val="0"/>
      <w:marBottom w:val="0"/>
      <w:divBdr>
        <w:top w:val="none" w:sz="0" w:space="0" w:color="auto"/>
        <w:left w:val="none" w:sz="0" w:space="0" w:color="auto"/>
        <w:bottom w:val="none" w:sz="0" w:space="0" w:color="auto"/>
        <w:right w:val="none" w:sz="0" w:space="0" w:color="auto"/>
      </w:divBdr>
    </w:div>
    <w:div w:id="151606065">
      <w:bodyDiv w:val="1"/>
      <w:marLeft w:val="0"/>
      <w:marRight w:val="0"/>
      <w:marTop w:val="0"/>
      <w:marBottom w:val="0"/>
      <w:divBdr>
        <w:top w:val="none" w:sz="0" w:space="0" w:color="auto"/>
        <w:left w:val="none" w:sz="0" w:space="0" w:color="auto"/>
        <w:bottom w:val="none" w:sz="0" w:space="0" w:color="auto"/>
        <w:right w:val="none" w:sz="0" w:space="0" w:color="auto"/>
      </w:divBdr>
    </w:div>
    <w:div w:id="172961217">
      <w:bodyDiv w:val="1"/>
      <w:marLeft w:val="0"/>
      <w:marRight w:val="0"/>
      <w:marTop w:val="0"/>
      <w:marBottom w:val="0"/>
      <w:divBdr>
        <w:top w:val="none" w:sz="0" w:space="0" w:color="auto"/>
        <w:left w:val="none" w:sz="0" w:space="0" w:color="auto"/>
        <w:bottom w:val="none" w:sz="0" w:space="0" w:color="auto"/>
        <w:right w:val="none" w:sz="0" w:space="0" w:color="auto"/>
      </w:divBdr>
    </w:div>
    <w:div w:id="181628798">
      <w:bodyDiv w:val="1"/>
      <w:marLeft w:val="0"/>
      <w:marRight w:val="0"/>
      <w:marTop w:val="0"/>
      <w:marBottom w:val="0"/>
      <w:divBdr>
        <w:top w:val="none" w:sz="0" w:space="0" w:color="auto"/>
        <w:left w:val="none" w:sz="0" w:space="0" w:color="auto"/>
        <w:bottom w:val="none" w:sz="0" w:space="0" w:color="auto"/>
        <w:right w:val="none" w:sz="0" w:space="0" w:color="auto"/>
      </w:divBdr>
    </w:div>
    <w:div w:id="182205047">
      <w:bodyDiv w:val="1"/>
      <w:marLeft w:val="0"/>
      <w:marRight w:val="0"/>
      <w:marTop w:val="0"/>
      <w:marBottom w:val="0"/>
      <w:divBdr>
        <w:top w:val="none" w:sz="0" w:space="0" w:color="auto"/>
        <w:left w:val="none" w:sz="0" w:space="0" w:color="auto"/>
        <w:bottom w:val="none" w:sz="0" w:space="0" w:color="auto"/>
        <w:right w:val="none" w:sz="0" w:space="0" w:color="auto"/>
      </w:divBdr>
    </w:div>
    <w:div w:id="188840363">
      <w:bodyDiv w:val="1"/>
      <w:marLeft w:val="0"/>
      <w:marRight w:val="0"/>
      <w:marTop w:val="0"/>
      <w:marBottom w:val="0"/>
      <w:divBdr>
        <w:top w:val="none" w:sz="0" w:space="0" w:color="auto"/>
        <w:left w:val="none" w:sz="0" w:space="0" w:color="auto"/>
        <w:bottom w:val="none" w:sz="0" w:space="0" w:color="auto"/>
        <w:right w:val="none" w:sz="0" w:space="0" w:color="auto"/>
      </w:divBdr>
      <w:divsChild>
        <w:div w:id="1038775454">
          <w:marLeft w:val="0"/>
          <w:marRight w:val="0"/>
          <w:marTop w:val="0"/>
          <w:marBottom w:val="0"/>
          <w:divBdr>
            <w:top w:val="single" w:sz="2" w:space="0" w:color="E5E7EB"/>
            <w:left w:val="single" w:sz="2" w:space="0" w:color="E5E7EB"/>
            <w:bottom w:val="single" w:sz="2" w:space="0" w:color="E5E7EB"/>
            <w:right w:val="single" w:sz="2" w:space="0" w:color="E5E7EB"/>
          </w:divBdr>
          <w:divsChild>
            <w:div w:id="1194270046">
              <w:marLeft w:val="0"/>
              <w:marRight w:val="0"/>
              <w:marTop w:val="0"/>
              <w:marBottom w:val="0"/>
              <w:divBdr>
                <w:top w:val="single" w:sz="2" w:space="0" w:color="auto"/>
                <w:left w:val="single" w:sz="2" w:space="0" w:color="auto"/>
                <w:bottom w:val="single" w:sz="2" w:space="0" w:color="auto"/>
                <w:right w:val="single" w:sz="2" w:space="0" w:color="auto"/>
              </w:divBdr>
              <w:divsChild>
                <w:div w:id="1942256270">
                  <w:marLeft w:val="0"/>
                  <w:marRight w:val="0"/>
                  <w:marTop w:val="0"/>
                  <w:marBottom w:val="0"/>
                  <w:divBdr>
                    <w:top w:val="single" w:sz="2" w:space="0" w:color="auto"/>
                    <w:left w:val="single" w:sz="2" w:space="0" w:color="auto"/>
                    <w:bottom w:val="single" w:sz="2" w:space="0" w:color="auto"/>
                    <w:right w:val="single" w:sz="2" w:space="0" w:color="auto"/>
                  </w:divBdr>
                  <w:divsChild>
                    <w:div w:id="87508933">
                      <w:marLeft w:val="0"/>
                      <w:marRight w:val="0"/>
                      <w:marTop w:val="0"/>
                      <w:marBottom w:val="0"/>
                      <w:divBdr>
                        <w:top w:val="single" w:sz="2" w:space="0" w:color="E5E7EB"/>
                        <w:left w:val="single" w:sz="2" w:space="0" w:color="E5E7EB"/>
                        <w:bottom w:val="single" w:sz="2" w:space="0" w:color="E5E7EB"/>
                        <w:right w:val="single" w:sz="2" w:space="0" w:color="E5E7EB"/>
                      </w:divBdr>
                      <w:divsChild>
                        <w:div w:id="1447650744">
                          <w:marLeft w:val="0"/>
                          <w:marRight w:val="0"/>
                          <w:marTop w:val="0"/>
                          <w:marBottom w:val="0"/>
                          <w:divBdr>
                            <w:top w:val="single" w:sz="2" w:space="0" w:color="E5E7EB"/>
                            <w:left w:val="single" w:sz="2" w:space="0" w:color="E5E7EB"/>
                            <w:bottom w:val="single" w:sz="2" w:space="0" w:color="E5E7EB"/>
                            <w:right w:val="single" w:sz="2" w:space="0" w:color="E5E7EB"/>
                          </w:divBdr>
                          <w:divsChild>
                            <w:div w:id="5194650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90439267">
                          <w:marLeft w:val="0"/>
                          <w:marRight w:val="0"/>
                          <w:marTop w:val="0"/>
                          <w:marBottom w:val="0"/>
                          <w:divBdr>
                            <w:top w:val="single" w:sz="2" w:space="0" w:color="E5E7EB"/>
                            <w:left w:val="single" w:sz="2" w:space="0" w:color="E5E7EB"/>
                            <w:bottom w:val="single" w:sz="2" w:space="0" w:color="E5E7EB"/>
                            <w:right w:val="single" w:sz="2" w:space="0" w:color="E5E7EB"/>
                          </w:divBdr>
                          <w:divsChild>
                            <w:div w:id="887257699">
                              <w:marLeft w:val="0"/>
                              <w:marRight w:val="0"/>
                              <w:marTop w:val="0"/>
                              <w:marBottom w:val="0"/>
                              <w:divBdr>
                                <w:top w:val="single" w:sz="2" w:space="0" w:color="E5E7EB"/>
                                <w:left w:val="single" w:sz="2" w:space="0" w:color="E5E7EB"/>
                                <w:bottom w:val="single" w:sz="2" w:space="0" w:color="E5E7EB"/>
                                <w:right w:val="single" w:sz="2" w:space="0" w:color="E5E7EB"/>
                              </w:divBdr>
                              <w:divsChild>
                                <w:div w:id="16671996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72655842">
                          <w:marLeft w:val="0"/>
                          <w:marRight w:val="0"/>
                          <w:marTop w:val="0"/>
                          <w:marBottom w:val="0"/>
                          <w:divBdr>
                            <w:top w:val="single" w:sz="2" w:space="0" w:color="E5E7EB"/>
                            <w:left w:val="single" w:sz="2" w:space="0" w:color="E5E7EB"/>
                            <w:bottom w:val="single" w:sz="2" w:space="0" w:color="E5E7EB"/>
                            <w:right w:val="single" w:sz="2" w:space="0" w:color="E5E7EB"/>
                          </w:divBdr>
                          <w:divsChild>
                            <w:div w:id="1606230312">
                              <w:marLeft w:val="0"/>
                              <w:marRight w:val="0"/>
                              <w:marTop w:val="0"/>
                              <w:marBottom w:val="0"/>
                              <w:divBdr>
                                <w:top w:val="single" w:sz="2" w:space="0" w:color="E5E7EB"/>
                                <w:left w:val="single" w:sz="2" w:space="0" w:color="E5E7EB"/>
                                <w:bottom w:val="single" w:sz="2" w:space="0" w:color="E5E7EB"/>
                                <w:right w:val="single" w:sz="2" w:space="0" w:color="E5E7EB"/>
                              </w:divBdr>
                              <w:divsChild>
                                <w:div w:id="20428962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96496679">
                  <w:marLeft w:val="0"/>
                  <w:marRight w:val="0"/>
                  <w:marTop w:val="0"/>
                  <w:marBottom w:val="0"/>
                  <w:divBdr>
                    <w:top w:val="single" w:sz="2" w:space="0" w:color="auto"/>
                    <w:left w:val="single" w:sz="2" w:space="0" w:color="auto"/>
                    <w:bottom w:val="single" w:sz="2" w:space="0" w:color="auto"/>
                    <w:right w:val="single" w:sz="2" w:space="0" w:color="auto"/>
                  </w:divBdr>
                  <w:divsChild>
                    <w:div w:id="1866867731">
                      <w:marLeft w:val="0"/>
                      <w:marRight w:val="0"/>
                      <w:marTop w:val="0"/>
                      <w:marBottom w:val="0"/>
                      <w:divBdr>
                        <w:top w:val="single" w:sz="2" w:space="0" w:color="E5E7EB"/>
                        <w:left w:val="single" w:sz="2" w:space="0" w:color="E5E7EB"/>
                        <w:bottom w:val="single" w:sz="2" w:space="0" w:color="E5E7EB"/>
                        <w:right w:val="single" w:sz="2" w:space="0" w:color="E5E7EB"/>
                      </w:divBdr>
                      <w:divsChild>
                        <w:div w:id="1019425385">
                          <w:marLeft w:val="0"/>
                          <w:marRight w:val="0"/>
                          <w:marTop w:val="0"/>
                          <w:marBottom w:val="0"/>
                          <w:divBdr>
                            <w:top w:val="single" w:sz="2" w:space="0" w:color="E5E7EB"/>
                            <w:left w:val="single" w:sz="2" w:space="0" w:color="E5E7EB"/>
                            <w:bottom w:val="single" w:sz="2" w:space="0" w:color="E5E7EB"/>
                            <w:right w:val="single" w:sz="2" w:space="0" w:color="E5E7EB"/>
                          </w:divBdr>
                          <w:divsChild>
                            <w:div w:id="704526198">
                              <w:marLeft w:val="0"/>
                              <w:marRight w:val="0"/>
                              <w:marTop w:val="0"/>
                              <w:marBottom w:val="0"/>
                              <w:divBdr>
                                <w:top w:val="single" w:sz="2" w:space="0" w:color="E5E7EB"/>
                                <w:left w:val="single" w:sz="2" w:space="0" w:color="E5E7EB"/>
                                <w:bottom w:val="single" w:sz="2" w:space="0" w:color="E5E7EB"/>
                                <w:right w:val="single" w:sz="2" w:space="0" w:color="E5E7EB"/>
                              </w:divBdr>
                              <w:divsChild>
                                <w:div w:id="15059014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9296028">
      <w:bodyDiv w:val="1"/>
      <w:marLeft w:val="0"/>
      <w:marRight w:val="0"/>
      <w:marTop w:val="0"/>
      <w:marBottom w:val="0"/>
      <w:divBdr>
        <w:top w:val="none" w:sz="0" w:space="0" w:color="auto"/>
        <w:left w:val="none" w:sz="0" w:space="0" w:color="auto"/>
        <w:bottom w:val="none" w:sz="0" w:space="0" w:color="auto"/>
        <w:right w:val="none" w:sz="0" w:space="0" w:color="auto"/>
      </w:divBdr>
    </w:div>
    <w:div w:id="208420571">
      <w:bodyDiv w:val="1"/>
      <w:marLeft w:val="0"/>
      <w:marRight w:val="0"/>
      <w:marTop w:val="0"/>
      <w:marBottom w:val="0"/>
      <w:divBdr>
        <w:top w:val="none" w:sz="0" w:space="0" w:color="auto"/>
        <w:left w:val="none" w:sz="0" w:space="0" w:color="auto"/>
        <w:bottom w:val="none" w:sz="0" w:space="0" w:color="auto"/>
        <w:right w:val="none" w:sz="0" w:space="0" w:color="auto"/>
      </w:divBdr>
    </w:div>
    <w:div w:id="215431163">
      <w:bodyDiv w:val="1"/>
      <w:marLeft w:val="0"/>
      <w:marRight w:val="0"/>
      <w:marTop w:val="0"/>
      <w:marBottom w:val="0"/>
      <w:divBdr>
        <w:top w:val="none" w:sz="0" w:space="0" w:color="auto"/>
        <w:left w:val="none" w:sz="0" w:space="0" w:color="auto"/>
        <w:bottom w:val="none" w:sz="0" w:space="0" w:color="auto"/>
        <w:right w:val="none" w:sz="0" w:space="0" w:color="auto"/>
      </w:divBdr>
    </w:div>
    <w:div w:id="222722247">
      <w:bodyDiv w:val="1"/>
      <w:marLeft w:val="0"/>
      <w:marRight w:val="0"/>
      <w:marTop w:val="0"/>
      <w:marBottom w:val="0"/>
      <w:divBdr>
        <w:top w:val="none" w:sz="0" w:space="0" w:color="auto"/>
        <w:left w:val="none" w:sz="0" w:space="0" w:color="auto"/>
        <w:bottom w:val="none" w:sz="0" w:space="0" w:color="auto"/>
        <w:right w:val="none" w:sz="0" w:space="0" w:color="auto"/>
      </w:divBdr>
    </w:div>
    <w:div w:id="227038927">
      <w:bodyDiv w:val="1"/>
      <w:marLeft w:val="0"/>
      <w:marRight w:val="0"/>
      <w:marTop w:val="0"/>
      <w:marBottom w:val="0"/>
      <w:divBdr>
        <w:top w:val="none" w:sz="0" w:space="0" w:color="auto"/>
        <w:left w:val="none" w:sz="0" w:space="0" w:color="auto"/>
        <w:bottom w:val="none" w:sz="0" w:space="0" w:color="auto"/>
        <w:right w:val="none" w:sz="0" w:space="0" w:color="auto"/>
      </w:divBdr>
    </w:div>
    <w:div w:id="231549117">
      <w:bodyDiv w:val="1"/>
      <w:marLeft w:val="0"/>
      <w:marRight w:val="0"/>
      <w:marTop w:val="0"/>
      <w:marBottom w:val="0"/>
      <w:divBdr>
        <w:top w:val="none" w:sz="0" w:space="0" w:color="auto"/>
        <w:left w:val="none" w:sz="0" w:space="0" w:color="auto"/>
        <w:bottom w:val="none" w:sz="0" w:space="0" w:color="auto"/>
        <w:right w:val="none" w:sz="0" w:space="0" w:color="auto"/>
      </w:divBdr>
    </w:div>
    <w:div w:id="233589924">
      <w:bodyDiv w:val="1"/>
      <w:marLeft w:val="0"/>
      <w:marRight w:val="0"/>
      <w:marTop w:val="0"/>
      <w:marBottom w:val="0"/>
      <w:divBdr>
        <w:top w:val="none" w:sz="0" w:space="0" w:color="auto"/>
        <w:left w:val="none" w:sz="0" w:space="0" w:color="auto"/>
        <w:bottom w:val="none" w:sz="0" w:space="0" w:color="auto"/>
        <w:right w:val="none" w:sz="0" w:space="0" w:color="auto"/>
      </w:divBdr>
    </w:div>
    <w:div w:id="246574157">
      <w:bodyDiv w:val="1"/>
      <w:marLeft w:val="0"/>
      <w:marRight w:val="0"/>
      <w:marTop w:val="0"/>
      <w:marBottom w:val="0"/>
      <w:divBdr>
        <w:top w:val="none" w:sz="0" w:space="0" w:color="auto"/>
        <w:left w:val="none" w:sz="0" w:space="0" w:color="auto"/>
        <w:bottom w:val="none" w:sz="0" w:space="0" w:color="auto"/>
        <w:right w:val="none" w:sz="0" w:space="0" w:color="auto"/>
      </w:divBdr>
    </w:div>
    <w:div w:id="246617621">
      <w:bodyDiv w:val="1"/>
      <w:marLeft w:val="0"/>
      <w:marRight w:val="0"/>
      <w:marTop w:val="0"/>
      <w:marBottom w:val="0"/>
      <w:divBdr>
        <w:top w:val="none" w:sz="0" w:space="0" w:color="auto"/>
        <w:left w:val="none" w:sz="0" w:space="0" w:color="auto"/>
        <w:bottom w:val="none" w:sz="0" w:space="0" w:color="auto"/>
        <w:right w:val="none" w:sz="0" w:space="0" w:color="auto"/>
      </w:divBdr>
    </w:div>
    <w:div w:id="250432083">
      <w:bodyDiv w:val="1"/>
      <w:marLeft w:val="0"/>
      <w:marRight w:val="0"/>
      <w:marTop w:val="0"/>
      <w:marBottom w:val="0"/>
      <w:divBdr>
        <w:top w:val="none" w:sz="0" w:space="0" w:color="auto"/>
        <w:left w:val="none" w:sz="0" w:space="0" w:color="auto"/>
        <w:bottom w:val="none" w:sz="0" w:space="0" w:color="auto"/>
        <w:right w:val="none" w:sz="0" w:space="0" w:color="auto"/>
      </w:divBdr>
    </w:div>
    <w:div w:id="263537379">
      <w:bodyDiv w:val="1"/>
      <w:marLeft w:val="0"/>
      <w:marRight w:val="0"/>
      <w:marTop w:val="0"/>
      <w:marBottom w:val="0"/>
      <w:divBdr>
        <w:top w:val="none" w:sz="0" w:space="0" w:color="auto"/>
        <w:left w:val="none" w:sz="0" w:space="0" w:color="auto"/>
        <w:bottom w:val="none" w:sz="0" w:space="0" w:color="auto"/>
        <w:right w:val="none" w:sz="0" w:space="0" w:color="auto"/>
      </w:divBdr>
    </w:div>
    <w:div w:id="271397204">
      <w:bodyDiv w:val="1"/>
      <w:marLeft w:val="0"/>
      <w:marRight w:val="0"/>
      <w:marTop w:val="0"/>
      <w:marBottom w:val="0"/>
      <w:divBdr>
        <w:top w:val="none" w:sz="0" w:space="0" w:color="auto"/>
        <w:left w:val="none" w:sz="0" w:space="0" w:color="auto"/>
        <w:bottom w:val="none" w:sz="0" w:space="0" w:color="auto"/>
        <w:right w:val="none" w:sz="0" w:space="0" w:color="auto"/>
      </w:divBdr>
    </w:div>
    <w:div w:id="273174350">
      <w:bodyDiv w:val="1"/>
      <w:marLeft w:val="0"/>
      <w:marRight w:val="0"/>
      <w:marTop w:val="0"/>
      <w:marBottom w:val="0"/>
      <w:divBdr>
        <w:top w:val="none" w:sz="0" w:space="0" w:color="auto"/>
        <w:left w:val="none" w:sz="0" w:space="0" w:color="auto"/>
        <w:bottom w:val="none" w:sz="0" w:space="0" w:color="auto"/>
        <w:right w:val="none" w:sz="0" w:space="0" w:color="auto"/>
      </w:divBdr>
    </w:div>
    <w:div w:id="286013810">
      <w:bodyDiv w:val="1"/>
      <w:marLeft w:val="0"/>
      <w:marRight w:val="0"/>
      <w:marTop w:val="0"/>
      <w:marBottom w:val="0"/>
      <w:divBdr>
        <w:top w:val="none" w:sz="0" w:space="0" w:color="auto"/>
        <w:left w:val="none" w:sz="0" w:space="0" w:color="auto"/>
        <w:bottom w:val="none" w:sz="0" w:space="0" w:color="auto"/>
        <w:right w:val="none" w:sz="0" w:space="0" w:color="auto"/>
      </w:divBdr>
    </w:div>
    <w:div w:id="292180021">
      <w:bodyDiv w:val="1"/>
      <w:marLeft w:val="0"/>
      <w:marRight w:val="0"/>
      <w:marTop w:val="0"/>
      <w:marBottom w:val="0"/>
      <w:divBdr>
        <w:top w:val="none" w:sz="0" w:space="0" w:color="auto"/>
        <w:left w:val="none" w:sz="0" w:space="0" w:color="auto"/>
        <w:bottom w:val="none" w:sz="0" w:space="0" w:color="auto"/>
        <w:right w:val="none" w:sz="0" w:space="0" w:color="auto"/>
      </w:divBdr>
    </w:div>
    <w:div w:id="303434663">
      <w:bodyDiv w:val="1"/>
      <w:marLeft w:val="0"/>
      <w:marRight w:val="0"/>
      <w:marTop w:val="0"/>
      <w:marBottom w:val="0"/>
      <w:divBdr>
        <w:top w:val="none" w:sz="0" w:space="0" w:color="auto"/>
        <w:left w:val="none" w:sz="0" w:space="0" w:color="auto"/>
        <w:bottom w:val="none" w:sz="0" w:space="0" w:color="auto"/>
        <w:right w:val="none" w:sz="0" w:space="0" w:color="auto"/>
      </w:divBdr>
    </w:div>
    <w:div w:id="322927531">
      <w:bodyDiv w:val="1"/>
      <w:marLeft w:val="0"/>
      <w:marRight w:val="0"/>
      <w:marTop w:val="0"/>
      <w:marBottom w:val="0"/>
      <w:divBdr>
        <w:top w:val="none" w:sz="0" w:space="0" w:color="auto"/>
        <w:left w:val="none" w:sz="0" w:space="0" w:color="auto"/>
        <w:bottom w:val="none" w:sz="0" w:space="0" w:color="auto"/>
        <w:right w:val="none" w:sz="0" w:space="0" w:color="auto"/>
      </w:divBdr>
    </w:div>
    <w:div w:id="328758264">
      <w:bodyDiv w:val="1"/>
      <w:marLeft w:val="0"/>
      <w:marRight w:val="0"/>
      <w:marTop w:val="0"/>
      <w:marBottom w:val="0"/>
      <w:divBdr>
        <w:top w:val="none" w:sz="0" w:space="0" w:color="auto"/>
        <w:left w:val="none" w:sz="0" w:space="0" w:color="auto"/>
        <w:bottom w:val="none" w:sz="0" w:space="0" w:color="auto"/>
        <w:right w:val="none" w:sz="0" w:space="0" w:color="auto"/>
      </w:divBdr>
    </w:div>
    <w:div w:id="331878416">
      <w:bodyDiv w:val="1"/>
      <w:marLeft w:val="0"/>
      <w:marRight w:val="0"/>
      <w:marTop w:val="0"/>
      <w:marBottom w:val="0"/>
      <w:divBdr>
        <w:top w:val="none" w:sz="0" w:space="0" w:color="auto"/>
        <w:left w:val="none" w:sz="0" w:space="0" w:color="auto"/>
        <w:bottom w:val="none" w:sz="0" w:space="0" w:color="auto"/>
        <w:right w:val="none" w:sz="0" w:space="0" w:color="auto"/>
      </w:divBdr>
    </w:div>
    <w:div w:id="338586628">
      <w:bodyDiv w:val="1"/>
      <w:marLeft w:val="0"/>
      <w:marRight w:val="0"/>
      <w:marTop w:val="0"/>
      <w:marBottom w:val="0"/>
      <w:divBdr>
        <w:top w:val="none" w:sz="0" w:space="0" w:color="auto"/>
        <w:left w:val="none" w:sz="0" w:space="0" w:color="auto"/>
        <w:bottom w:val="none" w:sz="0" w:space="0" w:color="auto"/>
        <w:right w:val="none" w:sz="0" w:space="0" w:color="auto"/>
      </w:divBdr>
    </w:div>
    <w:div w:id="342318836">
      <w:bodyDiv w:val="1"/>
      <w:marLeft w:val="0"/>
      <w:marRight w:val="0"/>
      <w:marTop w:val="0"/>
      <w:marBottom w:val="0"/>
      <w:divBdr>
        <w:top w:val="none" w:sz="0" w:space="0" w:color="auto"/>
        <w:left w:val="none" w:sz="0" w:space="0" w:color="auto"/>
        <w:bottom w:val="none" w:sz="0" w:space="0" w:color="auto"/>
        <w:right w:val="none" w:sz="0" w:space="0" w:color="auto"/>
      </w:divBdr>
    </w:div>
    <w:div w:id="347951146">
      <w:bodyDiv w:val="1"/>
      <w:marLeft w:val="0"/>
      <w:marRight w:val="0"/>
      <w:marTop w:val="0"/>
      <w:marBottom w:val="0"/>
      <w:divBdr>
        <w:top w:val="none" w:sz="0" w:space="0" w:color="auto"/>
        <w:left w:val="none" w:sz="0" w:space="0" w:color="auto"/>
        <w:bottom w:val="none" w:sz="0" w:space="0" w:color="auto"/>
        <w:right w:val="none" w:sz="0" w:space="0" w:color="auto"/>
      </w:divBdr>
    </w:div>
    <w:div w:id="353849457">
      <w:bodyDiv w:val="1"/>
      <w:marLeft w:val="0"/>
      <w:marRight w:val="0"/>
      <w:marTop w:val="0"/>
      <w:marBottom w:val="0"/>
      <w:divBdr>
        <w:top w:val="none" w:sz="0" w:space="0" w:color="auto"/>
        <w:left w:val="none" w:sz="0" w:space="0" w:color="auto"/>
        <w:bottom w:val="none" w:sz="0" w:space="0" w:color="auto"/>
        <w:right w:val="none" w:sz="0" w:space="0" w:color="auto"/>
      </w:divBdr>
    </w:div>
    <w:div w:id="360934762">
      <w:bodyDiv w:val="1"/>
      <w:marLeft w:val="0"/>
      <w:marRight w:val="0"/>
      <w:marTop w:val="0"/>
      <w:marBottom w:val="0"/>
      <w:divBdr>
        <w:top w:val="none" w:sz="0" w:space="0" w:color="auto"/>
        <w:left w:val="none" w:sz="0" w:space="0" w:color="auto"/>
        <w:bottom w:val="none" w:sz="0" w:space="0" w:color="auto"/>
        <w:right w:val="none" w:sz="0" w:space="0" w:color="auto"/>
      </w:divBdr>
    </w:div>
    <w:div w:id="364720368">
      <w:bodyDiv w:val="1"/>
      <w:marLeft w:val="0"/>
      <w:marRight w:val="0"/>
      <w:marTop w:val="0"/>
      <w:marBottom w:val="0"/>
      <w:divBdr>
        <w:top w:val="none" w:sz="0" w:space="0" w:color="auto"/>
        <w:left w:val="none" w:sz="0" w:space="0" w:color="auto"/>
        <w:bottom w:val="none" w:sz="0" w:space="0" w:color="auto"/>
        <w:right w:val="none" w:sz="0" w:space="0" w:color="auto"/>
      </w:divBdr>
    </w:div>
    <w:div w:id="367342167">
      <w:bodyDiv w:val="1"/>
      <w:marLeft w:val="0"/>
      <w:marRight w:val="0"/>
      <w:marTop w:val="0"/>
      <w:marBottom w:val="0"/>
      <w:divBdr>
        <w:top w:val="none" w:sz="0" w:space="0" w:color="auto"/>
        <w:left w:val="none" w:sz="0" w:space="0" w:color="auto"/>
        <w:bottom w:val="none" w:sz="0" w:space="0" w:color="auto"/>
        <w:right w:val="none" w:sz="0" w:space="0" w:color="auto"/>
      </w:divBdr>
    </w:div>
    <w:div w:id="383916409">
      <w:bodyDiv w:val="1"/>
      <w:marLeft w:val="0"/>
      <w:marRight w:val="0"/>
      <w:marTop w:val="0"/>
      <w:marBottom w:val="0"/>
      <w:divBdr>
        <w:top w:val="none" w:sz="0" w:space="0" w:color="auto"/>
        <w:left w:val="none" w:sz="0" w:space="0" w:color="auto"/>
        <w:bottom w:val="none" w:sz="0" w:space="0" w:color="auto"/>
        <w:right w:val="none" w:sz="0" w:space="0" w:color="auto"/>
      </w:divBdr>
    </w:div>
    <w:div w:id="389116913">
      <w:bodyDiv w:val="1"/>
      <w:marLeft w:val="0"/>
      <w:marRight w:val="0"/>
      <w:marTop w:val="0"/>
      <w:marBottom w:val="0"/>
      <w:divBdr>
        <w:top w:val="none" w:sz="0" w:space="0" w:color="auto"/>
        <w:left w:val="none" w:sz="0" w:space="0" w:color="auto"/>
        <w:bottom w:val="none" w:sz="0" w:space="0" w:color="auto"/>
        <w:right w:val="none" w:sz="0" w:space="0" w:color="auto"/>
      </w:divBdr>
    </w:div>
    <w:div w:id="392895134">
      <w:bodyDiv w:val="1"/>
      <w:marLeft w:val="0"/>
      <w:marRight w:val="0"/>
      <w:marTop w:val="0"/>
      <w:marBottom w:val="0"/>
      <w:divBdr>
        <w:top w:val="none" w:sz="0" w:space="0" w:color="auto"/>
        <w:left w:val="none" w:sz="0" w:space="0" w:color="auto"/>
        <w:bottom w:val="none" w:sz="0" w:space="0" w:color="auto"/>
        <w:right w:val="none" w:sz="0" w:space="0" w:color="auto"/>
      </w:divBdr>
    </w:div>
    <w:div w:id="395200784">
      <w:bodyDiv w:val="1"/>
      <w:marLeft w:val="0"/>
      <w:marRight w:val="0"/>
      <w:marTop w:val="0"/>
      <w:marBottom w:val="0"/>
      <w:divBdr>
        <w:top w:val="none" w:sz="0" w:space="0" w:color="auto"/>
        <w:left w:val="none" w:sz="0" w:space="0" w:color="auto"/>
        <w:bottom w:val="none" w:sz="0" w:space="0" w:color="auto"/>
        <w:right w:val="none" w:sz="0" w:space="0" w:color="auto"/>
      </w:divBdr>
    </w:div>
    <w:div w:id="395476673">
      <w:bodyDiv w:val="1"/>
      <w:marLeft w:val="0"/>
      <w:marRight w:val="0"/>
      <w:marTop w:val="0"/>
      <w:marBottom w:val="0"/>
      <w:divBdr>
        <w:top w:val="none" w:sz="0" w:space="0" w:color="auto"/>
        <w:left w:val="none" w:sz="0" w:space="0" w:color="auto"/>
        <w:bottom w:val="none" w:sz="0" w:space="0" w:color="auto"/>
        <w:right w:val="none" w:sz="0" w:space="0" w:color="auto"/>
      </w:divBdr>
    </w:div>
    <w:div w:id="409815553">
      <w:bodyDiv w:val="1"/>
      <w:marLeft w:val="0"/>
      <w:marRight w:val="0"/>
      <w:marTop w:val="0"/>
      <w:marBottom w:val="0"/>
      <w:divBdr>
        <w:top w:val="none" w:sz="0" w:space="0" w:color="auto"/>
        <w:left w:val="none" w:sz="0" w:space="0" w:color="auto"/>
        <w:bottom w:val="none" w:sz="0" w:space="0" w:color="auto"/>
        <w:right w:val="none" w:sz="0" w:space="0" w:color="auto"/>
      </w:divBdr>
    </w:div>
    <w:div w:id="410469170">
      <w:bodyDiv w:val="1"/>
      <w:marLeft w:val="0"/>
      <w:marRight w:val="0"/>
      <w:marTop w:val="0"/>
      <w:marBottom w:val="0"/>
      <w:divBdr>
        <w:top w:val="none" w:sz="0" w:space="0" w:color="auto"/>
        <w:left w:val="none" w:sz="0" w:space="0" w:color="auto"/>
        <w:bottom w:val="none" w:sz="0" w:space="0" w:color="auto"/>
        <w:right w:val="none" w:sz="0" w:space="0" w:color="auto"/>
      </w:divBdr>
    </w:div>
    <w:div w:id="411510112">
      <w:bodyDiv w:val="1"/>
      <w:marLeft w:val="0"/>
      <w:marRight w:val="0"/>
      <w:marTop w:val="0"/>
      <w:marBottom w:val="0"/>
      <w:divBdr>
        <w:top w:val="none" w:sz="0" w:space="0" w:color="auto"/>
        <w:left w:val="none" w:sz="0" w:space="0" w:color="auto"/>
        <w:bottom w:val="none" w:sz="0" w:space="0" w:color="auto"/>
        <w:right w:val="none" w:sz="0" w:space="0" w:color="auto"/>
      </w:divBdr>
    </w:div>
    <w:div w:id="411588306">
      <w:bodyDiv w:val="1"/>
      <w:marLeft w:val="0"/>
      <w:marRight w:val="0"/>
      <w:marTop w:val="0"/>
      <w:marBottom w:val="0"/>
      <w:divBdr>
        <w:top w:val="none" w:sz="0" w:space="0" w:color="auto"/>
        <w:left w:val="none" w:sz="0" w:space="0" w:color="auto"/>
        <w:bottom w:val="none" w:sz="0" w:space="0" w:color="auto"/>
        <w:right w:val="none" w:sz="0" w:space="0" w:color="auto"/>
      </w:divBdr>
    </w:div>
    <w:div w:id="413825244">
      <w:bodyDiv w:val="1"/>
      <w:marLeft w:val="0"/>
      <w:marRight w:val="0"/>
      <w:marTop w:val="0"/>
      <w:marBottom w:val="0"/>
      <w:divBdr>
        <w:top w:val="none" w:sz="0" w:space="0" w:color="auto"/>
        <w:left w:val="none" w:sz="0" w:space="0" w:color="auto"/>
        <w:bottom w:val="none" w:sz="0" w:space="0" w:color="auto"/>
        <w:right w:val="none" w:sz="0" w:space="0" w:color="auto"/>
      </w:divBdr>
    </w:div>
    <w:div w:id="414475063">
      <w:bodyDiv w:val="1"/>
      <w:marLeft w:val="0"/>
      <w:marRight w:val="0"/>
      <w:marTop w:val="0"/>
      <w:marBottom w:val="0"/>
      <w:divBdr>
        <w:top w:val="none" w:sz="0" w:space="0" w:color="auto"/>
        <w:left w:val="none" w:sz="0" w:space="0" w:color="auto"/>
        <w:bottom w:val="none" w:sz="0" w:space="0" w:color="auto"/>
        <w:right w:val="none" w:sz="0" w:space="0" w:color="auto"/>
      </w:divBdr>
    </w:div>
    <w:div w:id="419834275">
      <w:bodyDiv w:val="1"/>
      <w:marLeft w:val="0"/>
      <w:marRight w:val="0"/>
      <w:marTop w:val="0"/>
      <w:marBottom w:val="0"/>
      <w:divBdr>
        <w:top w:val="none" w:sz="0" w:space="0" w:color="auto"/>
        <w:left w:val="none" w:sz="0" w:space="0" w:color="auto"/>
        <w:bottom w:val="none" w:sz="0" w:space="0" w:color="auto"/>
        <w:right w:val="none" w:sz="0" w:space="0" w:color="auto"/>
      </w:divBdr>
    </w:div>
    <w:div w:id="422917236">
      <w:bodyDiv w:val="1"/>
      <w:marLeft w:val="0"/>
      <w:marRight w:val="0"/>
      <w:marTop w:val="0"/>
      <w:marBottom w:val="0"/>
      <w:divBdr>
        <w:top w:val="none" w:sz="0" w:space="0" w:color="auto"/>
        <w:left w:val="none" w:sz="0" w:space="0" w:color="auto"/>
        <w:bottom w:val="none" w:sz="0" w:space="0" w:color="auto"/>
        <w:right w:val="none" w:sz="0" w:space="0" w:color="auto"/>
      </w:divBdr>
    </w:div>
    <w:div w:id="429282356">
      <w:bodyDiv w:val="1"/>
      <w:marLeft w:val="0"/>
      <w:marRight w:val="0"/>
      <w:marTop w:val="0"/>
      <w:marBottom w:val="0"/>
      <w:divBdr>
        <w:top w:val="none" w:sz="0" w:space="0" w:color="auto"/>
        <w:left w:val="none" w:sz="0" w:space="0" w:color="auto"/>
        <w:bottom w:val="none" w:sz="0" w:space="0" w:color="auto"/>
        <w:right w:val="none" w:sz="0" w:space="0" w:color="auto"/>
      </w:divBdr>
    </w:div>
    <w:div w:id="430206124">
      <w:bodyDiv w:val="1"/>
      <w:marLeft w:val="0"/>
      <w:marRight w:val="0"/>
      <w:marTop w:val="0"/>
      <w:marBottom w:val="0"/>
      <w:divBdr>
        <w:top w:val="none" w:sz="0" w:space="0" w:color="auto"/>
        <w:left w:val="none" w:sz="0" w:space="0" w:color="auto"/>
        <w:bottom w:val="none" w:sz="0" w:space="0" w:color="auto"/>
        <w:right w:val="none" w:sz="0" w:space="0" w:color="auto"/>
      </w:divBdr>
    </w:div>
    <w:div w:id="435366558">
      <w:bodyDiv w:val="1"/>
      <w:marLeft w:val="0"/>
      <w:marRight w:val="0"/>
      <w:marTop w:val="0"/>
      <w:marBottom w:val="0"/>
      <w:divBdr>
        <w:top w:val="none" w:sz="0" w:space="0" w:color="auto"/>
        <w:left w:val="none" w:sz="0" w:space="0" w:color="auto"/>
        <w:bottom w:val="none" w:sz="0" w:space="0" w:color="auto"/>
        <w:right w:val="none" w:sz="0" w:space="0" w:color="auto"/>
      </w:divBdr>
    </w:div>
    <w:div w:id="456989660">
      <w:bodyDiv w:val="1"/>
      <w:marLeft w:val="0"/>
      <w:marRight w:val="0"/>
      <w:marTop w:val="0"/>
      <w:marBottom w:val="0"/>
      <w:divBdr>
        <w:top w:val="none" w:sz="0" w:space="0" w:color="auto"/>
        <w:left w:val="none" w:sz="0" w:space="0" w:color="auto"/>
        <w:bottom w:val="none" w:sz="0" w:space="0" w:color="auto"/>
        <w:right w:val="none" w:sz="0" w:space="0" w:color="auto"/>
      </w:divBdr>
    </w:div>
    <w:div w:id="470293689">
      <w:bodyDiv w:val="1"/>
      <w:marLeft w:val="0"/>
      <w:marRight w:val="0"/>
      <w:marTop w:val="0"/>
      <w:marBottom w:val="0"/>
      <w:divBdr>
        <w:top w:val="none" w:sz="0" w:space="0" w:color="auto"/>
        <w:left w:val="none" w:sz="0" w:space="0" w:color="auto"/>
        <w:bottom w:val="none" w:sz="0" w:space="0" w:color="auto"/>
        <w:right w:val="none" w:sz="0" w:space="0" w:color="auto"/>
      </w:divBdr>
    </w:div>
    <w:div w:id="481821767">
      <w:bodyDiv w:val="1"/>
      <w:marLeft w:val="0"/>
      <w:marRight w:val="0"/>
      <w:marTop w:val="0"/>
      <w:marBottom w:val="0"/>
      <w:divBdr>
        <w:top w:val="none" w:sz="0" w:space="0" w:color="auto"/>
        <w:left w:val="none" w:sz="0" w:space="0" w:color="auto"/>
        <w:bottom w:val="none" w:sz="0" w:space="0" w:color="auto"/>
        <w:right w:val="none" w:sz="0" w:space="0" w:color="auto"/>
      </w:divBdr>
    </w:div>
    <w:div w:id="486439333">
      <w:bodyDiv w:val="1"/>
      <w:marLeft w:val="0"/>
      <w:marRight w:val="0"/>
      <w:marTop w:val="0"/>
      <w:marBottom w:val="0"/>
      <w:divBdr>
        <w:top w:val="none" w:sz="0" w:space="0" w:color="auto"/>
        <w:left w:val="none" w:sz="0" w:space="0" w:color="auto"/>
        <w:bottom w:val="none" w:sz="0" w:space="0" w:color="auto"/>
        <w:right w:val="none" w:sz="0" w:space="0" w:color="auto"/>
      </w:divBdr>
    </w:div>
    <w:div w:id="488909769">
      <w:bodyDiv w:val="1"/>
      <w:marLeft w:val="0"/>
      <w:marRight w:val="0"/>
      <w:marTop w:val="0"/>
      <w:marBottom w:val="0"/>
      <w:divBdr>
        <w:top w:val="none" w:sz="0" w:space="0" w:color="auto"/>
        <w:left w:val="none" w:sz="0" w:space="0" w:color="auto"/>
        <w:bottom w:val="none" w:sz="0" w:space="0" w:color="auto"/>
        <w:right w:val="none" w:sz="0" w:space="0" w:color="auto"/>
      </w:divBdr>
    </w:div>
    <w:div w:id="493566883">
      <w:bodyDiv w:val="1"/>
      <w:marLeft w:val="0"/>
      <w:marRight w:val="0"/>
      <w:marTop w:val="0"/>
      <w:marBottom w:val="0"/>
      <w:divBdr>
        <w:top w:val="none" w:sz="0" w:space="0" w:color="auto"/>
        <w:left w:val="none" w:sz="0" w:space="0" w:color="auto"/>
        <w:bottom w:val="none" w:sz="0" w:space="0" w:color="auto"/>
        <w:right w:val="none" w:sz="0" w:space="0" w:color="auto"/>
      </w:divBdr>
    </w:div>
    <w:div w:id="496966444">
      <w:bodyDiv w:val="1"/>
      <w:marLeft w:val="0"/>
      <w:marRight w:val="0"/>
      <w:marTop w:val="0"/>
      <w:marBottom w:val="0"/>
      <w:divBdr>
        <w:top w:val="none" w:sz="0" w:space="0" w:color="auto"/>
        <w:left w:val="none" w:sz="0" w:space="0" w:color="auto"/>
        <w:bottom w:val="none" w:sz="0" w:space="0" w:color="auto"/>
        <w:right w:val="none" w:sz="0" w:space="0" w:color="auto"/>
      </w:divBdr>
    </w:div>
    <w:div w:id="498664070">
      <w:bodyDiv w:val="1"/>
      <w:marLeft w:val="0"/>
      <w:marRight w:val="0"/>
      <w:marTop w:val="0"/>
      <w:marBottom w:val="0"/>
      <w:divBdr>
        <w:top w:val="none" w:sz="0" w:space="0" w:color="auto"/>
        <w:left w:val="none" w:sz="0" w:space="0" w:color="auto"/>
        <w:bottom w:val="none" w:sz="0" w:space="0" w:color="auto"/>
        <w:right w:val="none" w:sz="0" w:space="0" w:color="auto"/>
      </w:divBdr>
    </w:div>
    <w:div w:id="508452261">
      <w:bodyDiv w:val="1"/>
      <w:marLeft w:val="0"/>
      <w:marRight w:val="0"/>
      <w:marTop w:val="0"/>
      <w:marBottom w:val="0"/>
      <w:divBdr>
        <w:top w:val="none" w:sz="0" w:space="0" w:color="auto"/>
        <w:left w:val="none" w:sz="0" w:space="0" w:color="auto"/>
        <w:bottom w:val="none" w:sz="0" w:space="0" w:color="auto"/>
        <w:right w:val="none" w:sz="0" w:space="0" w:color="auto"/>
      </w:divBdr>
    </w:div>
    <w:div w:id="516772366">
      <w:bodyDiv w:val="1"/>
      <w:marLeft w:val="0"/>
      <w:marRight w:val="0"/>
      <w:marTop w:val="0"/>
      <w:marBottom w:val="0"/>
      <w:divBdr>
        <w:top w:val="none" w:sz="0" w:space="0" w:color="auto"/>
        <w:left w:val="none" w:sz="0" w:space="0" w:color="auto"/>
        <w:bottom w:val="none" w:sz="0" w:space="0" w:color="auto"/>
        <w:right w:val="none" w:sz="0" w:space="0" w:color="auto"/>
      </w:divBdr>
    </w:div>
    <w:div w:id="517739507">
      <w:bodyDiv w:val="1"/>
      <w:marLeft w:val="0"/>
      <w:marRight w:val="0"/>
      <w:marTop w:val="0"/>
      <w:marBottom w:val="0"/>
      <w:divBdr>
        <w:top w:val="none" w:sz="0" w:space="0" w:color="auto"/>
        <w:left w:val="none" w:sz="0" w:space="0" w:color="auto"/>
        <w:bottom w:val="none" w:sz="0" w:space="0" w:color="auto"/>
        <w:right w:val="none" w:sz="0" w:space="0" w:color="auto"/>
      </w:divBdr>
    </w:div>
    <w:div w:id="517889141">
      <w:bodyDiv w:val="1"/>
      <w:marLeft w:val="0"/>
      <w:marRight w:val="0"/>
      <w:marTop w:val="0"/>
      <w:marBottom w:val="0"/>
      <w:divBdr>
        <w:top w:val="none" w:sz="0" w:space="0" w:color="auto"/>
        <w:left w:val="none" w:sz="0" w:space="0" w:color="auto"/>
        <w:bottom w:val="none" w:sz="0" w:space="0" w:color="auto"/>
        <w:right w:val="none" w:sz="0" w:space="0" w:color="auto"/>
      </w:divBdr>
    </w:div>
    <w:div w:id="522938280">
      <w:bodyDiv w:val="1"/>
      <w:marLeft w:val="0"/>
      <w:marRight w:val="0"/>
      <w:marTop w:val="0"/>
      <w:marBottom w:val="0"/>
      <w:divBdr>
        <w:top w:val="none" w:sz="0" w:space="0" w:color="auto"/>
        <w:left w:val="none" w:sz="0" w:space="0" w:color="auto"/>
        <w:bottom w:val="none" w:sz="0" w:space="0" w:color="auto"/>
        <w:right w:val="none" w:sz="0" w:space="0" w:color="auto"/>
      </w:divBdr>
    </w:div>
    <w:div w:id="529025957">
      <w:bodyDiv w:val="1"/>
      <w:marLeft w:val="0"/>
      <w:marRight w:val="0"/>
      <w:marTop w:val="0"/>
      <w:marBottom w:val="0"/>
      <w:divBdr>
        <w:top w:val="none" w:sz="0" w:space="0" w:color="auto"/>
        <w:left w:val="none" w:sz="0" w:space="0" w:color="auto"/>
        <w:bottom w:val="none" w:sz="0" w:space="0" w:color="auto"/>
        <w:right w:val="none" w:sz="0" w:space="0" w:color="auto"/>
      </w:divBdr>
    </w:div>
    <w:div w:id="535890856">
      <w:bodyDiv w:val="1"/>
      <w:marLeft w:val="0"/>
      <w:marRight w:val="0"/>
      <w:marTop w:val="0"/>
      <w:marBottom w:val="0"/>
      <w:divBdr>
        <w:top w:val="none" w:sz="0" w:space="0" w:color="auto"/>
        <w:left w:val="none" w:sz="0" w:space="0" w:color="auto"/>
        <w:bottom w:val="none" w:sz="0" w:space="0" w:color="auto"/>
        <w:right w:val="none" w:sz="0" w:space="0" w:color="auto"/>
      </w:divBdr>
    </w:div>
    <w:div w:id="540753739">
      <w:bodyDiv w:val="1"/>
      <w:marLeft w:val="0"/>
      <w:marRight w:val="0"/>
      <w:marTop w:val="0"/>
      <w:marBottom w:val="0"/>
      <w:divBdr>
        <w:top w:val="none" w:sz="0" w:space="0" w:color="auto"/>
        <w:left w:val="none" w:sz="0" w:space="0" w:color="auto"/>
        <w:bottom w:val="none" w:sz="0" w:space="0" w:color="auto"/>
        <w:right w:val="none" w:sz="0" w:space="0" w:color="auto"/>
      </w:divBdr>
    </w:div>
    <w:div w:id="562641136">
      <w:bodyDiv w:val="1"/>
      <w:marLeft w:val="0"/>
      <w:marRight w:val="0"/>
      <w:marTop w:val="0"/>
      <w:marBottom w:val="0"/>
      <w:divBdr>
        <w:top w:val="none" w:sz="0" w:space="0" w:color="auto"/>
        <w:left w:val="none" w:sz="0" w:space="0" w:color="auto"/>
        <w:bottom w:val="none" w:sz="0" w:space="0" w:color="auto"/>
        <w:right w:val="none" w:sz="0" w:space="0" w:color="auto"/>
      </w:divBdr>
    </w:div>
    <w:div w:id="575479022">
      <w:bodyDiv w:val="1"/>
      <w:marLeft w:val="0"/>
      <w:marRight w:val="0"/>
      <w:marTop w:val="0"/>
      <w:marBottom w:val="0"/>
      <w:divBdr>
        <w:top w:val="none" w:sz="0" w:space="0" w:color="auto"/>
        <w:left w:val="none" w:sz="0" w:space="0" w:color="auto"/>
        <w:bottom w:val="none" w:sz="0" w:space="0" w:color="auto"/>
        <w:right w:val="none" w:sz="0" w:space="0" w:color="auto"/>
      </w:divBdr>
    </w:div>
    <w:div w:id="576591926">
      <w:bodyDiv w:val="1"/>
      <w:marLeft w:val="0"/>
      <w:marRight w:val="0"/>
      <w:marTop w:val="0"/>
      <w:marBottom w:val="0"/>
      <w:divBdr>
        <w:top w:val="none" w:sz="0" w:space="0" w:color="auto"/>
        <w:left w:val="none" w:sz="0" w:space="0" w:color="auto"/>
        <w:bottom w:val="none" w:sz="0" w:space="0" w:color="auto"/>
        <w:right w:val="none" w:sz="0" w:space="0" w:color="auto"/>
      </w:divBdr>
    </w:div>
    <w:div w:id="597711010">
      <w:bodyDiv w:val="1"/>
      <w:marLeft w:val="0"/>
      <w:marRight w:val="0"/>
      <w:marTop w:val="0"/>
      <w:marBottom w:val="0"/>
      <w:divBdr>
        <w:top w:val="none" w:sz="0" w:space="0" w:color="auto"/>
        <w:left w:val="none" w:sz="0" w:space="0" w:color="auto"/>
        <w:bottom w:val="none" w:sz="0" w:space="0" w:color="auto"/>
        <w:right w:val="none" w:sz="0" w:space="0" w:color="auto"/>
      </w:divBdr>
      <w:divsChild>
        <w:div w:id="1644197423">
          <w:marLeft w:val="0"/>
          <w:marRight w:val="0"/>
          <w:marTop w:val="0"/>
          <w:marBottom w:val="300"/>
          <w:divBdr>
            <w:top w:val="none" w:sz="0" w:space="0" w:color="auto"/>
            <w:left w:val="none" w:sz="0" w:space="0" w:color="auto"/>
            <w:bottom w:val="none" w:sz="0" w:space="0" w:color="auto"/>
            <w:right w:val="none" w:sz="0" w:space="0" w:color="auto"/>
          </w:divBdr>
          <w:divsChild>
            <w:div w:id="1473131252">
              <w:marLeft w:val="0"/>
              <w:marRight w:val="0"/>
              <w:marTop w:val="0"/>
              <w:marBottom w:val="0"/>
              <w:divBdr>
                <w:top w:val="none" w:sz="0" w:space="0" w:color="auto"/>
                <w:left w:val="none" w:sz="0" w:space="0" w:color="auto"/>
                <w:bottom w:val="none" w:sz="0" w:space="0" w:color="auto"/>
                <w:right w:val="none" w:sz="0" w:space="0" w:color="auto"/>
              </w:divBdr>
            </w:div>
          </w:divsChild>
        </w:div>
        <w:div w:id="1891846311">
          <w:marLeft w:val="0"/>
          <w:marRight w:val="0"/>
          <w:marTop w:val="100"/>
          <w:marBottom w:val="100"/>
          <w:divBdr>
            <w:top w:val="none" w:sz="0" w:space="0" w:color="auto"/>
            <w:left w:val="none" w:sz="0" w:space="0" w:color="auto"/>
            <w:bottom w:val="none" w:sz="0" w:space="0" w:color="auto"/>
            <w:right w:val="none" w:sz="0" w:space="0" w:color="auto"/>
          </w:divBdr>
          <w:divsChild>
            <w:div w:id="1675835842">
              <w:marLeft w:val="0"/>
              <w:marRight w:val="0"/>
              <w:marTop w:val="0"/>
              <w:marBottom w:val="0"/>
              <w:divBdr>
                <w:top w:val="none" w:sz="0" w:space="0" w:color="auto"/>
                <w:left w:val="none" w:sz="0" w:space="0" w:color="auto"/>
                <w:bottom w:val="none" w:sz="0" w:space="0" w:color="auto"/>
                <w:right w:val="none" w:sz="0" w:space="0" w:color="auto"/>
              </w:divBdr>
              <w:divsChild>
                <w:div w:id="23949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407443">
      <w:bodyDiv w:val="1"/>
      <w:marLeft w:val="0"/>
      <w:marRight w:val="0"/>
      <w:marTop w:val="0"/>
      <w:marBottom w:val="0"/>
      <w:divBdr>
        <w:top w:val="none" w:sz="0" w:space="0" w:color="auto"/>
        <w:left w:val="none" w:sz="0" w:space="0" w:color="auto"/>
        <w:bottom w:val="none" w:sz="0" w:space="0" w:color="auto"/>
        <w:right w:val="none" w:sz="0" w:space="0" w:color="auto"/>
      </w:divBdr>
    </w:div>
    <w:div w:id="601256671">
      <w:bodyDiv w:val="1"/>
      <w:marLeft w:val="0"/>
      <w:marRight w:val="0"/>
      <w:marTop w:val="0"/>
      <w:marBottom w:val="0"/>
      <w:divBdr>
        <w:top w:val="none" w:sz="0" w:space="0" w:color="auto"/>
        <w:left w:val="none" w:sz="0" w:space="0" w:color="auto"/>
        <w:bottom w:val="none" w:sz="0" w:space="0" w:color="auto"/>
        <w:right w:val="none" w:sz="0" w:space="0" w:color="auto"/>
      </w:divBdr>
    </w:div>
    <w:div w:id="603653324">
      <w:bodyDiv w:val="1"/>
      <w:marLeft w:val="0"/>
      <w:marRight w:val="0"/>
      <w:marTop w:val="0"/>
      <w:marBottom w:val="0"/>
      <w:divBdr>
        <w:top w:val="none" w:sz="0" w:space="0" w:color="auto"/>
        <w:left w:val="none" w:sz="0" w:space="0" w:color="auto"/>
        <w:bottom w:val="none" w:sz="0" w:space="0" w:color="auto"/>
        <w:right w:val="none" w:sz="0" w:space="0" w:color="auto"/>
      </w:divBdr>
    </w:div>
    <w:div w:id="620189627">
      <w:bodyDiv w:val="1"/>
      <w:marLeft w:val="0"/>
      <w:marRight w:val="0"/>
      <w:marTop w:val="0"/>
      <w:marBottom w:val="0"/>
      <w:divBdr>
        <w:top w:val="none" w:sz="0" w:space="0" w:color="auto"/>
        <w:left w:val="none" w:sz="0" w:space="0" w:color="auto"/>
        <w:bottom w:val="none" w:sz="0" w:space="0" w:color="auto"/>
        <w:right w:val="none" w:sz="0" w:space="0" w:color="auto"/>
      </w:divBdr>
    </w:div>
    <w:div w:id="630670712">
      <w:bodyDiv w:val="1"/>
      <w:marLeft w:val="0"/>
      <w:marRight w:val="0"/>
      <w:marTop w:val="0"/>
      <w:marBottom w:val="0"/>
      <w:divBdr>
        <w:top w:val="none" w:sz="0" w:space="0" w:color="auto"/>
        <w:left w:val="none" w:sz="0" w:space="0" w:color="auto"/>
        <w:bottom w:val="none" w:sz="0" w:space="0" w:color="auto"/>
        <w:right w:val="none" w:sz="0" w:space="0" w:color="auto"/>
      </w:divBdr>
    </w:div>
    <w:div w:id="633176009">
      <w:bodyDiv w:val="1"/>
      <w:marLeft w:val="0"/>
      <w:marRight w:val="0"/>
      <w:marTop w:val="0"/>
      <w:marBottom w:val="0"/>
      <w:divBdr>
        <w:top w:val="none" w:sz="0" w:space="0" w:color="auto"/>
        <w:left w:val="none" w:sz="0" w:space="0" w:color="auto"/>
        <w:bottom w:val="none" w:sz="0" w:space="0" w:color="auto"/>
        <w:right w:val="none" w:sz="0" w:space="0" w:color="auto"/>
      </w:divBdr>
    </w:div>
    <w:div w:id="644511588">
      <w:bodyDiv w:val="1"/>
      <w:marLeft w:val="0"/>
      <w:marRight w:val="0"/>
      <w:marTop w:val="0"/>
      <w:marBottom w:val="0"/>
      <w:divBdr>
        <w:top w:val="none" w:sz="0" w:space="0" w:color="auto"/>
        <w:left w:val="none" w:sz="0" w:space="0" w:color="auto"/>
        <w:bottom w:val="none" w:sz="0" w:space="0" w:color="auto"/>
        <w:right w:val="none" w:sz="0" w:space="0" w:color="auto"/>
      </w:divBdr>
    </w:div>
    <w:div w:id="650911724">
      <w:bodyDiv w:val="1"/>
      <w:marLeft w:val="0"/>
      <w:marRight w:val="0"/>
      <w:marTop w:val="0"/>
      <w:marBottom w:val="0"/>
      <w:divBdr>
        <w:top w:val="none" w:sz="0" w:space="0" w:color="auto"/>
        <w:left w:val="none" w:sz="0" w:space="0" w:color="auto"/>
        <w:bottom w:val="none" w:sz="0" w:space="0" w:color="auto"/>
        <w:right w:val="none" w:sz="0" w:space="0" w:color="auto"/>
      </w:divBdr>
    </w:div>
    <w:div w:id="651712631">
      <w:bodyDiv w:val="1"/>
      <w:marLeft w:val="0"/>
      <w:marRight w:val="0"/>
      <w:marTop w:val="0"/>
      <w:marBottom w:val="0"/>
      <w:divBdr>
        <w:top w:val="none" w:sz="0" w:space="0" w:color="auto"/>
        <w:left w:val="none" w:sz="0" w:space="0" w:color="auto"/>
        <w:bottom w:val="none" w:sz="0" w:space="0" w:color="auto"/>
        <w:right w:val="none" w:sz="0" w:space="0" w:color="auto"/>
      </w:divBdr>
    </w:div>
    <w:div w:id="666633057">
      <w:bodyDiv w:val="1"/>
      <w:marLeft w:val="0"/>
      <w:marRight w:val="0"/>
      <w:marTop w:val="0"/>
      <w:marBottom w:val="0"/>
      <w:divBdr>
        <w:top w:val="none" w:sz="0" w:space="0" w:color="auto"/>
        <w:left w:val="none" w:sz="0" w:space="0" w:color="auto"/>
        <w:bottom w:val="none" w:sz="0" w:space="0" w:color="auto"/>
        <w:right w:val="none" w:sz="0" w:space="0" w:color="auto"/>
      </w:divBdr>
    </w:div>
    <w:div w:id="680618479">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692146056">
      <w:bodyDiv w:val="1"/>
      <w:marLeft w:val="0"/>
      <w:marRight w:val="0"/>
      <w:marTop w:val="0"/>
      <w:marBottom w:val="0"/>
      <w:divBdr>
        <w:top w:val="none" w:sz="0" w:space="0" w:color="auto"/>
        <w:left w:val="none" w:sz="0" w:space="0" w:color="auto"/>
        <w:bottom w:val="none" w:sz="0" w:space="0" w:color="auto"/>
        <w:right w:val="none" w:sz="0" w:space="0" w:color="auto"/>
      </w:divBdr>
    </w:div>
    <w:div w:id="694696667">
      <w:bodyDiv w:val="1"/>
      <w:marLeft w:val="0"/>
      <w:marRight w:val="0"/>
      <w:marTop w:val="0"/>
      <w:marBottom w:val="0"/>
      <w:divBdr>
        <w:top w:val="none" w:sz="0" w:space="0" w:color="auto"/>
        <w:left w:val="none" w:sz="0" w:space="0" w:color="auto"/>
        <w:bottom w:val="none" w:sz="0" w:space="0" w:color="auto"/>
        <w:right w:val="none" w:sz="0" w:space="0" w:color="auto"/>
      </w:divBdr>
    </w:div>
    <w:div w:id="704058188">
      <w:bodyDiv w:val="1"/>
      <w:marLeft w:val="0"/>
      <w:marRight w:val="0"/>
      <w:marTop w:val="0"/>
      <w:marBottom w:val="0"/>
      <w:divBdr>
        <w:top w:val="none" w:sz="0" w:space="0" w:color="auto"/>
        <w:left w:val="none" w:sz="0" w:space="0" w:color="auto"/>
        <w:bottom w:val="none" w:sz="0" w:space="0" w:color="auto"/>
        <w:right w:val="none" w:sz="0" w:space="0" w:color="auto"/>
      </w:divBdr>
    </w:div>
    <w:div w:id="710886027">
      <w:bodyDiv w:val="1"/>
      <w:marLeft w:val="0"/>
      <w:marRight w:val="0"/>
      <w:marTop w:val="0"/>
      <w:marBottom w:val="0"/>
      <w:divBdr>
        <w:top w:val="none" w:sz="0" w:space="0" w:color="auto"/>
        <w:left w:val="none" w:sz="0" w:space="0" w:color="auto"/>
        <w:bottom w:val="none" w:sz="0" w:space="0" w:color="auto"/>
        <w:right w:val="none" w:sz="0" w:space="0" w:color="auto"/>
      </w:divBdr>
    </w:div>
    <w:div w:id="717363260">
      <w:bodyDiv w:val="1"/>
      <w:marLeft w:val="0"/>
      <w:marRight w:val="0"/>
      <w:marTop w:val="0"/>
      <w:marBottom w:val="0"/>
      <w:divBdr>
        <w:top w:val="none" w:sz="0" w:space="0" w:color="auto"/>
        <w:left w:val="none" w:sz="0" w:space="0" w:color="auto"/>
        <w:bottom w:val="none" w:sz="0" w:space="0" w:color="auto"/>
        <w:right w:val="none" w:sz="0" w:space="0" w:color="auto"/>
      </w:divBdr>
    </w:div>
    <w:div w:id="719138409">
      <w:bodyDiv w:val="1"/>
      <w:marLeft w:val="0"/>
      <w:marRight w:val="0"/>
      <w:marTop w:val="0"/>
      <w:marBottom w:val="0"/>
      <w:divBdr>
        <w:top w:val="none" w:sz="0" w:space="0" w:color="auto"/>
        <w:left w:val="none" w:sz="0" w:space="0" w:color="auto"/>
        <w:bottom w:val="none" w:sz="0" w:space="0" w:color="auto"/>
        <w:right w:val="none" w:sz="0" w:space="0" w:color="auto"/>
      </w:divBdr>
    </w:div>
    <w:div w:id="720401495">
      <w:bodyDiv w:val="1"/>
      <w:marLeft w:val="0"/>
      <w:marRight w:val="0"/>
      <w:marTop w:val="0"/>
      <w:marBottom w:val="0"/>
      <w:divBdr>
        <w:top w:val="none" w:sz="0" w:space="0" w:color="auto"/>
        <w:left w:val="none" w:sz="0" w:space="0" w:color="auto"/>
        <w:bottom w:val="none" w:sz="0" w:space="0" w:color="auto"/>
        <w:right w:val="none" w:sz="0" w:space="0" w:color="auto"/>
      </w:divBdr>
    </w:div>
    <w:div w:id="725421233">
      <w:bodyDiv w:val="1"/>
      <w:marLeft w:val="0"/>
      <w:marRight w:val="0"/>
      <w:marTop w:val="0"/>
      <w:marBottom w:val="0"/>
      <w:divBdr>
        <w:top w:val="none" w:sz="0" w:space="0" w:color="auto"/>
        <w:left w:val="none" w:sz="0" w:space="0" w:color="auto"/>
        <w:bottom w:val="none" w:sz="0" w:space="0" w:color="auto"/>
        <w:right w:val="none" w:sz="0" w:space="0" w:color="auto"/>
      </w:divBdr>
    </w:div>
    <w:div w:id="733821046">
      <w:bodyDiv w:val="1"/>
      <w:marLeft w:val="0"/>
      <w:marRight w:val="0"/>
      <w:marTop w:val="0"/>
      <w:marBottom w:val="0"/>
      <w:divBdr>
        <w:top w:val="none" w:sz="0" w:space="0" w:color="auto"/>
        <w:left w:val="none" w:sz="0" w:space="0" w:color="auto"/>
        <w:bottom w:val="none" w:sz="0" w:space="0" w:color="auto"/>
        <w:right w:val="none" w:sz="0" w:space="0" w:color="auto"/>
      </w:divBdr>
    </w:div>
    <w:div w:id="739640024">
      <w:bodyDiv w:val="1"/>
      <w:marLeft w:val="0"/>
      <w:marRight w:val="0"/>
      <w:marTop w:val="0"/>
      <w:marBottom w:val="0"/>
      <w:divBdr>
        <w:top w:val="none" w:sz="0" w:space="0" w:color="auto"/>
        <w:left w:val="none" w:sz="0" w:space="0" w:color="auto"/>
        <w:bottom w:val="none" w:sz="0" w:space="0" w:color="auto"/>
        <w:right w:val="none" w:sz="0" w:space="0" w:color="auto"/>
      </w:divBdr>
    </w:div>
    <w:div w:id="753358702">
      <w:bodyDiv w:val="1"/>
      <w:marLeft w:val="0"/>
      <w:marRight w:val="0"/>
      <w:marTop w:val="0"/>
      <w:marBottom w:val="0"/>
      <w:divBdr>
        <w:top w:val="none" w:sz="0" w:space="0" w:color="auto"/>
        <w:left w:val="none" w:sz="0" w:space="0" w:color="auto"/>
        <w:bottom w:val="none" w:sz="0" w:space="0" w:color="auto"/>
        <w:right w:val="none" w:sz="0" w:space="0" w:color="auto"/>
      </w:divBdr>
    </w:div>
    <w:div w:id="756368859">
      <w:bodyDiv w:val="1"/>
      <w:marLeft w:val="0"/>
      <w:marRight w:val="0"/>
      <w:marTop w:val="0"/>
      <w:marBottom w:val="0"/>
      <w:divBdr>
        <w:top w:val="none" w:sz="0" w:space="0" w:color="auto"/>
        <w:left w:val="none" w:sz="0" w:space="0" w:color="auto"/>
        <w:bottom w:val="none" w:sz="0" w:space="0" w:color="auto"/>
        <w:right w:val="none" w:sz="0" w:space="0" w:color="auto"/>
      </w:divBdr>
    </w:div>
    <w:div w:id="761416613">
      <w:bodyDiv w:val="1"/>
      <w:marLeft w:val="0"/>
      <w:marRight w:val="0"/>
      <w:marTop w:val="0"/>
      <w:marBottom w:val="0"/>
      <w:divBdr>
        <w:top w:val="none" w:sz="0" w:space="0" w:color="auto"/>
        <w:left w:val="none" w:sz="0" w:space="0" w:color="auto"/>
        <w:bottom w:val="none" w:sz="0" w:space="0" w:color="auto"/>
        <w:right w:val="none" w:sz="0" w:space="0" w:color="auto"/>
      </w:divBdr>
    </w:div>
    <w:div w:id="769399171">
      <w:bodyDiv w:val="1"/>
      <w:marLeft w:val="0"/>
      <w:marRight w:val="0"/>
      <w:marTop w:val="0"/>
      <w:marBottom w:val="0"/>
      <w:divBdr>
        <w:top w:val="none" w:sz="0" w:space="0" w:color="auto"/>
        <w:left w:val="none" w:sz="0" w:space="0" w:color="auto"/>
        <w:bottom w:val="none" w:sz="0" w:space="0" w:color="auto"/>
        <w:right w:val="none" w:sz="0" w:space="0" w:color="auto"/>
      </w:divBdr>
    </w:div>
    <w:div w:id="787743846">
      <w:bodyDiv w:val="1"/>
      <w:marLeft w:val="0"/>
      <w:marRight w:val="0"/>
      <w:marTop w:val="0"/>
      <w:marBottom w:val="0"/>
      <w:divBdr>
        <w:top w:val="none" w:sz="0" w:space="0" w:color="auto"/>
        <w:left w:val="none" w:sz="0" w:space="0" w:color="auto"/>
        <w:bottom w:val="none" w:sz="0" w:space="0" w:color="auto"/>
        <w:right w:val="none" w:sz="0" w:space="0" w:color="auto"/>
      </w:divBdr>
    </w:div>
    <w:div w:id="795872422">
      <w:bodyDiv w:val="1"/>
      <w:marLeft w:val="0"/>
      <w:marRight w:val="0"/>
      <w:marTop w:val="0"/>
      <w:marBottom w:val="0"/>
      <w:divBdr>
        <w:top w:val="none" w:sz="0" w:space="0" w:color="auto"/>
        <w:left w:val="none" w:sz="0" w:space="0" w:color="auto"/>
        <w:bottom w:val="none" w:sz="0" w:space="0" w:color="auto"/>
        <w:right w:val="none" w:sz="0" w:space="0" w:color="auto"/>
      </w:divBdr>
    </w:div>
    <w:div w:id="837695385">
      <w:bodyDiv w:val="1"/>
      <w:marLeft w:val="0"/>
      <w:marRight w:val="0"/>
      <w:marTop w:val="0"/>
      <w:marBottom w:val="0"/>
      <w:divBdr>
        <w:top w:val="none" w:sz="0" w:space="0" w:color="auto"/>
        <w:left w:val="none" w:sz="0" w:space="0" w:color="auto"/>
        <w:bottom w:val="none" w:sz="0" w:space="0" w:color="auto"/>
        <w:right w:val="none" w:sz="0" w:space="0" w:color="auto"/>
      </w:divBdr>
    </w:div>
    <w:div w:id="855194870">
      <w:bodyDiv w:val="1"/>
      <w:marLeft w:val="0"/>
      <w:marRight w:val="0"/>
      <w:marTop w:val="0"/>
      <w:marBottom w:val="0"/>
      <w:divBdr>
        <w:top w:val="none" w:sz="0" w:space="0" w:color="auto"/>
        <w:left w:val="none" w:sz="0" w:space="0" w:color="auto"/>
        <w:bottom w:val="none" w:sz="0" w:space="0" w:color="auto"/>
        <w:right w:val="none" w:sz="0" w:space="0" w:color="auto"/>
      </w:divBdr>
    </w:div>
    <w:div w:id="856887319">
      <w:bodyDiv w:val="1"/>
      <w:marLeft w:val="0"/>
      <w:marRight w:val="0"/>
      <w:marTop w:val="0"/>
      <w:marBottom w:val="0"/>
      <w:divBdr>
        <w:top w:val="none" w:sz="0" w:space="0" w:color="auto"/>
        <w:left w:val="none" w:sz="0" w:space="0" w:color="auto"/>
        <w:bottom w:val="none" w:sz="0" w:space="0" w:color="auto"/>
        <w:right w:val="none" w:sz="0" w:space="0" w:color="auto"/>
      </w:divBdr>
      <w:divsChild>
        <w:div w:id="548955036">
          <w:marLeft w:val="0"/>
          <w:marRight w:val="0"/>
          <w:marTop w:val="0"/>
          <w:marBottom w:val="0"/>
          <w:divBdr>
            <w:top w:val="single" w:sz="2" w:space="0" w:color="E5E7EB"/>
            <w:left w:val="single" w:sz="2" w:space="0" w:color="E5E7EB"/>
            <w:bottom w:val="single" w:sz="2" w:space="0" w:color="E5E7EB"/>
            <w:right w:val="single" w:sz="2" w:space="0" w:color="E5E7EB"/>
          </w:divBdr>
          <w:divsChild>
            <w:div w:id="1407453139">
              <w:marLeft w:val="0"/>
              <w:marRight w:val="0"/>
              <w:marTop w:val="0"/>
              <w:marBottom w:val="0"/>
              <w:divBdr>
                <w:top w:val="single" w:sz="2" w:space="0" w:color="auto"/>
                <w:left w:val="single" w:sz="2" w:space="0" w:color="auto"/>
                <w:bottom w:val="single" w:sz="2" w:space="0" w:color="auto"/>
                <w:right w:val="single" w:sz="2" w:space="0" w:color="auto"/>
              </w:divBdr>
              <w:divsChild>
                <w:div w:id="1154222519">
                  <w:marLeft w:val="0"/>
                  <w:marRight w:val="0"/>
                  <w:marTop w:val="0"/>
                  <w:marBottom w:val="0"/>
                  <w:divBdr>
                    <w:top w:val="single" w:sz="2" w:space="0" w:color="auto"/>
                    <w:left w:val="single" w:sz="2" w:space="0" w:color="auto"/>
                    <w:bottom w:val="single" w:sz="2" w:space="0" w:color="auto"/>
                    <w:right w:val="single" w:sz="2" w:space="0" w:color="auto"/>
                  </w:divBdr>
                  <w:divsChild>
                    <w:div w:id="1399280474">
                      <w:marLeft w:val="0"/>
                      <w:marRight w:val="0"/>
                      <w:marTop w:val="0"/>
                      <w:marBottom w:val="0"/>
                      <w:divBdr>
                        <w:top w:val="single" w:sz="2" w:space="0" w:color="E5E7EB"/>
                        <w:left w:val="single" w:sz="2" w:space="0" w:color="E5E7EB"/>
                        <w:bottom w:val="single" w:sz="2" w:space="0" w:color="E5E7EB"/>
                        <w:right w:val="single" w:sz="2" w:space="0" w:color="E5E7EB"/>
                      </w:divBdr>
                      <w:divsChild>
                        <w:div w:id="1241908994">
                          <w:marLeft w:val="0"/>
                          <w:marRight w:val="0"/>
                          <w:marTop w:val="0"/>
                          <w:marBottom w:val="0"/>
                          <w:divBdr>
                            <w:top w:val="single" w:sz="2" w:space="0" w:color="E5E7EB"/>
                            <w:left w:val="single" w:sz="2" w:space="0" w:color="E5E7EB"/>
                            <w:bottom w:val="single" w:sz="2" w:space="0" w:color="E5E7EB"/>
                            <w:right w:val="single" w:sz="2" w:space="0" w:color="E5E7EB"/>
                          </w:divBdr>
                          <w:divsChild>
                            <w:div w:id="344745753">
                              <w:marLeft w:val="0"/>
                              <w:marRight w:val="0"/>
                              <w:marTop w:val="0"/>
                              <w:marBottom w:val="0"/>
                              <w:divBdr>
                                <w:top w:val="single" w:sz="2" w:space="0" w:color="E5E7EB"/>
                                <w:left w:val="single" w:sz="2" w:space="0" w:color="E5E7EB"/>
                                <w:bottom w:val="single" w:sz="2" w:space="0" w:color="E5E7EB"/>
                                <w:right w:val="single" w:sz="2" w:space="0" w:color="E5E7EB"/>
                              </w:divBdr>
                              <w:divsChild>
                                <w:div w:id="3146048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15067180">
                  <w:marLeft w:val="0"/>
                  <w:marRight w:val="0"/>
                  <w:marTop w:val="0"/>
                  <w:marBottom w:val="0"/>
                  <w:divBdr>
                    <w:top w:val="single" w:sz="2" w:space="0" w:color="auto"/>
                    <w:left w:val="single" w:sz="2" w:space="0" w:color="auto"/>
                    <w:bottom w:val="single" w:sz="2" w:space="0" w:color="auto"/>
                    <w:right w:val="single" w:sz="2" w:space="0" w:color="auto"/>
                  </w:divBdr>
                  <w:divsChild>
                    <w:div w:id="96220540">
                      <w:marLeft w:val="0"/>
                      <w:marRight w:val="0"/>
                      <w:marTop w:val="0"/>
                      <w:marBottom w:val="0"/>
                      <w:divBdr>
                        <w:top w:val="single" w:sz="2" w:space="0" w:color="E5E7EB"/>
                        <w:left w:val="single" w:sz="2" w:space="0" w:color="E5E7EB"/>
                        <w:bottom w:val="single" w:sz="2" w:space="0" w:color="E5E7EB"/>
                        <w:right w:val="single" w:sz="2" w:space="0" w:color="E5E7EB"/>
                      </w:divBdr>
                      <w:divsChild>
                        <w:div w:id="434863219">
                          <w:marLeft w:val="0"/>
                          <w:marRight w:val="0"/>
                          <w:marTop w:val="0"/>
                          <w:marBottom w:val="0"/>
                          <w:divBdr>
                            <w:top w:val="single" w:sz="2" w:space="0" w:color="E5E7EB"/>
                            <w:left w:val="single" w:sz="2" w:space="0" w:color="E5E7EB"/>
                            <w:bottom w:val="single" w:sz="2" w:space="0" w:color="E5E7EB"/>
                            <w:right w:val="single" w:sz="2" w:space="0" w:color="E5E7EB"/>
                          </w:divBdr>
                          <w:divsChild>
                            <w:div w:id="1630281561">
                              <w:marLeft w:val="0"/>
                              <w:marRight w:val="0"/>
                              <w:marTop w:val="0"/>
                              <w:marBottom w:val="0"/>
                              <w:divBdr>
                                <w:top w:val="single" w:sz="2" w:space="0" w:color="E5E7EB"/>
                                <w:left w:val="single" w:sz="2" w:space="0" w:color="E5E7EB"/>
                                <w:bottom w:val="single" w:sz="2" w:space="0" w:color="E5E7EB"/>
                                <w:right w:val="single" w:sz="2" w:space="0" w:color="E5E7EB"/>
                              </w:divBdr>
                              <w:divsChild>
                                <w:div w:id="8780107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38334021">
                          <w:marLeft w:val="0"/>
                          <w:marRight w:val="0"/>
                          <w:marTop w:val="0"/>
                          <w:marBottom w:val="0"/>
                          <w:divBdr>
                            <w:top w:val="single" w:sz="2" w:space="0" w:color="E5E7EB"/>
                            <w:left w:val="single" w:sz="2" w:space="0" w:color="E5E7EB"/>
                            <w:bottom w:val="single" w:sz="2" w:space="0" w:color="E5E7EB"/>
                            <w:right w:val="single" w:sz="2" w:space="0" w:color="E5E7EB"/>
                          </w:divBdr>
                          <w:divsChild>
                            <w:div w:id="848182245">
                              <w:marLeft w:val="0"/>
                              <w:marRight w:val="0"/>
                              <w:marTop w:val="0"/>
                              <w:marBottom w:val="0"/>
                              <w:divBdr>
                                <w:top w:val="single" w:sz="2" w:space="0" w:color="E5E7EB"/>
                                <w:left w:val="single" w:sz="2" w:space="0" w:color="E5E7EB"/>
                                <w:bottom w:val="single" w:sz="2" w:space="0" w:color="E5E7EB"/>
                                <w:right w:val="single" w:sz="2" w:space="0" w:color="E5E7EB"/>
                              </w:divBdr>
                              <w:divsChild>
                                <w:div w:id="16193314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6570283">
                          <w:marLeft w:val="0"/>
                          <w:marRight w:val="0"/>
                          <w:marTop w:val="0"/>
                          <w:marBottom w:val="0"/>
                          <w:divBdr>
                            <w:top w:val="single" w:sz="2" w:space="0" w:color="E5E7EB"/>
                            <w:left w:val="single" w:sz="2" w:space="0" w:color="E5E7EB"/>
                            <w:bottom w:val="single" w:sz="2" w:space="0" w:color="E5E7EB"/>
                            <w:right w:val="single" w:sz="2" w:space="0" w:color="E5E7EB"/>
                          </w:divBdr>
                          <w:divsChild>
                            <w:div w:id="1185173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71726486">
      <w:bodyDiv w:val="1"/>
      <w:marLeft w:val="0"/>
      <w:marRight w:val="0"/>
      <w:marTop w:val="0"/>
      <w:marBottom w:val="0"/>
      <w:divBdr>
        <w:top w:val="none" w:sz="0" w:space="0" w:color="auto"/>
        <w:left w:val="none" w:sz="0" w:space="0" w:color="auto"/>
        <w:bottom w:val="none" w:sz="0" w:space="0" w:color="auto"/>
        <w:right w:val="none" w:sz="0" w:space="0" w:color="auto"/>
      </w:divBdr>
    </w:div>
    <w:div w:id="877618799">
      <w:bodyDiv w:val="1"/>
      <w:marLeft w:val="0"/>
      <w:marRight w:val="0"/>
      <w:marTop w:val="0"/>
      <w:marBottom w:val="0"/>
      <w:divBdr>
        <w:top w:val="none" w:sz="0" w:space="0" w:color="auto"/>
        <w:left w:val="none" w:sz="0" w:space="0" w:color="auto"/>
        <w:bottom w:val="none" w:sz="0" w:space="0" w:color="auto"/>
        <w:right w:val="none" w:sz="0" w:space="0" w:color="auto"/>
      </w:divBdr>
    </w:div>
    <w:div w:id="902912978">
      <w:bodyDiv w:val="1"/>
      <w:marLeft w:val="0"/>
      <w:marRight w:val="0"/>
      <w:marTop w:val="0"/>
      <w:marBottom w:val="0"/>
      <w:divBdr>
        <w:top w:val="none" w:sz="0" w:space="0" w:color="auto"/>
        <w:left w:val="none" w:sz="0" w:space="0" w:color="auto"/>
        <w:bottom w:val="none" w:sz="0" w:space="0" w:color="auto"/>
        <w:right w:val="none" w:sz="0" w:space="0" w:color="auto"/>
      </w:divBdr>
    </w:div>
    <w:div w:id="905140181">
      <w:bodyDiv w:val="1"/>
      <w:marLeft w:val="0"/>
      <w:marRight w:val="0"/>
      <w:marTop w:val="0"/>
      <w:marBottom w:val="0"/>
      <w:divBdr>
        <w:top w:val="none" w:sz="0" w:space="0" w:color="auto"/>
        <w:left w:val="none" w:sz="0" w:space="0" w:color="auto"/>
        <w:bottom w:val="none" w:sz="0" w:space="0" w:color="auto"/>
        <w:right w:val="none" w:sz="0" w:space="0" w:color="auto"/>
      </w:divBdr>
    </w:div>
    <w:div w:id="920915068">
      <w:bodyDiv w:val="1"/>
      <w:marLeft w:val="0"/>
      <w:marRight w:val="0"/>
      <w:marTop w:val="0"/>
      <w:marBottom w:val="0"/>
      <w:divBdr>
        <w:top w:val="none" w:sz="0" w:space="0" w:color="auto"/>
        <w:left w:val="none" w:sz="0" w:space="0" w:color="auto"/>
        <w:bottom w:val="none" w:sz="0" w:space="0" w:color="auto"/>
        <w:right w:val="none" w:sz="0" w:space="0" w:color="auto"/>
      </w:divBdr>
    </w:div>
    <w:div w:id="921648668">
      <w:bodyDiv w:val="1"/>
      <w:marLeft w:val="0"/>
      <w:marRight w:val="0"/>
      <w:marTop w:val="0"/>
      <w:marBottom w:val="0"/>
      <w:divBdr>
        <w:top w:val="none" w:sz="0" w:space="0" w:color="auto"/>
        <w:left w:val="none" w:sz="0" w:space="0" w:color="auto"/>
        <w:bottom w:val="none" w:sz="0" w:space="0" w:color="auto"/>
        <w:right w:val="none" w:sz="0" w:space="0" w:color="auto"/>
      </w:divBdr>
    </w:div>
    <w:div w:id="927424717">
      <w:bodyDiv w:val="1"/>
      <w:marLeft w:val="0"/>
      <w:marRight w:val="0"/>
      <w:marTop w:val="0"/>
      <w:marBottom w:val="0"/>
      <w:divBdr>
        <w:top w:val="none" w:sz="0" w:space="0" w:color="auto"/>
        <w:left w:val="none" w:sz="0" w:space="0" w:color="auto"/>
        <w:bottom w:val="none" w:sz="0" w:space="0" w:color="auto"/>
        <w:right w:val="none" w:sz="0" w:space="0" w:color="auto"/>
      </w:divBdr>
    </w:div>
    <w:div w:id="927692083">
      <w:bodyDiv w:val="1"/>
      <w:marLeft w:val="0"/>
      <w:marRight w:val="0"/>
      <w:marTop w:val="0"/>
      <w:marBottom w:val="0"/>
      <w:divBdr>
        <w:top w:val="none" w:sz="0" w:space="0" w:color="auto"/>
        <w:left w:val="none" w:sz="0" w:space="0" w:color="auto"/>
        <w:bottom w:val="none" w:sz="0" w:space="0" w:color="auto"/>
        <w:right w:val="none" w:sz="0" w:space="0" w:color="auto"/>
      </w:divBdr>
    </w:div>
    <w:div w:id="965431372">
      <w:bodyDiv w:val="1"/>
      <w:marLeft w:val="0"/>
      <w:marRight w:val="0"/>
      <w:marTop w:val="0"/>
      <w:marBottom w:val="0"/>
      <w:divBdr>
        <w:top w:val="none" w:sz="0" w:space="0" w:color="auto"/>
        <w:left w:val="none" w:sz="0" w:space="0" w:color="auto"/>
        <w:bottom w:val="none" w:sz="0" w:space="0" w:color="auto"/>
        <w:right w:val="none" w:sz="0" w:space="0" w:color="auto"/>
      </w:divBdr>
    </w:div>
    <w:div w:id="970943071">
      <w:bodyDiv w:val="1"/>
      <w:marLeft w:val="0"/>
      <w:marRight w:val="0"/>
      <w:marTop w:val="0"/>
      <w:marBottom w:val="0"/>
      <w:divBdr>
        <w:top w:val="none" w:sz="0" w:space="0" w:color="auto"/>
        <w:left w:val="none" w:sz="0" w:space="0" w:color="auto"/>
        <w:bottom w:val="none" w:sz="0" w:space="0" w:color="auto"/>
        <w:right w:val="none" w:sz="0" w:space="0" w:color="auto"/>
      </w:divBdr>
    </w:div>
    <w:div w:id="978072389">
      <w:bodyDiv w:val="1"/>
      <w:marLeft w:val="0"/>
      <w:marRight w:val="0"/>
      <w:marTop w:val="0"/>
      <w:marBottom w:val="0"/>
      <w:divBdr>
        <w:top w:val="none" w:sz="0" w:space="0" w:color="auto"/>
        <w:left w:val="none" w:sz="0" w:space="0" w:color="auto"/>
        <w:bottom w:val="none" w:sz="0" w:space="0" w:color="auto"/>
        <w:right w:val="none" w:sz="0" w:space="0" w:color="auto"/>
      </w:divBdr>
    </w:div>
    <w:div w:id="978261668">
      <w:bodyDiv w:val="1"/>
      <w:marLeft w:val="0"/>
      <w:marRight w:val="0"/>
      <w:marTop w:val="0"/>
      <w:marBottom w:val="0"/>
      <w:divBdr>
        <w:top w:val="none" w:sz="0" w:space="0" w:color="auto"/>
        <w:left w:val="none" w:sz="0" w:space="0" w:color="auto"/>
        <w:bottom w:val="none" w:sz="0" w:space="0" w:color="auto"/>
        <w:right w:val="none" w:sz="0" w:space="0" w:color="auto"/>
      </w:divBdr>
    </w:div>
    <w:div w:id="980232019">
      <w:bodyDiv w:val="1"/>
      <w:marLeft w:val="0"/>
      <w:marRight w:val="0"/>
      <w:marTop w:val="0"/>
      <w:marBottom w:val="0"/>
      <w:divBdr>
        <w:top w:val="none" w:sz="0" w:space="0" w:color="auto"/>
        <w:left w:val="none" w:sz="0" w:space="0" w:color="auto"/>
        <w:bottom w:val="none" w:sz="0" w:space="0" w:color="auto"/>
        <w:right w:val="none" w:sz="0" w:space="0" w:color="auto"/>
      </w:divBdr>
    </w:div>
    <w:div w:id="996808104">
      <w:bodyDiv w:val="1"/>
      <w:marLeft w:val="0"/>
      <w:marRight w:val="0"/>
      <w:marTop w:val="0"/>
      <w:marBottom w:val="0"/>
      <w:divBdr>
        <w:top w:val="none" w:sz="0" w:space="0" w:color="auto"/>
        <w:left w:val="none" w:sz="0" w:space="0" w:color="auto"/>
        <w:bottom w:val="none" w:sz="0" w:space="0" w:color="auto"/>
        <w:right w:val="none" w:sz="0" w:space="0" w:color="auto"/>
      </w:divBdr>
    </w:div>
    <w:div w:id="997685146">
      <w:bodyDiv w:val="1"/>
      <w:marLeft w:val="0"/>
      <w:marRight w:val="0"/>
      <w:marTop w:val="0"/>
      <w:marBottom w:val="0"/>
      <w:divBdr>
        <w:top w:val="none" w:sz="0" w:space="0" w:color="auto"/>
        <w:left w:val="none" w:sz="0" w:space="0" w:color="auto"/>
        <w:bottom w:val="none" w:sz="0" w:space="0" w:color="auto"/>
        <w:right w:val="none" w:sz="0" w:space="0" w:color="auto"/>
      </w:divBdr>
    </w:div>
    <w:div w:id="998966579">
      <w:bodyDiv w:val="1"/>
      <w:marLeft w:val="0"/>
      <w:marRight w:val="0"/>
      <w:marTop w:val="0"/>
      <w:marBottom w:val="0"/>
      <w:divBdr>
        <w:top w:val="none" w:sz="0" w:space="0" w:color="auto"/>
        <w:left w:val="none" w:sz="0" w:space="0" w:color="auto"/>
        <w:bottom w:val="none" w:sz="0" w:space="0" w:color="auto"/>
        <w:right w:val="none" w:sz="0" w:space="0" w:color="auto"/>
      </w:divBdr>
    </w:div>
    <w:div w:id="1004284737">
      <w:bodyDiv w:val="1"/>
      <w:marLeft w:val="0"/>
      <w:marRight w:val="0"/>
      <w:marTop w:val="0"/>
      <w:marBottom w:val="0"/>
      <w:divBdr>
        <w:top w:val="none" w:sz="0" w:space="0" w:color="auto"/>
        <w:left w:val="none" w:sz="0" w:space="0" w:color="auto"/>
        <w:bottom w:val="none" w:sz="0" w:space="0" w:color="auto"/>
        <w:right w:val="none" w:sz="0" w:space="0" w:color="auto"/>
      </w:divBdr>
    </w:div>
    <w:div w:id="1010328427">
      <w:bodyDiv w:val="1"/>
      <w:marLeft w:val="0"/>
      <w:marRight w:val="0"/>
      <w:marTop w:val="0"/>
      <w:marBottom w:val="0"/>
      <w:divBdr>
        <w:top w:val="none" w:sz="0" w:space="0" w:color="auto"/>
        <w:left w:val="none" w:sz="0" w:space="0" w:color="auto"/>
        <w:bottom w:val="none" w:sz="0" w:space="0" w:color="auto"/>
        <w:right w:val="none" w:sz="0" w:space="0" w:color="auto"/>
      </w:divBdr>
    </w:div>
    <w:div w:id="1010792317">
      <w:bodyDiv w:val="1"/>
      <w:marLeft w:val="0"/>
      <w:marRight w:val="0"/>
      <w:marTop w:val="0"/>
      <w:marBottom w:val="0"/>
      <w:divBdr>
        <w:top w:val="none" w:sz="0" w:space="0" w:color="auto"/>
        <w:left w:val="none" w:sz="0" w:space="0" w:color="auto"/>
        <w:bottom w:val="none" w:sz="0" w:space="0" w:color="auto"/>
        <w:right w:val="none" w:sz="0" w:space="0" w:color="auto"/>
      </w:divBdr>
      <w:divsChild>
        <w:div w:id="1713654049">
          <w:marLeft w:val="0"/>
          <w:marRight w:val="0"/>
          <w:marTop w:val="0"/>
          <w:marBottom w:val="0"/>
          <w:divBdr>
            <w:top w:val="single" w:sz="2" w:space="0" w:color="E5E7EB"/>
            <w:left w:val="single" w:sz="2" w:space="0" w:color="E5E7EB"/>
            <w:bottom w:val="single" w:sz="2" w:space="0" w:color="E5E7EB"/>
            <w:right w:val="single" w:sz="2" w:space="0" w:color="E5E7EB"/>
          </w:divBdr>
          <w:divsChild>
            <w:div w:id="2144425205">
              <w:marLeft w:val="0"/>
              <w:marRight w:val="0"/>
              <w:marTop w:val="0"/>
              <w:marBottom w:val="0"/>
              <w:divBdr>
                <w:top w:val="single" w:sz="2" w:space="0" w:color="auto"/>
                <w:left w:val="single" w:sz="2" w:space="0" w:color="auto"/>
                <w:bottom w:val="single" w:sz="2" w:space="0" w:color="auto"/>
                <w:right w:val="single" w:sz="2" w:space="0" w:color="auto"/>
              </w:divBdr>
              <w:divsChild>
                <w:div w:id="474377139">
                  <w:marLeft w:val="0"/>
                  <w:marRight w:val="0"/>
                  <w:marTop w:val="0"/>
                  <w:marBottom w:val="0"/>
                  <w:divBdr>
                    <w:top w:val="single" w:sz="2" w:space="0" w:color="auto"/>
                    <w:left w:val="single" w:sz="2" w:space="0" w:color="auto"/>
                    <w:bottom w:val="single" w:sz="2" w:space="0" w:color="auto"/>
                    <w:right w:val="single" w:sz="2" w:space="0" w:color="auto"/>
                  </w:divBdr>
                  <w:divsChild>
                    <w:div w:id="2026205526">
                      <w:marLeft w:val="0"/>
                      <w:marRight w:val="0"/>
                      <w:marTop w:val="0"/>
                      <w:marBottom w:val="0"/>
                      <w:divBdr>
                        <w:top w:val="single" w:sz="2" w:space="0" w:color="E5E7EB"/>
                        <w:left w:val="single" w:sz="2" w:space="0" w:color="E5E7EB"/>
                        <w:bottom w:val="single" w:sz="2" w:space="0" w:color="E5E7EB"/>
                        <w:right w:val="single" w:sz="2" w:space="0" w:color="E5E7EB"/>
                      </w:divBdr>
                      <w:divsChild>
                        <w:div w:id="1848055305">
                          <w:marLeft w:val="0"/>
                          <w:marRight w:val="0"/>
                          <w:marTop w:val="0"/>
                          <w:marBottom w:val="0"/>
                          <w:divBdr>
                            <w:top w:val="single" w:sz="2" w:space="0" w:color="E5E7EB"/>
                            <w:left w:val="single" w:sz="2" w:space="0" w:color="E5E7EB"/>
                            <w:bottom w:val="single" w:sz="2" w:space="0" w:color="E5E7EB"/>
                            <w:right w:val="single" w:sz="2" w:space="0" w:color="E5E7EB"/>
                          </w:divBdr>
                          <w:divsChild>
                            <w:div w:id="1321495849">
                              <w:marLeft w:val="0"/>
                              <w:marRight w:val="0"/>
                              <w:marTop w:val="0"/>
                              <w:marBottom w:val="0"/>
                              <w:divBdr>
                                <w:top w:val="single" w:sz="2" w:space="0" w:color="E5E7EB"/>
                                <w:left w:val="single" w:sz="2" w:space="0" w:color="E5E7EB"/>
                                <w:bottom w:val="single" w:sz="2" w:space="0" w:color="E5E7EB"/>
                                <w:right w:val="single" w:sz="2" w:space="0" w:color="E5E7EB"/>
                              </w:divBdr>
                              <w:divsChild>
                                <w:div w:id="7507327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49216362">
                  <w:marLeft w:val="0"/>
                  <w:marRight w:val="0"/>
                  <w:marTop w:val="0"/>
                  <w:marBottom w:val="0"/>
                  <w:divBdr>
                    <w:top w:val="single" w:sz="2" w:space="0" w:color="auto"/>
                    <w:left w:val="single" w:sz="2" w:space="0" w:color="auto"/>
                    <w:bottom w:val="single" w:sz="2" w:space="0" w:color="auto"/>
                    <w:right w:val="single" w:sz="2" w:space="0" w:color="auto"/>
                  </w:divBdr>
                  <w:divsChild>
                    <w:div w:id="1389837621">
                      <w:marLeft w:val="0"/>
                      <w:marRight w:val="0"/>
                      <w:marTop w:val="0"/>
                      <w:marBottom w:val="0"/>
                      <w:divBdr>
                        <w:top w:val="single" w:sz="2" w:space="0" w:color="E5E7EB"/>
                        <w:left w:val="single" w:sz="2" w:space="0" w:color="E5E7EB"/>
                        <w:bottom w:val="single" w:sz="2" w:space="0" w:color="E5E7EB"/>
                        <w:right w:val="single" w:sz="2" w:space="0" w:color="E5E7EB"/>
                      </w:divBdr>
                      <w:divsChild>
                        <w:div w:id="368916408">
                          <w:marLeft w:val="0"/>
                          <w:marRight w:val="0"/>
                          <w:marTop w:val="0"/>
                          <w:marBottom w:val="0"/>
                          <w:divBdr>
                            <w:top w:val="single" w:sz="2" w:space="0" w:color="E5E7EB"/>
                            <w:left w:val="single" w:sz="2" w:space="0" w:color="E5E7EB"/>
                            <w:bottom w:val="single" w:sz="2" w:space="0" w:color="E5E7EB"/>
                            <w:right w:val="single" w:sz="2" w:space="0" w:color="E5E7EB"/>
                          </w:divBdr>
                          <w:divsChild>
                            <w:div w:id="15808215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32559231">
                          <w:marLeft w:val="0"/>
                          <w:marRight w:val="0"/>
                          <w:marTop w:val="0"/>
                          <w:marBottom w:val="0"/>
                          <w:divBdr>
                            <w:top w:val="single" w:sz="2" w:space="0" w:color="E5E7EB"/>
                            <w:left w:val="single" w:sz="2" w:space="0" w:color="E5E7EB"/>
                            <w:bottom w:val="single" w:sz="2" w:space="0" w:color="E5E7EB"/>
                            <w:right w:val="single" w:sz="2" w:space="0" w:color="E5E7EB"/>
                          </w:divBdr>
                          <w:divsChild>
                            <w:div w:id="2005933029">
                              <w:marLeft w:val="0"/>
                              <w:marRight w:val="0"/>
                              <w:marTop w:val="0"/>
                              <w:marBottom w:val="0"/>
                              <w:divBdr>
                                <w:top w:val="single" w:sz="2" w:space="0" w:color="E5E7EB"/>
                                <w:left w:val="single" w:sz="2" w:space="0" w:color="E5E7EB"/>
                                <w:bottom w:val="single" w:sz="2" w:space="0" w:color="E5E7EB"/>
                                <w:right w:val="single" w:sz="2" w:space="0" w:color="E5E7EB"/>
                              </w:divBdr>
                              <w:divsChild>
                                <w:div w:id="116411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32705461">
                          <w:marLeft w:val="0"/>
                          <w:marRight w:val="0"/>
                          <w:marTop w:val="0"/>
                          <w:marBottom w:val="0"/>
                          <w:divBdr>
                            <w:top w:val="single" w:sz="2" w:space="0" w:color="E5E7EB"/>
                            <w:left w:val="single" w:sz="2" w:space="0" w:color="E5E7EB"/>
                            <w:bottom w:val="single" w:sz="2" w:space="0" w:color="E5E7EB"/>
                            <w:right w:val="single" w:sz="2" w:space="0" w:color="E5E7EB"/>
                          </w:divBdr>
                          <w:divsChild>
                            <w:div w:id="1621953419">
                              <w:marLeft w:val="0"/>
                              <w:marRight w:val="0"/>
                              <w:marTop w:val="0"/>
                              <w:marBottom w:val="0"/>
                              <w:divBdr>
                                <w:top w:val="single" w:sz="2" w:space="0" w:color="E5E7EB"/>
                                <w:left w:val="single" w:sz="2" w:space="0" w:color="E5E7EB"/>
                                <w:bottom w:val="single" w:sz="2" w:space="0" w:color="E5E7EB"/>
                                <w:right w:val="single" w:sz="2" w:space="0" w:color="E5E7EB"/>
                              </w:divBdr>
                              <w:divsChild>
                                <w:div w:id="7948342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017390543">
      <w:bodyDiv w:val="1"/>
      <w:marLeft w:val="0"/>
      <w:marRight w:val="0"/>
      <w:marTop w:val="0"/>
      <w:marBottom w:val="0"/>
      <w:divBdr>
        <w:top w:val="none" w:sz="0" w:space="0" w:color="auto"/>
        <w:left w:val="none" w:sz="0" w:space="0" w:color="auto"/>
        <w:bottom w:val="none" w:sz="0" w:space="0" w:color="auto"/>
        <w:right w:val="none" w:sz="0" w:space="0" w:color="auto"/>
      </w:divBdr>
    </w:div>
    <w:div w:id="1021466476">
      <w:bodyDiv w:val="1"/>
      <w:marLeft w:val="0"/>
      <w:marRight w:val="0"/>
      <w:marTop w:val="0"/>
      <w:marBottom w:val="0"/>
      <w:divBdr>
        <w:top w:val="none" w:sz="0" w:space="0" w:color="auto"/>
        <w:left w:val="none" w:sz="0" w:space="0" w:color="auto"/>
        <w:bottom w:val="none" w:sz="0" w:space="0" w:color="auto"/>
        <w:right w:val="none" w:sz="0" w:space="0" w:color="auto"/>
      </w:divBdr>
    </w:div>
    <w:div w:id="1031613242">
      <w:bodyDiv w:val="1"/>
      <w:marLeft w:val="0"/>
      <w:marRight w:val="0"/>
      <w:marTop w:val="0"/>
      <w:marBottom w:val="0"/>
      <w:divBdr>
        <w:top w:val="none" w:sz="0" w:space="0" w:color="auto"/>
        <w:left w:val="none" w:sz="0" w:space="0" w:color="auto"/>
        <w:bottom w:val="none" w:sz="0" w:space="0" w:color="auto"/>
        <w:right w:val="none" w:sz="0" w:space="0" w:color="auto"/>
      </w:divBdr>
    </w:div>
    <w:div w:id="1040086125">
      <w:bodyDiv w:val="1"/>
      <w:marLeft w:val="0"/>
      <w:marRight w:val="0"/>
      <w:marTop w:val="0"/>
      <w:marBottom w:val="0"/>
      <w:divBdr>
        <w:top w:val="none" w:sz="0" w:space="0" w:color="auto"/>
        <w:left w:val="none" w:sz="0" w:space="0" w:color="auto"/>
        <w:bottom w:val="none" w:sz="0" w:space="0" w:color="auto"/>
        <w:right w:val="none" w:sz="0" w:space="0" w:color="auto"/>
      </w:divBdr>
    </w:div>
    <w:div w:id="1050109188">
      <w:bodyDiv w:val="1"/>
      <w:marLeft w:val="0"/>
      <w:marRight w:val="0"/>
      <w:marTop w:val="0"/>
      <w:marBottom w:val="0"/>
      <w:divBdr>
        <w:top w:val="none" w:sz="0" w:space="0" w:color="auto"/>
        <w:left w:val="none" w:sz="0" w:space="0" w:color="auto"/>
        <w:bottom w:val="none" w:sz="0" w:space="0" w:color="auto"/>
        <w:right w:val="none" w:sz="0" w:space="0" w:color="auto"/>
      </w:divBdr>
    </w:div>
    <w:div w:id="1054503183">
      <w:bodyDiv w:val="1"/>
      <w:marLeft w:val="0"/>
      <w:marRight w:val="0"/>
      <w:marTop w:val="0"/>
      <w:marBottom w:val="0"/>
      <w:divBdr>
        <w:top w:val="none" w:sz="0" w:space="0" w:color="auto"/>
        <w:left w:val="none" w:sz="0" w:space="0" w:color="auto"/>
        <w:bottom w:val="none" w:sz="0" w:space="0" w:color="auto"/>
        <w:right w:val="none" w:sz="0" w:space="0" w:color="auto"/>
      </w:divBdr>
    </w:div>
    <w:div w:id="1067340024">
      <w:bodyDiv w:val="1"/>
      <w:marLeft w:val="0"/>
      <w:marRight w:val="0"/>
      <w:marTop w:val="0"/>
      <w:marBottom w:val="0"/>
      <w:divBdr>
        <w:top w:val="none" w:sz="0" w:space="0" w:color="auto"/>
        <w:left w:val="none" w:sz="0" w:space="0" w:color="auto"/>
        <w:bottom w:val="none" w:sz="0" w:space="0" w:color="auto"/>
        <w:right w:val="none" w:sz="0" w:space="0" w:color="auto"/>
      </w:divBdr>
      <w:divsChild>
        <w:div w:id="581180254">
          <w:marLeft w:val="0"/>
          <w:marRight w:val="0"/>
          <w:marTop w:val="0"/>
          <w:marBottom w:val="0"/>
          <w:divBdr>
            <w:top w:val="single" w:sz="2" w:space="0" w:color="auto"/>
            <w:left w:val="single" w:sz="2" w:space="0" w:color="auto"/>
            <w:bottom w:val="single" w:sz="2" w:space="0" w:color="auto"/>
            <w:right w:val="single" w:sz="2" w:space="0" w:color="auto"/>
          </w:divBdr>
        </w:div>
      </w:divsChild>
    </w:div>
    <w:div w:id="1079596686">
      <w:bodyDiv w:val="1"/>
      <w:marLeft w:val="0"/>
      <w:marRight w:val="0"/>
      <w:marTop w:val="0"/>
      <w:marBottom w:val="0"/>
      <w:divBdr>
        <w:top w:val="none" w:sz="0" w:space="0" w:color="auto"/>
        <w:left w:val="none" w:sz="0" w:space="0" w:color="auto"/>
        <w:bottom w:val="none" w:sz="0" w:space="0" w:color="auto"/>
        <w:right w:val="none" w:sz="0" w:space="0" w:color="auto"/>
      </w:divBdr>
    </w:div>
    <w:div w:id="1079906941">
      <w:bodyDiv w:val="1"/>
      <w:marLeft w:val="0"/>
      <w:marRight w:val="0"/>
      <w:marTop w:val="0"/>
      <w:marBottom w:val="0"/>
      <w:divBdr>
        <w:top w:val="none" w:sz="0" w:space="0" w:color="auto"/>
        <w:left w:val="none" w:sz="0" w:space="0" w:color="auto"/>
        <w:bottom w:val="none" w:sz="0" w:space="0" w:color="auto"/>
        <w:right w:val="none" w:sz="0" w:space="0" w:color="auto"/>
      </w:divBdr>
    </w:div>
    <w:div w:id="1088235437">
      <w:bodyDiv w:val="1"/>
      <w:marLeft w:val="0"/>
      <w:marRight w:val="0"/>
      <w:marTop w:val="0"/>
      <w:marBottom w:val="0"/>
      <w:divBdr>
        <w:top w:val="none" w:sz="0" w:space="0" w:color="auto"/>
        <w:left w:val="none" w:sz="0" w:space="0" w:color="auto"/>
        <w:bottom w:val="none" w:sz="0" w:space="0" w:color="auto"/>
        <w:right w:val="none" w:sz="0" w:space="0" w:color="auto"/>
      </w:divBdr>
    </w:div>
    <w:div w:id="1097140146">
      <w:bodyDiv w:val="1"/>
      <w:marLeft w:val="0"/>
      <w:marRight w:val="0"/>
      <w:marTop w:val="0"/>
      <w:marBottom w:val="0"/>
      <w:divBdr>
        <w:top w:val="none" w:sz="0" w:space="0" w:color="auto"/>
        <w:left w:val="none" w:sz="0" w:space="0" w:color="auto"/>
        <w:bottom w:val="none" w:sz="0" w:space="0" w:color="auto"/>
        <w:right w:val="none" w:sz="0" w:space="0" w:color="auto"/>
      </w:divBdr>
    </w:div>
    <w:div w:id="1103184402">
      <w:bodyDiv w:val="1"/>
      <w:marLeft w:val="0"/>
      <w:marRight w:val="0"/>
      <w:marTop w:val="0"/>
      <w:marBottom w:val="0"/>
      <w:divBdr>
        <w:top w:val="none" w:sz="0" w:space="0" w:color="auto"/>
        <w:left w:val="none" w:sz="0" w:space="0" w:color="auto"/>
        <w:bottom w:val="none" w:sz="0" w:space="0" w:color="auto"/>
        <w:right w:val="none" w:sz="0" w:space="0" w:color="auto"/>
      </w:divBdr>
    </w:div>
    <w:div w:id="1111390171">
      <w:bodyDiv w:val="1"/>
      <w:marLeft w:val="0"/>
      <w:marRight w:val="0"/>
      <w:marTop w:val="0"/>
      <w:marBottom w:val="0"/>
      <w:divBdr>
        <w:top w:val="none" w:sz="0" w:space="0" w:color="auto"/>
        <w:left w:val="none" w:sz="0" w:space="0" w:color="auto"/>
        <w:bottom w:val="none" w:sz="0" w:space="0" w:color="auto"/>
        <w:right w:val="none" w:sz="0" w:space="0" w:color="auto"/>
      </w:divBdr>
    </w:div>
    <w:div w:id="1113279581">
      <w:bodyDiv w:val="1"/>
      <w:marLeft w:val="0"/>
      <w:marRight w:val="0"/>
      <w:marTop w:val="0"/>
      <w:marBottom w:val="0"/>
      <w:divBdr>
        <w:top w:val="none" w:sz="0" w:space="0" w:color="auto"/>
        <w:left w:val="none" w:sz="0" w:space="0" w:color="auto"/>
        <w:bottom w:val="none" w:sz="0" w:space="0" w:color="auto"/>
        <w:right w:val="none" w:sz="0" w:space="0" w:color="auto"/>
      </w:divBdr>
    </w:div>
    <w:div w:id="1117716847">
      <w:bodyDiv w:val="1"/>
      <w:marLeft w:val="0"/>
      <w:marRight w:val="0"/>
      <w:marTop w:val="0"/>
      <w:marBottom w:val="0"/>
      <w:divBdr>
        <w:top w:val="none" w:sz="0" w:space="0" w:color="auto"/>
        <w:left w:val="none" w:sz="0" w:space="0" w:color="auto"/>
        <w:bottom w:val="none" w:sz="0" w:space="0" w:color="auto"/>
        <w:right w:val="none" w:sz="0" w:space="0" w:color="auto"/>
      </w:divBdr>
    </w:div>
    <w:div w:id="1124544030">
      <w:bodyDiv w:val="1"/>
      <w:marLeft w:val="0"/>
      <w:marRight w:val="0"/>
      <w:marTop w:val="0"/>
      <w:marBottom w:val="0"/>
      <w:divBdr>
        <w:top w:val="none" w:sz="0" w:space="0" w:color="auto"/>
        <w:left w:val="none" w:sz="0" w:space="0" w:color="auto"/>
        <w:bottom w:val="none" w:sz="0" w:space="0" w:color="auto"/>
        <w:right w:val="none" w:sz="0" w:space="0" w:color="auto"/>
      </w:divBdr>
    </w:div>
    <w:div w:id="1130828923">
      <w:bodyDiv w:val="1"/>
      <w:marLeft w:val="0"/>
      <w:marRight w:val="0"/>
      <w:marTop w:val="0"/>
      <w:marBottom w:val="0"/>
      <w:divBdr>
        <w:top w:val="none" w:sz="0" w:space="0" w:color="auto"/>
        <w:left w:val="none" w:sz="0" w:space="0" w:color="auto"/>
        <w:bottom w:val="none" w:sz="0" w:space="0" w:color="auto"/>
        <w:right w:val="none" w:sz="0" w:space="0" w:color="auto"/>
      </w:divBdr>
    </w:div>
    <w:div w:id="1143161449">
      <w:bodyDiv w:val="1"/>
      <w:marLeft w:val="0"/>
      <w:marRight w:val="0"/>
      <w:marTop w:val="0"/>
      <w:marBottom w:val="0"/>
      <w:divBdr>
        <w:top w:val="none" w:sz="0" w:space="0" w:color="auto"/>
        <w:left w:val="none" w:sz="0" w:space="0" w:color="auto"/>
        <w:bottom w:val="none" w:sz="0" w:space="0" w:color="auto"/>
        <w:right w:val="none" w:sz="0" w:space="0" w:color="auto"/>
      </w:divBdr>
    </w:div>
    <w:div w:id="1147626161">
      <w:bodyDiv w:val="1"/>
      <w:marLeft w:val="0"/>
      <w:marRight w:val="0"/>
      <w:marTop w:val="0"/>
      <w:marBottom w:val="0"/>
      <w:divBdr>
        <w:top w:val="none" w:sz="0" w:space="0" w:color="auto"/>
        <w:left w:val="none" w:sz="0" w:space="0" w:color="auto"/>
        <w:bottom w:val="none" w:sz="0" w:space="0" w:color="auto"/>
        <w:right w:val="none" w:sz="0" w:space="0" w:color="auto"/>
      </w:divBdr>
    </w:div>
    <w:div w:id="1150363749">
      <w:bodyDiv w:val="1"/>
      <w:marLeft w:val="0"/>
      <w:marRight w:val="0"/>
      <w:marTop w:val="0"/>
      <w:marBottom w:val="0"/>
      <w:divBdr>
        <w:top w:val="none" w:sz="0" w:space="0" w:color="auto"/>
        <w:left w:val="none" w:sz="0" w:space="0" w:color="auto"/>
        <w:bottom w:val="none" w:sz="0" w:space="0" w:color="auto"/>
        <w:right w:val="none" w:sz="0" w:space="0" w:color="auto"/>
      </w:divBdr>
    </w:div>
    <w:div w:id="1150944864">
      <w:bodyDiv w:val="1"/>
      <w:marLeft w:val="0"/>
      <w:marRight w:val="0"/>
      <w:marTop w:val="0"/>
      <w:marBottom w:val="0"/>
      <w:divBdr>
        <w:top w:val="none" w:sz="0" w:space="0" w:color="auto"/>
        <w:left w:val="none" w:sz="0" w:space="0" w:color="auto"/>
        <w:bottom w:val="none" w:sz="0" w:space="0" w:color="auto"/>
        <w:right w:val="none" w:sz="0" w:space="0" w:color="auto"/>
      </w:divBdr>
    </w:div>
    <w:div w:id="1157187078">
      <w:bodyDiv w:val="1"/>
      <w:marLeft w:val="0"/>
      <w:marRight w:val="0"/>
      <w:marTop w:val="0"/>
      <w:marBottom w:val="0"/>
      <w:divBdr>
        <w:top w:val="none" w:sz="0" w:space="0" w:color="auto"/>
        <w:left w:val="none" w:sz="0" w:space="0" w:color="auto"/>
        <w:bottom w:val="none" w:sz="0" w:space="0" w:color="auto"/>
        <w:right w:val="none" w:sz="0" w:space="0" w:color="auto"/>
      </w:divBdr>
      <w:divsChild>
        <w:div w:id="1550414732">
          <w:marLeft w:val="0"/>
          <w:marRight w:val="0"/>
          <w:marTop w:val="0"/>
          <w:marBottom w:val="0"/>
          <w:divBdr>
            <w:top w:val="single" w:sz="2" w:space="0" w:color="auto"/>
            <w:left w:val="single" w:sz="2" w:space="0" w:color="auto"/>
            <w:bottom w:val="single" w:sz="2" w:space="0" w:color="auto"/>
            <w:right w:val="single" w:sz="2" w:space="0" w:color="auto"/>
          </w:divBdr>
        </w:div>
      </w:divsChild>
    </w:div>
    <w:div w:id="1160582293">
      <w:bodyDiv w:val="1"/>
      <w:marLeft w:val="0"/>
      <w:marRight w:val="0"/>
      <w:marTop w:val="0"/>
      <w:marBottom w:val="0"/>
      <w:divBdr>
        <w:top w:val="none" w:sz="0" w:space="0" w:color="auto"/>
        <w:left w:val="none" w:sz="0" w:space="0" w:color="auto"/>
        <w:bottom w:val="none" w:sz="0" w:space="0" w:color="auto"/>
        <w:right w:val="none" w:sz="0" w:space="0" w:color="auto"/>
      </w:divBdr>
      <w:divsChild>
        <w:div w:id="800029606">
          <w:marLeft w:val="0"/>
          <w:marRight w:val="0"/>
          <w:marTop w:val="100"/>
          <w:marBottom w:val="100"/>
          <w:divBdr>
            <w:top w:val="none" w:sz="0" w:space="0" w:color="auto"/>
            <w:left w:val="none" w:sz="0" w:space="0" w:color="auto"/>
            <w:bottom w:val="none" w:sz="0" w:space="0" w:color="auto"/>
            <w:right w:val="none" w:sz="0" w:space="0" w:color="auto"/>
          </w:divBdr>
          <w:divsChild>
            <w:div w:id="157694244">
              <w:marLeft w:val="0"/>
              <w:marRight w:val="0"/>
              <w:marTop w:val="0"/>
              <w:marBottom w:val="0"/>
              <w:divBdr>
                <w:top w:val="none" w:sz="0" w:space="0" w:color="auto"/>
                <w:left w:val="none" w:sz="0" w:space="0" w:color="auto"/>
                <w:bottom w:val="none" w:sz="0" w:space="0" w:color="auto"/>
                <w:right w:val="none" w:sz="0" w:space="0" w:color="auto"/>
              </w:divBdr>
              <w:divsChild>
                <w:div w:id="149429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70057">
          <w:marLeft w:val="0"/>
          <w:marRight w:val="0"/>
          <w:marTop w:val="0"/>
          <w:marBottom w:val="300"/>
          <w:divBdr>
            <w:top w:val="none" w:sz="0" w:space="0" w:color="auto"/>
            <w:left w:val="none" w:sz="0" w:space="0" w:color="auto"/>
            <w:bottom w:val="none" w:sz="0" w:space="0" w:color="auto"/>
            <w:right w:val="none" w:sz="0" w:space="0" w:color="auto"/>
          </w:divBdr>
          <w:divsChild>
            <w:div w:id="119284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126457">
      <w:bodyDiv w:val="1"/>
      <w:marLeft w:val="0"/>
      <w:marRight w:val="0"/>
      <w:marTop w:val="0"/>
      <w:marBottom w:val="0"/>
      <w:divBdr>
        <w:top w:val="none" w:sz="0" w:space="0" w:color="auto"/>
        <w:left w:val="none" w:sz="0" w:space="0" w:color="auto"/>
        <w:bottom w:val="none" w:sz="0" w:space="0" w:color="auto"/>
        <w:right w:val="none" w:sz="0" w:space="0" w:color="auto"/>
      </w:divBdr>
    </w:div>
    <w:div w:id="1167983188">
      <w:bodyDiv w:val="1"/>
      <w:marLeft w:val="0"/>
      <w:marRight w:val="0"/>
      <w:marTop w:val="0"/>
      <w:marBottom w:val="0"/>
      <w:divBdr>
        <w:top w:val="none" w:sz="0" w:space="0" w:color="auto"/>
        <w:left w:val="none" w:sz="0" w:space="0" w:color="auto"/>
        <w:bottom w:val="none" w:sz="0" w:space="0" w:color="auto"/>
        <w:right w:val="none" w:sz="0" w:space="0" w:color="auto"/>
      </w:divBdr>
    </w:div>
    <w:div w:id="1171599459">
      <w:bodyDiv w:val="1"/>
      <w:marLeft w:val="0"/>
      <w:marRight w:val="0"/>
      <w:marTop w:val="0"/>
      <w:marBottom w:val="0"/>
      <w:divBdr>
        <w:top w:val="none" w:sz="0" w:space="0" w:color="auto"/>
        <w:left w:val="none" w:sz="0" w:space="0" w:color="auto"/>
        <w:bottom w:val="none" w:sz="0" w:space="0" w:color="auto"/>
        <w:right w:val="none" w:sz="0" w:space="0" w:color="auto"/>
      </w:divBdr>
    </w:div>
    <w:div w:id="1179084008">
      <w:bodyDiv w:val="1"/>
      <w:marLeft w:val="0"/>
      <w:marRight w:val="0"/>
      <w:marTop w:val="0"/>
      <w:marBottom w:val="0"/>
      <w:divBdr>
        <w:top w:val="none" w:sz="0" w:space="0" w:color="auto"/>
        <w:left w:val="none" w:sz="0" w:space="0" w:color="auto"/>
        <w:bottom w:val="none" w:sz="0" w:space="0" w:color="auto"/>
        <w:right w:val="none" w:sz="0" w:space="0" w:color="auto"/>
      </w:divBdr>
    </w:div>
    <w:div w:id="1186677993">
      <w:bodyDiv w:val="1"/>
      <w:marLeft w:val="0"/>
      <w:marRight w:val="0"/>
      <w:marTop w:val="0"/>
      <w:marBottom w:val="0"/>
      <w:divBdr>
        <w:top w:val="none" w:sz="0" w:space="0" w:color="auto"/>
        <w:left w:val="none" w:sz="0" w:space="0" w:color="auto"/>
        <w:bottom w:val="none" w:sz="0" w:space="0" w:color="auto"/>
        <w:right w:val="none" w:sz="0" w:space="0" w:color="auto"/>
      </w:divBdr>
    </w:div>
    <w:div w:id="1203206388">
      <w:bodyDiv w:val="1"/>
      <w:marLeft w:val="0"/>
      <w:marRight w:val="0"/>
      <w:marTop w:val="0"/>
      <w:marBottom w:val="0"/>
      <w:divBdr>
        <w:top w:val="none" w:sz="0" w:space="0" w:color="auto"/>
        <w:left w:val="none" w:sz="0" w:space="0" w:color="auto"/>
        <w:bottom w:val="none" w:sz="0" w:space="0" w:color="auto"/>
        <w:right w:val="none" w:sz="0" w:space="0" w:color="auto"/>
      </w:divBdr>
    </w:div>
    <w:div w:id="1204250749">
      <w:bodyDiv w:val="1"/>
      <w:marLeft w:val="0"/>
      <w:marRight w:val="0"/>
      <w:marTop w:val="0"/>
      <w:marBottom w:val="0"/>
      <w:divBdr>
        <w:top w:val="none" w:sz="0" w:space="0" w:color="auto"/>
        <w:left w:val="none" w:sz="0" w:space="0" w:color="auto"/>
        <w:bottom w:val="none" w:sz="0" w:space="0" w:color="auto"/>
        <w:right w:val="none" w:sz="0" w:space="0" w:color="auto"/>
      </w:divBdr>
    </w:div>
    <w:div w:id="1209758613">
      <w:bodyDiv w:val="1"/>
      <w:marLeft w:val="0"/>
      <w:marRight w:val="0"/>
      <w:marTop w:val="0"/>
      <w:marBottom w:val="0"/>
      <w:divBdr>
        <w:top w:val="none" w:sz="0" w:space="0" w:color="auto"/>
        <w:left w:val="none" w:sz="0" w:space="0" w:color="auto"/>
        <w:bottom w:val="none" w:sz="0" w:space="0" w:color="auto"/>
        <w:right w:val="none" w:sz="0" w:space="0" w:color="auto"/>
      </w:divBdr>
    </w:div>
    <w:div w:id="1222861972">
      <w:bodyDiv w:val="1"/>
      <w:marLeft w:val="0"/>
      <w:marRight w:val="0"/>
      <w:marTop w:val="0"/>
      <w:marBottom w:val="0"/>
      <w:divBdr>
        <w:top w:val="none" w:sz="0" w:space="0" w:color="auto"/>
        <w:left w:val="none" w:sz="0" w:space="0" w:color="auto"/>
        <w:bottom w:val="none" w:sz="0" w:space="0" w:color="auto"/>
        <w:right w:val="none" w:sz="0" w:space="0" w:color="auto"/>
      </w:divBdr>
    </w:div>
    <w:div w:id="1225793857">
      <w:bodyDiv w:val="1"/>
      <w:marLeft w:val="0"/>
      <w:marRight w:val="0"/>
      <w:marTop w:val="0"/>
      <w:marBottom w:val="0"/>
      <w:divBdr>
        <w:top w:val="none" w:sz="0" w:space="0" w:color="auto"/>
        <w:left w:val="none" w:sz="0" w:space="0" w:color="auto"/>
        <w:bottom w:val="none" w:sz="0" w:space="0" w:color="auto"/>
        <w:right w:val="none" w:sz="0" w:space="0" w:color="auto"/>
      </w:divBdr>
    </w:div>
    <w:div w:id="1233808019">
      <w:bodyDiv w:val="1"/>
      <w:marLeft w:val="0"/>
      <w:marRight w:val="0"/>
      <w:marTop w:val="0"/>
      <w:marBottom w:val="0"/>
      <w:divBdr>
        <w:top w:val="none" w:sz="0" w:space="0" w:color="auto"/>
        <w:left w:val="none" w:sz="0" w:space="0" w:color="auto"/>
        <w:bottom w:val="none" w:sz="0" w:space="0" w:color="auto"/>
        <w:right w:val="none" w:sz="0" w:space="0" w:color="auto"/>
      </w:divBdr>
    </w:div>
    <w:div w:id="1236013747">
      <w:bodyDiv w:val="1"/>
      <w:marLeft w:val="0"/>
      <w:marRight w:val="0"/>
      <w:marTop w:val="0"/>
      <w:marBottom w:val="0"/>
      <w:divBdr>
        <w:top w:val="none" w:sz="0" w:space="0" w:color="auto"/>
        <w:left w:val="none" w:sz="0" w:space="0" w:color="auto"/>
        <w:bottom w:val="none" w:sz="0" w:space="0" w:color="auto"/>
        <w:right w:val="none" w:sz="0" w:space="0" w:color="auto"/>
      </w:divBdr>
    </w:div>
    <w:div w:id="1236403220">
      <w:bodyDiv w:val="1"/>
      <w:marLeft w:val="0"/>
      <w:marRight w:val="0"/>
      <w:marTop w:val="0"/>
      <w:marBottom w:val="0"/>
      <w:divBdr>
        <w:top w:val="none" w:sz="0" w:space="0" w:color="auto"/>
        <w:left w:val="none" w:sz="0" w:space="0" w:color="auto"/>
        <w:bottom w:val="none" w:sz="0" w:space="0" w:color="auto"/>
        <w:right w:val="none" w:sz="0" w:space="0" w:color="auto"/>
      </w:divBdr>
    </w:div>
    <w:div w:id="1250231113">
      <w:bodyDiv w:val="1"/>
      <w:marLeft w:val="0"/>
      <w:marRight w:val="0"/>
      <w:marTop w:val="0"/>
      <w:marBottom w:val="0"/>
      <w:divBdr>
        <w:top w:val="none" w:sz="0" w:space="0" w:color="auto"/>
        <w:left w:val="none" w:sz="0" w:space="0" w:color="auto"/>
        <w:bottom w:val="none" w:sz="0" w:space="0" w:color="auto"/>
        <w:right w:val="none" w:sz="0" w:space="0" w:color="auto"/>
      </w:divBdr>
    </w:div>
    <w:div w:id="1250849383">
      <w:bodyDiv w:val="1"/>
      <w:marLeft w:val="0"/>
      <w:marRight w:val="0"/>
      <w:marTop w:val="0"/>
      <w:marBottom w:val="0"/>
      <w:divBdr>
        <w:top w:val="none" w:sz="0" w:space="0" w:color="auto"/>
        <w:left w:val="none" w:sz="0" w:space="0" w:color="auto"/>
        <w:bottom w:val="none" w:sz="0" w:space="0" w:color="auto"/>
        <w:right w:val="none" w:sz="0" w:space="0" w:color="auto"/>
      </w:divBdr>
    </w:div>
    <w:div w:id="1260482268">
      <w:bodyDiv w:val="1"/>
      <w:marLeft w:val="0"/>
      <w:marRight w:val="0"/>
      <w:marTop w:val="0"/>
      <w:marBottom w:val="0"/>
      <w:divBdr>
        <w:top w:val="none" w:sz="0" w:space="0" w:color="auto"/>
        <w:left w:val="none" w:sz="0" w:space="0" w:color="auto"/>
        <w:bottom w:val="none" w:sz="0" w:space="0" w:color="auto"/>
        <w:right w:val="none" w:sz="0" w:space="0" w:color="auto"/>
      </w:divBdr>
    </w:div>
    <w:div w:id="1266888164">
      <w:bodyDiv w:val="1"/>
      <w:marLeft w:val="0"/>
      <w:marRight w:val="0"/>
      <w:marTop w:val="0"/>
      <w:marBottom w:val="0"/>
      <w:divBdr>
        <w:top w:val="none" w:sz="0" w:space="0" w:color="auto"/>
        <w:left w:val="none" w:sz="0" w:space="0" w:color="auto"/>
        <w:bottom w:val="none" w:sz="0" w:space="0" w:color="auto"/>
        <w:right w:val="none" w:sz="0" w:space="0" w:color="auto"/>
      </w:divBdr>
    </w:div>
    <w:div w:id="1269967181">
      <w:bodyDiv w:val="1"/>
      <w:marLeft w:val="0"/>
      <w:marRight w:val="0"/>
      <w:marTop w:val="0"/>
      <w:marBottom w:val="0"/>
      <w:divBdr>
        <w:top w:val="none" w:sz="0" w:space="0" w:color="auto"/>
        <w:left w:val="none" w:sz="0" w:space="0" w:color="auto"/>
        <w:bottom w:val="none" w:sz="0" w:space="0" w:color="auto"/>
        <w:right w:val="none" w:sz="0" w:space="0" w:color="auto"/>
      </w:divBdr>
    </w:div>
    <w:div w:id="1280797777">
      <w:bodyDiv w:val="1"/>
      <w:marLeft w:val="0"/>
      <w:marRight w:val="0"/>
      <w:marTop w:val="0"/>
      <w:marBottom w:val="0"/>
      <w:divBdr>
        <w:top w:val="none" w:sz="0" w:space="0" w:color="auto"/>
        <w:left w:val="none" w:sz="0" w:space="0" w:color="auto"/>
        <w:bottom w:val="none" w:sz="0" w:space="0" w:color="auto"/>
        <w:right w:val="none" w:sz="0" w:space="0" w:color="auto"/>
      </w:divBdr>
    </w:div>
    <w:div w:id="1295985661">
      <w:bodyDiv w:val="1"/>
      <w:marLeft w:val="0"/>
      <w:marRight w:val="0"/>
      <w:marTop w:val="0"/>
      <w:marBottom w:val="0"/>
      <w:divBdr>
        <w:top w:val="none" w:sz="0" w:space="0" w:color="auto"/>
        <w:left w:val="none" w:sz="0" w:space="0" w:color="auto"/>
        <w:bottom w:val="none" w:sz="0" w:space="0" w:color="auto"/>
        <w:right w:val="none" w:sz="0" w:space="0" w:color="auto"/>
      </w:divBdr>
    </w:div>
    <w:div w:id="1297757459">
      <w:bodyDiv w:val="1"/>
      <w:marLeft w:val="0"/>
      <w:marRight w:val="0"/>
      <w:marTop w:val="0"/>
      <w:marBottom w:val="0"/>
      <w:divBdr>
        <w:top w:val="none" w:sz="0" w:space="0" w:color="auto"/>
        <w:left w:val="none" w:sz="0" w:space="0" w:color="auto"/>
        <w:bottom w:val="none" w:sz="0" w:space="0" w:color="auto"/>
        <w:right w:val="none" w:sz="0" w:space="0" w:color="auto"/>
      </w:divBdr>
    </w:div>
    <w:div w:id="1303004518">
      <w:bodyDiv w:val="1"/>
      <w:marLeft w:val="0"/>
      <w:marRight w:val="0"/>
      <w:marTop w:val="0"/>
      <w:marBottom w:val="0"/>
      <w:divBdr>
        <w:top w:val="none" w:sz="0" w:space="0" w:color="auto"/>
        <w:left w:val="none" w:sz="0" w:space="0" w:color="auto"/>
        <w:bottom w:val="none" w:sz="0" w:space="0" w:color="auto"/>
        <w:right w:val="none" w:sz="0" w:space="0" w:color="auto"/>
      </w:divBdr>
    </w:div>
    <w:div w:id="1303385980">
      <w:bodyDiv w:val="1"/>
      <w:marLeft w:val="0"/>
      <w:marRight w:val="0"/>
      <w:marTop w:val="0"/>
      <w:marBottom w:val="0"/>
      <w:divBdr>
        <w:top w:val="none" w:sz="0" w:space="0" w:color="auto"/>
        <w:left w:val="none" w:sz="0" w:space="0" w:color="auto"/>
        <w:bottom w:val="none" w:sz="0" w:space="0" w:color="auto"/>
        <w:right w:val="none" w:sz="0" w:space="0" w:color="auto"/>
      </w:divBdr>
    </w:div>
    <w:div w:id="1309245383">
      <w:bodyDiv w:val="1"/>
      <w:marLeft w:val="0"/>
      <w:marRight w:val="0"/>
      <w:marTop w:val="0"/>
      <w:marBottom w:val="0"/>
      <w:divBdr>
        <w:top w:val="none" w:sz="0" w:space="0" w:color="auto"/>
        <w:left w:val="none" w:sz="0" w:space="0" w:color="auto"/>
        <w:bottom w:val="none" w:sz="0" w:space="0" w:color="auto"/>
        <w:right w:val="none" w:sz="0" w:space="0" w:color="auto"/>
      </w:divBdr>
    </w:div>
    <w:div w:id="1311596244">
      <w:bodyDiv w:val="1"/>
      <w:marLeft w:val="0"/>
      <w:marRight w:val="0"/>
      <w:marTop w:val="0"/>
      <w:marBottom w:val="0"/>
      <w:divBdr>
        <w:top w:val="none" w:sz="0" w:space="0" w:color="auto"/>
        <w:left w:val="none" w:sz="0" w:space="0" w:color="auto"/>
        <w:bottom w:val="none" w:sz="0" w:space="0" w:color="auto"/>
        <w:right w:val="none" w:sz="0" w:space="0" w:color="auto"/>
      </w:divBdr>
    </w:div>
    <w:div w:id="1315599382">
      <w:bodyDiv w:val="1"/>
      <w:marLeft w:val="0"/>
      <w:marRight w:val="0"/>
      <w:marTop w:val="0"/>
      <w:marBottom w:val="0"/>
      <w:divBdr>
        <w:top w:val="none" w:sz="0" w:space="0" w:color="auto"/>
        <w:left w:val="none" w:sz="0" w:space="0" w:color="auto"/>
        <w:bottom w:val="none" w:sz="0" w:space="0" w:color="auto"/>
        <w:right w:val="none" w:sz="0" w:space="0" w:color="auto"/>
      </w:divBdr>
    </w:div>
    <w:div w:id="1323662530">
      <w:bodyDiv w:val="1"/>
      <w:marLeft w:val="0"/>
      <w:marRight w:val="0"/>
      <w:marTop w:val="0"/>
      <w:marBottom w:val="0"/>
      <w:divBdr>
        <w:top w:val="none" w:sz="0" w:space="0" w:color="auto"/>
        <w:left w:val="none" w:sz="0" w:space="0" w:color="auto"/>
        <w:bottom w:val="none" w:sz="0" w:space="0" w:color="auto"/>
        <w:right w:val="none" w:sz="0" w:space="0" w:color="auto"/>
      </w:divBdr>
    </w:div>
    <w:div w:id="1324118743">
      <w:bodyDiv w:val="1"/>
      <w:marLeft w:val="0"/>
      <w:marRight w:val="0"/>
      <w:marTop w:val="0"/>
      <w:marBottom w:val="0"/>
      <w:divBdr>
        <w:top w:val="none" w:sz="0" w:space="0" w:color="auto"/>
        <w:left w:val="none" w:sz="0" w:space="0" w:color="auto"/>
        <w:bottom w:val="none" w:sz="0" w:space="0" w:color="auto"/>
        <w:right w:val="none" w:sz="0" w:space="0" w:color="auto"/>
      </w:divBdr>
    </w:div>
    <w:div w:id="1324158358">
      <w:bodyDiv w:val="1"/>
      <w:marLeft w:val="0"/>
      <w:marRight w:val="0"/>
      <w:marTop w:val="0"/>
      <w:marBottom w:val="0"/>
      <w:divBdr>
        <w:top w:val="none" w:sz="0" w:space="0" w:color="auto"/>
        <w:left w:val="none" w:sz="0" w:space="0" w:color="auto"/>
        <w:bottom w:val="none" w:sz="0" w:space="0" w:color="auto"/>
        <w:right w:val="none" w:sz="0" w:space="0" w:color="auto"/>
      </w:divBdr>
    </w:div>
    <w:div w:id="1327512599">
      <w:bodyDiv w:val="1"/>
      <w:marLeft w:val="0"/>
      <w:marRight w:val="0"/>
      <w:marTop w:val="0"/>
      <w:marBottom w:val="0"/>
      <w:divBdr>
        <w:top w:val="none" w:sz="0" w:space="0" w:color="auto"/>
        <w:left w:val="none" w:sz="0" w:space="0" w:color="auto"/>
        <w:bottom w:val="none" w:sz="0" w:space="0" w:color="auto"/>
        <w:right w:val="none" w:sz="0" w:space="0" w:color="auto"/>
      </w:divBdr>
    </w:div>
    <w:div w:id="1332568491">
      <w:bodyDiv w:val="1"/>
      <w:marLeft w:val="0"/>
      <w:marRight w:val="0"/>
      <w:marTop w:val="0"/>
      <w:marBottom w:val="0"/>
      <w:divBdr>
        <w:top w:val="none" w:sz="0" w:space="0" w:color="auto"/>
        <w:left w:val="none" w:sz="0" w:space="0" w:color="auto"/>
        <w:bottom w:val="none" w:sz="0" w:space="0" w:color="auto"/>
        <w:right w:val="none" w:sz="0" w:space="0" w:color="auto"/>
      </w:divBdr>
    </w:div>
    <w:div w:id="1334380851">
      <w:bodyDiv w:val="1"/>
      <w:marLeft w:val="0"/>
      <w:marRight w:val="0"/>
      <w:marTop w:val="0"/>
      <w:marBottom w:val="0"/>
      <w:divBdr>
        <w:top w:val="none" w:sz="0" w:space="0" w:color="auto"/>
        <w:left w:val="none" w:sz="0" w:space="0" w:color="auto"/>
        <w:bottom w:val="none" w:sz="0" w:space="0" w:color="auto"/>
        <w:right w:val="none" w:sz="0" w:space="0" w:color="auto"/>
      </w:divBdr>
    </w:div>
    <w:div w:id="1336030076">
      <w:bodyDiv w:val="1"/>
      <w:marLeft w:val="0"/>
      <w:marRight w:val="0"/>
      <w:marTop w:val="0"/>
      <w:marBottom w:val="0"/>
      <w:divBdr>
        <w:top w:val="none" w:sz="0" w:space="0" w:color="auto"/>
        <w:left w:val="none" w:sz="0" w:space="0" w:color="auto"/>
        <w:bottom w:val="none" w:sz="0" w:space="0" w:color="auto"/>
        <w:right w:val="none" w:sz="0" w:space="0" w:color="auto"/>
      </w:divBdr>
    </w:div>
    <w:div w:id="1339574506">
      <w:bodyDiv w:val="1"/>
      <w:marLeft w:val="0"/>
      <w:marRight w:val="0"/>
      <w:marTop w:val="0"/>
      <w:marBottom w:val="0"/>
      <w:divBdr>
        <w:top w:val="none" w:sz="0" w:space="0" w:color="auto"/>
        <w:left w:val="none" w:sz="0" w:space="0" w:color="auto"/>
        <w:bottom w:val="none" w:sz="0" w:space="0" w:color="auto"/>
        <w:right w:val="none" w:sz="0" w:space="0" w:color="auto"/>
      </w:divBdr>
    </w:div>
    <w:div w:id="1340742183">
      <w:bodyDiv w:val="1"/>
      <w:marLeft w:val="0"/>
      <w:marRight w:val="0"/>
      <w:marTop w:val="0"/>
      <w:marBottom w:val="0"/>
      <w:divBdr>
        <w:top w:val="none" w:sz="0" w:space="0" w:color="auto"/>
        <w:left w:val="none" w:sz="0" w:space="0" w:color="auto"/>
        <w:bottom w:val="none" w:sz="0" w:space="0" w:color="auto"/>
        <w:right w:val="none" w:sz="0" w:space="0" w:color="auto"/>
      </w:divBdr>
    </w:div>
    <w:div w:id="1346444941">
      <w:bodyDiv w:val="1"/>
      <w:marLeft w:val="0"/>
      <w:marRight w:val="0"/>
      <w:marTop w:val="0"/>
      <w:marBottom w:val="0"/>
      <w:divBdr>
        <w:top w:val="none" w:sz="0" w:space="0" w:color="auto"/>
        <w:left w:val="none" w:sz="0" w:space="0" w:color="auto"/>
        <w:bottom w:val="none" w:sz="0" w:space="0" w:color="auto"/>
        <w:right w:val="none" w:sz="0" w:space="0" w:color="auto"/>
      </w:divBdr>
    </w:div>
    <w:div w:id="1348556410">
      <w:bodyDiv w:val="1"/>
      <w:marLeft w:val="0"/>
      <w:marRight w:val="0"/>
      <w:marTop w:val="0"/>
      <w:marBottom w:val="0"/>
      <w:divBdr>
        <w:top w:val="none" w:sz="0" w:space="0" w:color="auto"/>
        <w:left w:val="none" w:sz="0" w:space="0" w:color="auto"/>
        <w:bottom w:val="none" w:sz="0" w:space="0" w:color="auto"/>
        <w:right w:val="none" w:sz="0" w:space="0" w:color="auto"/>
      </w:divBdr>
    </w:div>
    <w:div w:id="1355375583">
      <w:bodyDiv w:val="1"/>
      <w:marLeft w:val="0"/>
      <w:marRight w:val="0"/>
      <w:marTop w:val="0"/>
      <w:marBottom w:val="0"/>
      <w:divBdr>
        <w:top w:val="none" w:sz="0" w:space="0" w:color="auto"/>
        <w:left w:val="none" w:sz="0" w:space="0" w:color="auto"/>
        <w:bottom w:val="none" w:sz="0" w:space="0" w:color="auto"/>
        <w:right w:val="none" w:sz="0" w:space="0" w:color="auto"/>
      </w:divBdr>
    </w:div>
    <w:div w:id="1371226633">
      <w:bodyDiv w:val="1"/>
      <w:marLeft w:val="0"/>
      <w:marRight w:val="0"/>
      <w:marTop w:val="0"/>
      <w:marBottom w:val="0"/>
      <w:divBdr>
        <w:top w:val="none" w:sz="0" w:space="0" w:color="auto"/>
        <w:left w:val="none" w:sz="0" w:space="0" w:color="auto"/>
        <w:bottom w:val="none" w:sz="0" w:space="0" w:color="auto"/>
        <w:right w:val="none" w:sz="0" w:space="0" w:color="auto"/>
      </w:divBdr>
    </w:div>
    <w:div w:id="1378164674">
      <w:bodyDiv w:val="1"/>
      <w:marLeft w:val="0"/>
      <w:marRight w:val="0"/>
      <w:marTop w:val="0"/>
      <w:marBottom w:val="0"/>
      <w:divBdr>
        <w:top w:val="none" w:sz="0" w:space="0" w:color="auto"/>
        <w:left w:val="none" w:sz="0" w:space="0" w:color="auto"/>
        <w:bottom w:val="none" w:sz="0" w:space="0" w:color="auto"/>
        <w:right w:val="none" w:sz="0" w:space="0" w:color="auto"/>
      </w:divBdr>
    </w:div>
    <w:div w:id="1380088131">
      <w:bodyDiv w:val="1"/>
      <w:marLeft w:val="0"/>
      <w:marRight w:val="0"/>
      <w:marTop w:val="0"/>
      <w:marBottom w:val="0"/>
      <w:divBdr>
        <w:top w:val="none" w:sz="0" w:space="0" w:color="auto"/>
        <w:left w:val="none" w:sz="0" w:space="0" w:color="auto"/>
        <w:bottom w:val="none" w:sz="0" w:space="0" w:color="auto"/>
        <w:right w:val="none" w:sz="0" w:space="0" w:color="auto"/>
      </w:divBdr>
    </w:div>
    <w:div w:id="1388450971">
      <w:bodyDiv w:val="1"/>
      <w:marLeft w:val="0"/>
      <w:marRight w:val="0"/>
      <w:marTop w:val="0"/>
      <w:marBottom w:val="0"/>
      <w:divBdr>
        <w:top w:val="none" w:sz="0" w:space="0" w:color="auto"/>
        <w:left w:val="none" w:sz="0" w:space="0" w:color="auto"/>
        <w:bottom w:val="none" w:sz="0" w:space="0" w:color="auto"/>
        <w:right w:val="none" w:sz="0" w:space="0" w:color="auto"/>
      </w:divBdr>
    </w:div>
    <w:div w:id="1388794405">
      <w:bodyDiv w:val="1"/>
      <w:marLeft w:val="0"/>
      <w:marRight w:val="0"/>
      <w:marTop w:val="0"/>
      <w:marBottom w:val="0"/>
      <w:divBdr>
        <w:top w:val="none" w:sz="0" w:space="0" w:color="auto"/>
        <w:left w:val="none" w:sz="0" w:space="0" w:color="auto"/>
        <w:bottom w:val="none" w:sz="0" w:space="0" w:color="auto"/>
        <w:right w:val="none" w:sz="0" w:space="0" w:color="auto"/>
      </w:divBdr>
    </w:div>
    <w:div w:id="1389037017">
      <w:bodyDiv w:val="1"/>
      <w:marLeft w:val="0"/>
      <w:marRight w:val="0"/>
      <w:marTop w:val="0"/>
      <w:marBottom w:val="0"/>
      <w:divBdr>
        <w:top w:val="none" w:sz="0" w:space="0" w:color="auto"/>
        <w:left w:val="none" w:sz="0" w:space="0" w:color="auto"/>
        <w:bottom w:val="none" w:sz="0" w:space="0" w:color="auto"/>
        <w:right w:val="none" w:sz="0" w:space="0" w:color="auto"/>
      </w:divBdr>
    </w:div>
    <w:div w:id="1393692235">
      <w:bodyDiv w:val="1"/>
      <w:marLeft w:val="0"/>
      <w:marRight w:val="0"/>
      <w:marTop w:val="0"/>
      <w:marBottom w:val="0"/>
      <w:divBdr>
        <w:top w:val="none" w:sz="0" w:space="0" w:color="auto"/>
        <w:left w:val="none" w:sz="0" w:space="0" w:color="auto"/>
        <w:bottom w:val="none" w:sz="0" w:space="0" w:color="auto"/>
        <w:right w:val="none" w:sz="0" w:space="0" w:color="auto"/>
      </w:divBdr>
    </w:div>
    <w:div w:id="1399086301">
      <w:bodyDiv w:val="1"/>
      <w:marLeft w:val="0"/>
      <w:marRight w:val="0"/>
      <w:marTop w:val="0"/>
      <w:marBottom w:val="0"/>
      <w:divBdr>
        <w:top w:val="none" w:sz="0" w:space="0" w:color="auto"/>
        <w:left w:val="none" w:sz="0" w:space="0" w:color="auto"/>
        <w:bottom w:val="none" w:sz="0" w:space="0" w:color="auto"/>
        <w:right w:val="none" w:sz="0" w:space="0" w:color="auto"/>
      </w:divBdr>
    </w:div>
    <w:div w:id="1400057538">
      <w:bodyDiv w:val="1"/>
      <w:marLeft w:val="0"/>
      <w:marRight w:val="0"/>
      <w:marTop w:val="0"/>
      <w:marBottom w:val="0"/>
      <w:divBdr>
        <w:top w:val="none" w:sz="0" w:space="0" w:color="auto"/>
        <w:left w:val="none" w:sz="0" w:space="0" w:color="auto"/>
        <w:bottom w:val="none" w:sz="0" w:space="0" w:color="auto"/>
        <w:right w:val="none" w:sz="0" w:space="0" w:color="auto"/>
      </w:divBdr>
    </w:div>
    <w:div w:id="1401294521">
      <w:bodyDiv w:val="1"/>
      <w:marLeft w:val="0"/>
      <w:marRight w:val="0"/>
      <w:marTop w:val="0"/>
      <w:marBottom w:val="0"/>
      <w:divBdr>
        <w:top w:val="none" w:sz="0" w:space="0" w:color="auto"/>
        <w:left w:val="none" w:sz="0" w:space="0" w:color="auto"/>
        <w:bottom w:val="none" w:sz="0" w:space="0" w:color="auto"/>
        <w:right w:val="none" w:sz="0" w:space="0" w:color="auto"/>
      </w:divBdr>
    </w:div>
    <w:div w:id="1425878388">
      <w:bodyDiv w:val="1"/>
      <w:marLeft w:val="0"/>
      <w:marRight w:val="0"/>
      <w:marTop w:val="0"/>
      <w:marBottom w:val="0"/>
      <w:divBdr>
        <w:top w:val="none" w:sz="0" w:space="0" w:color="auto"/>
        <w:left w:val="none" w:sz="0" w:space="0" w:color="auto"/>
        <w:bottom w:val="none" w:sz="0" w:space="0" w:color="auto"/>
        <w:right w:val="none" w:sz="0" w:space="0" w:color="auto"/>
      </w:divBdr>
      <w:divsChild>
        <w:div w:id="272055080">
          <w:marLeft w:val="0"/>
          <w:marRight w:val="0"/>
          <w:marTop w:val="0"/>
          <w:marBottom w:val="180"/>
          <w:divBdr>
            <w:top w:val="none" w:sz="0" w:space="0" w:color="auto"/>
            <w:left w:val="none" w:sz="0" w:space="0" w:color="auto"/>
            <w:bottom w:val="none" w:sz="0" w:space="0" w:color="auto"/>
            <w:right w:val="none" w:sz="0" w:space="0" w:color="auto"/>
          </w:divBdr>
          <w:divsChild>
            <w:div w:id="119904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736678">
      <w:bodyDiv w:val="1"/>
      <w:marLeft w:val="0"/>
      <w:marRight w:val="0"/>
      <w:marTop w:val="0"/>
      <w:marBottom w:val="0"/>
      <w:divBdr>
        <w:top w:val="none" w:sz="0" w:space="0" w:color="auto"/>
        <w:left w:val="none" w:sz="0" w:space="0" w:color="auto"/>
        <w:bottom w:val="none" w:sz="0" w:space="0" w:color="auto"/>
        <w:right w:val="none" w:sz="0" w:space="0" w:color="auto"/>
      </w:divBdr>
      <w:divsChild>
        <w:div w:id="32075978">
          <w:marLeft w:val="0"/>
          <w:marRight w:val="0"/>
          <w:marTop w:val="0"/>
          <w:marBottom w:val="0"/>
          <w:divBdr>
            <w:top w:val="single" w:sz="2" w:space="0" w:color="E5E7EB"/>
            <w:left w:val="single" w:sz="2" w:space="0" w:color="E5E7EB"/>
            <w:bottom w:val="single" w:sz="2" w:space="0" w:color="E5E7EB"/>
            <w:right w:val="single" w:sz="2" w:space="0" w:color="E5E7EB"/>
          </w:divBdr>
          <w:divsChild>
            <w:div w:id="1778404454">
              <w:marLeft w:val="0"/>
              <w:marRight w:val="0"/>
              <w:marTop w:val="0"/>
              <w:marBottom w:val="0"/>
              <w:divBdr>
                <w:top w:val="single" w:sz="2" w:space="0" w:color="auto"/>
                <w:left w:val="single" w:sz="2" w:space="0" w:color="auto"/>
                <w:bottom w:val="single" w:sz="2" w:space="0" w:color="auto"/>
                <w:right w:val="single" w:sz="2" w:space="0" w:color="auto"/>
              </w:divBdr>
              <w:divsChild>
                <w:div w:id="701636712">
                  <w:marLeft w:val="0"/>
                  <w:marRight w:val="0"/>
                  <w:marTop w:val="0"/>
                  <w:marBottom w:val="0"/>
                  <w:divBdr>
                    <w:top w:val="single" w:sz="2" w:space="0" w:color="auto"/>
                    <w:left w:val="single" w:sz="2" w:space="0" w:color="auto"/>
                    <w:bottom w:val="single" w:sz="2" w:space="0" w:color="auto"/>
                    <w:right w:val="single" w:sz="2" w:space="0" w:color="auto"/>
                  </w:divBdr>
                  <w:divsChild>
                    <w:div w:id="1695307943">
                      <w:marLeft w:val="0"/>
                      <w:marRight w:val="0"/>
                      <w:marTop w:val="0"/>
                      <w:marBottom w:val="0"/>
                      <w:divBdr>
                        <w:top w:val="single" w:sz="2" w:space="0" w:color="E5E7EB"/>
                        <w:left w:val="single" w:sz="2" w:space="0" w:color="E5E7EB"/>
                        <w:bottom w:val="single" w:sz="2" w:space="0" w:color="E5E7EB"/>
                        <w:right w:val="single" w:sz="2" w:space="0" w:color="E5E7EB"/>
                      </w:divBdr>
                      <w:divsChild>
                        <w:div w:id="1855341999">
                          <w:marLeft w:val="0"/>
                          <w:marRight w:val="0"/>
                          <w:marTop w:val="0"/>
                          <w:marBottom w:val="0"/>
                          <w:divBdr>
                            <w:top w:val="single" w:sz="2" w:space="0" w:color="E5E7EB"/>
                            <w:left w:val="single" w:sz="2" w:space="0" w:color="E5E7EB"/>
                            <w:bottom w:val="single" w:sz="2" w:space="0" w:color="E5E7EB"/>
                            <w:right w:val="single" w:sz="2" w:space="0" w:color="E5E7EB"/>
                          </w:divBdr>
                          <w:divsChild>
                            <w:div w:id="493495832">
                              <w:marLeft w:val="0"/>
                              <w:marRight w:val="0"/>
                              <w:marTop w:val="0"/>
                              <w:marBottom w:val="0"/>
                              <w:divBdr>
                                <w:top w:val="single" w:sz="2" w:space="0" w:color="E5E7EB"/>
                                <w:left w:val="single" w:sz="2" w:space="0" w:color="E5E7EB"/>
                                <w:bottom w:val="single" w:sz="2" w:space="0" w:color="E5E7EB"/>
                                <w:right w:val="single" w:sz="2" w:space="0" w:color="E5E7EB"/>
                              </w:divBdr>
                              <w:divsChild>
                                <w:div w:id="8045897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16443012">
                  <w:marLeft w:val="0"/>
                  <w:marRight w:val="0"/>
                  <w:marTop w:val="0"/>
                  <w:marBottom w:val="0"/>
                  <w:divBdr>
                    <w:top w:val="single" w:sz="2" w:space="0" w:color="auto"/>
                    <w:left w:val="single" w:sz="2" w:space="0" w:color="auto"/>
                    <w:bottom w:val="single" w:sz="2" w:space="0" w:color="auto"/>
                    <w:right w:val="single" w:sz="2" w:space="0" w:color="auto"/>
                  </w:divBdr>
                  <w:divsChild>
                    <w:div w:id="1538395457">
                      <w:marLeft w:val="0"/>
                      <w:marRight w:val="0"/>
                      <w:marTop w:val="0"/>
                      <w:marBottom w:val="0"/>
                      <w:divBdr>
                        <w:top w:val="single" w:sz="2" w:space="0" w:color="E5E7EB"/>
                        <w:left w:val="single" w:sz="2" w:space="0" w:color="E5E7EB"/>
                        <w:bottom w:val="single" w:sz="2" w:space="0" w:color="E5E7EB"/>
                        <w:right w:val="single" w:sz="2" w:space="0" w:color="E5E7EB"/>
                      </w:divBdr>
                      <w:divsChild>
                        <w:div w:id="552234107">
                          <w:marLeft w:val="0"/>
                          <w:marRight w:val="0"/>
                          <w:marTop w:val="0"/>
                          <w:marBottom w:val="0"/>
                          <w:divBdr>
                            <w:top w:val="single" w:sz="2" w:space="0" w:color="E5E7EB"/>
                            <w:left w:val="single" w:sz="2" w:space="0" w:color="E5E7EB"/>
                            <w:bottom w:val="single" w:sz="2" w:space="0" w:color="E5E7EB"/>
                            <w:right w:val="single" w:sz="2" w:space="0" w:color="E5E7EB"/>
                          </w:divBdr>
                          <w:divsChild>
                            <w:div w:id="341081117">
                              <w:marLeft w:val="0"/>
                              <w:marRight w:val="0"/>
                              <w:marTop w:val="0"/>
                              <w:marBottom w:val="0"/>
                              <w:divBdr>
                                <w:top w:val="single" w:sz="2" w:space="0" w:color="E5E7EB"/>
                                <w:left w:val="single" w:sz="2" w:space="0" w:color="E5E7EB"/>
                                <w:bottom w:val="single" w:sz="2" w:space="0" w:color="E5E7EB"/>
                                <w:right w:val="single" w:sz="2" w:space="0" w:color="E5E7EB"/>
                              </w:divBdr>
                              <w:divsChild>
                                <w:div w:id="1538354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20403567">
                          <w:marLeft w:val="0"/>
                          <w:marRight w:val="0"/>
                          <w:marTop w:val="0"/>
                          <w:marBottom w:val="0"/>
                          <w:divBdr>
                            <w:top w:val="single" w:sz="2" w:space="0" w:color="E5E7EB"/>
                            <w:left w:val="single" w:sz="2" w:space="0" w:color="E5E7EB"/>
                            <w:bottom w:val="single" w:sz="2" w:space="0" w:color="E5E7EB"/>
                            <w:right w:val="single" w:sz="2" w:space="0" w:color="E5E7EB"/>
                          </w:divBdr>
                          <w:divsChild>
                            <w:div w:id="1795833605">
                              <w:marLeft w:val="0"/>
                              <w:marRight w:val="0"/>
                              <w:marTop w:val="0"/>
                              <w:marBottom w:val="0"/>
                              <w:divBdr>
                                <w:top w:val="single" w:sz="2" w:space="0" w:color="E5E7EB"/>
                                <w:left w:val="single" w:sz="2" w:space="0" w:color="E5E7EB"/>
                                <w:bottom w:val="single" w:sz="2" w:space="0" w:color="E5E7EB"/>
                                <w:right w:val="single" w:sz="2" w:space="0" w:color="E5E7EB"/>
                              </w:divBdr>
                              <w:divsChild>
                                <w:div w:id="12264063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09472192">
                          <w:marLeft w:val="0"/>
                          <w:marRight w:val="0"/>
                          <w:marTop w:val="0"/>
                          <w:marBottom w:val="0"/>
                          <w:divBdr>
                            <w:top w:val="single" w:sz="2" w:space="0" w:color="E5E7EB"/>
                            <w:left w:val="single" w:sz="2" w:space="0" w:color="E5E7EB"/>
                            <w:bottom w:val="single" w:sz="2" w:space="0" w:color="E5E7EB"/>
                            <w:right w:val="single" w:sz="2" w:space="0" w:color="E5E7EB"/>
                          </w:divBdr>
                          <w:divsChild>
                            <w:div w:id="8783220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32555211">
      <w:bodyDiv w:val="1"/>
      <w:marLeft w:val="0"/>
      <w:marRight w:val="0"/>
      <w:marTop w:val="0"/>
      <w:marBottom w:val="0"/>
      <w:divBdr>
        <w:top w:val="none" w:sz="0" w:space="0" w:color="auto"/>
        <w:left w:val="none" w:sz="0" w:space="0" w:color="auto"/>
        <w:bottom w:val="none" w:sz="0" w:space="0" w:color="auto"/>
        <w:right w:val="none" w:sz="0" w:space="0" w:color="auto"/>
      </w:divBdr>
    </w:div>
    <w:div w:id="1447041426">
      <w:bodyDiv w:val="1"/>
      <w:marLeft w:val="0"/>
      <w:marRight w:val="0"/>
      <w:marTop w:val="0"/>
      <w:marBottom w:val="0"/>
      <w:divBdr>
        <w:top w:val="none" w:sz="0" w:space="0" w:color="auto"/>
        <w:left w:val="none" w:sz="0" w:space="0" w:color="auto"/>
        <w:bottom w:val="none" w:sz="0" w:space="0" w:color="auto"/>
        <w:right w:val="none" w:sz="0" w:space="0" w:color="auto"/>
      </w:divBdr>
    </w:div>
    <w:div w:id="1448502996">
      <w:bodyDiv w:val="1"/>
      <w:marLeft w:val="0"/>
      <w:marRight w:val="0"/>
      <w:marTop w:val="0"/>
      <w:marBottom w:val="0"/>
      <w:divBdr>
        <w:top w:val="none" w:sz="0" w:space="0" w:color="auto"/>
        <w:left w:val="none" w:sz="0" w:space="0" w:color="auto"/>
        <w:bottom w:val="none" w:sz="0" w:space="0" w:color="auto"/>
        <w:right w:val="none" w:sz="0" w:space="0" w:color="auto"/>
      </w:divBdr>
    </w:div>
    <w:div w:id="1450779437">
      <w:bodyDiv w:val="1"/>
      <w:marLeft w:val="0"/>
      <w:marRight w:val="0"/>
      <w:marTop w:val="0"/>
      <w:marBottom w:val="0"/>
      <w:divBdr>
        <w:top w:val="none" w:sz="0" w:space="0" w:color="auto"/>
        <w:left w:val="none" w:sz="0" w:space="0" w:color="auto"/>
        <w:bottom w:val="none" w:sz="0" w:space="0" w:color="auto"/>
        <w:right w:val="none" w:sz="0" w:space="0" w:color="auto"/>
      </w:divBdr>
    </w:div>
    <w:div w:id="1454443547">
      <w:bodyDiv w:val="1"/>
      <w:marLeft w:val="0"/>
      <w:marRight w:val="0"/>
      <w:marTop w:val="0"/>
      <w:marBottom w:val="0"/>
      <w:divBdr>
        <w:top w:val="none" w:sz="0" w:space="0" w:color="auto"/>
        <w:left w:val="none" w:sz="0" w:space="0" w:color="auto"/>
        <w:bottom w:val="none" w:sz="0" w:space="0" w:color="auto"/>
        <w:right w:val="none" w:sz="0" w:space="0" w:color="auto"/>
      </w:divBdr>
    </w:div>
    <w:div w:id="1454712867">
      <w:bodyDiv w:val="1"/>
      <w:marLeft w:val="0"/>
      <w:marRight w:val="0"/>
      <w:marTop w:val="0"/>
      <w:marBottom w:val="0"/>
      <w:divBdr>
        <w:top w:val="none" w:sz="0" w:space="0" w:color="auto"/>
        <w:left w:val="none" w:sz="0" w:space="0" w:color="auto"/>
        <w:bottom w:val="none" w:sz="0" w:space="0" w:color="auto"/>
        <w:right w:val="none" w:sz="0" w:space="0" w:color="auto"/>
      </w:divBdr>
    </w:div>
    <w:div w:id="1455173978">
      <w:bodyDiv w:val="1"/>
      <w:marLeft w:val="0"/>
      <w:marRight w:val="0"/>
      <w:marTop w:val="0"/>
      <w:marBottom w:val="0"/>
      <w:divBdr>
        <w:top w:val="none" w:sz="0" w:space="0" w:color="auto"/>
        <w:left w:val="none" w:sz="0" w:space="0" w:color="auto"/>
        <w:bottom w:val="none" w:sz="0" w:space="0" w:color="auto"/>
        <w:right w:val="none" w:sz="0" w:space="0" w:color="auto"/>
      </w:divBdr>
    </w:div>
    <w:div w:id="1457676710">
      <w:bodyDiv w:val="1"/>
      <w:marLeft w:val="0"/>
      <w:marRight w:val="0"/>
      <w:marTop w:val="0"/>
      <w:marBottom w:val="0"/>
      <w:divBdr>
        <w:top w:val="none" w:sz="0" w:space="0" w:color="auto"/>
        <w:left w:val="none" w:sz="0" w:space="0" w:color="auto"/>
        <w:bottom w:val="none" w:sz="0" w:space="0" w:color="auto"/>
        <w:right w:val="none" w:sz="0" w:space="0" w:color="auto"/>
      </w:divBdr>
    </w:div>
    <w:div w:id="1461221702">
      <w:bodyDiv w:val="1"/>
      <w:marLeft w:val="0"/>
      <w:marRight w:val="0"/>
      <w:marTop w:val="0"/>
      <w:marBottom w:val="0"/>
      <w:divBdr>
        <w:top w:val="none" w:sz="0" w:space="0" w:color="auto"/>
        <w:left w:val="none" w:sz="0" w:space="0" w:color="auto"/>
        <w:bottom w:val="none" w:sz="0" w:space="0" w:color="auto"/>
        <w:right w:val="none" w:sz="0" w:space="0" w:color="auto"/>
      </w:divBdr>
    </w:div>
    <w:div w:id="1465543764">
      <w:bodyDiv w:val="1"/>
      <w:marLeft w:val="0"/>
      <w:marRight w:val="0"/>
      <w:marTop w:val="0"/>
      <w:marBottom w:val="0"/>
      <w:divBdr>
        <w:top w:val="none" w:sz="0" w:space="0" w:color="auto"/>
        <w:left w:val="none" w:sz="0" w:space="0" w:color="auto"/>
        <w:bottom w:val="none" w:sz="0" w:space="0" w:color="auto"/>
        <w:right w:val="none" w:sz="0" w:space="0" w:color="auto"/>
      </w:divBdr>
    </w:div>
    <w:div w:id="1468427481">
      <w:bodyDiv w:val="1"/>
      <w:marLeft w:val="0"/>
      <w:marRight w:val="0"/>
      <w:marTop w:val="0"/>
      <w:marBottom w:val="0"/>
      <w:divBdr>
        <w:top w:val="none" w:sz="0" w:space="0" w:color="auto"/>
        <w:left w:val="none" w:sz="0" w:space="0" w:color="auto"/>
        <w:bottom w:val="none" w:sz="0" w:space="0" w:color="auto"/>
        <w:right w:val="none" w:sz="0" w:space="0" w:color="auto"/>
      </w:divBdr>
    </w:div>
    <w:div w:id="1472594095">
      <w:bodyDiv w:val="1"/>
      <w:marLeft w:val="0"/>
      <w:marRight w:val="0"/>
      <w:marTop w:val="0"/>
      <w:marBottom w:val="0"/>
      <w:divBdr>
        <w:top w:val="none" w:sz="0" w:space="0" w:color="auto"/>
        <w:left w:val="none" w:sz="0" w:space="0" w:color="auto"/>
        <w:bottom w:val="none" w:sz="0" w:space="0" w:color="auto"/>
        <w:right w:val="none" w:sz="0" w:space="0" w:color="auto"/>
      </w:divBdr>
    </w:div>
    <w:div w:id="1475102427">
      <w:bodyDiv w:val="1"/>
      <w:marLeft w:val="0"/>
      <w:marRight w:val="0"/>
      <w:marTop w:val="0"/>
      <w:marBottom w:val="0"/>
      <w:divBdr>
        <w:top w:val="none" w:sz="0" w:space="0" w:color="auto"/>
        <w:left w:val="none" w:sz="0" w:space="0" w:color="auto"/>
        <w:bottom w:val="none" w:sz="0" w:space="0" w:color="auto"/>
        <w:right w:val="none" w:sz="0" w:space="0" w:color="auto"/>
      </w:divBdr>
    </w:div>
    <w:div w:id="1484542201">
      <w:bodyDiv w:val="1"/>
      <w:marLeft w:val="0"/>
      <w:marRight w:val="0"/>
      <w:marTop w:val="0"/>
      <w:marBottom w:val="0"/>
      <w:divBdr>
        <w:top w:val="none" w:sz="0" w:space="0" w:color="auto"/>
        <w:left w:val="none" w:sz="0" w:space="0" w:color="auto"/>
        <w:bottom w:val="none" w:sz="0" w:space="0" w:color="auto"/>
        <w:right w:val="none" w:sz="0" w:space="0" w:color="auto"/>
      </w:divBdr>
    </w:div>
    <w:div w:id="1497067214">
      <w:bodyDiv w:val="1"/>
      <w:marLeft w:val="0"/>
      <w:marRight w:val="0"/>
      <w:marTop w:val="0"/>
      <w:marBottom w:val="0"/>
      <w:divBdr>
        <w:top w:val="none" w:sz="0" w:space="0" w:color="auto"/>
        <w:left w:val="none" w:sz="0" w:space="0" w:color="auto"/>
        <w:bottom w:val="none" w:sz="0" w:space="0" w:color="auto"/>
        <w:right w:val="none" w:sz="0" w:space="0" w:color="auto"/>
      </w:divBdr>
    </w:div>
    <w:div w:id="1499341479">
      <w:bodyDiv w:val="1"/>
      <w:marLeft w:val="0"/>
      <w:marRight w:val="0"/>
      <w:marTop w:val="0"/>
      <w:marBottom w:val="0"/>
      <w:divBdr>
        <w:top w:val="none" w:sz="0" w:space="0" w:color="auto"/>
        <w:left w:val="none" w:sz="0" w:space="0" w:color="auto"/>
        <w:bottom w:val="none" w:sz="0" w:space="0" w:color="auto"/>
        <w:right w:val="none" w:sz="0" w:space="0" w:color="auto"/>
      </w:divBdr>
    </w:div>
    <w:div w:id="1505167314">
      <w:bodyDiv w:val="1"/>
      <w:marLeft w:val="0"/>
      <w:marRight w:val="0"/>
      <w:marTop w:val="0"/>
      <w:marBottom w:val="0"/>
      <w:divBdr>
        <w:top w:val="none" w:sz="0" w:space="0" w:color="auto"/>
        <w:left w:val="none" w:sz="0" w:space="0" w:color="auto"/>
        <w:bottom w:val="none" w:sz="0" w:space="0" w:color="auto"/>
        <w:right w:val="none" w:sz="0" w:space="0" w:color="auto"/>
      </w:divBdr>
    </w:div>
    <w:div w:id="1511601665">
      <w:bodyDiv w:val="1"/>
      <w:marLeft w:val="0"/>
      <w:marRight w:val="0"/>
      <w:marTop w:val="0"/>
      <w:marBottom w:val="0"/>
      <w:divBdr>
        <w:top w:val="none" w:sz="0" w:space="0" w:color="auto"/>
        <w:left w:val="none" w:sz="0" w:space="0" w:color="auto"/>
        <w:bottom w:val="none" w:sz="0" w:space="0" w:color="auto"/>
        <w:right w:val="none" w:sz="0" w:space="0" w:color="auto"/>
      </w:divBdr>
    </w:div>
    <w:div w:id="1527404271">
      <w:bodyDiv w:val="1"/>
      <w:marLeft w:val="0"/>
      <w:marRight w:val="0"/>
      <w:marTop w:val="0"/>
      <w:marBottom w:val="0"/>
      <w:divBdr>
        <w:top w:val="none" w:sz="0" w:space="0" w:color="auto"/>
        <w:left w:val="none" w:sz="0" w:space="0" w:color="auto"/>
        <w:bottom w:val="none" w:sz="0" w:space="0" w:color="auto"/>
        <w:right w:val="none" w:sz="0" w:space="0" w:color="auto"/>
      </w:divBdr>
    </w:div>
    <w:div w:id="1535192435">
      <w:bodyDiv w:val="1"/>
      <w:marLeft w:val="0"/>
      <w:marRight w:val="0"/>
      <w:marTop w:val="0"/>
      <w:marBottom w:val="0"/>
      <w:divBdr>
        <w:top w:val="none" w:sz="0" w:space="0" w:color="auto"/>
        <w:left w:val="none" w:sz="0" w:space="0" w:color="auto"/>
        <w:bottom w:val="none" w:sz="0" w:space="0" w:color="auto"/>
        <w:right w:val="none" w:sz="0" w:space="0" w:color="auto"/>
      </w:divBdr>
    </w:div>
    <w:div w:id="1542353609">
      <w:bodyDiv w:val="1"/>
      <w:marLeft w:val="0"/>
      <w:marRight w:val="0"/>
      <w:marTop w:val="0"/>
      <w:marBottom w:val="0"/>
      <w:divBdr>
        <w:top w:val="none" w:sz="0" w:space="0" w:color="auto"/>
        <w:left w:val="none" w:sz="0" w:space="0" w:color="auto"/>
        <w:bottom w:val="none" w:sz="0" w:space="0" w:color="auto"/>
        <w:right w:val="none" w:sz="0" w:space="0" w:color="auto"/>
      </w:divBdr>
    </w:div>
    <w:div w:id="1552184277">
      <w:bodyDiv w:val="1"/>
      <w:marLeft w:val="0"/>
      <w:marRight w:val="0"/>
      <w:marTop w:val="0"/>
      <w:marBottom w:val="0"/>
      <w:divBdr>
        <w:top w:val="none" w:sz="0" w:space="0" w:color="auto"/>
        <w:left w:val="none" w:sz="0" w:space="0" w:color="auto"/>
        <w:bottom w:val="none" w:sz="0" w:space="0" w:color="auto"/>
        <w:right w:val="none" w:sz="0" w:space="0" w:color="auto"/>
      </w:divBdr>
    </w:div>
    <w:div w:id="1554317482">
      <w:bodyDiv w:val="1"/>
      <w:marLeft w:val="0"/>
      <w:marRight w:val="0"/>
      <w:marTop w:val="0"/>
      <w:marBottom w:val="0"/>
      <w:divBdr>
        <w:top w:val="none" w:sz="0" w:space="0" w:color="auto"/>
        <w:left w:val="none" w:sz="0" w:space="0" w:color="auto"/>
        <w:bottom w:val="none" w:sz="0" w:space="0" w:color="auto"/>
        <w:right w:val="none" w:sz="0" w:space="0" w:color="auto"/>
      </w:divBdr>
    </w:div>
    <w:div w:id="1563131105">
      <w:bodyDiv w:val="1"/>
      <w:marLeft w:val="0"/>
      <w:marRight w:val="0"/>
      <w:marTop w:val="0"/>
      <w:marBottom w:val="0"/>
      <w:divBdr>
        <w:top w:val="none" w:sz="0" w:space="0" w:color="auto"/>
        <w:left w:val="none" w:sz="0" w:space="0" w:color="auto"/>
        <w:bottom w:val="none" w:sz="0" w:space="0" w:color="auto"/>
        <w:right w:val="none" w:sz="0" w:space="0" w:color="auto"/>
      </w:divBdr>
    </w:div>
    <w:div w:id="1566715934">
      <w:bodyDiv w:val="1"/>
      <w:marLeft w:val="0"/>
      <w:marRight w:val="0"/>
      <w:marTop w:val="0"/>
      <w:marBottom w:val="0"/>
      <w:divBdr>
        <w:top w:val="none" w:sz="0" w:space="0" w:color="auto"/>
        <w:left w:val="none" w:sz="0" w:space="0" w:color="auto"/>
        <w:bottom w:val="none" w:sz="0" w:space="0" w:color="auto"/>
        <w:right w:val="none" w:sz="0" w:space="0" w:color="auto"/>
      </w:divBdr>
    </w:div>
    <w:div w:id="1567448731">
      <w:bodyDiv w:val="1"/>
      <w:marLeft w:val="0"/>
      <w:marRight w:val="0"/>
      <w:marTop w:val="0"/>
      <w:marBottom w:val="0"/>
      <w:divBdr>
        <w:top w:val="none" w:sz="0" w:space="0" w:color="auto"/>
        <w:left w:val="none" w:sz="0" w:space="0" w:color="auto"/>
        <w:bottom w:val="none" w:sz="0" w:space="0" w:color="auto"/>
        <w:right w:val="none" w:sz="0" w:space="0" w:color="auto"/>
      </w:divBdr>
    </w:div>
    <w:div w:id="1614824606">
      <w:bodyDiv w:val="1"/>
      <w:marLeft w:val="0"/>
      <w:marRight w:val="0"/>
      <w:marTop w:val="0"/>
      <w:marBottom w:val="0"/>
      <w:divBdr>
        <w:top w:val="none" w:sz="0" w:space="0" w:color="auto"/>
        <w:left w:val="none" w:sz="0" w:space="0" w:color="auto"/>
        <w:bottom w:val="none" w:sz="0" w:space="0" w:color="auto"/>
        <w:right w:val="none" w:sz="0" w:space="0" w:color="auto"/>
      </w:divBdr>
    </w:div>
    <w:div w:id="1621912112">
      <w:bodyDiv w:val="1"/>
      <w:marLeft w:val="0"/>
      <w:marRight w:val="0"/>
      <w:marTop w:val="0"/>
      <w:marBottom w:val="0"/>
      <w:divBdr>
        <w:top w:val="none" w:sz="0" w:space="0" w:color="auto"/>
        <w:left w:val="none" w:sz="0" w:space="0" w:color="auto"/>
        <w:bottom w:val="none" w:sz="0" w:space="0" w:color="auto"/>
        <w:right w:val="none" w:sz="0" w:space="0" w:color="auto"/>
      </w:divBdr>
    </w:div>
    <w:div w:id="1625577845">
      <w:bodyDiv w:val="1"/>
      <w:marLeft w:val="0"/>
      <w:marRight w:val="0"/>
      <w:marTop w:val="0"/>
      <w:marBottom w:val="0"/>
      <w:divBdr>
        <w:top w:val="none" w:sz="0" w:space="0" w:color="auto"/>
        <w:left w:val="none" w:sz="0" w:space="0" w:color="auto"/>
        <w:bottom w:val="none" w:sz="0" w:space="0" w:color="auto"/>
        <w:right w:val="none" w:sz="0" w:space="0" w:color="auto"/>
      </w:divBdr>
    </w:div>
    <w:div w:id="1629239666">
      <w:bodyDiv w:val="1"/>
      <w:marLeft w:val="0"/>
      <w:marRight w:val="0"/>
      <w:marTop w:val="0"/>
      <w:marBottom w:val="0"/>
      <w:divBdr>
        <w:top w:val="none" w:sz="0" w:space="0" w:color="auto"/>
        <w:left w:val="none" w:sz="0" w:space="0" w:color="auto"/>
        <w:bottom w:val="none" w:sz="0" w:space="0" w:color="auto"/>
        <w:right w:val="none" w:sz="0" w:space="0" w:color="auto"/>
      </w:divBdr>
    </w:div>
    <w:div w:id="1678338868">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668387">
      <w:bodyDiv w:val="1"/>
      <w:marLeft w:val="0"/>
      <w:marRight w:val="0"/>
      <w:marTop w:val="0"/>
      <w:marBottom w:val="0"/>
      <w:divBdr>
        <w:top w:val="none" w:sz="0" w:space="0" w:color="auto"/>
        <w:left w:val="none" w:sz="0" w:space="0" w:color="auto"/>
        <w:bottom w:val="none" w:sz="0" w:space="0" w:color="auto"/>
        <w:right w:val="none" w:sz="0" w:space="0" w:color="auto"/>
      </w:divBdr>
    </w:div>
    <w:div w:id="1701856426">
      <w:bodyDiv w:val="1"/>
      <w:marLeft w:val="0"/>
      <w:marRight w:val="0"/>
      <w:marTop w:val="0"/>
      <w:marBottom w:val="0"/>
      <w:divBdr>
        <w:top w:val="none" w:sz="0" w:space="0" w:color="auto"/>
        <w:left w:val="none" w:sz="0" w:space="0" w:color="auto"/>
        <w:bottom w:val="none" w:sz="0" w:space="0" w:color="auto"/>
        <w:right w:val="none" w:sz="0" w:space="0" w:color="auto"/>
      </w:divBdr>
    </w:div>
    <w:div w:id="1704939534">
      <w:bodyDiv w:val="1"/>
      <w:marLeft w:val="0"/>
      <w:marRight w:val="0"/>
      <w:marTop w:val="0"/>
      <w:marBottom w:val="0"/>
      <w:divBdr>
        <w:top w:val="none" w:sz="0" w:space="0" w:color="auto"/>
        <w:left w:val="none" w:sz="0" w:space="0" w:color="auto"/>
        <w:bottom w:val="none" w:sz="0" w:space="0" w:color="auto"/>
        <w:right w:val="none" w:sz="0" w:space="0" w:color="auto"/>
      </w:divBdr>
    </w:div>
    <w:div w:id="1709448121">
      <w:bodyDiv w:val="1"/>
      <w:marLeft w:val="0"/>
      <w:marRight w:val="0"/>
      <w:marTop w:val="0"/>
      <w:marBottom w:val="0"/>
      <w:divBdr>
        <w:top w:val="none" w:sz="0" w:space="0" w:color="auto"/>
        <w:left w:val="none" w:sz="0" w:space="0" w:color="auto"/>
        <w:bottom w:val="none" w:sz="0" w:space="0" w:color="auto"/>
        <w:right w:val="none" w:sz="0" w:space="0" w:color="auto"/>
      </w:divBdr>
    </w:div>
    <w:div w:id="1737586691">
      <w:bodyDiv w:val="1"/>
      <w:marLeft w:val="0"/>
      <w:marRight w:val="0"/>
      <w:marTop w:val="0"/>
      <w:marBottom w:val="0"/>
      <w:divBdr>
        <w:top w:val="none" w:sz="0" w:space="0" w:color="auto"/>
        <w:left w:val="none" w:sz="0" w:space="0" w:color="auto"/>
        <w:bottom w:val="none" w:sz="0" w:space="0" w:color="auto"/>
        <w:right w:val="none" w:sz="0" w:space="0" w:color="auto"/>
      </w:divBdr>
      <w:divsChild>
        <w:div w:id="560365114">
          <w:marLeft w:val="0"/>
          <w:marRight w:val="0"/>
          <w:marTop w:val="0"/>
          <w:marBottom w:val="180"/>
          <w:divBdr>
            <w:top w:val="none" w:sz="0" w:space="0" w:color="auto"/>
            <w:left w:val="none" w:sz="0" w:space="0" w:color="auto"/>
            <w:bottom w:val="none" w:sz="0" w:space="0" w:color="auto"/>
            <w:right w:val="none" w:sz="0" w:space="0" w:color="auto"/>
          </w:divBdr>
          <w:divsChild>
            <w:div w:id="205855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301007">
      <w:bodyDiv w:val="1"/>
      <w:marLeft w:val="0"/>
      <w:marRight w:val="0"/>
      <w:marTop w:val="0"/>
      <w:marBottom w:val="0"/>
      <w:divBdr>
        <w:top w:val="none" w:sz="0" w:space="0" w:color="auto"/>
        <w:left w:val="none" w:sz="0" w:space="0" w:color="auto"/>
        <w:bottom w:val="none" w:sz="0" w:space="0" w:color="auto"/>
        <w:right w:val="none" w:sz="0" w:space="0" w:color="auto"/>
      </w:divBdr>
    </w:div>
    <w:div w:id="1762868256">
      <w:bodyDiv w:val="1"/>
      <w:marLeft w:val="0"/>
      <w:marRight w:val="0"/>
      <w:marTop w:val="0"/>
      <w:marBottom w:val="0"/>
      <w:divBdr>
        <w:top w:val="none" w:sz="0" w:space="0" w:color="auto"/>
        <w:left w:val="none" w:sz="0" w:space="0" w:color="auto"/>
        <w:bottom w:val="none" w:sz="0" w:space="0" w:color="auto"/>
        <w:right w:val="none" w:sz="0" w:space="0" w:color="auto"/>
      </w:divBdr>
    </w:div>
    <w:div w:id="1774591587">
      <w:bodyDiv w:val="1"/>
      <w:marLeft w:val="0"/>
      <w:marRight w:val="0"/>
      <w:marTop w:val="0"/>
      <w:marBottom w:val="0"/>
      <w:divBdr>
        <w:top w:val="none" w:sz="0" w:space="0" w:color="auto"/>
        <w:left w:val="none" w:sz="0" w:space="0" w:color="auto"/>
        <w:bottom w:val="none" w:sz="0" w:space="0" w:color="auto"/>
        <w:right w:val="none" w:sz="0" w:space="0" w:color="auto"/>
      </w:divBdr>
    </w:div>
    <w:div w:id="1776056075">
      <w:bodyDiv w:val="1"/>
      <w:marLeft w:val="0"/>
      <w:marRight w:val="0"/>
      <w:marTop w:val="0"/>
      <w:marBottom w:val="0"/>
      <w:divBdr>
        <w:top w:val="none" w:sz="0" w:space="0" w:color="auto"/>
        <w:left w:val="none" w:sz="0" w:space="0" w:color="auto"/>
        <w:bottom w:val="none" w:sz="0" w:space="0" w:color="auto"/>
        <w:right w:val="none" w:sz="0" w:space="0" w:color="auto"/>
      </w:divBdr>
    </w:div>
    <w:div w:id="1778330044">
      <w:bodyDiv w:val="1"/>
      <w:marLeft w:val="0"/>
      <w:marRight w:val="0"/>
      <w:marTop w:val="0"/>
      <w:marBottom w:val="0"/>
      <w:divBdr>
        <w:top w:val="none" w:sz="0" w:space="0" w:color="auto"/>
        <w:left w:val="none" w:sz="0" w:space="0" w:color="auto"/>
        <w:bottom w:val="none" w:sz="0" w:space="0" w:color="auto"/>
        <w:right w:val="none" w:sz="0" w:space="0" w:color="auto"/>
      </w:divBdr>
    </w:div>
    <w:div w:id="1780445951">
      <w:bodyDiv w:val="1"/>
      <w:marLeft w:val="0"/>
      <w:marRight w:val="0"/>
      <w:marTop w:val="0"/>
      <w:marBottom w:val="0"/>
      <w:divBdr>
        <w:top w:val="none" w:sz="0" w:space="0" w:color="auto"/>
        <w:left w:val="none" w:sz="0" w:space="0" w:color="auto"/>
        <w:bottom w:val="none" w:sz="0" w:space="0" w:color="auto"/>
        <w:right w:val="none" w:sz="0" w:space="0" w:color="auto"/>
      </w:divBdr>
    </w:div>
    <w:div w:id="1782458125">
      <w:bodyDiv w:val="1"/>
      <w:marLeft w:val="0"/>
      <w:marRight w:val="0"/>
      <w:marTop w:val="0"/>
      <w:marBottom w:val="0"/>
      <w:divBdr>
        <w:top w:val="none" w:sz="0" w:space="0" w:color="auto"/>
        <w:left w:val="none" w:sz="0" w:space="0" w:color="auto"/>
        <w:bottom w:val="none" w:sz="0" w:space="0" w:color="auto"/>
        <w:right w:val="none" w:sz="0" w:space="0" w:color="auto"/>
      </w:divBdr>
    </w:div>
    <w:div w:id="1791971868">
      <w:bodyDiv w:val="1"/>
      <w:marLeft w:val="0"/>
      <w:marRight w:val="0"/>
      <w:marTop w:val="0"/>
      <w:marBottom w:val="0"/>
      <w:divBdr>
        <w:top w:val="none" w:sz="0" w:space="0" w:color="auto"/>
        <w:left w:val="none" w:sz="0" w:space="0" w:color="auto"/>
        <w:bottom w:val="none" w:sz="0" w:space="0" w:color="auto"/>
        <w:right w:val="none" w:sz="0" w:space="0" w:color="auto"/>
      </w:divBdr>
    </w:div>
    <w:div w:id="1802114492">
      <w:bodyDiv w:val="1"/>
      <w:marLeft w:val="0"/>
      <w:marRight w:val="0"/>
      <w:marTop w:val="0"/>
      <w:marBottom w:val="0"/>
      <w:divBdr>
        <w:top w:val="none" w:sz="0" w:space="0" w:color="auto"/>
        <w:left w:val="none" w:sz="0" w:space="0" w:color="auto"/>
        <w:bottom w:val="none" w:sz="0" w:space="0" w:color="auto"/>
        <w:right w:val="none" w:sz="0" w:space="0" w:color="auto"/>
      </w:divBdr>
    </w:div>
    <w:div w:id="1814054537">
      <w:bodyDiv w:val="1"/>
      <w:marLeft w:val="0"/>
      <w:marRight w:val="0"/>
      <w:marTop w:val="0"/>
      <w:marBottom w:val="0"/>
      <w:divBdr>
        <w:top w:val="none" w:sz="0" w:space="0" w:color="auto"/>
        <w:left w:val="none" w:sz="0" w:space="0" w:color="auto"/>
        <w:bottom w:val="none" w:sz="0" w:space="0" w:color="auto"/>
        <w:right w:val="none" w:sz="0" w:space="0" w:color="auto"/>
      </w:divBdr>
    </w:div>
    <w:div w:id="1818760908">
      <w:bodyDiv w:val="1"/>
      <w:marLeft w:val="0"/>
      <w:marRight w:val="0"/>
      <w:marTop w:val="0"/>
      <w:marBottom w:val="0"/>
      <w:divBdr>
        <w:top w:val="none" w:sz="0" w:space="0" w:color="auto"/>
        <w:left w:val="none" w:sz="0" w:space="0" w:color="auto"/>
        <w:bottom w:val="none" w:sz="0" w:space="0" w:color="auto"/>
        <w:right w:val="none" w:sz="0" w:space="0" w:color="auto"/>
      </w:divBdr>
    </w:div>
    <w:div w:id="1828353067">
      <w:bodyDiv w:val="1"/>
      <w:marLeft w:val="0"/>
      <w:marRight w:val="0"/>
      <w:marTop w:val="0"/>
      <w:marBottom w:val="0"/>
      <w:divBdr>
        <w:top w:val="none" w:sz="0" w:space="0" w:color="auto"/>
        <w:left w:val="none" w:sz="0" w:space="0" w:color="auto"/>
        <w:bottom w:val="none" w:sz="0" w:space="0" w:color="auto"/>
        <w:right w:val="none" w:sz="0" w:space="0" w:color="auto"/>
      </w:divBdr>
    </w:div>
    <w:div w:id="1833641380">
      <w:bodyDiv w:val="1"/>
      <w:marLeft w:val="0"/>
      <w:marRight w:val="0"/>
      <w:marTop w:val="0"/>
      <w:marBottom w:val="0"/>
      <w:divBdr>
        <w:top w:val="none" w:sz="0" w:space="0" w:color="auto"/>
        <w:left w:val="none" w:sz="0" w:space="0" w:color="auto"/>
        <w:bottom w:val="none" w:sz="0" w:space="0" w:color="auto"/>
        <w:right w:val="none" w:sz="0" w:space="0" w:color="auto"/>
      </w:divBdr>
    </w:div>
    <w:div w:id="1845239721">
      <w:bodyDiv w:val="1"/>
      <w:marLeft w:val="0"/>
      <w:marRight w:val="0"/>
      <w:marTop w:val="0"/>
      <w:marBottom w:val="0"/>
      <w:divBdr>
        <w:top w:val="none" w:sz="0" w:space="0" w:color="auto"/>
        <w:left w:val="none" w:sz="0" w:space="0" w:color="auto"/>
        <w:bottom w:val="none" w:sz="0" w:space="0" w:color="auto"/>
        <w:right w:val="none" w:sz="0" w:space="0" w:color="auto"/>
      </w:divBdr>
    </w:div>
    <w:div w:id="1846018985">
      <w:bodyDiv w:val="1"/>
      <w:marLeft w:val="0"/>
      <w:marRight w:val="0"/>
      <w:marTop w:val="0"/>
      <w:marBottom w:val="0"/>
      <w:divBdr>
        <w:top w:val="none" w:sz="0" w:space="0" w:color="auto"/>
        <w:left w:val="none" w:sz="0" w:space="0" w:color="auto"/>
        <w:bottom w:val="none" w:sz="0" w:space="0" w:color="auto"/>
        <w:right w:val="none" w:sz="0" w:space="0" w:color="auto"/>
      </w:divBdr>
    </w:div>
    <w:div w:id="1852334260">
      <w:bodyDiv w:val="1"/>
      <w:marLeft w:val="0"/>
      <w:marRight w:val="0"/>
      <w:marTop w:val="0"/>
      <w:marBottom w:val="0"/>
      <w:divBdr>
        <w:top w:val="none" w:sz="0" w:space="0" w:color="auto"/>
        <w:left w:val="none" w:sz="0" w:space="0" w:color="auto"/>
        <w:bottom w:val="none" w:sz="0" w:space="0" w:color="auto"/>
        <w:right w:val="none" w:sz="0" w:space="0" w:color="auto"/>
      </w:divBdr>
    </w:div>
    <w:div w:id="1855653496">
      <w:bodyDiv w:val="1"/>
      <w:marLeft w:val="0"/>
      <w:marRight w:val="0"/>
      <w:marTop w:val="0"/>
      <w:marBottom w:val="0"/>
      <w:divBdr>
        <w:top w:val="none" w:sz="0" w:space="0" w:color="auto"/>
        <w:left w:val="none" w:sz="0" w:space="0" w:color="auto"/>
        <w:bottom w:val="none" w:sz="0" w:space="0" w:color="auto"/>
        <w:right w:val="none" w:sz="0" w:space="0" w:color="auto"/>
      </w:divBdr>
    </w:div>
    <w:div w:id="1860242329">
      <w:bodyDiv w:val="1"/>
      <w:marLeft w:val="0"/>
      <w:marRight w:val="0"/>
      <w:marTop w:val="0"/>
      <w:marBottom w:val="0"/>
      <w:divBdr>
        <w:top w:val="none" w:sz="0" w:space="0" w:color="auto"/>
        <w:left w:val="none" w:sz="0" w:space="0" w:color="auto"/>
        <w:bottom w:val="none" w:sz="0" w:space="0" w:color="auto"/>
        <w:right w:val="none" w:sz="0" w:space="0" w:color="auto"/>
      </w:divBdr>
    </w:div>
    <w:div w:id="1868644063">
      <w:bodyDiv w:val="1"/>
      <w:marLeft w:val="0"/>
      <w:marRight w:val="0"/>
      <w:marTop w:val="0"/>
      <w:marBottom w:val="0"/>
      <w:divBdr>
        <w:top w:val="none" w:sz="0" w:space="0" w:color="auto"/>
        <w:left w:val="none" w:sz="0" w:space="0" w:color="auto"/>
        <w:bottom w:val="none" w:sz="0" w:space="0" w:color="auto"/>
        <w:right w:val="none" w:sz="0" w:space="0" w:color="auto"/>
      </w:divBdr>
    </w:div>
    <w:div w:id="1881236246">
      <w:bodyDiv w:val="1"/>
      <w:marLeft w:val="0"/>
      <w:marRight w:val="0"/>
      <w:marTop w:val="0"/>
      <w:marBottom w:val="0"/>
      <w:divBdr>
        <w:top w:val="none" w:sz="0" w:space="0" w:color="auto"/>
        <w:left w:val="none" w:sz="0" w:space="0" w:color="auto"/>
        <w:bottom w:val="none" w:sz="0" w:space="0" w:color="auto"/>
        <w:right w:val="none" w:sz="0" w:space="0" w:color="auto"/>
      </w:divBdr>
    </w:div>
    <w:div w:id="1883328247">
      <w:bodyDiv w:val="1"/>
      <w:marLeft w:val="0"/>
      <w:marRight w:val="0"/>
      <w:marTop w:val="0"/>
      <w:marBottom w:val="0"/>
      <w:divBdr>
        <w:top w:val="none" w:sz="0" w:space="0" w:color="auto"/>
        <w:left w:val="none" w:sz="0" w:space="0" w:color="auto"/>
        <w:bottom w:val="none" w:sz="0" w:space="0" w:color="auto"/>
        <w:right w:val="none" w:sz="0" w:space="0" w:color="auto"/>
      </w:divBdr>
    </w:div>
    <w:div w:id="1884101851">
      <w:bodyDiv w:val="1"/>
      <w:marLeft w:val="0"/>
      <w:marRight w:val="0"/>
      <w:marTop w:val="0"/>
      <w:marBottom w:val="0"/>
      <w:divBdr>
        <w:top w:val="none" w:sz="0" w:space="0" w:color="auto"/>
        <w:left w:val="none" w:sz="0" w:space="0" w:color="auto"/>
        <w:bottom w:val="none" w:sz="0" w:space="0" w:color="auto"/>
        <w:right w:val="none" w:sz="0" w:space="0" w:color="auto"/>
      </w:divBdr>
    </w:div>
    <w:div w:id="1901209540">
      <w:bodyDiv w:val="1"/>
      <w:marLeft w:val="0"/>
      <w:marRight w:val="0"/>
      <w:marTop w:val="0"/>
      <w:marBottom w:val="0"/>
      <w:divBdr>
        <w:top w:val="none" w:sz="0" w:space="0" w:color="auto"/>
        <w:left w:val="none" w:sz="0" w:space="0" w:color="auto"/>
        <w:bottom w:val="none" w:sz="0" w:space="0" w:color="auto"/>
        <w:right w:val="none" w:sz="0" w:space="0" w:color="auto"/>
      </w:divBdr>
    </w:div>
    <w:div w:id="1909880716">
      <w:bodyDiv w:val="1"/>
      <w:marLeft w:val="0"/>
      <w:marRight w:val="0"/>
      <w:marTop w:val="0"/>
      <w:marBottom w:val="0"/>
      <w:divBdr>
        <w:top w:val="none" w:sz="0" w:space="0" w:color="auto"/>
        <w:left w:val="none" w:sz="0" w:space="0" w:color="auto"/>
        <w:bottom w:val="none" w:sz="0" w:space="0" w:color="auto"/>
        <w:right w:val="none" w:sz="0" w:space="0" w:color="auto"/>
      </w:divBdr>
    </w:div>
    <w:div w:id="1910651007">
      <w:bodyDiv w:val="1"/>
      <w:marLeft w:val="0"/>
      <w:marRight w:val="0"/>
      <w:marTop w:val="0"/>
      <w:marBottom w:val="0"/>
      <w:divBdr>
        <w:top w:val="none" w:sz="0" w:space="0" w:color="auto"/>
        <w:left w:val="none" w:sz="0" w:space="0" w:color="auto"/>
        <w:bottom w:val="none" w:sz="0" w:space="0" w:color="auto"/>
        <w:right w:val="none" w:sz="0" w:space="0" w:color="auto"/>
      </w:divBdr>
    </w:div>
    <w:div w:id="1914193007">
      <w:bodyDiv w:val="1"/>
      <w:marLeft w:val="0"/>
      <w:marRight w:val="0"/>
      <w:marTop w:val="0"/>
      <w:marBottom w:val="0"/>
      <w:divBdr>
        <w:top w:val="none" w:sz="0" w:space="0" w:color="auto"/>
        <w:left w:val="none" w:sz="0" w:space="0" w:color="auto"/>
        <w:bottom w:val="none" w:sz="0" w:space="0" w:color="auto"/>
        <w:right w:val="none" w:sz="0" w:space="0" w:color="auto"/>
      </w:divBdr>
    </w:div>
    <w:div w:id="1931507144">
      <w:bodyDiv w:val="1"/>
      <w:marLeft w:val="0"/>
      <w:marRight w:val="0"/>
      <w:marTop w:val="0"/>
      <w:marBottom w:val="0"/>
      <w:divBdr>
        <w:top w:val="none" w:sz="0" w:space="0" w:color="auto"/>
        <w:left w:val="none" w:sz="0" w:space="0" w:color="auto"/>
        <w:bottom w:val="none" w:sz="0" w:space="0" w:color="auto"/>
        <w:right w:val="none" w:sz="0" w:space="0" w:color="auto"/>
      </w:divBdr>
    </w:div>
    <w:div w:id="1934899298">
      <w:bodyDiv w:val="1"/>
      <w:marLeft w:val="0"/>
      <w:marRight w:val="0"/>
      <w:marTop w:val="0"/>
      <w:marBottom w:val="0"/>
      <w:divBdr>
        <w:top w:val="none" w:sz="0" w:space="0" w:color="auto"/>
        <w:left w:val="none" w:sz="0" w:space="0" w:color="auto"/>
        <w:bottom w:val="none" w:sz="0" w:space="0" w:color="auto"/>
        <w:right w:val="none" w:sz="0" w:space="0" w:color="auto"/>
      </w:divBdr>
    </w:div>
    <w:div w:id="1936984536">
      <w:bodyDiv w:val="1"/>
      <w:marLeft w:val="0"/>
      <w:marRight w:val="0"/>
      <w:marTop w:val="0"/>
      <w:marBottom w:val="0"/>
      <w:divBdr>
        <w:top w:val="none" w:sz="0" w:space="0" w:color="auto"/>
        <w:left w:val="none" w:sz="0" w:space="0" w:color="auto"/>
        <w:bottom w:val="none" w:sz="0" w:space="0" w:color="auto"/>
        <w:right w:val="none" w:sz="0" w:space="0" w:color="auto"/>
      </w:divBdr>
    </w:div>
    <w:div w:id="1946188169">
      <w:bodyDiv w:val="1"/>
      <w:marLeft w:val="0"/>
      <w:marRight w:val="0"/>
      <w:marTop w:val="0"/>
      <w:marBottom w:val="0"/>
      <w:divBdr>
        <w:top w:val="none" w:sz="0" w:space="0" w:color="auto"/>
        <w:left w:val="none" w:sz="0" w:space="0" w:color="auto"/>
        <w:bottom w:val="none" w:sz="0" w:space="0" w:color="auto"/>
        <w:right w:val="none" w:sz="0" w:space="0" w:color="auto"/>
      </w:divBdr>
    </w:div>
    <w:div w:id="1947688911">
      <w:bodyDiv w:val="1"/>
      <w:marLeft w:val="0"/>
      <w:marRight w:val="0"/>
      <w:marTop w:val="0"/>
      <w:marBottom w:val="0"/>
      <w:divBdr>
        <w:top w:val="none" w:sz="0" w:space="0" w:color="auto"/>
        <w:left w:val="none" w:sz="0" w:space="0" w:color="auto"/>
        <w:bottom w:val="none" w:sz="0" w:space="0" w:color="auto"/>
        <w:right w:val="none" w:sz="0" w:space="0" w:color="auto"/>
      </w:divBdr>
    </w:div>
    <w:div w:id="1950163400">
      <w:bodyDiv w:val="1"/>
      <w:marLeft w:val="0"/>
      <w:marRight w:val="0"/>
      <w:marTop w:val="0"/>
      <w:marBottom w:val="0"/>
      <w:divBdr>
        <w:top w:val="none" w:sz="0" w:space="0" w:color="auto"/>
        <w:left w:val="none" w:sz="0" w:space="0" w:color="auto"/>
        <w:bottom w:val="none" w:sz="0" w:space="0" w:color="auto"/>
        <w:right w:val="none" w:sz="0" w:space="0" w:color="auto"/>
      </w:divBdr>
    </w:div>
    <w:div w:id="1950815798">
      <w:bodyDiv w:val="1"/>
      <w:marLeft w:val="0"/>
      <w:marRight w:val="0"/>
      <w:marTop w:val="0"/>
      <w:marBottom w:val="0"/>
      <w:divBdr>
        <w:top w:val="none" w:sz="0" w:space="0" w:color="auto"/>
        <w:left w:val="none" w:sz="0" w:space="0" w:color="auto"/>
        <w:bottom w:val="none" w:sz="0" w:space="0" w:color="auto"/>
        <w:right w:val="none" w:sz="0" w:space="0" w:color="auto"/>
      </w:divBdr>
    </w:div>
    <w:div w:id="1951663559">
      <w:bodyDiv w:val="1"/>
      <w:marLeft w:val="0"/>
      <w:marRight w:val="0"/>
      <w:marTop w:val="0"/>
      <w:marBottom w:val="0"/>
      <w:divBdr>
        <w:top w:val="none" w:sz="0" w:space="0" w:color="auto"/>
        <w:left w:val="none" w:sz="0" w:space="0" w:color="auto"/>
        <w:bottom w:val="none" w:sz="0" w:space="0" w:color="auto"/>
        <w:right w:val="none" w:sz="0" w:space="0" w:color="auto"/>
      </w:divBdr>
    </w:div>
    <w:div w:id="1956473880">
      <w:bodyDiv w:val="1"/>
      <w:marLeft w:val="0"/>
      <w:marRight w:val="0"/>
      <w:marTop w:val="0"/>
      <w:marBottom w:val="0"/>
      <w:divBdr>
        <w:top w:val="none" w:sz="0" w:space="0" w:color="auto"/>
        <w:left w:val="none" w:sz="0" w:space="0" w:color="auto"/>
        <w:bottom w:val="none" w:sz="0" w:space="0" w:color="auto"/>
        <w:right w:val="none" w:sz="0" w:space="0" w:color="auto"/>
      </w:divBdr>
    </w:div>
    <w:div w:id="1956868151">
      <w:bodyDiv w:val="1"/>
      <w:marLeft w:val="0"/>
      <w:marRight w:val="0"/>
      <w:marTop w:val="0"/>
      <w:marBottom w:val="0"/>
      <w:divBdr>
        <w:top w:val="none" w:sz="0" w:space="0" w:color="auto"/>
        <w:left w:val="none" w:sz="0" w:space="0" w:color="auto"/>
        <w:bottom w:val="none" w:sz="0" w:space="0" w:color="auto"/>
        <w:right w:val="none" w:sz="0" w:space="0" w:color="auto"/>
      </w:divBdr>
    </w:div>
    <w:div w:id="1959675336">
      <w:bodyDiv w:val="1"/>
      <w:marLeft w:val="0"/>
      <w:marRight w:val="0"/>
      <w:marTop w:val="0"/>
      <w:marBottom w:val="0"/>
      <w:divBdr>
        <w:top w:val="none" w:sz="0" w:space="0" w:color="auto"/>
        <w:left w:val="none" w:sz="0" w:space="0" w:color="auto"/>
        <w:bottom w:val="none" w:sz="0" w:space="0" w:color="auto"/>
        <w:right w:val="none" w:sz="0" w:space="0" w:color="auto"/>
      </w:divBdr>
    </w:div>
    <w:div w:id="1961573045">
      <w:bodyDiv w:val="1"/>
      <w:marLeft w:val="0"/>
      <w:marRight w:val="0"/>
      <w:marTop w:val="0"/>
      <w:marBottom w:val="0"/>
      <w:divBdr>
        <w:top w:val="none" w:sz="0" w:space="0" w:color="auto"/>
        <w:left w:val="none" w:sz="0" w:space="0" w:color="auto"/>
        <w:bottom w:val="none" w:sz="0" w:space="0" w:color="auto"/>
        <w:right w:val="none" w:sz="0" w:space="0" w:color="auto"/>
      </w:divBdr>
    </w:div>
    <w:div w:id="1962615370">
      <w:bodyDiv w:val="1"/>
      <w:marLeft w:val="0"/>
      <w:marRight w:val="0"/>
      <w:marTop w:val="0"/>
      <w:marBottom w:val="0"/>
      <w:divBdr>
        <w:top w:val="none" w:sz="0" w:space="0" w:color="auto"/>
        <w:left w:val="none" w:sz="0" w:space="0" w:color="auto"/>
        <w:bottom w:val="none" w:sz="0" w:space="0" w:color="auto"/>
        <w:right w:val="none" w:sz="0" w:space="0" w:color="auto"/>
      </w:divBdr>
    </w:div>
    <w:div w:id="1965621980">
      <w:bodyDiv w:val="1"/>
      <w:marLeft w:val="0"/>
      <w:marRight w:val="0"/>
      <w:marTop w:val="0"/>
      <w:marBottom w:val="0"/>
      <w:divBdr>
        <w:top w:val="none" w:sz="0" w:space="0" w:color="auto"/>
        <w:left w:val="none" w:sz="0" w:space="0" w:color="auto"/>
        <w:bottom w:val="none" w:sz="0" w:space="0" w:color="auto"/>
        <w:right w:val="none" w:sz="0" w:space="0" w:color="auto"/>
      </w:divBdr>
    </w:div>
    <w:div w:id="1969512865">
      <w:bodyDiv w:val="1"/>
      <w:marLeft w:val="0"/>
      <w:marRight w:val="0"/>
      <w:marTop w:val="0"/>
      <w:marBottom w:val="0"/>
      <w:divBdr>
        <w:top w:val="none" w:sz="0" w:space="0" w:color="auto"/>
        <w:left w:val="none" w:sz="0" w:space="0" w:color="auto"/>
        <w:bottom w:val="none" w:sz="0" w:space="0" w:color="auto"/>
        <w:right w:val="none" w:sz="0" w:space="0" w:color="auto"/>
      </w:divBdr>
    </w:div>
    <w:div w:id="1973166634">
      <w:bodyDiv w:val="1"/>
      <w:marLeft w:val="0"/>
      <w:marRight w:val="0"/>
      <w:marTop w:val="0"/>
      <w:marBottom w:val="0"/>
      <w:divBdr>
        <w:top w:val="none" w:sz="0" w:space="0" w:color="auto"/>
        <w:left w:val="none" w:sz="0" w:space="0" w:color="auto"/>
        <w:bottom w:val="none" w:sz="0" w:space="0" w:color="auto"/>
        <w:right w:val="none" w:sz="0" w:space="0" w:color="auto"/>
      </w:divBdr>
    </w:div>
    <w:div w:id="1987392756">
      <w:bodyDiv w:val="1"/>
      <w:marLeft w:val="0"/>
      <w:marRight w:val="0"/>
      <w:marTop w:val="0"/>
      <w:marBottom w:val="0"/>
      <w:divBdr>
        <w:top w:val="none" w:sz="0" w:space="0" w:color="auto"/>
        <w:left w:val="none" w:sz="0" w:space="0" w:color="auto"/>
        <w:bottom w:val="none" w:sz="0" w:space="0" w:color="auto"/>
        <w:right w:val="none" w:sz="0" w:space="0" w:color="auto"/>
      </w:divBdr>
    </w:div>
    <w:div w:id="2000764816">
      <w:bodyDiv w:val="1"/>
      <w:marLeft w:val="0"/>
      <w:marRight w:val="0"/>
      <w:marTop w:val="0"/>
      <w:marBottom w:val="0"/>
      <w:divBdr>
        <w:top w:val="none" w:sz="0" w:space="0" w:color="auto"/>
        <w:left w:val="none" w:sz="0" w:space="0" w:color="auto"/>
        <w:bottom w:val="none" w:sz="0" w:space="0" w:color="auto"/>
        <w:right w:val="none" w:sz="0" w:space="0" w:color="auto"/>
      </w:divBdr>
    </w:div>
    <w:div w:id="2017268890">
      <w:bodyDiv w:val="1"/>
      <w:marLeft w:val="0"/>
      <w:marRight w:val="0"/>
      <w:marTop w:val="0"/>
      <w:marBottom w:val="0"/>
      <w:divBdr>
        <w:top w:val="none" w:sz="0" w:space="0" w:color="auto"/>
        <w:left w:val="none" w:sz="0" w:space="0" w:color="auto"/>
        <w:bottom w:val="none" w:sz="0" w:space="0" w:color="auto"/>
        <w:right w:val="none" w:sz="0" w:space="0" w:color="auto"/>
      </w:divBdr>
    </w:div>
    <w:div w:id="2019308497">
      <w:bodyDiv w:val="1"/>
      <w:marLeft w:val="0"/>
      <w:marRight w:val="0"/>
      <w:marTop w:val="0"/>
      <w:marBottom w:val="0"/>
      <w:divBdr>
        <w:top w:val="none" w:sz="0" w:space="0" w:color="auto"/>
        <w:left w:val="none" w:sz="0" w:space="0" w:color="auto"/>
        <w:bottom w:val="none" w:sz="0" w:space="0" w:color="auto"/>
        <w:right w:val="none" w:sz="0" w:space="0" w:color="auto"/>
      </w:divBdr>
    </w:div>
    <w:div w:id="2020573051">
      <w:bodyDiv w:val="1"/>
      <w:marLeft w:val="0"/>
      <w:marRight w:val="0"/>
      <w:marTop w:val="0"/>
      <w:marBottom w:val="0"/>
      <w:divBdr>
        <w:top w:val="none" w:sz="0" w:space="0" w:color="auto"/>
        <w:left w:val="none" w:sz="0" w:space="0" w:color="auto"/>
        <w:bottom w:val="none" w:sz="0" w:space="0" w:color="auto"/>
        <w:right w:val="none" w:sz="0" w:space="0" w:color="auto"/>
      </w:divBdr>
    </w:div>
    <w:div w:id="2026906459">
      <w:bodyDiv w:val="1"/>
      <w:marLeft w:val="0"/>
      <w:marRight w:val="0"/>
      <w:marTop w:val="0"/>
      <w:marBottom w:val="0"/>
      <w:divBdr>
        <w:top w:val="none" w:sz="0" w:space="0" w:color="auto"/>
        <w:left w:val="none" w:sz="0" w:space="0" w:color="auto"/>
        <w:bottom w:val="none" w:sz="0" w:space="0" w:color="auto"/>
        <w:right w:val="none" w:sz="0" w:space="0" w:color="auto"/>
      </w:divBdr>
    </w:div>
    <w:div w:id="2043166066">
      <w:bodyDiv w:val="1"/>
      <w:marLeft w:val="0"/>
      <w:marRight w:val="0"/>
      <w:marTop w:val="0"/>
      <w:marBottom w:val="0"/>
      <w:divBdr>
        <w:top w:val="none" w:sz="0" w:space="0" w:color="auto"/>
        <w:left w:val="none" w:sz="0" w:space="0" w:color="auto"/>
        <w:bottom w:val="none" w:sz="0" w:space="0" w:color="auto"/>
        <w:right w:val="none" w:sz="0" w:space="0" w:color="auto"/>
      </w:divBdr>
    </w:div>
    <w:div w:id="2046590320">
      <w:bodyDiv w:val="1"/>
      <w:marLeft w:val="0"/>
      <w:marRight w:val="0"/>
      <w:marTop w:val="0"/>
      <w:marBottom w:val="0"/>
      <w:divBdr>
        <w:top w:val="none" w:sz="0" w:space="0" w:color="auto"/>
        <w:left w:val="none" w:sz="0" w:space="0" w:color="auto"/>
        <w:bottom w:val="none" w:sz="0" w:space="0" w:color="auto"/>
        <w:right w:val="none" w:sz="0" w:space="0" w:color="auto"/>
      </w:divBdr>
    </w:div>
    <w:div w:id="2055231216">
      <w:bodyDiv w:val="1"/>
      <w:marLeft w:val="0"/>
      <w:marRight w:val="0"/>
      <w:marTop w:val="0"/>
      <w:marBottom w:val="0"/>
      <w:divBdr>
        <w:top w:val="none" w:sz="0" w:space="0" w:color="auto"/>
        <w:left w:val="none" w:sz="0" w:space="0" w:color="auto"/>
        <w:bottom w:val="none" w:sz="0" w:space="0" w:color="auto"/>
        <w:right w:val="none" w:sz="0" w:space="0" w:color="auto"/>
      </w:divBdr>
    </w:div>
    <w:div w:id="2060594037">
      <w:bodyDiv w:val="1"/>
      <w:marLeft w:val="0"/>
      <w:marRight w:val="0"/>
      <w:marTop w:val="0"/>
      <w:marBottom w:val="0"/>
      <w:divBdr>
        <w:top w:val="none" w:sz="0" w:space="0" w:color="auto"/>
        <w:left w:val="none" w:sz="0" w:space="0" w:color="auto"/>
        <w:bottom w:val="none" w:sz="0" w:space="0" w:color="auto"/>
        <w:right w:val="none" w:sz="0" w:space="0" w:color="auto"/>
      </w:divBdr>
    </w:div>
    <w:div w:id="2061706735">
      <w:bodyDiv w:val="1"/>
      <w:marLeft w:val="0"/>
      <w:marRight w:val="0"/>
      <w:marTop w:val="0"/>
      <w:marBottom w:val="0"/>
      <w:divBdr>
        <w:top w:val="none" w:sz="0" w:space="0" w:color="auto"/>
        <w:left w:val="none" w:sz="0" w:space="0" w:color="auto"/>
        <w:bottom w:val="none" w:sz="0" w:space="0" w:color="auto"/>
        <w:right w:val="none" w:sz="0" w:space="0" w:color="auto"/>
      </w:divBdr>
    </w:div>
    <w:div w:id="2064863725">
      <w:bodyDiv w:val="1"/>
      <w:marLeft w:val="0"/>
      <w:marRight w:val="0"/>
      <w:marTop w:val="0"/>
      <w:marBottom w:val="0"/>
      <w:divBdr>
        <w:top w:val="none" w:sz="0" w:space="0" w:color="auto"/>
        <w:left w:val="none" w:sz="0" w:space="0" w:color="auto"/>
        <w:bottom w:val="none" w:sz="0" w:space="0" w:color="auto"/>
        <w:right w:val="none" w:sz="0" w:space="0" w:color="auto"/>
      </w:divBdr>
    </w:div>
    <w:div w:id="2075807634">
      <w:bodyDiv w:val="1"/>
      <w:marLeft w:val="0"/>
      <w:marRight w:val="0"/>
      <w:marTop w:val="0"/>
      <w:marBottom w:val="0"/>
      <w:divBdr>
        <w:top w:val="none" w:sz="0" w:space="0" w:color="auto"/>
        <w:left w:val="none" w:sz="0" w:space="0" w:color="auto"/>
        <w:bottom w:val="none" w:sz="0" w:space="0" w:color="auto"/>
        <w:right w:val="none" w:sz="0" w:space="0" w:color="auto"/>
      </w:divBdr>
    </w:div>
    <w:div w:id="2094861701">
      <w:bodyDiv w:val="1"/>
      <w:marLeft w:val="0"/>
      <w:marRight w:val="0"/>
      <w:marTop w:val="0"/>
      <w:marBottom w:val="0"/>
      <w:divBdr>
        <w:top w:val="none" w:sz="0" w:space="0" w:color="auto"/>
        <w:left w:val="none" w:sz="0" w:space="0" w:color="auto"/>
        <w:bottom w:val="none" w:sz="0" w:space="0" w:color="auto"/>
        <w:right w:val="none" w:sz="0" w:space="0" w:color="auto"/>
      </w:divBdr>
    </w:div>
    <w:div w:id="2096003782">
      <w:bodyDiv w:val="1"/>
      <w:marLeft w:val="0"/>
      <w:marRight w:val="0"/>
      <w:marTop w:val="0"/>
      <w:marBottom w:val="0"/>
      <w:divBdr>
        <w:top w:val="none" w:sz="0" w:space="0" w:color="auto"/>
        <w:left w:val="none" w:sz="0" w:space="0" w:color="auto"/>
        <w:bottom w:val="none" w:sz="0" w:space="0" w:color="auto"/>
        <w:right w:val="none" w:sz="0" w:space="0" w:color="auto"/>
      </w:divBdr>
    </w:div>
    <w:div w:id="2097440483">
      <w:bodyDiv w:val="1"/>
      <w:marLeft w:val="0"/>
      <w:marRight w:val="0"/>
      <w:marTop w:val="0"/>
      <w:marBottom w:val="0"/>
      <w:divBdr>
        <w:top w:val="none" w:sz="0" w:space="0" w:color="auto"/>
        <w:left w:val="none" w:sz="0" w:space="0" w:color="auto"/>
        <w:bottom w:val="none" w:sz="0" w:space="0" w:color="auto"/>
        <w:right w:val="none" w:sz="0" w:space="0" w:color="auto"/>
      </w:divBdr>
    </w:div>
    <w:div w:id="2105563923">
      <w:bodyDiv w:val="1"/>
      <w:marLeft w:val="0"/>
      <w:marRight w:val="0"/>
      <w:marTop w:val="0"/>
      <w:marBottom w:val="0"/>
      <w:divBdr>
        <w:top w:val="none" w:sz="0" w:space="0" w:color="auto"/>
        <w:left w:val="none" w:sz="0" w:space="0" w:color="auto"/>
        <w:bottom w:val="none" w:sz="0" w:space="0" w:color="auto"/>
        <w:right w:val="none" w:sz="0" w:space="0" w:color="auto"/>
      </w:divBdr>
    </w:div>
    <w:div w:id="2109689354">
      <w:bodyDiv w:val="1"/>
      <w:marLeft w:val="0"/>
      <w:marRight w:val="0"/>
      <w:marTop w:val="0"/>
      <w:marBottom w:val="0"/>
      <w:divBdr>
        <w:top w:val="none" w:sz="0" w:space="0" w:color="auto"/>
        <w:left w:val="none" w:sz="0" w:space="0" w:color="auto"/>
        <w:bottom w:val="none" w:sz="0" w:space="0" w:color="auto"/>
        <w:right w:val="none" w:sz="0" w:space="0" w:color="auto"/>
      </w:divBdr>
    </w:div>
    <w:div w:id="2109962363">
      <w:bodyDiv w:val="1"/>
      <w:marLeft w:val="0"/>
      <w:marRight w:val="0"/>
      <w:marTop w:val="0"/>
      <w:marBottom w:val="0"/>
      <w:divBdr>
        <w:top w:val="none" w:sz="0" w:space="0" w:color="auto"/>
        <w:left w:val="none" w:sz="0" w:space="0" w:color="auto"/>
        <w:bottom w:val="none" w:sz="0" w:space="0" w:color="auto"/>
        <w:right w:val="none" w:sz="0" w:space="0" w:color="auto"/>
      </w:divBdr>
    </w:div>
    <w:div w:id="2114745668">
      <w:bodyDiv w:val="1"/>
      <w:marLeft w:val="0"/>
      <w:marRight w:val="0"/>
      <w:marTop w:val="0"/>
      <w:marBottom w:val="0"/>
      <w:divBdr>
        <w:top w:val="none" w:sz="0" w:space="0" w:color="auto"/>
        <w:left w:val="none" w:sz="0" w:space="0" w:color="auto"/>
        <w:bottom w:val="none" w:sz="0" w:space="0" w:color="auto"/>
        <w:right w:val="none" w:sz="0" w:space="0" w:color="auto"/>
      </w:divBdr>
    </w:div>
    <w:div w:id="2132239897">
      <w:bodyDiv w:val="1"/>
      <w:marLeft w:val="0"/>
      <w:marRight w:val="0"/>
      <w:marTop w:val="0"/>
      <w:marBottom w:val="0"/>
      <w:divBdr>
        <w:top w:val="none" w:sz="0" w:space="0" w:color="auto"/>
        <w:left w:val="none" w:sz="0" w:space="0" w:color="auto"/>
        <w:bottom w:val="none" w:sz="0" w:space="0" w:color="auto"/>
        <w:right w:val="none" w:sz="0" w:space="0" w:color="auto"/>
      </w:divBdr>
    </w:div>
    <w:div w:id="213891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hyperlink" Target="https://www.imf.org/external/datamapper/PCPIEPCH@WEO/HKG/THA" TargetMode="External"/><Relationship Id="rId2" Type="http://schemas.openxmlformats.org/officeDocument/2006/relationships/styles" Target="styles.xml"/><Relationship Id="rId16" Type="http://schemas.openxmlformats.org/officeDocument/2006/relationships/hyperlink" Target="https://www.censtatd.gov.hk/en/web_table.html?id=620-670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2.emf"/><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32</Pages>
  <Words>6631</Words>
  <Characters>37797</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44340</CharactersWithSpaces>
  <SharedDoc>false</SharedDoc>
  <HLinks>
    <vt:vector size="54" baseType="variant">
      <vt:variant>
        <vt:i4>5242910</vt:i4>
      </vt:variant>
      <vt:variant>
        <vt:i4>24</vt:i4>
      </vt:variant>
      <vt:variant>
        <vt:i4>0</vt:i4>
      </vt:variant>
      <vt:variant>
        <vt:i4>5</vt:i4>
      </vt:variant>
      <vt:variant>
        <vt:lpwstr>https://www.colliers.com/download-article?itemId=e27a74a1-7559-499e-a755-bf29959ce07d</vt:lpwstr>
      </vt:variant>
      <vt:variant>
        <vt:lpwstr/>
      </vt:variant>
      <vt:variant>
        <vt:i4>1507345</vt:i4>
      </vt:variant>
      <vt:variant>
        <vt:i4>21</vt:i4>
      </vt:variant>
      <vt:variant>
        <vt:i4>0</vt:i4>
      </vt:variant>
      <vt:variant>
        <vt:i4>5</vt:i4>
      </vt:variant>
      <vt:variant>
        <vt:lpwstr>https://www.bot.or.th/content/dam/bot/documents/en/thai-economy/state-of-thai-economy/monthly-report/macro-2024-10-report.pdf</vt:lpwstr>
      </vt:variant>
      <vt:variant>
        <vt:lpwstr/>
      </vt:variant>
      <vt:variant>
        <vt:i4>3539064</vt:i4>
      </vt:variant>
      <vt:variant>
        <vt:i4>18</vt:i4>
      </vt:variant>
      <vt:variant>
        <vt:i4>0</vt:i4>
      </vt:variant>
      <vt:variant>
        <vt:i4>5</vt:i4>
      </vt:variant>
      <vt:variant>
        <vt:lpwstr>https://www.statista.com/statistics/1085896/thailand-core-consumer-price-index/</vt:lpwstr>
      </vt:variant>
      <vt:variant>
        <vt:lpwstr/>
      </vt:variant>
      <vt:variant>
        <vt:i4>5701707</vt:i4>
      </vt:variant>
      <vt:variant>
        <vt:i4>15</vt:i4>
      </vt:variant>
      <vt:variant>
        <vt:i4>0</vt:i4>
      </vt:variant>
      <vt:variant>
        <vt:i4>5</vt:i4>
      </vt:variant>
      <vt:variant>
        <vt:lpwstr>https://english.news.cn/asiapacific/20250106/b328f389048149caa2449c84d02537d9/c.html</vt:lpwstr>
      </vt:variant>
      <vt:variant>
        <vt:lpwstr/>
      </vt:variant>
      <vt:variant>
        <vt:i4>2097256</vt:i4>
      </vt:variant>
      <vt:variant>
        <vt:i4>12</vt:i4>
      </vt:variant>
      <vt:variant>
        <vt:i4>0</vt:i4>
      </vt:variant>
      <vt:variant>
        <vt:i4>5</vt:i4>
      </vt:variant>
      <vt:variant>
        <vt:lpwstr>https://tradingeconomics.com/thailand/consumer-price-index-cpi</vt:lpwstr>
      </vt:variant>
      <vt:variant>
        <vt:lpwstr/>
      </vt:variant>
      <vt:variant>
        <vt:i4>1966121</vt:i4>
      </vt:variant>
      <vt:variant>
        <vt:i4>9</vt:i4>
      </vt:variant>
      <vt:variant>
        <vt:i4>0</vt:i4>
      </vt:variant>
      <vt:variant>
        <vt:i4>5</vt:i4>
      </vt:variant>
      <vt:variant>
        <vt:lpwstr>https://www.imf.org/external/datamapper/PCPIEPCH@WEO/HKG/THA</vt:lpwstr>
      </vt:variant>
      <vt:variant>
        <vt:lpwstr/>
      </vt:variant>
      <vt:variant>
        <vt:i4>786456</vt:i4>
      </vt:variant>
      <vt:variant>
        <vt:i4>6</vt:i4>
      </vt:variant>
      <vt:variant>
        <vt:i4>0</vt:i4>
      </vt:variant>
      <vt:variant>
        <vt:i4>5</vt:i4>
      </vt:variant>
      <vt:variant>
        <vt:lpwstr>https://www1.hkexnews.hk/listedco/listconews/sehk/2024/0924/2024092400167.pdf</vt:lpwstr>
      </vt:variant>
      <vt:variant>
        <vt:lpwstr/>
      </vt:variant>
      <vt:variant>
        <vt:i4>7798829</vt:i4>
      </vt:variant>
      <vt:variant>
        <vt:i4>3</vt:i4>
      </vt:variant>
      <vt:variant>
        <vt:i4>0</vt:i4>
      </vt:variant>
      <vt:variant>
        <vt:i4>5</vt:i4>
      </vt:variant>
      <vt:variant>
        <vt:lpwstr>http://www.hkexnews.hk/listedco/listconews/sehk/2022/0921/2022092100149.pdf</vt:lpwstr>
      </vt:variant>
      <vt:variant>
        <vt:lpwstr/>
      </vt:variant>
      <vt:variant>
        <vt:i4>2883635</vt:i4>
      </vt:variant>
      <vt:variant>
        <vt:i4>0</vt:i4>
      </vt:variant>
      <vt:variant>
        <vt:i4>0</vt:i4>
      </vt:variant>
      <vt:variant>
        <vt:i4>5</vt:i4>
      </vt:variant>
      <vt:variant>
        <vt:lpwstr>https://www.chamber.org.hk/en/membership/profile_detail.aspx?profile_id=221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keywords/>
  <cp:lastModifiedBy>martin tam</cp:lastModifiedBy>
  <cp:revision>41</cp:revision>
  <cp:lastPrinted>2010-07-30T22:51:00Z</cp:lastPrinted>
  <dcterms:created xsi:type="dcterms:W3CDTF">2025-03-05T06:01:00Z</dcterms:created>
  <dcterms:modified xsi:type="dcterms:W3CDTF">2025-03-05T16:06:00Z</dcterms:modified>
</cp:coreProperties>
</file>