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7BEB5" w14:textId="4C484A6C" w:rsidR="00B76F4D" w:rsidRPr="00CC3A6B" w:rsidRDefault="00296D7D" w:rsidP="00CC3A6B">
      <w:pPr>
        <w:pStyle w:val="TOCHeading"/>
        <w:spacing w:line="480" w:lineRule="auto"/>
        <w:jc w:val="center"/>
        <w:rPr>
          <w:rFonts w:ascii="Times New Roman" w:eastAsia="Times New Roman" w:hAnsi="Times New Roman" w:cs="Times New Roman"/>
          <w:color w:val="auto"/>
          <w:sz w:val="24"/>
          <w:szCs w:val="24"/>
        </w:rPr>
      </w:pPr>
      <w:r w:rsidRPr="00CC3A6B">
        <w:rPr>
          <w:rFonts w:ascii="Times New Roman" w:eastAsia="Times New Roman" w:hAnsi="Times New Roman" w:cs="Times New Roman"/>
          <w:color w:val="auto"/>
          <w:sz w:val="24"/>
          <w:szCs w:val="24"/>
        </w:rPr>
        <w:t xml:space="preserve">Female Conflict Creates Catastrophe: </w:t>
      </w:r>
      <w:r w:rsidRPr="00CC3A6B">
        <w:rPr>
          <w:rFonts w:ascii="Times New Roman" w:hAnsi="Times New Roman" w:cs="Times New Roman"/>
          <w:color w:val="auto"/>
          <w:sz w:val="24"/>
          <w:szCs w:val="24"/>
        </w:rPr>
        <w:br/>
      </w:r>
      <w:r w:rsidR="00B76F4D" w:rsidRPr="00CC3A6B">
        <w:rPr>
          <w:rFonts w:ascii="Times New Roman" w:eastAsia="Times New Roman" w:hAnsi="Times New Roman" w:cs="Times New Roman"/>
          <w:color w:val="auto"/>
          <w:sz w:val="24"/>
          <w:szCs w:val="24"/>
        </w:rPr>
        <w:t>An Assessment of the Female Conflict in Euripides’ Andromache</w:t>
      </w:r>
    </w:p>
    <w:p w14:paraId="4D380401" w14:textId="77777777" w:rsidR="00296D7D" w:rsidRPr="00296D7D" w:rsidRDefault="00296D7D" w:rsidP="00296D7D"/>
    <w:p w14:paraId="6C4A1570" w14:textId="4E858CA8" w:rsidR="00B76F4D" w:rsidRPr="00296D7D" w:rsidRDefault="00B76F4D" w:rsidP="00296D7D">
      <w:pPr>
        <w:spacing w:line="480" w:lineRule="auto"/>
        <w:jc w:val="center"/>
        <w:rPr>
          <w:rFonts w:ascii="Times New Roman" w:eastAsia="Times New Roman" w:hAnsi="Times New Roman" w:cs="Times New Roman"/>
          <w:sz w:val="24"/>
          <w:szCs w:val="24"/>
        </w:rPr>
      </w:pPr>
      <w:r w:rsidRPr="00296D7D">
        <w:rPr>
          <w:rFonts w:ascii="Times New Roman" w:eastAsia="Times New Roman" w:hAnsi="Times New Roman" w:cs="Times New Roman"/>
          <w:sz w:val="24"/>
          <w:szCs w:val="24"/>
        </w:rPr>
        <w:t>Stacy Danielle Archer: 1500787</w:t>
      </w:r>
    </w:p>
    <w:p w14:paraId="7471DB26" w14:textId="4F474CFC" w:rsidR="00B76F4D" w:rsidRPr="00296D7D" w:rsidRDefault="00B76F4D" w:rsidP="00296D7D">
      <w:pPr>
        <w:spacing w:line="480" w:lineRule="auto"/>
        <w:jc w:val="center"/>
        <w:rPr>
          <w:rFonts w:ascii="Times New Roman" w:eastAsia="Times New Roman" w:hAnsi="Times New Roman" w:cs="Times New Roman"/>
          <w:sz w:val="24"/>
          <w:szCs w:val="24"/>
        </w:rPr>
      </w:pPr>
      <w:r w:rsidRPr="00296D7D">
        <w:rPr>
          <w:rFonts w:ascii="Times New Roman" w:eastAsia="Times New Roman" w:hAnsi="Times New Roman" w:cs="Times New Roman"/>
          <w:sz w:val="24"/>
          <w:szCs w:val="24"/>
        </w:rPr>
        <w:t>2019</w:t>
      </w:r>
      <w:r w:rsidRPr="00296D7D">
        <w:rPr>
          <w:rFonts w:ascii="Times New Roman" w:eastAsia="Times New Roman" w:hAnsi="Times New Roman" w:cs="Times New Roman"/>
          <w:sz w:val="24"/>
          <w:szCs w:val="24"/>
        </w:rPr>
        <w:br/>
        <w:t xml:space="preserve">Word Count: </w:t>
      </w:r>
      <w:r w:rsidR="00296D7D" w:rsidRPr="00296D7D">
        <w:rPr>
          <w:rFonts w:ascii="Times New Roman" w:eastAsia="Times New Roman" w:hAnsi="Times New Roman" w:cs="Times New Roman"/>
          <w:sz w:val="24"/>
          <w:szCs w:val="24"/>
        </w:rPr>
        <w:t>10,758</w:t>
      </w:r>
    </w:p>
    <w:p w14:paraId="7D6144B2" w14:textId="72E695F0" w:rsidR="00296D7D" w:rsidRPr="00296D7D" w:rsidRDefault="00296D7D" w:rsidP="00296D7D">
      <w:pPr>
        <w:spacing w:line="480" w:lineRule="auto"/>
        <w:jc w:val="center"/>
        <w:rPr>
          <w:rFonts w:ascii="Times New Roman" w:eastAsia="Times New Roman" w:hAnsi="Times New Roman" w:cs="Times New Roman"/>
          <w:sz w:val="24"/>
          <w:szCs w:val="24"/>
        </w:rPr>
      </w:pPr>
      <w:r w:rsidRPr="00296D7D">
        <w:rPr>
          <w:rFonts w:ascii="Times New Roman" w:eastAsia="Times New Roman" w:hAnsi="Times New Roman" w:cs="Times New Roman"/>
          <w:sz w:val="24"/>
          <w:szCs w:val="24"/>
        </w:rPr>
        <w:t>‘A dissertation submitted to the University of Wales Trinity Saint David in partial fulfilment of the requirements for the degree of Bachelor of Arts’</w:t>
      </w:r>
    </w:p>
    <w:p w14:paraId="7E172878" w14:textId="5978781B" w:rsidR="00296D7D" w:rsidRDefault="00296D7D" w:rsidP="00296D7D">
      <w:pPr>
        <w:rPr>
          <w:rFonts w:asciiTheme="majorHAnsi" w:eastAsia="Times New Roman" w:hAnsiTheme="majorHAnsi" w:cstheme="majorBidi"/>
          <w:sz w:val="32"/>
          <w:szCs w:val="32"/>
        </w:rPr>
      </w:pPr>
      <w:r>
        <w:rPr>
          <w:rFonts w:asciiTheme="majorHAnsi" w:eastAsia="Times New Roman" w:hAnsiTheme="majorHAnsi" w:cstheme="majorBidi"/>
          <w:sz w:val="32"/>
          <w:szCs w:val="32"/>
        </w:rPr>
        <w:br w:type="page"/>
      </w:r>
      <w:bookmarkStart w:id="0" w:name="_GoBack"/>
      <w:bookmarkEnd w:id="0"/>
    </w:p>
    <w:p w14:paraId="4372ADFC" w14:textId="32BBDE40" w:rsidR="00217742" w:rsidRDefault="00217742" w:rsidP="00217742">
      <w:pPr>
        <w:pStyle w:val="Heading1"/>
        <w:rPr>
          <w:rFonts w:eastAsia="Times New Roman"/>
          <w:color w:val="auto"/>
        </w:rPr>
      </w:pPr>
      <w:r w:rsidRPr="00217742">
        <w:rPr>
          <w:rFonts w:eastAsia="Times New Roman"/>
          <w:color w:val="auto"/>
        </w:rPr>
        <w:lastRenderedPageBreak/>
        <w:t>Abstract</w:t>
      </w:r>
    </w:p>
    <w:p w14:paraId="1CF56850" w14:textId="77777777" w:rsidR="00217742" w:rsidRPr="00217742" w:rsidRDefault="00217742" w:rsidP="00217742"/>
    <w:p w14:paraId="0B5F9ED8" w14:textId="62FB3E46" w:rsidR="00217742" w:rsidRDefault="00217742" w:rsidP="00217742">
      <w:pPr>
        <w:spacing w:line="480" w:lineRule="auto"/>
        <w:rPr>
          <w:rFonts w:ascii="Times New Roman" w:eastAsia="Times New Roman" w:hAnsi="Times New Roman" w:cs="Times New Roman"/>
          <w:sz w:val="24"/>
          <w:szCs w:val="24"/>
        </w:rPr>
      </w:pPr>
      <w:r w:rsidRPr="616EFD39">
        <w:rPr>
          <w:rFonts w:ascii="Times New Roman" w:eastAsia="Times New Roman" w:hAnsi="Times New Roman" w:cs="Times New Roman"/>
          <w:sz w:val="24"/>
          <w:szCs w:val="24"/>
        </w:rPr>
        <w:t>Euripides</w:t>
      </w:r>
      <w:r>
        <w:rPr>
          <w:rFonts w:ascii="Times New Roman" w:eastAsia="Times New Roman" w:hAnsi="Times New Roman" w:cs="Times New Roman"/>
          <w:sz w:val="24"/>
          <w:szCs w:val="24"/>
        </w:rPr>
        <w:t>’</w:t>
      </w:r>
      <w:r w:rsidRPr="616EFD39">
        <w:rPr>
          <w:rFonts w:ascii="Times New Roman" w:eastAsia="Times New Roman" w:hAnsi="Times New Roman" w:cs="Times New Roman"/>
          <w:sz w:val="24"/>
          <w:szCs w:val="24"/>
        </w:rPr>
        <w:t xml:space="preserve"> </w:t>
      </w:r>
      <w:r w:rsidRPr="616EFD39">
        <w:rPr>
          <w:rFonts w:ascii="Times New Roman" w:eastAsia="Times New Roman" w:hAnsi="Times New Roman" w:cs="Times New Roman"/>
          <w:i/>
          <w:iCs/>
          <w:sz w:val="24"/>
          <w:szCs w:val="24"/>
        </w:rPr>
        <w:t>Andromache</w:t>
      </w:r>
      <w:r w:rsidRPr="616EFD39">
        <w:rPr>
          <w:rFonts w:ascii="Times New Roman" w:eastAsia="Times New Roman" w:hAnsi="Times New Roman" w:cs="Times New Roman"/>
          <w:sz w:val="24"/>
          <w:szCs w:val="24"/>
        </w:rPr>
        <w:t xml:space="preserve"> features two women in conflict, Andromache and Hermione. Research on Euripides’ work recently have been keen to look at female friendships and has shown that normally there is an emphasis on female solidarity in Euripides work. This study of the </w:t>
      </w:r>
      <w:r w:rsidRPr="616EFD39">
        <w:rPr>
          <w:rFonts w:ascii="Times New Roman" w:eastAsia="Times New Roman" w:hAnsi="Times New Roman" w:cs="Times New Roman"/>
          <w:i/>
          <w:iCs/>
          <w:sz w:val="24"/>
          <w:szCs w:val="24"/>
        </w:rPr>
        <w:t>Andromache</w:t>
      </w:r>
      <w:r w:rsidRPr="616EFD39">
        <w:rPr>
          <w:rFonts w:ascii="Times New Roman" w:eastAsia="Times New Roman" w:hAnsi="Times New Roman" w:cs="Times New Roman"/>
          <w:sz w:val="24"/>
          <w:szCs w:val="24"/>
        </w:rPr>
        <w:t xml:space="preserve"> determines if the conflict between Andromache and Hermione is the focus of the play and why Euripides would focus on female conflict if normally, he works with female solidarity. This work argues that when you look at those questions the answer is that he is working with female conflict as the focus to convey that females in conflict cause catastrophe and therefore female conflict needs to be avoided. </w:t>
      </w:r>
    </w:p>
    <w:p w14:paraId="6E5D6BF4" w14:textId="77777777" w:rsidR="00217742" w:rsidRDefault="00217742" w:rsidP="00217742">
      <w:pPr>
        <w:spacing w:line="480" w:lineRule="auto"/>
        <w:rPr>
          <w:rFonts w:ascii="Times New Roman" w:eastAsia="Times New Roman" w:hAnsi="Times New Roman" w:cs="Times New Roman"/>
          <w:i/>
          <w:iCs/>
          <w:sz w:val="24"/>
          <w:szCs w:val="24"/>
        </w:rPr>
      </w:pPr>
      <w:r w:rsidRPr="616EFD39">
        <w:rPr>
          <w:rFonts w:ascii="Times New Roman" w:eastAsia="Times New Roman" w:hAnsi="Times New Roman" w:cs="Times New Roman"/>
          <w:sz w:val="24"/>
          <w:szCs w:val="24"/>
        </w:rPr>
        <w:t xml:space="preserve">This study’s results are determined by examining the characters of Andromache and Hermione to disprove the hero narrative often presented, proving that the conflict is not included simply so Andromache, as the hero, has a challenge to overcome. Analysis of the use of Athenian Citizenship Laws in the play and the play’s structure will then indicate that the conflict is indeed the intended focus. These results allow the study to continue to prove that Euripides focuses on female conflict to warn of the catastrophe that it causes, which is achieved by investigating the Judgment of Paris choral ode. With that a conclusion is reached that Euripides in the </w:t>
      </w:r>
      <w:r w:rsidRPr="616EFD39">
        <w:rPr>
          <w:rFonts w:ascii="Times New Roman" w:eastAsia="Times New Roman" w:hAnsi="Times New Roman" w:cs="Times New Roman"/>
          <w:i/>
          <w:iCs/>
          <w:sz w:val="24"/>
          <w:szCs w:val="24"/>
        </w:rPr>
        <w:t>Andromache</w:t>
      </w:r>
      <w:r w:rsidRPr="616EFD39">
        <w:rPr>
          <w:rFonts w:ascii="Times New Roman" w:eastAsia="Times New Roman" w:hAnsi="Times New Roman" w:cs="Times New Roman"/>
          <w:sz w:val="24"/>
          <w:szCs w:val="24"/>
        </w:rPr>
        <w:t xml:space="preserve"> is warning of female conflict and the danger it creates for the </w:t>
      </w:r>
      <w:r w:rsidRPr="616EFD39">
        <w:rPr>
          <w:rFonts w:ascii="Times New Roman" w:eastAsia="Times New Roman" w:hAnsi="Times New Roman" w:cs="Times New Roman"/>
          <w:i/>
          <w:iCs/>
          <w:sz w:val="24"/>
          <w:szCs w:val="24"/>
        </w:rPr>
        <w:t xml:space="preserve">polis, </w:t>
      </w:r>
      <w:r w:rsidRPr="616EFD39">
        <w:rPr>
          <w:rFonts w:ascii="Times New Roman" w:eastAsia="Times New Roman" w:hAnsi="Times New Roman" w:cs="Times New Roman"/>
          <w:sz w:val="24"/>
          <w:szCs w:val="24"/>
        </w:rPr>
        <w:t xml:space="preserve">so that this potential danger is kept in check and the regularity of the </w:t>
      </w:r>
      <w:r w:rsidRPr="616EFD39">
        <w:rPr>
          <w:rFonts w:ascii="Times New Roman" w:eastAsia="Times New Roman" w:hAnsi="Times New Roman" w:cs="Times New Roman"/>
          <w:i/>
          <w:iCs/>
          <w:sz w:val="24"/>
          <w:szCs w:val="24"/>
        </w:rPr>
        <w:t xml:space="preserve">polis </w:t>
      </w:r>
      <w:r w:rsidRPr="616EFD39">
        <w:rPr>
          <w:rFonts w:ascii="Times New Roman" w:eastAsia="Times New Roman" w:hAnsi="Times New Roman" w:cs="Times New Roman"/>
          <w:sz w:val="24"/>
          <w:szCs w:val="24"/>
        </w:rPr>
        <w:t>is able to continue.</w:t>
      </w:r>
    </w:p>
    <w:p w14:paraId="365FC088" w14:textId="77777777" w:rsidR="00217742" w:rsidRDefault="00217742" w:rsidP="00217742">
      <w:pPr>
        <w:pStyle w:val="TOCHeading"/>
        <w:spacing w:line="480" w:lineRule="auto"/>
        <w:rPr>
          <w:rFonts w:ascii="Times New Roman" w:hAnsi="Times New Roman" w:cs="Times New Roman"/>
          <w:color w:val="auto"/>
        </w:rPr>
      </w:pPr>
    </w:p>
    <w:p w14:paraId="03071D89" w14:textId="77777777" w:rsidR="00217742" w:rsidRDefault="00217742">
      <w:pPr>
        <w:rPr>
          <w:rFonts w:ascii="Times New Roman" w:eastAsiaTheme="majorEastAsia" w:hAnsi="Times New Roman" w:cs="Times New Roman"/>
          <w:sz w:val="32"/>
          <w:szCs w:val="32"/>
          <w:lang w:val="en-US"/>
        </w:rPr>
      </w:pPr>
      <w:r>
        <w:rPr>
          <w:rFonts w:ascii="Times New Roman" w:hAnsi="Times New Roman" w:cs="Times New Roman"/>
        </w:rPr>
        <w:br w:type="page"/>
      </w:r>
    </w:p>
    <w:sdt>
      <w:sdtPr>
        <w:rPr>
          <w:rFonts w:ascii="Times New Roman" w:hAnsi="Times New Roman" w:cs="Times New Roman"/>
          <w:color w:val="auto"/>
        </w:rPr>
        <w:id w:val="1376274314"/>
        <w:docPartObj>
          <w:docPartGallery w:val="Table of Contents"/>
          <w:docPartUnique/>
        </w:docPartObj>
      </w:sdtPr>
      <w:sdtEndPr>
        <w:rPr>
          <w:rFonts w:eastAsiaTheme="minorHAnsi"/>
          <w:b/>
          <w:bCs/>
          <w:noProof/>
          <w:sz w:val="22"/>
          <w:szCs w:val="22"/>
          <w:lang w:val="en-GB"/>
        </w:rPr>
      </w:sdtEndPr>
      <w:sdtContent>
        <w:p w14:paraId="7BCB2CF6" w14:textId="1269E1C6" w:rsidR="00217742" w:rsidRPr="00217742" w:rsidRDefault="00217742" w:rsidP="00217742">
          <w:pPr>
            <w:pStyle w:val="TOCHeading"/>
            <w:spacing w:line="480" w:lineRule="auto"/>
            <w:rPr>
              <w:rFonts w:ascii="Times New Roman" w:hAnsi="Times New Roman" w:cs="Times New Roman"/>
              <w:color w:val="auto"/>
              <w:sz w:val="36"/>
              <w:szCs w:val="36"/>
            </w:rPr>
          </w:pPr>
          <w:r w:rsidRPr="00217742">
            <w:rPr>
              <w:rFonts w:ascii="Times New Roman" w:hAnsi="Times New Roman" w:cs="Times New Roman"/>
              <w:color w:val="auto"/>
              <w:sz w:val="36"/>
              <w:szCs w:val="36"/>
            </w:rPr>
            <w:t>Contents</w:t>
          </w:r>
        </w:p>
        <w:p w14:paraId="24CDF38A" w14:textId="2D0FFCF9"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r w:rsidRPr="00217742">
            <w:rPr>
              <w:rFonts w:ascii="Times New Roman" w:hAnsi="Times New Roman" w:cs="Times New Roman"/>
              <w:sz w:val="36"/>
              <w:szCs w:val="36"/>
            </w:rPr>
            <w:fldChar w:fldCharType="begin"/>
          </w:r>
          <w:r w:rsidRPr="00217742">
            <w:rPr>
              <w:rFonts w:ascii="Times New Roman" w:hAnsi="Times New Roman" w:cs="Times New Roman"/>
              <w:sz w:val="36"/>
              <w:szCs w:val="36"/>
            </w:rPr>
            <w:instrText xml:space="preserve"> TOC \o "1-3" \h \z \u </w:instrText>
          </w:r>
          <w:r w:rsidRPr="00217742">
            <w:rPr>
              <w:rFonts w:ascii="Times New Roman" w:hAnsi="Times New Roman" w:cs="Times New Roman"/>
              <w:sz w:val="36"/>
              <w:szCs w:val="36"/>
            </w:rPr>
            <w:fldChar w:fldCharType="separate"/>
          </w:r>
          <w:hyperlink w:anchor="_Toc7809467" w:history="1">
            <w:r w:rsidRPr="00217742">
              <w:rPr>
                <w:rStyle w:val="Hyperlink"/>
                <w:rFonts w:ascii="Times New Roman" w:eastAsia="Times New Roman" w:hAnsi="Times New Roman" w:cs="Times New Roman"/>
                <w:noProof/>
                <w:color w:val="auto"/>
                <w:sz w:val="36"/>
                <w:szCs w:val="36"/>
              </w:rPr>
              <w:t>Introduction</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_Toc7809467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4</w:t>
            </w:r>
            <w:r w:rsidRPr="00217742">
              <w:rPr>
                <w:rFonts w:ascii="Times New Roman" w:hAnsi="Times New Roman" w:cs="Times New Roman"/>
                <w:noProof/>
                <w:webHidden/>
                <w:sz w:val="36"/>
                <w:szCs w:val="36"/>
              </w:rPr>
              <w:fldChar w:fldCharType="end"/>
            </w:r>
          </w:hyperlink>
        </w:p>
        <w:p w14:paraId="0C04C456" w14:textId="218DCEA1"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68" w:history="1">
            <w:r w:rsidRPr="00217742">
              <w:rPr>
                <w:rStyle w:val="Hyperlink"/>
                <w:rFonts w:ascii="Times New Roman" w:eastAsia="Times New Roman" w:hAnsi="Times New Roman" w:cs="Times New Roman"/>
                <w:noProof/>
                <w:color w:val="auto"/>
                <w:sz w:val="36"/>
                <w:szCs w:val="36"/>
              </w:rPr>
              <w:t>Chapter One</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_Toc7809468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7</w:t>
            </w:r>
            <w:r w:rsidRPr="00217742">
              <w:rPr>
                <w:rFonts w:ascii="Times New Roman" w:hAnsi="Times New Roman" w:cs="Times New Roman"/>
                <w:noProof/>
                <w:webHidden/>
                <w:sz w:val="36"/>
                <w:szCs w:val="36"/>
              </w:rPr>
              <w:fldChar w:fldCharType="end"/>
            </w:r>
          </w:hyperlink>
        </w:p>
        <w:p w14:paraId="2DECCA7F" w14:textId="2B037263"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69" w:history="1">
            <w:r w:rsidRPr="00217742">
              <w:rPr>
                <w:rStyle w:val="Hyperlink"/>
                <w:rFonts w:ascii="Times New Roman" w:eastAsia="Times New Roman" w:hAnsi="Times New Roman" w:cs="Times New Roman"/>
                <w:noProof/>
                <w:color w:val="auto"/>
                <w:sz w:val="36"/>
                <w:szCs w:val="36"/>
              </w:rPr>
              <w:t>Chapter Two</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_Toc7809469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19</w:t>
            </w:r>
            <w:r w:rsidRPr="00217742">
              <w:rPr>
                <w:rFonts w:ascii="Times New Roman" w:hAnsi="Times New Roman" w:cs="Times New Roman"/>
                <w:noProof/>
                <w:webHidden/>
                <w:sz w:val="36"/>
                <w:szCs w:val="36"/>
              </w:rPr>
              <w:fldChar w:fldCharType="end"/>
            </w:r>
          </w:hyperlink>
        </w:p>
        <w:p w14:paraId="702126E7" w14:textId="6B35F1FE"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70" w:history="1">
            <w:r w:rsidRPr="00217742">
              <w:rPr>
                <w:rStyle w:val="Hyperlink"/>
                <w:rFonts w:ascii="Times New Roman" w:eastAsia="Times New Roman" w:hAnsi="Times New Roman" w:cs="Times New Roman"/>
                <w:noProof/>
                <w:color w:val="auto"/>
                <w:sz w:val="36"/>
                <w:szCs w:val="36"/>
              </w:rPr>
              <w:t>Chapter Three</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_Toc7809470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27</w:t>
            </w:r>
            <w:r w:rsidRPr="00217742">
              <w:rPr>
                <w:rFonts w:ascii="Times New Roman" w:hAnsi="Times New Roman" w:cs="Times New Roman"/>
                <w:noProof/>
                <w:webHidden/>
                <w:sz w:val="36"/>
                <w:szCs w:val="36"/>
              </w:rPr>
              <w:fldChar w:fldCharType="end"/>
            </w:r>
          </w:hyperlink>
        </w:p>
        <w:p w14:paraId="42DE51AC" w14:textId="5FFCE6F2"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71" w:history="1">
            <w:r w:rsidRPr="00217742">
              <w:rPr>
                <w:rStyle w:val="Hyperlink"/>
                <w:rFonts w:ascii="Times New Roman" w:eastAsia="Times New Roman" w:hAnsi="Times New Roman" w:cs="Times New Roman"/>
                <w:noProof/>
                <w:color w:val="auto"/>
                <w:sz w:val="36"/>
                <w:szCs w:val="36"/>
              </w:rPr>
              <w:t>Chapter Four</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_Toc7809471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32</w:t>
            </w:r>
            <w:r w:rsidRPr="00217742">
              <w:rPr>
                <w:rFonts w:ascii="Times New Roman" w:hAnsi="Times New Roman" w:cs="Times New Roman"/>
                <w:noProof/>
                <w:webHidden/>
                <w:sz w:val="36"/>
                <w:szCs w:val="36"/>
              </w:rPr>
              <w:fldChar w:fldCharType="end"/>
            </w:r>
          </w:hyperlink>
        </w:p>
        <w:p w14:paraId="65F000BC" w14:textId="75EFA2CA"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72" w:history="1">
            <w:r w:rsidRPr="00217742">
              <w:rPr>
                <w:rStyle w:val="Hyperlink"/>
                <w:rFonts w:ascii="Times New Roman" w:eastAsia="Times New Roman" w:hAnsi="Times New Roman" w:cs="Times New Roman"/>
                <w:noProof/>
                <w:color w:val="auto"/>
                <w:sz w:val="36"/>
                <w:szCs w:val="36"/>
              </w:rPr>
              <w:t>Chapter Five</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_Toc7809472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36</w:t>
            </w:r>
            <w:r w:rsidRPr="00217742">
              <w:rPr>
                <w:rFonts w:ascii="Times New Roman" w:hAnsi="Times New Roman" w:cs="Times New Roman"/>
                <w:noProof/>
                <w:webHidden/>
                <w:sz w:val="36"/>
                <w:szCs w:val="36"/>
              </w:rPr>
              <w:fldChar w:fldCharType="end"/>
            </w:r>
          </w:hyperlink>
        </w:p>
        <w:p w14:paraId="4359108D" w14:textId="44615747"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73" w:history="1">
            <w:r w:rsidRPr="00217742">
              <w:rPr>
                <w:rStyle w:val="Hyperlink"/>
                <w:rFonts w:ascii="Times New Roman" w:eastAsia="Times New Roman" w:hAnsi="Times New Roman" w:cs="Times New Roman"/>
                <w:noProof/>
                <w:color w:val="auto"/>
                <w:sz w:val="36"/>
                <w:szCs w:val="36"/>
              </w:rPr>
              <w:t>Conclusion</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_Toc7809473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41</w:t>
            </w:r>
            <w:r w:rsidRPr="00217742">
              <w:rPr>
                <w:rFonts w:ascii="Times New Roman" w:hAnsi="Times New Roman" w:cs="Times New Roman"/>
                <w:noProof/>
                <w:webHidden/>
                <w:sz w:val="36"/>
                <w:szCs w:val="36"/>
              </w:rPr>
              <w:fldChar w:fldCharType="end"/>
            </w:r>
          </w:hyperlink>
        </w:p>
        <w:p w14:paraId="4ADCCC69" w14:textId="63460EA8" w:rsidR="00217742" w:rsidRPr="00217742" w:rsidRDefault="00217742" w:rsidP="00217742">
          <w:pPr>
            <w:pStyle w:val="TOC1"/>
            <w:tabs>
              <w:tab w:val="right" w:leader="dot" w:pos="9016"/>
            </w:tabs>
            <w:spacing w:line="480" w:lineRule="auto"/>
            <w:rPr>
              <w:rFonts w:ascii="Times New Roman" w:eastAsiaTheme="minorEastAsia" w:hAnsi="Times New Roman" w:cs="Times New Roman"/>
              <w:noProof/>
              <w:sz w:val="36"/>
              <w:szCs w:val="36"/>
              <w:lang w:eastAsia="en-GB"/>
            </w:rPr>
          </w:pPr>
          <w:hyperlink w:anchor="_Toc7809474" w:history="1">
            <w:r w:rsidRPr="00217742">
              <w:rPr>
                <w:rStyle w:val="Hyperlink"/>
                <w:rFonts w:ascii="Times New Roman" w:hAnsi="Times New Roman" w:cs="Times New Roman"/>
                <w:noProof/>
                <w:color w:val="auto"/>
                <w:sz w:val="36"/>
                <w:szCs w:val="36"/>
              </w:rPr>
              <w:t>Bibliography</w:t>
            </w:r>
            <w:r w:rsidRPr="00217742">
              <w:rPr>
                <w:rFonts w:ascii="Times New Roman" w:hAnsi="Times New Roman" w:cs="Times New Roman"/>
                <w:noProof/>
                <w:webHidden/>
                <w:sz w:val="36"/>
                <w:szCs w:val="36"/>
              </w:rPr>
              <w:tab/>
            </w:r>
            <w:r w:rsidRPr="00217742">
              <w:rPr>
                <w:rFonts w:ascii="Times New Roman" w:hAnsi="Times New Roman" w:cs="Times New Roman"/>
                <w:noProof/>
                <w:webHidden/>
                <w:sz w:val="36"/>
                <w:szCs w:val="36"/>
              </w:rPr>
              <w:fldChar w:fldCharType="begin"/>
            </w:r>
            <w:r w:rsidRPr="00217742">
              <w:rPr>
                <w:rFonts w:ascii="Times New Roman" w:hAnsi="Times New Roman" w:cs="Times New Roman"/>
                <w:noProof/>
                <w:webHidden/>
                <w:sz w:val="36"/>
                <w:szCs w:val="36"/>
              </w:rPr>
              <w:instrText xml:space="preserve"> PAGEREF _Toc7809474 \h </w:instrText>
            </w:r>
            <w:r w:rsidRPr="00217742">
              <w:rPr>
                <w:rFonts w:ascii="Times New Roman" w:hAnsi="Times New Roman" w:cs="Times New Roman"/>
                <w:noProof/>
                <w:webHidden/>
                <w:sz w:val="36"/>
                <w:szCs w:val="36"/>
              </w:rPr>
            </w:r>
            <w:r w:rsidRPr="00217742">
              <w:rPr>
                <w:rFonts w:ascii="Times New Roman" w:hAnsi="Times New Roman" w:cs="Times New Roman"/>
                <w:noProof/>
                <w:webHidden/>
                <w:sz w:val="36"/>
                <w:szCs w:val="36"/>
              </w:rPr>
              <w:fldChar w:fldCharType="separate"/>
            </w:r>
            <w:r w:rsidR="00296D7D">
              <w:rPr>
                <w:rFonts w:ascii="Times New Roman" w:hAnsi="Times New Roman" w:cs="Times New Roman"/>
                <w:noProof/>
                <w:webHidden/>
                <w:sz w:val="36"/>
                <w:szCs w:val="36"/>
              </w:rPr>
              <w:t>43</w:t>
            </w:r>
            <w:r w:rsidRPr="00217742">
              <w:rPr>
                <w:rFonts w:ascii="Times New Roman" w:hAnsi="Times New Roman" w:cs="Times New Roman"/>
                <w:noProof/>
                <w:webHidden/>
                <w:sz w:val="36"/>
                <w:szCs w:val="36"/>
              </w:rPr>
              <w:fldChar w:fldCharType="end"/>
            </w:r>
          </w:hyperlink>
        </w:p>
        <w:p w14:paraId="3C88D945" w14:textId="41FE3BA9" w:rsidR="00217742" w:rsidRDefault="00217742" w:rsidP="00217742">
          <w:pPr>
            <w:spacing w:line="480" w:lineRule="auto"/>
          </w:pPr>
          <w:r w:rsidRPr="00217742">
            <w:rPr>
              <w:rFonts w:ascii="Times New Roman" w:hAnsi="Times New Roman" w:cs="Times New Roman"/>
              <w:b/>
              <w:bCs/>
              <w:noProof/>
              <w:sz w:val="36"/>
              <w:szCs w:val="36"/>
            </w:rPr>
            <w:fldChar w:fldCharType="end"/>
          </w:r>
        </w:p>
      </w:sdtContent>
    </w:sdt>
    <w:p w14:paraId="4E44AE55" w14:textId="77777777" w:rsidR="008805C3" w:rsidRDefault="008805C3" w:rsidP="09F6F64B">
      <w:pPr>
        <w:spacing w:line="480" w:lineRule="auto"/>
        <w:rPr>
          <w:rFonts w:ascii="Times New Roman" w:eastAsia="Times New Roman" w:hAnsi="Times New Roman" w:cs="Times New Roman"/>
          <w:sz w:val="24"/>
          <w:szCs w:val="24"/>
        </w:rPr>
      </w:pPr>
    </w:p>
    <w:p w14:paraId="3A6DDCC4" w14:textId="77777777" w:rsidR="008805C3" w:rsidRDefault="008805C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0396A89" w14:textId="22222BED" w:rsidR="008805C3" w:rsidRPr="008805C3" w:rsidRDefault="008805C3" w:rsidP="008805C3">
      <w:pPr>
        <w:pStyle w:val="Heading1"/>
        <w:rPr>
          <w:rFonts w:eastAsia="Times New Roman"/>
          <w:color w:val="auto"/>
        </w:rPr>
      </w:pPr>
      <w:bookmarkStart w:id="1" w:name="_Toc7809467"/>
      <w:r w:rsidRPr="008805C3">
        <w:rPr>
          <w:rFonts w:eastAsia="Times New Roman"/>
          <w:color w:val="auto"/>
        </w:rPr>
        <w:lastRenderedPageBreak/>
        <w:t>Introduction</w:t>
      </w:r>
      <w:bookmarkEnd w:id="1"/>
    </w:p>
    <w:p w14:paraId="13FBE2A4" w14:textId="77777777" w:rsidR="008805C3" w:rsidRPr="008805C3" w:rsidRDefault="008805C3" w:rsidP="008805C3"/>
    <w:p w14:paraId="22AB3A30" w14:textId="5AD95FB4" w:rsidR="7AEEE5B4" w:rsidRDefault="1F83FE37"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Butler asks ‘is there some commonality among ‘women’ that pre-exists their </w:t>
      </w:r>
      <w:proofErr w:type="gramStart"/>
      <w:r w:rsidRPr="09F6F64B">
        <w:rPr>
          <w:rFonts w:ascii="Times New Roman" w:eastAsia="Times New Roman" w:hAnsi="Times New Roman" w:cs="Times New Roman"/>
          <w:sz w:val="24"/>
          <w:szCs w:val="24"/>
        </w:rPr>
        <w:t>oppression, or</w:t>
      </w:r>
      <w:proofErr w:type="gramEnd"/>
      <w:r w:rsidRPr="09F6F64B">
        <w:rPr>
          <w:rFonts w:ascii="Times New Roman" w:eastAsia="Times New Roman" w:hAnsi="Times New Roman" w:cs="Times New Roman"/>
          <w:sz w:val="24"/>
          <w:szCs w:val="24"/>
        </w:rPr>
        <w:t xml:space="preserve"> do ‘women’ have a bond by virtue of their oppression alone’</w:t>
      </w:r>
      <w:r w:rsidR="7AEEE5B4" w:rsidRPr="09F6F64B">
        <w:rPr>
          <w:rStyle w:val="FootnoteReference"/>
          <w:rFonts w:ascii="Times New Roman" w:eastAsia="Times New Roman" w:hAnsi="Times New Roman" w:cs="Times New Roman"/>
          <w:sz w:val="24"/>
          <w:szCs w:val="24"/>
        </w:rPr>
        <w:footnoteReference w:id="1"/>
      </w:r>
      <w:r w:rsidRPr="09F6F64B">
        <w:rPr>
          <w:rFonts w:ascii="Times New Roman" w:eastAsia="Times New Roman" w:hAnsi="Times New Roman" w:cs="Times New Roman"/>
          <w:sz w:val="24"/>
          <w:szCs w:val="24"/>
        </w:rPr>
        <w:t>. In other words, it appears that Butler is suggesting the existence of a bond between women does not need to be questioned. What needs to be asked is why this bond exists. In recent years this bond, which scholars call female solidarity, has been the focus when looking at Euripides’ work, for it is alleged that Euripides creates a shared female identity</w:t>
      </w:r>
      <w:r w:rsidR="7AEEE5B4" w:rsidRPr="09F6F64B">
        <w:rPr>
          <w:rStyle w:val="FootnoteReference"/>
          <w:rFonts w:ascii="Times New Roman" w:eastAsia="Times New Roman" w:hAnsi="Times New Roman" w:cs="Times New Roman"/>
          <w:sz w:val="24"/>
          <w:szCs w:val="24"/>
        </w:rPr>
        <w:footnoteReference w:id="2"/>
      </w:r>
      <w:r w:rsidRPr="09F6F64B">
        <w:rPr>
          <w:rFonts w:ascii="Times New Roman" w:eastAsia="Times New Roman" w:hAnsi="Times New Roman" w:cs="Times New Roman"/>
          <w:sz w:val="24"/>
          <w:szCs w:val="24"/>
        </w:rPr>
        <w:t xml:space="preserve"> and by doing so his work places importance on female solidarity. For example, in </w:t>
      </w:r>
      <w:r w:rsidRPr="09F6F64B">
        <w:rPr>
          <w:rFonts w:ascii="Times New Roman" w:eastAsia="Times New Roman" w:hAnsi="Times New Roman" w:cs="Times New Roman"/>
          <w:i/>
          <w:iCs/>
          <w:sz w:val="24"/>
          <w:szCs w:val="24"/>
        </w:rPr>
        <w:t>Suppliant Women</w:t>
      </w:r>
      <w:r w:rsidRPr="09F6F64B">
        <w:rPr>
          <w:rFonts w:ascii="Times New Roman" w:eastAsia="Times New Roman" w:hAnsi="Times New Roman" w:cs="Times New Roman"/>
          <w:sz w:val="24"/>
          <w:szCs w:val="24"/>
        </w:rPr>
        <w:t xml:space="preserve"> the women from politically opposing sides come together because of this shared female identity</w:t>
      </w:r>
      <w:r w:rsidR="7AEEE5B4" w:rsidRPr="09F6F64B">
        <w:rPr>
          <w:rStyle w:val="FootnoteReference"/>
          <w:rFonts w:ascii="Times New Roman" w:eastAsia="Times New Roman" w:hAnsi="Times New Roman" w:cs="Times New Roman"/>
          <w:sz w:val="24"/>
          <w:szCs w:val="24"/>
        </w:rPr>
        <w:footnoteReference w:id="3"/>
      </w:r>
      <w:r w:rsidRPr="09F6F64B">
        <w:rPr>
          <w:rFonts w:ascii="Times New Roman" w:eastAsia="Times New Roman" w:hAnsi="Times New Roman" w:cs="Times New Roman"/>
          <w:sz w:val="24"/>
          <w:szCs w:val="24"/>
        </w:rPr>
        <w:t xml:space="preserve"> which is able to bring about fellow-feeling among women</w:t>
      </w:r>
      <w:r w:rsidR="7AEEE5B4" w:rsidRPr="09F6F64B">
        <w:rPr>
          <w:rStyle w:val="FootnoteReference"/>
          <w:rFonts w:ascii="Times New Roman" w:eastAsia="Times New Roman" w:hAnsi="Times New Roman" w:cs="Times New Roman"/>
          <w:sz w:val="24"/>
          <w:szCs w:val="24"/>
        </w:rPr>
        <w:footnoteReference w:id="4"/>
      </w:r>
      <w:r w:rsidRPr="09F6F64B">
        <w:rPr>
          <w:rFonts w:ascii="Times New Roman" w:eastAsia="Times New Roman" w:hAnsi="Times New Roman" w:cs="Times New Roman"/>
          <w:sz w:val="24"/>
          <w:szCs w:val="24"/>
        </w:rPr>
        <w:t>. This fellow-feeling even crosses boundaries of citizen and foreigner as the Corinthian women readily give their help to Medea. They do not even need to swear their oath to a deity</w:t>
      </w:r>
      <w:r w:rsidR="7AEEE5B4" w:rsidRPr="09F6F64B">
        <w:rPr>
          <w:rStyle w:val="FootnoteReference"/>
          <w:rFonts w:ascii="Times New Roman" w:eastAsia="Times New Roman" w:hAnsi="Times New Roman" w:cs="Times New Roman"/>
          <w:sz w:val="24"/>
          <w:szCs w:val="24"/>
        </w:rPr>
        <w:footnoteReference w:id="5"/>
      </w:r>
      <w:r w:rsidRPr="09F6F64B">
        <w:rPr>
          <w:rFonts w:ascii="Times New Roman" w:eastAsia="Times New Roman" w:hAnsi="Times New Roman" w:cs="Times New Roman"/>
          <w:sz w:val="24"/>
          <w:szCs w:val="24"/>
        </w:rPr>
        <w:t>. They simply say ‘I will do as you ask’</w:t>
      </w:r>
      <w:r w:rsidR="7AEEE5B4" w:rsidRPr="09F6F64B">
        <w:rPr>
          <w:rStyle w:val="FootnoteReference"/>
          <w:rFonts w:ascii="Times New Roman" w:eastAsia="Times New Roman" w:hAnsi="Times New Roman" w:cs="Times New Roman"/>
          <w:sz w:val="24"/>
          <w:szCs w:val="24"/>
        </w:rPr>
        <w:footnoteReference w:id="6"/>
      </w:r>
      <w:r w:rsidRPr="09F6F64B">
        <w:rPr>
          <w:rFonts w:ascii="Times New Roman" w:eastAsia="Times New Roman" w:hAnsi="Times New Roman" w:cs="Times New Roman"/>
          <w:sz w:val="24"/>
          <w:szCs w:val="24"/>
        </w:rPr>
        <w:t xml:space="preserve"> because this female solidarity is seemingly such a strong bond that it means that this is all that is required to submit them to this oath</w:t>
      </w:r>
      <w:r w:rsidR="7AEEE5B4" w:rsidRPr="09F6F64B">
        <w:rPr>
          <w:rStyle w:val="FootnoteReference"/>
          <w:rFonts w:ascii="Times New Roman" w:eastAsia="Times New Roman" w:hAnsi="Times New Roman" w:cs="Times New Roman"/>
          <w:sz w:val="24"/>
          <w:szCs w:val="24"/>
        </w:rPr>
        <w:footnoteReference w:id="7"/>
      </w:r>
      <w:r w:rsidRPr="09F6F64B">
        <w:rPr>
          <w:rFonts w:ascii="Times New Roman" w:eastAsia="Times New Roman" w:hAnsi="Times New Roman" w:cs="Times New Roman"/>
          <w:sz w:val="24"/>
          <w:szCs w:val="24"/>
        </w:rPr>
        <w:t>.</w:t>
      </w:r>
    </w:p>
    <w:p w14:paraId="0B42B442" w14:textId="48C738C8" w:rsidR="7AEEE5B4"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The purpose of this work is not to prove or disprove that Euripides emphasises female solidarity, rather it will take this idea of looking at female relationships and use it as a lens to work with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Meaning, the conclusions reached in this work are the result of studying the play in a way that the interactions between the female characters and what that means for their relationship is to be the focus. This play has </w:t>
      </w:r>
      <w:r w:rsidRPr="09F6F64B">
        <w:rPr>
          <w:rFonts w:ascii="Times New Roman" w:eastAsia="Times New Roman" w:hAnsi="Times New Roman" w:cs="Times New Roman"/>
          <w:sz w:val="24"/>
          <w:szCs w:val="24"/>
        </w:rPr>
        <w:lastRenderedPageBreak/>
        <w:t>been chosen because it has largely been ignored by those interested in female relationships, either completely as we see in the work by Rehm or only briefly discussed as with Chong-</w:t>
      </w:r>
      <w:proofErr w:type="spellStart"/>
      <w:r w:rsidRPr="09F6F64B">
        <w:rPr>
          <w:rFonts w:ascii="Times New Roman" w:eastAsia="Times New Roman" w:hAnsi="Times New Roman" w:cs="Times New Roman"/>
          <w:sz w:val="24"/>
          <w:szCs w:val="24"/>
        </w:rPr>
        <w:t>Gossard</w:t>
      </w:r>
      <w:proofErr w:type="spellEnd"/>
      <w:r w:rsidRPr="09F6F64B">
        <w:rPr>
          <w:rFonts w:ascii="Times New Roman" w:eastAsia="Times New Roman" w:hAnsi="Times New Roman" w:cs="Times New Roman"/>
          <w:sz w:val="24"/>
          <w:szCs w:val="24"/>
        </w:rPr>
        <w:t xml:space="preserve">. </w:t>
      </w:r>
    </w:p>
    <w:p w14:paraId="0B8E03F2" w14:textId="1C5C0A69" w:rsidR="7AEEE5B4" w:rsidRDefault="43FC110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Mainly because there is evidently a preference to work with the positive side of female relationships such as solidarity, as other </w:t>
      </w:r>
      <w:proofErr w:type="spellStart"/>
      <w:r w:rsidRPr="09F6F64B">
        <w:rPr>
          <w:rFonts w:ascii="Times New Roman" w:eastAsia="Times New Roman" w:hAnsi="Times New Roman" w:cs="Times New Roman"/>
          <w:sz w:val="24"/>
          <w:szCs w:val="24"/>
        </w:rPr>
        <w:t>Euripidean</w:t>
      </w:r>
      <w:proofErr w:type="spellEnd"/>
      <w:r w:rsidRPr="09F6F64B">
        <w:rPr>
          <w:rFonts w:ascii="Times New Roman" w:eastAsia="Times New Roman" w:hAnsi="Times New Roman" w:cs="Times New Roman"/>
          <w:sz w:val="24"/>
          <w:szCs w:val="24"/>
        </w:rPr>
        <w:t xml:space="preserve"> plays without an emphasis on female solidarity such as</w:t>
      </w:r>
      <w:r w:rsidRPr="09F6F64B">
        <w:rPr>
          <w:rFonts w:ascii="Times New Roman" w:eastAsia="Times New Roman" w:hAnsi="Times New Roman" w:cs="Times New Roman"/>
          <w:i/>
          <w:iCs/>
          <w:sz w:val="24"/>
          <w:szCs w:val="24"/>
        </w:rPr>
        <w:t xml:space="preserve"> Iphigenia in Aulis </w:t>
      </w:r>
      <w:r w:rsidRPr="09F6F64B">
        <w:rPr>
          <w:rFonts w:ascii="Times New Roman" w:eastAsia="Times New Roman" w:hAnsi="Times New Roman" w:cs="Times New Roman"/>
          <w:sz w:val="24"/>
          <w:szCs w:val="24"/>
        </w:rPr>
        <w:t>has also been left to be a side note</w:t>
      </w:r>
      <w:r w:rsidR="7AEEE5B4" w:rsidRPr="09F6F64B">
        <w:rPr>
          <w:rStyle w:val="FootnoteReference"/>
          <w:rFonts w:ascii="Times New Roman" w:eastAsia="Times New Roman" w:hAnsi="Times New Roman" w:cs="Times New Roman"/>
          <w:sz w:val="24"/>
          <w:szCs w:val="24"/>
        </w:rPr>
        <w:footnoteReference w:id="8"/>
      </w:r>
      <w:r w:rsidRPr="09F6F64B">
        <w:rPr>
          <w:rFonts w:ascii="Times New Roman" w:eastAsia="Times New Roman" w:hAnsi="Times New Roman" w:cs="Times New Roman"/>
          <w:sz w:val="24"/>
          <w:szCs w:val="24"/>
        </w:rPr>
        <w:t xml:space="preserve">. They make sure to acknowledge some plays do not engage with female solidarity but do not delve into that issue any more than that.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features two females in conflict with each other, which obviously complicates this notion that Euripides focuses on female solidarity. But this is another dynamic of female relationships that needs to be explored. Plus, if these scholars are right when they say Euripides focuses on female solidarity then why has he now decided to look at female conflict. </w:t>
      </w:r>
    </w:p>
    <w:p w14:paraId="343BC401" w14:textId="3D1CF31E" w:rsidR="7AEEE5B4"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It will be argued that Euripides has purposefully crafted </w:t>
      </w:r>
      <w:r w:rsidRPr="09F6F64B">
        <w:rPr>
          <w:rFonts w:ascii="Times New Roman" w:eastAsia="Times New Roman" w:hAnsi="Times New Roman" w:cs="Times New Roman"/>
          <w:i/>
          <w:iCs/>
          <w:sz w:val="24"/>
          <w:szCs w:val="24"/>
        </w:rPr>
        <w:t xml:space="preserve">Andromache </w:t>
      </w:r>
      <w:r w:rsidRPr="09F6F64B">
        <w:rPr>
          <w:rFonts w:ascii="Times New Roman" w:eastAsia="Times New Roman" w:hAnsi="Times New Roman" w:cs="Times New Roman"/>
          <w:sz w:val="24"/>
          <w:szCs w:val="24"/>
        </w:rPr>
        <w:t xml:space="preserve">so the act of conflict is the primary focus, before leading on to propose that the reason why is so that Euripides can convey that female conflict causes catastrophe. Consequently, a disagreement of how scholarship has treated the play emerges. In order to make the play fit into the tragic hero style Andromache has been pushed to be a morally superior woman, meaning in the eyes of these scholars she comes out of the play the winner of the conflict. However, the position held in this work is that when Andromache is analysed critically, and Hermione’s character is given a more thorough examination, no woman is better than the other. Thus, the conflict was not created in order to give Andromache a plight to be victorious over, rather the conflict was created to look at female conflict. </w:t>
      </w:r>
    </w:p>
    <w:p w14:paraId="544ABCDC" w14:textId="63C207AC" w:rsidR="7AEEE5B4" w:rsidRDefault="596B1A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lastRenderedPageBreak/>
        <w:t xml:space="preserve">This idea that Euripides would actively want there to be a conflict should not be shocking, as conflict is a very entertaining device in drama which draws the audience in to consider and debate themes or differing values. Similarly, it is not completely unique for a drama to include female conflict, as Sophocles’ </w:t>
      </w:r>
      <w:r w:rsidRPr="09F6F64B">
        <w:rPr>
          <w:rFonts w:ascii="Times New Roman" w:eastAsia="Times New Roman" w:hAnsi="Times New Roman" w:cs="Times New Roman"/>
          <w:i/>
          <w:iCs/>
          <w:sz w:val="24"/>
          <w:szCs w:val="24"/>
        </w:rPr>
        <w:t xml:space="preserve">Antigone </w:t>
      </w:r>
      <w:r w:rsidRPr="09F6F64B">
        <w:rPr>
          <w:rFonts w:ascii="Times New Roman" w:eastAsia="Times New Roman" w:hAnsi="Times New Roman" w:cs="Times New Roman"/>
          <w:sz w:val="24"/>
          <w:szCs w:val="24"/>
        </w:rPr>
        <w:t>also engages with conflict between the sisters Antigone and Ismene</w:t>
      </w:r>
      <w:r w:rsidR="7AEEE5B4" w:rsidRPr="09F6F64B">
        <w:rPr>
          <w:rStyle w:val="FootnoteReference"/>
          <w:rFonts w:ascii="Times New Roman" w:eastAsia="Times New Roman" w:hAnsi="Times New Roman" w:cs="Times New Roman"/>
          <w:sz w:val="24"/>
          <w:szCs w:val="24"/>
        </w:rPr>
        <w:footnoteReference w:id="9"/>
      </w:r>
      <w:r w:rsidRPr="09F6F64B">
        <w:rPr>
          <w:rFonts w:ascii="Times New Roman" w:eastAsia="Times New Roman" w:hAnsi="Times New Roman" w:cs="Times New Roman"/>
          <w:sz w:val="24"/>
          <w:szCs w:val="24"/>
        </w:rPr>
        <w:t>. Therefore, the idea that Euripides would want to write a play that includes female conflict is not unreasonable. That is why this work dose not argue support for the inclusion of female conflict, but rather that the female conflict is the central focus of the play.</w:t>
      </w:r>
    </w:p>
    <w:p w14:paraId="6E06A348" w14:textId="042395DB" w:rsidR="7AEEE5B4"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Firstly, this work will begin by examining Hermione’s character to show she has been unfairly treated by the scholarship before then moving on to Andromache’s character to argue against the hyperbolic treatment she has received. As mentioned, this will show that who is better out of the two is not important. There will be a discussion of how Euripides engages with Athenian Citizenship laws and changes them in order to create conflict, resulting in the idea that the conflict is not created to comment on these laws rather the laws are engaged with to cause and comment on female conflict. The structure of the play will be analysed to prove that looking at female conflict is the aim of the play, as structurally the conflict dominates. Finally, the idea that Euripides has chosen to focus his attention on female conflict to demonstrate females in conflict causes catastrophe will be explored.</w:t>
      </w:r>
    </w:p>
    <w:p w14:paraId="12034A4C" w14:textId="4234E16E" w:rsidR="7AEEE5B4" w:rsidRDefault="7AEEE5B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br w:type="page"/>
      </w:r>
    </w:p>
    <w:p w14:paraId="78E2F692" w14:textId="26A8AE7A" w:rsidR="008805C3" w:rsidRDefault="008805C3" w:rsidP="008805C3">
      <w:pPr>
        <w:pStyle w:val="Heading1"/>
        <w:rPr>
          <w:rFonts w:eastAsia="Times New Roman"/>
          <w:color w:val="auto"/>
        </w:rPr>
      </w:pPr>
      <w:bookmarkStart w:id="2" w:name="_Toc7809468"/>
      <w:r w:rsidRPr="008805C3">
        <w:rPr>
          <w:rFonts w:eastAsia="Times New Roman"/>
          <w:color w:val="auto"/>
        </w:rPr>
        <w:lastRenderedPageBreak/>
        <w:t>Chapter One</w:t>
      </w:r>
      <w:bookmarkEnd w:id="2"/>
    </w:p>
    <w:p w14:paraId="303A5517" w14:textId="77777777" w:rsidR="008805C3" w:rsidRPr="008805C3" w:rsidRDefault="008805C3" w:rsidP="008805C3"/>
    <w:p w14:paraId="0CF5F179" w14:textId="4BE2B51E" w:rsidR="7AEEE5B4" w:rsidRDefault="7822D796"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There is a trend in the scholarship to regard Andromache highly and with praise</w:t>
      </w:r>
      <w:r w:rsidR="7AEEE5B4" w:rsidRPr="18C04F21">
        <w:rPr>
          <w:rStyle w:val="FootnoteReference"/>
          <w:rFonts w:ascii="Times New Roman" w:eastAsia="Times New Roman" w:hAnsi="Times New Roman" w:cs="Times New Roman"/>
          <w:sz w:val="24"/>
          <w:szCs w:val="24"/>
        </w:rPr>
        <w:footnoteReference w:id="10"/>
      </w:r>
      <w:r w:rsidRPr="18C04F21">
        <w:rPr>
          <w:rFonts w:ascii="Times New Roman" w:eastAsia="Times New Roman" w:hAnsi="Times New Roman" w:cs="Times New Roman"/>
          <w:sz w:val="24"/>
          <w:szCs w:val="24"/>
        </w:rPr>
        <w:t>, whilst Hermione is devalued to be ‘nothing but...arrogance and narrow-minded cruelty’</w:t>
      </w:r>
      <w:r w:rsidR="7AEEE5B4" w:rsidRPr="18C04F21">
        <w:rPr>
          <w:rStyle w:val="FootnoteReference"/>
          <w:rFonts w:ascii="Times New Roman" w:eastAsia="Times New Roman" w:hAnsi="Times New Roman" w:cs="Times New Roman"/>
          <w:sz w:val="24"/>
          <w:szCs w:val="24"/>
        </w:rPr>
        <w:footnoteReference w:id="11"/>
      </w:r>
      <w:r w:rsidRPr="18C04F21">
        <w:rPr>
          <w:rFonts w:ascii="Times New Roman" w:eastAsia="Times New Roman" w:hAnsi="Times New Roman" w:cs="Times New Roman"/>
          <w:sz w:val="24"/>
          <w:szCs w:val="24"/>
        </w:rPr>
        <w:t xml:space="preserve">. While these criticisms come from the World War II era, even in modern scholarship these views are not actively challenged instead they are cited in recent scholarship without discussion. This chapter argues that Hermione has been treated unfairly by scholars, that they have been taken in by the prejudice that Andromache and Peleus have against Hermione and have thus created a judgement of Hermione that was not intended by Euripides. </w:t>
      </w:r>
    </w:p>
    <w:p w14:paraId="11673A09" w14:textId="799F84BE" w:rsidR="7AEEE5B4" w:rsidRDefault="7822D796"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The charge from many scholars is that Hermione is too much like Helen, unable to control her lust</w:t>
      </w:r>
      <w:r w:rsidR="7AEEE5B4" w:rsidRPr="18C04F21">
        <w:rPr>
          <w:rStyle w:val="FootnoteReference"/>
          <w:rFonts w:ascii="Times New Roman" w:eastAsia="Times New Roman" w:hAnsi="Times New Roman" w:cs="Times New Roman"/>
          <w:sz w:val="24"/>
          <w:szCs w:val="24"/>
        </w:rPr>
        <w:footnoteReference w:id="12"/>
      </w:r>
      <w:r w:rsidRPr="18C04F21">
        <w:rPr>
          <w:rFonts w:ascii="Times New Roman" w:eastAsia="Times New Roman" w:hAnsi="Times New Roman" w:cs="Times New Roman"/>
          <w:sz w:val="24"/>
          <w:szCs w:val="24"/>
        </w:rPr>
        <w:t xml:space="preserve"> she copies her mother’s behaviour</w:t>
      </w:r>
      <w:r w:rsidR="7AEEE5B4" w:rsidRPr="18C04F21">
        <w:rPr>
          <w:rStyle w:val="FootnoteReference"/>
          <w:rFonts w:ascii="Times New Roman" w:eastAsia="Times New Roman" w:hAnsi="Times New Roman" w:cs="Times New Roman"/>
          <w:sz w:val="24"/>
          <w:szCs w:val="24"/>
        </w:rPr>
        <w:footnoteReference w:id="13"/>
      </w:r>
      <w:r w:rsidRPr="18C04F21">
        <w:rPr>
          <w:rFonts w:ascii="Times New Roman" w:eastAsia="Times New Roman" w:hAnsi="Times New Roman" w:cs="Times New Roman"/>
          <w:sz w:val="24"/>
          <w:szCs w:val="24"/>
        </w:rPr>
        <w:t>. But Hermione is not shown to be lustful. Part of the conflict between Andromache and herself is because Hermione believes relationships should be monogamous ‘one woman in one bed‘</w:t>
      </w:r>
      <w:r w:rsidR="7AEEE5B4" w:rsidRPr="18C04F21">
        <w:rPr>
          <w:rStyle w:val="FootnoteReference"/>
          <w:rFonts w:ascii="Times New Roman" w:eastAsia="Times New Roman" w:hAnsi="Times New Roman" w:cs="Times New Roman"/>
          <w:sz w:val="24"/>
          <w:szCs w:val="24"/>
        </w:rPr>
        <w:footnoteReference w:id="14"/>
      </w:r>
      <w:r w:rsidRPr="18C04F21">
        <w:rPr>
          <w:rFonts w:ascii="Times New Roman" w:eastAsia="Times New Roman" w:hAnsi="Times New Roman" w:cs="Times New Roman"/>
          <w:sz w:val="24"/>
          <w:szCs w:val="24"/>
        </w:rPr>
        <w:t xml:space="preserve"> whereas Andromache believes this is too strict</w:t>
      </w:r>
      <w:r w:rsidR="7AEEE5B4" w:rsidRPr="18C04F21">
        <w:rPr>
          <w:rStyle w:val="FootnoteReference"/>
          <w:rFonts w:ascii="Times New Roman" w:eastAsia="Times New Roman" w:hAnsi="Times New Roman" w:cs="Times New Roman"/>
          <w:sz w:val="24"/>
          <w:szCs w:val="24"/>
        </w:rPr>
        <w:footnoteReference w:id="15"/>
      </w:r>
      <w:r w:rsidRPr="18C04F21">
        <w:rPr>
          <w:rFonts w:ascii="Times New Roman" w:eastAsia="Times New Roman" w:hAnsi="Times New Roman" w:cs="Times New Roman"/>
          <w:sz w:val="24"/>
          <w:szCs w:val="24"/>
        </w:rPr>
        <w:t>. While Hermione does leave with another man, Orestes, at the end of the play</w:t>
      </w:r>
      <w:r w:rsidR="7AEEE5B4" w:rsidRPr="18C04F21">
        <w:rPr>
          <w:rStyle w:val="FootnoteReference"/>
          <w:rFonts w:ascii="Times New Roman" w:eastAsia="Times New Roman" w:hAnsi="Times New Roman" w:cs="Times New Roman"/>
          <w:sz w:val="24"/>
          <w:szCs w:val="24"/>
        </w:rPr>
        <w:footnoteReference w:id="16"/>
      </w:r>
      <w:r w:rsidRPr="18C04F21">
        <w:rPr>
          <w:rFonts w:ascii="Times New Roman" w:eastAsia="Times New Roman" w:hAnsi="Times New Roman" w:cs="Times New Roman"/>
          <w:sz w:val="24"/>
          <w:szCs w:val="24"/>
        </w:rPr>
        <w:t xml:space="preserve"> this is because of her fear towards her husband not out of lust</w:t>
      </w:r>
      <w:r w:rsidR="7AEEE5B4" w:rsidRPr="18C04F21">
        <w:rPr>
          <w:rStyle w:val="FootnoteReference"/>
          <w:rFonts w:ascii="Times New Roman" w:eastAsia="Times New Roman" w:hAnsi="Times New Roman" w:cs="Times New Roman"/>
          <w:sz w:val="24"/>
          <w:szCs w:val="24"/>
        </w:rPr>
        <w:footnoteReference w:id="17"/>
      </w:r>
      <w:r w:rsidRPr="18C04F21">
        <w:rPr>
          <w:rFonts w:ascii="Times New Roman" w:eastAsia="Times New Roman" w:hAnsi="Times New Roman" w:cs="Times New Roman"/>
          <w:sz w:val="24"/>
          <w:szCs w:val="24"/>
        </w:rPr>
        <w:t>, which differs to Helen’s departure with Paris</w:t>
      </w:r>
      <w:r w:rsidR="7AEEE5B4" w:rsidRPr="18C04F21">
        <w:rPr>
          <w:rStyle w:val="FootnoteReference"/>
          <w:rFonts w:ascii="Times New Roman" w:eastAsia="Times New Roman" w:hAnsi="Times New Roman" w:cs="Times New Roman"/>
          <w:sz w:val="24"/>
          <w:szCs w:val="24"/>
        </w:rPr>
        <w:footnoteReference w:id="18"/>
      </w:r>
      <w:r w:rsidRPr="18C04F21">
        <w:rPr>
          <w:rFonts w:ascii="Times New Roman" w:eastAsia="Times New Roman" w:hAnsi="Times New Roman" w:cs="Times New Roman"/>
          <w:sz w:val="24"/>
          <w:szCs w:val="24"/>
        </w:rPr>
        <w:t>. The same is true when Hermione, comparable to Helen, exposes her breasts. Hermione does this out of not caring for her state of appearance due to her mental state</w:t>
      </w:r>
      <w:r w:rsidR="7AEEE5B4" w:rsidRPr="18C04F21">
        <w:rPr>
          <w:rStyle w:val="FootnoteReference"/>
          <w:rFonts w:ascii="Times New Roman" w:eastAsia="Times New Roman" w:hAnsi="Times New Roman" w:cs="Times New Roman"/>
          <w:sz w:val="24"/>
          <w:szCs w:val="24"/>
        </w:rPr>
        <w:footnoteReference w:id="19"/>
      </w:r>
      <w:r w:rsidRPr="18C04F21">
        <w:rPr>
          <w:rFonts w:ascii="Times New Roman" w:eastAsia="Times New Roman" w:hAnsi="Times New Roman" w:cs="Times New Roman"/>
          <w:sz w:val="24"/>
          <w:szCs w:val="24"/>
        </w:rPr>
        <w:t xml:space="preserve"> which Orestes happens to arrive during</w:t>
      </w:r>
      <w:r w:rsidR="7AEEE5B4" w:rsidRPr="18C04F21">
        <w:rPr>
          <w:rStyle w:val="FootnoteReference"/>
          <w:rFonts w:ascii="Times New Roman" w:eastAsia="Times New Roman" w:hAnsi="Times New Roman" w:cs="Times New Roman"/>
          <w:sz w:val="24"/>
          <w:szCs w:val="24"/>
        </w:rPr>
        <w:footnoteReference w:id="20"/>
      </w:r>
      <w:r w:rsidRPr="18C04F21">
        <w:rPr>
          <w:rFonts w:ascii="Times New Roman" w:eastAsia="Times New Roman" w:hAnsi="Times New Roman" w:cs="Times New Roman"/>
          <w:sz w:val="24"/>
          <w:szCs w:val="24"/>
        </w:rPr>
        <w:t xml:space="preserve">. The dramatic effect of this action for the audience must also be </w:t>
      </w:r>
      <w:r w:rsidRPr="18C04F21">
        <w:rPr>
          <w:rFonts w:ascii="Times New Roman" w:eastAsia="Times New Roman" w:hAnsi="Times New Roman" w:cs="Times New Roman"/>
          <w:sz w:val="24"/>
          <w:szCs w:val="24"/>
        </w:rPr>
        <w:lastRenderedPageBreak/>
        <w:t>considered. Helen however exposes her breasts using lust in order to stop Menelaus from killing her</w:t>
      </w:r>
      <w:r w:rsidR="7AEEE5B4" w:rsidRPr="18C04F21">
        <w:rPr>
          <w:rStyle w:val="FootnoteReference"/>
          <w:rFonts w:ascii="Times New Roman" w:eastAsia="Times New Roman" w:hAnsi="Times New Roman" w:cs="Times New Roman"/>
          <w:sz w:val="24"/>
          <w:szCs w:val="24"/>
        </w:rPr>
        <w:footnoteReference w:id="21"/>
      </w:r>
      <w:r w:rsidRPr="18C04F21">
        <w:rPr>
          <w:rFonts w:ascii="Times New Roman" w:eastAsia="Times New Roman" w:hAnsi="Times New Roman" w:cs="Times New Roman"/>
          <w:sz w:val="24"/>
          <w:szCs w:val="24"/>
        </w:rPr>
        <w:t>. But Andromache accuses Hermione of copying or even trying to surpass Helen warning Hermione ’you should not try to outdo your mother’</w:t>
      </w:r>
      <w:r w:rsidR="7AEEE5B4" w:rsidRPr="18C04F21">
        <w:rPr>
          <w:rStyle w:val="FootnoteReference"/>
          <w:rFonts w:ascii="Times New Roman" w:eastAsia="Times New Roman" w:hAnsi="Times New Roman" w:cs="Times New Roman"/>
          <w:sz w:val="24"/>
          <w:szCs w:val="24"/>
        </w:rPr>
        <w:footnoteReference w:id="22"/>
      </w:r>
      <w:r w:rsidRPr="18C04F21">
        <w:rPr>
          <w:rFonts w:ascii="Times New Roman" w:eastAsia="Times New Roman" w:hAnsi="Times New Roman" w:cs="Times New Roman"/>
          <w:sz w:val="24"/>
          <w:szCs w:val="24"/>
        </w:rPr>
        <w:t xml:space="preserve"> before these two events happen, which in turn makes that seem like an unfounded statement.</w:t>
      </w:r>
    </w:p>
    <w:p w14:paraId="137014BE" w14:textId="41F5CA49" w:rsidR="7AEEE5B4" w:rsidRDefault="34EB97B0"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The one comparison between Hermione and Helen that scholars seem to ignore is their shared isolation. Only Allan is fair enough to state there is compelling evidence to show Hermione is insecure and isolated</w:t>
      </w:r>
      <w:r w:rsidR="7AEEE5B4" w:rsidRPr="18C04F21">
        <w:rPr>
          <w:rStyle w:val="FootnoteReference"/>
          <w:rFonts w:ascii="Times New Roman" w:eastAsia="Times New Roman" w:hAnsi="Times New Roman" w:cs="Times New Roman"/>
          <w:sz w:val="24"/>
          <w:szCs w:val="24"/>
        </w:rPr>
        <w:footnoteReference w:id="23"/>
      </w:r>
      <w:r w:rsidRPr="18C04F21">
        <w:rPr>
          <w:rFonts w:ascii="Times New Roman" w:eastAsia="Times New Roman" w:hAnsi="Times New Roman" w:cs="Times New Roman"/>
          <w:sz w:val="24"/>
          <w:szCs w:val="24"/>
        </w:rPr>
        <w:t>. Hermione is in a household where her husband apparently dislikes her</w:t>
      </w:r>
      <w:r w:rsidR="7AEEE5B4" w:rsidRPr="18C04F21">
        <w:rPr>
          <w:rStyle w:val="FootnoteReference"/>
          <w:rFonts w:ascii="Times New Roman" w:eastAsia="Times New Roman" w:hAnsi="Times New Roman" w:cs="Times New Roman"/>
          <w:sz w:val="24"/>
          <w:szCs w:val="24"/>
        </w:rPr>
        <w:footnoteReference w:id="24"/>
      </w:r>
      <w:r w:rsidRPr="18C04F21">
        <w:rPr>
          <w:rFonts w:ascii="Times New Roman" w:eastAsia="Times New Roman" w:hAnsi="Times New Roman" w:cs="Times New Roman"/>
          <w:sz w:val="24"/>
          <w:szCs w:val="24"/>
        </w:rPr>
        <w:t xml:space="preserve"> and is also absent</w:t>
      </w:r>
      <w:r w:rsidR="7AEEE5B4" w:rsidRPr="18C04F21">
        <w:rPr>
          <w:rStyle w:val="FootnoteReference"/>
          <w:rFonts w:ascii="Times New Roman" w:eastAsia="Times New Roman" w:hAnsi="Times New Roman" w:cs="Times New Roman"/>
          <w:sz w:val="24"/>
          <w:szCs w:val="24"/>
        </w:rPr>
        <w:footnoteReference w:id="25"/>
      </w:r>
      <w:r w:rsidRPr="18C04F21">
        <w:rPr>
          <w:rFonts w:ascii="Times New Roman" w:eastAsia="Times New Roman" w:hAnsi="Times New Roman" w:cs="Times New Roman"/>
          <w:sz w:val="24"/>
          <w:szCs w:val="24"/>
        </w:rPr>
        <w:t>. Peleus as well dislikes her</w:t>
      </w:r>
      <w:r w:rsidR="7AEEE5B4" w:rsidRPr="18C04F21">
        <w:rPr>
          <w:rStyle w:val="FootnoteReference"/>
          <w:rFonts w:ascii="Times New Roman" w:eastAsia="Times New Roman" w:hAnsi="Times New Roman" w:cs="Times New Roman"/>
          <w:sz w:val="24"/>
          <w:szCs w:val="24"/>
        </w:rPr>
        <w:footnoteReference w:id="26"/>
      </w:r>
      <w:r w:rsidRPr="18C04F21">
        <w:rPr>
          <w:rFonts w:ascii="Times New Roman" w:eastAsia="Times New Roman" w:hAnsi="Times New Roman" w:cs="Times New Roman"/>
          <w:sz w:val="24"/>
          <w:szCs w:val="24"/>
        </w:rPr>
        <w:t>. She’s in conflict with Andromache who she believes is poisoning her</w:t>
      </w:r>
      <w:r w:rsidR="7AEEE5B4" w:rsidRPr="18C04F21">
        <w:rPr>
          <w:rStyle w:val="FootnoteReference"/>
          <w:rFonts w:ascii="Times New Roman" w:eastAsia="Times New Roman" w:hAnsi="Times New Roman" w:cs="Times New Roman"/>
          <w:sz w:val="24"/>
          <w:szCs w:val="24"/>
        </w:rPr>
        <w:footnoteReference w:id="27"/>
      </w:r>
      <w:r w:rsidRPr="18C04F21">
        <w:rPr>
          <w:rFonts w:ascii="Times New Roman" w:eastAsia="Times New Roman" w:hAnsi="Times New Roman" w:cs="Times New Roman"/>
          <w:sz w:val="24"/>
          <w:szCs w:val="24"/>
        </w:rPr>
        <w:t xml:space="preserve"> and her father leaves her as well to deal with the consequences on her own</w:t>
      </w:r>
      <w:r w:rsidR="7AEEE5B4" w:rsidRPr="18C04F21">
        <w:rPr>
          <w:rStyle w:val="FootnoteReference"/>
          <w:rFonts w:ascii="Times New Roman" w:eastAsia="Times New Roman" w:hAnsi="Times New Roman" w:cs="Times New Roman"/>
          <w:sz w:val="24"/>
          <w:szCs w:val="24"/>
        </w:rPr>
        <w:footnoteReference w:id="28"/>
      </w:r>
      <w:r w:rsidRPr="18C04F21">
        <w:rPr>
          <w:rFonts w:ascii="Times New Roman" w:eastAsia="Times New Roman" w:hAnsi="Times New Roman" w:cs="Times New Roman"/>
          <w:sz w:val="24"/>
          <w:szCs w:val="24"/>
        </w:rPr>
        <w:t>. When Hermione is trying to kill herself, her Nurse must convince the other women to come to Hermione‘s aid despite them having already heard her distress</w:t>
      </w:r>
      <w:r w:rsidR="7AEEE5B4" w:rsidRPr="18C04F21">
        <w:rPr>
          <w:rStyle w:val="FootnoteReference"/>
          <w:rFonts w:ascii="Times New Roman" w:eastAsia="Times New Roman" w:hAnsi="Times New Roman" w:cs="Times New Roman"/>
          <w:sz w:val="24"/>
          <w:szCs w:val="24"/>
        </w:rPr>
        <w:footnoteReference w:id="29"/>
      </w:r>
      <w:r w:rsidRPr="18C04F21">
        <w:rPr>
          <w:rFonts w:ascii="Times New Roman" w:eastAsia="Times New Roman" w:hAnsi="Times New Roman" w:cs="Times New Roman"/>
          <w:sz w:val="24"/>
          <w:szCs w:val="24"/>
        </w:rPr>
        <w:t xml:space="preserve"> and even when the Nurse does this, we do not see the chorus of women interact or try and console Hermione</w:t>
      </w:r>
      <w:r w:rsidR="7AEEE5B4" w:rsidRPr="18C04F21">
        <w:rPr>
          <w:rStyle w:val="FootnoteReference"/>
          <w:rFonts w:ascii="Times New Roman" w:eastAsia="Times New Roman" w:hAnsi="Times New Roman" w:cs="Times New Roman"/>
          <w:sz w:val="24"/>
          <w:szCs w:val="24"/>
        </w:rPr>
        <w:footnoteReference w:id="30"/>
      </w:r>
      <w:r w:rsidRPr="18C04F21">
        <w:rPr>
          <w:rFonts w:ascii="Times New Roman" w:eastAsia="Times New Roman" w:hAnsi="Times New Roman" w:cs="Times New Roman"/>
          <w:sz w:val="24"/>
          <w:szCs w:val="24"/>
        </w:rPr>
        <w:t>. Helen is also shown to be isolated when in Paris’ household. Blondell argues this as we are shown no interactions between her and the women of Troy</w:t>
      </w:r>
      <w:r w:rsidR="7AEEE5B4" w:rsidRPr="18C04F21">
        <w:rPr>
          <w:rStyle w:val="FootnoteReference"/>
          <w:rFonts w:ascii="Times New Roman" w:eastAsia="Times New Roman" w:hAnsi="Times New Roman" w:cs="Times New Roman"/>
          <w:sz w:val="24"/>
          <w:szCs w:val="24"/>
        </w:rPr>
        <w:footnoteReference w:id="31"/>
      </w:r>
      <w:r w:rsidRPr="18C04F21">
        <w:rPr>
          <w:rFonts w:ascii="Times New Roman" w:eastAsia="Times New Roman" w:hAnsi="Times New Roman" w:cs="Times New Roman"/>
          <w:sz w:val="24"/>
          <w:szCs w:val="24"/>
        </w:rPr>
        <w:t>, we only see her interact with men for example while all the women are communally praying Helen is apart from that with Paris</w:t>
      </w:r>
      <w:r w:rsidR="7AEEE5B4" w:rsidRPr="18C04F21">
        <w:rPr>
          <w:rStyle w:val="FootnoteReference"/>
          <w:rFonts w:ascii="Times New Roman" w:eastAsia="Times New Roman" w:hAnsi="Times New Roman" w:cs="Times New Roman"/>
          <w:sz w:val="24"/>
          <w:szCs w:val="24"/>
        </w:rPr>
        <w:footnoteReference w:id="32"/>
      </w:r>
      <w:r w:rsidRPr="18C04F21">
        <w:rPr>
          <w:rFonts w:ascii="Times New Roman" w:eastAsia="Times New Roman" w:hAnsi="Times New Roman" w:cs="Times New Roman"/>
          <w:sz w:val="24"/>
          <w:szCs w:val="24"/>
        </w:rPr>
        <w:t>. While the goddess Iris visits Helen disguised as one of her sisters-in-law</w:t>
      </w:r>
      <w:r w:rsidR="7AEEE5B4" w:rsidRPr="18C04F21">
        <w:rPr>
          <w:rStyle w:val="FootnoteReference"/>
          <w:rFonts w:ascii="Times New Roman" w:eastAsia="Times New Roman" w:hAnsi="Times New Roman" w:cs="Times New Roman"/>
          <w:sz w:val="24"/>
          <w:szCs w:val="24"/>
        </w:rPr>
        <w:footnoteReference w:id="33"/>
      </w:r>
      <w:r w:rsidRPr="18C04F21">
        <w:rPr>
          <w:rFonts w:ascii="Times New Roman" w:eastAsia="Times New Roman" w:hAnsi="Times New Roman" w:cs="Times New Roman"/>
          <w:sz w:val="24"/>
          <w:szCs w:val="24"/>
        </w:rPr>
        <w:t xml:space="preserve">, Blondell convincingly suggests that this highlights Helen’s isolation from real women </w:t>
      </w:r>
      <w:r w:rsidRPr="18C04F21">
        <w:rPr>
          <w:rFonts w:ascii="Times New Roman" w:eastAsia="Times New Roman" w:hAnsi="Times New Roman" w:cs="Times New Roman"/>
          <w:sz w:val="24"/>
          <w:szCs w:val="24"/>
        </w:rPr>
        <w:lastRenderedPageBreak/>
        <w:t>as the only time we see her interact with the women in this household is through a goddess</w:t>
      </w:r>
      <w:r w:rsidR="7AEEE5B4" w:rsidRPr="18C04F21">
        <w:rPr>
          <w:rStyle w:val="FootnoteReference"/>
          <w:rFonts w:ascii="Times New Roman" w:eastAsia="Times New Roman" w:hAnsi="Times New Roman" w:cs="Times New Roman"/>
          <w:sz w:val="24"/>
          <w:szCs w:val="24"/>
        </w:rPr>
        <w:footnoteReference w:id="34"/>
      </w:r>
      <w:r w:rsidRPr="18C04F21">
        <w:rPr>
          <w:rFonts w:ascii="Times New Roman" w:eastAsia="Times New Roman" w:hAnsi="Times New Roman" w:cs="Times New Roman"/>
          <w:sz w:val="24"/>
          <w:szCs w:val="24"/>
        </w:rPr>
        <w:t xml:space="preserve">. </w:t>
      </w:r>
    </w:p>
    <w:p w14:paraId="32546A1D" w14:textId="106A01D0" w:rsidR="1130C7B7" w:rsidRDefault="1130C7B7"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Interestingly another comparison between the mother and daughter is that both at some point are considered to have a rival for their lover. Hermione obviously believes that Andromache is a rival for Neoptolemus as they previously had a, or as will be argued later have an ongoing, relationship that resulted in a child</w:t>
      </w:r>
      <w:r w:rsidRPr="18C04F21">
        <w:rPr>
          <w:rStyle w:val="FootnoteReference"/>
          <w:rFonts w:ascii="Times New Roman" w:eastAsia="Times New Roman" w:hAnsi="Times New Roman" w:cs="Times New Roman"/>
          <w:sz w:val="24"/>
          <w:szCs w:val="24"/>
        </w:rPr>
        <w:footnoteReference w:id="35"/>
      </w:r>
      <w:r w:rsidRPr="18C04F21">
        <w:rPr>
          <w:rFonts w:ascii="Times New Roman" w:eastAsia="Times New Roman" w:hAnsi="Times New Roman" w:cs="Times New Roman"/>
          <w:sz w:val="24"/>
          <w:szCs w:val="24"/>
        </w:rPr>
        <w:t xml:space="preserve">. We see in </w:t>
      </w:r>
      <w:r w:rsidRPr="09F6F64B">
        <w:rPr>
          <w:rFonts w:ascii="Times New Roman" w:eastAsia="Times New Roman" w:hAnsi="Times New Roman" w:cs="Times New Roman"/>
          <w:i/>
          <w:iCs/>
          <w:sz w:val="24"/>
          <w:szCs w:val="24"/>
        </w:rPr>
        <w:t xml:space="preserve">The Iliad </w:t>
      </w:r>
      <w:r w:rsidRPr="09F6F64B">
        <w:rPr>
          <w:rFonts w:ascii="Times New Roman" w:eastAsia="Times New Roman" w:hAnsi="Times New Roman" w:cs="Times New Roman"/>
          <w:sz w:val="24"/>
          <w:szCs w:val="24"/>
        </w:rPr>
        <w:t>that Helen also accuses Aphrodite of wanting Paris</w:t>
      </w:r>
      <w:r w:rsidRPr="09F6F64B">
        <w:rPr>
          <w:rStyle w:val="FootnoteReference"/>
          <w:rFonts w:ascii="Times New Roman" w:eastAsia="Times New Roman" w:hAnsi="Times New Roman" w:cs="Times New Roman"/>
          <w:sz w:val="24"/>
          <w:szCs w:val="24"/>
        </w:rPr>
        <w:footnoteReference w:id="36"/>
      </w:r>
      <w:r w:rsidRPr="09F6F64B">
        <w:rPr>
          <w:rFonts w:ascii="Times New Roman" w:eastAsia="Times New Roman" w:hAnsi="Times New Roman" w:cs="Times New Roman"/>
          <w:sz w:val="24"/>
          <w:szCs w:val="24"/>
        </w:rPr>
        <w:t>, while Helen at this moment claims to not want to be with Paris</w:t>
      </w:r>
      <w:r w:rsidRPr="09F6F64B">
        <w:rPr>
          <w:rStyle w:val="FootnoteReference"/>
          <w:rFonts w:ascii="Times New Roman" w:eastAsia="Times New Roman" w:hAnsi="Times New Roman" w:cs="Times New Roman"/>
          <w:sz w:val="24"/>
          <w:szCs w:val="24"/>
        </w:rPr>
        <w:footnoteReference w:id="37"/>
      </w:r>
      <w:r w:rsidRPr="09F6F64B">
        <w:rPr>
          <w:rFonts w:ascii="Times New Roman" w:eastAsia="Times New Roman" w:hAnsi="Times New Roman" w:cs="Times New Roman"/>
          <w:sz w:val="24"/>
          <w:szCs w:val="24"/>
        </w:rPr>
        <w:t>. Blondell is agreeable when she says this still implies that in their relationship there is competitiveness and jealousy between them especially on the goddess‘ part</w:t>
      </w:r>
      <w:r w:rsidRPr="09F6F64B">
        <w:rPr>
          <w:rStyle w:val="FootnoteReference"/>
          <w:rFonts w:ascii="Times New Roman" w:eastAsia="Times New Roman" w:hAnsi="Times New Roman" w:cs="Times New Roman"/>
          <w:sz w:val="24"/>
          <w:szCs w:val="24"/>
        </w:rPr>
        <w:footnoteReference w:id="38"/>
      </w:r>
      <w:r w:rsidRPr="09F6F64B">
        <w:rPr>
          <w:rFonts w:ascii="Times New Roman" w:eastAsia="Times New Roman" w:hAnsi="Times New Roman" w:cs="Times New Roman"/>
          <w:sz w:val="24"/>
          <w:szCs w:val="24"/>
        </w:rPr>
        <w:t>. If Euripides intended for this link to be made, then this also reflects badly on Andromache as it suggests that the pair of them are in a mutually competitive relationship.</w:t>
      </w:r>
    </w:p>
    <w:p w14:paraId="17DA9889" w14:textId="2016EE9F" w:rsidR="1130C7B7" w:rsidRDefault="1130C7B7"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Andromache is acting out her anger for Helen on Hermione. Before Hermione enters the play Andromache laments how her husband's death and the destruction of Troy is Helen’s fault as ‘because of her...warriors of Greece came’</w:t>
      </w:r>
      <w:r w:rsidRPr="09F6F64B">
        <w:rPr>
          <w:rStyle w:val="FootnoteReference"/>
          <w:rFonts w:ascii="Times New Roman" w:eastAsia="Times New Roman" w:hAnsi="Times New Roman" w:cs="Times New Roman"/>
          <w:sz w:val="24"/>
          <w:szCs w:val="24"/>
        </w:rPr>
        <w:footnoteReference w:id="39"/>
      </w:r>
      <w:r w:rsidRPr="09F6F64B">
        <w:rPr>
          <w:rFonts w:ascii="Times New Roman" w:eastAsia="Times New Roman" w:hAnsi="Times New Roman" w:cs="Times New Roman"/>
          <w:sz w:val="24"/>
          <w:szCs w:val="24"/>
        </w:rPr>
        <w:t xml:space="preserve">. In </w:t>
      </w:r>
      <w:r w:rsidRPr="09F6F64B">
        <w:rPr>
          <w:rFonts w:ascii="Times New Roman" w:eastAsia="Times New Roman" w:hAnsi="Times New Roman" w:cs="Times New Roman"/>
          <w:i/>
          <w:iCs/>
          <w:sz w:val="24"/>
          <w:szCs w:val="24"/>
        </w:rPr>
        <w:t xml:space="preserve">Trojan Women, </w:t>
      </w:r>
      <w:r w:rsidRPr="09F6F64B">
        <w:rPr>
          <w:rFonts w:ascii="Times New Roman" w:eastAsia="Times New Roman" w:hAnsi="Times New Roman" w:cs="Times New Roman"/>
          <w:sz w:val="24"/>
          <w:szCs w:val="24"/>
        </w:rPr>
        <w:t xml:space="preserve">which is set before the events of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w:t>
      </w:r>
      <w:r w:rsidRPr="09F6F64B">
        <w:rPr>
          <w:rFonts w:ascii="Times New Roman" w:eastAsia="Times New Roman" w:hAnsi="Times New Roman" w:cs="Times New Roman"/>
          <w:i/>
          <w:iCs/>
          <w:sz w:val="24"/>
          <w:szCs w:val="24"/>
        </w:rPr>
        <w:t xml:space="preserve"> </w:t>
      </w:r>
      <w:r w:rsidRPr="09F6F64B">
        <w:rPr>
          <w:rFonts w:ascii="Times New Roman" w:eastAsia="Times New Roman" w:hAnsi="Times New Roman" w:cs="Times New Roman"/>
          <w:sz w:val="24"/>
          <w:szCs w:val="24"/>
        </w:rPr>
        <w:t>the extent of this hatred for Helen is made clear</w:t>
      </w:r>
      <w:r w:rsidRPr="09F6F64B">
        <w:rPr>
          <w:rStyle w:val="FootnoteReference"/>
          <w:rFonts w:ascii="Times New Roman" w:eastAsia="Times New Roman" w:hAnsi="Times New Roman" w:cs="Times New Roman"/>
          <w:sz w:val="24"/>
          <w:szCs w:val="24"/>
        </w:rPr>
        <w:footnoteReference w:id="40"/>
      </w:r>
      <w:r w:rsidRPr="09F6F64B">
        <w:rPr>
          <w:rFonts w:ascii="Times New Roman" w:eastAsia="Times New Roman" w:hAnsi="Times New Roman" w:cs="Times New Roman"/>
          <w:sz w:val="24"/>
          <w:szCs w:val="24"/>
        </w:rPr>
        <w:t>. Andromache even makes it clear that she resents Hermione because of who her mother is ’Helen was the cause of his death...and she is your mother’</w:t>
      </w:r>
      <w:r w:rsidRPr="09F6F64B">
        <w:rPr>
          <w:rStyle w:val="FootnoteReference"/>
          <w:rFonts w:ascii="Times New Roman" w:eastAsia="Times New Roman" w:hAnsi="Times New Roman" w:cs="Times New Roman"/>
          <w:sz w:val="24"/>
          <w:szCs w:val="24"/>
        </w:rPr>
        <w:footnoteReference w:id="41"/>
      </w:r>
      <w:r w:rsidRPr="09F6F64B">
        <w:rPr>
          <w:rFonts w:ascii="Times New Roman" w:eastAsia="Times New Roman" w:hAnsi="Times New Roman" w:cs="Times New Roman"/>
          <w:sz w:val="24"/>
          <w:szCs w:val="24"/>
        </w:rPr>
        <w:t xml:space="preserve">. This multi-generational hatred displayed by Andromache is shown to be more excessive when we compare Hecuba’s interaction with Helen. Hecuba has also suffered greatly due to the </w:t>
      </w:r>
      <w:r w:rsidRPr="09F6F64B">
        <w:rPr>
          <w:rFonts w:ascii="Times New Roman" w:eastAsia="Times New Roman" w:hAnsi="Times New Roman" w:cs="Times New Roman"/>
          <w:sz w:val="24"/>
          <w:szCs w:val="24"/>
        </w:rPr>
        <w:lastRenderedPageBreak/>
        <w:t>Trojan war, yet she helps Helen by ensuring that Helen has the opportunity to defend herself in court</w:t>
      </w:r>
      <w:r w:rsidRPr="09F6F64B">
        <w:rPr>
          <w:rStyle w:val="FootnoteReference"/>
          <w:rFonts w:ascii="Times New Roman" w:eastAsia="Times New Roman" w:hAnsi="Times New Roman" w:cs="Times New Roman"/>
          <w:sz w:val="24"/>
          <w:szCs w:val="24"/>
        </w:rPr>
        <w:footnoteReference w:id="42"/>
      </w:r>
      <w:r w:rsidRPr="09F6F64B">
        <w:rPr>
          <w:rFonts w:ascii="Times New Roman" w:eastAsia="Times New Roman" w:hAnsi="Times New Roman" w:cs="Times New Roman"/>
          <w:sz w:val="24"/>
          <w:szCs w:val="24"/>
        </w:rPr>
        <w:t>. This is a surprising response, especially as it leads to Helen eventually not being executed, from someone who hates Helen</w:t>
      </w:r>
      <w:r w:rsidRPr="09F6F64B">
        <w:rPr>
          <w:rStyle w:val="FootnoteReference"/>
          <w:rFonts w:ascii="Times New Roman" w:eastAsia="Times New Roman" w:hAnsi="Times New Roman" w:cs="Times New Roman"/>
          <w:sz w:val="24"/>
          <w:szCs w:val="24"/>
        </w:rPr>
        <w:footnoteReference w:id="43"/>
      </w:r>
      <w:r w:rsidRPr="09F6F64B">
        <w:rPr>
          <w:rFonts w:ascii="Times New Roman" w:eastAsia="Times New Roman" w:hAnsi="Times New Roman" w:cs="Times New Roman"/>
          <w:sz w:val="24"/>
          <w:szCs w:val="24"/>
        </w:rPr>
        <w:t xml:space="preserve">. </w:t>
      </w:r>
    </w:p>
    <w:p w14:paraId="66DE33B4" w14:textId="5908D249" w:rsidR="1130C7B7" w:rsidRDefault="1130C7B7"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Furthermore, unlike Andromache, Hecuba even acknowledges the gods’ role</w:t>
      </w:r>
      <w:r w:rsidRPr="09F6F64B">
        <w:rPr>
          <w:rStyle w:val="FootnoteReference"/>
          <w:rFonts w:ascii="Times New Roman" w:eastAsia="Times New Roman" w:hAnsi="Times New Roman" w:cs="Times New Roman"/>
          <w:sz w:val="24"/>
          <w:szCs w:val="24"/>
        </w:rPr>
        <w:footnoteReference w:id="44"/>
      </w:r>
      <w:r w:rsidRPr="09F6F64B">
        <w:rPr>
          <w:rFonts w:ascii="Times New Roman" w:eastAsia="Times New Roman" w:hAnsi="Times New Roman" w:cs="Times New Roman"/>
          <w:sz w:val="24"/>
          <w:szCs w:val="24"/>
        </w:rPr>
        <w:t xml:space="preserve"> in the war. Andromache’s belief that Hermione is like her mother and Helen is to be blamed for her sufferings is shown by Euripides to be incorrect, as the chorus soon retell the Judgement of Paris</w:t>
      </w:r>
      <w:r w:rsidRPr="09F6F64B">
        <w:rPr>
          <w:rStyle w:val="FootnoteReference"/>
          <w:rFonts w:ascii="Times New Roman" w:eastAsia="Times New Roman" w:hAnsi="Times New Roman" w:cs="Times New Roman"/>
          <w:sz w:val="24"/>
          <w:szCs w:val="24"/>
        </w:rPr>
        <w:footnoteReference w:id="45"/>
      </w:r>
      <w:r w:rsidRPr="09F6F64B">
        <w:rPr>
          <w:rFonts w:ascii="Times New Roman" w:eastAsia="Times New Roman" w:hAnsi="Times New Roman" w:cs="Times New Roman"/>
          <w:sz w:val="24"/>
          <w:szCs w:val="24"/>
        </w:rPr>
        <w:t>. Stevens argues that this choral song has no relevance in the play</w:t>
      </w:r>
      <w:r w:rsidRPr="09F6F64B">
        <w:rPr>
          <w:rStyle w:val="FootnoteReference"/>
          <w:rFonts w:ascii="Times New Roman" w:eastAsia="Times New Roman" w:hAnsi="Times New Roman" w:cs="Times New Roman"/>
          <w:sz w:val="24"/>
          <w:szCs w:val="24"/>
        </w:rPr>
        <w:footnoteReference w:id="46"/>
      </w:r>
      <w:r w:rsidRPr="09F6F64B">
        <w:rPr>
          <w:rFonts w:ascii="Times New Roman" w:eastAsia="Times New Roman" w:hAnsi="Times New Roman" w:cs="Times New Roman"/>
          <w:sz w:val="24"/>
          <w:szCs w:val="24"/>
        </w:rPr>
        <w:t xml:space="preserve">, while </w:t>
      </w:r>
      <w:proofErr w:type="spellStart"/>
      <w:r w:rsidRPr="09F6F64B">
        <w:rPr>
          <w:rFonts w:ascii="Times New Roman" w:eastAsia="Times New Roman" w:hAnsi="Times New Roman" w:cs="Times New Roman"/>
          <w:sz w:val="24"/>
          <w:szCs w:val="24"/>
        </w:rPr>
        <w:t>Halleran</w:t>
      </w:r>
      <w:proofErr w:type="spellEnd"/>
      <w:r w:rsidRPr="09F6F64B">
        <w:rPr>
          <w:rFonts w:ascii="Times New Roman" w:eastAsia="Times New Roman" w:hAnsi="Times New Roman" w:cs="Times New Roman"/>
          <w:sz w:val="24"/>
          <w:szCs w:val="24"/>
        </w:rPr>
        <w:t xml:space="preserve"> is more convincing with the conclusion that the song has meaning for being included</w:t>
      </w:r>
      <w:r w:rsidRPr="09F6F64B">
        <w:rPr>
          <w:rStyle w:val="FootnoteReference"/>
          <w:rFonts w:ascii="Times New Roman" w:eastAsia="Times New Roman" w:hAnsi="Times New Roman" w:cs="Times New Roman"/>
          <w:sz w:val="24"/>
          <w:szCs w:val="24"/>
        </w:rPr>
        <w:footnoteReference w:id="47"/>
      </w:r>
      <w:r w:rsidRPr="09F6F64B">
        <w:rPr>
          <w:rFonts w:ascii="Times New Roman" w:eastAsia="Times New Roman" w:hAnsi="Times New Roman" w:cs="Times New Roman"/>
          <w:sz w:val="24"/>
          <w:szCs w:val="24"/>
        </w:rPr>
        <w:t xml:space="preserve">, argued in this work, for multiple reasons. </w:t>
      </w:r>
    </w:p>
    <w:p w14:paraId="5C5D63A4" w14:textId="17167899" w:rsidR="1130C7B7"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One of the reasons is that Euripides is showing us that Andromache is wrong; hence why he has made the chorus sing this ode just after Andromache has blamed Helen for the events continually. By putting the ode in after Andromache’s viewpoint, Euripides through the chorus is stating a different view of what the true cause of the war was which could change the audience’s opinion. Therefore, also telling us explicitly that Hermione perhaps should not be hated because of who her mother is because her mother is not explicitly to blame anyway. By giving this alternative view, Euripides can encourage the audience’s opinion to change from believing that the play’s villain and hero is clear cut.</w:t>
      </w:r>
    </w:p>
    <w:p w14:paraId="2FD9570A" w14:textId="09A0177D" w:rsidR="57E875F5" w:rsidRDefault="57E875F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Another comparison from the same families but in a similar situation to Andromache and Hermione, is Clytemnestra and Cassandra. Cassandra is Andromache’s sister-in-law and becomes a concubine to Agamemnon, something that angers his wife Clytemnestra </w:t>
      </w:r>
      <w:r w:rsidRPr="09F6F64B">
        <w:rPr>
          <w:rFonts w:ascii="Times New Roman" w:eastAsia="Times New Roman" w:hAnsi="Times New Roman" w:cs="Times New Roman"/>
          <w:sz w:val="24"/>
          <w:szCs w:val="24"/>
        </w:rPr>
        <w:lastRenderedPageBreak/>
        <w:t xml:space="preserve">who murders them both in </w:t>
      </w:r>
      <w:r w:rsidR="596B1AD4" w:rsidRPr="09F6F64B">
        <w:rPr>
          <w:rFonts w:ascii="Times New Roman" w:eastAsia="Times New Roman" w:hAnsi="Times New Roman" w:cs="Times New Roman"/>
          <w:sz w:val="24"/>
          <w:szCs w:val="24"/>
        </w:rPr>
        <w:t xml:space="preserve">Aeschylus’ </w:t>
      </w:r>
      <w:r w:rsidR="596B1AD4" w:rsidRPr="09F6F64B">
        <w:rPr>
          <w:rFonts w:ascii="Times New Roman" w:eastAsia="Times New Roman" w:hAnsi="Times New Roman" w:cs="Times New Roman"/>
          <w:i/>
          <w:iCs/>
          <w:sz w:val="24"/>
          <w:szCs w:val="24"/>
        </w:rPr>
        <w:t>Agamemnon</w:t>
      </w:r>
      <w:r w:rsidRPr="09F6F64B">
        <w:rPr>
          <w:rStyle w:val="FootnoteReference"/>
          <w:rFonts w:ascii="Times New Roman" w:eastAsia="Times New Roman" w:hAnsi="Times New Roman" w:cs="Times New Roman"/>
          <w:sz w:val="24"/>
          <w:szCs w:val="24"/>
        </w:rPr>
        <w:footnoteReference w:id="48"/>
      </w:r>
      <w:r w:rsidRPr="09F6F64B">
        <w:rPr>
          <w:rFonts w:ascii="Times New Roman" w:eastAsia="Times New Roman" w:hAnsi="Times New Roman" w:cs="Times New Roman"/>
          <w:sz w:val="24"/>
          <w:szCs w:val="24"/>
        </w:rPr>
        <w:t xml:space="preserve">. Instead of allowing this to set a precedent, that wife and concubine especially involving this family should result in a horrific end for both, Euripides changes the narrative slightly. In </w:t>
      </w:r>
      <w:r w:rsidRPr="09F6F64B">
        <w:rPr>
          <w:rFonts w:ascii="Times New Roman" w:eastAsia="Times New Roman" w:hAnsi="Times New Roman" w:cs="Times New Roman"/>
          <w:i/>
          <w:iCs/>
          <w:sz w:val="24"/>
          <w:szCs w:val="24"/>
        </w:rPr>
        <w:t>Trojan Women</w:t>
      </w:r>
      <w:r w:rsidRPr="09F6F64B">
        <w:rPr>
          <w:rFonts w:ascii="Times New Roman" w:eastAsia="Times New Roman" w:hAnsi="Times New Roman" w:cs="Times New Roman"/>
          <w:sz w:val="24"/>
          <w:szCs w:val="24"/>
        </w:rPr>
        <w:t xml:space="preserve"> Casandra takes credit for his murder, she prophesises her own murder and the murder of Agamemnon in a way that implies solidarity between her and Clytemnestra by seemingly giving Cassandra agency in the plot</w:t>
      </w:r>
      <w:r w:rsidRPr="09F6F64B">
        <w:rPr>
          <w:rStyle w:val="FootnoteReference"/>
          <w:rFonts w:ascii="Times New Roman" w:eastAsia="Times New Roman" w:hAnsi="Times New Roman" w:cs="Times New Roman"/>
          <w:sz w:val="24"/>
          <w:szCs w:val="24"/>
        </w:rPr>
        <w:footnoteReference w:id="49"/>
      </w:r>
      <w:r w:rsidRPr="09F6F64B">
        <w:rPr>
          <w:rFonts w:ascii="Times New Roman" w:eastAsia="Times New Roman" w:hAnsi="Times New Roman" w:cs="Times New Roman"/>
          <w:sz w:val="24"/>
          <w:szCs w:val="24"/>
        </w:rPr>
        <w:t xml:space="preserve">. By doing this Euripides has once more created a more positive relationship between the women from the two families, the family who suffered from the war and the family who are seen to be blamed for the suffering. Which once again makes the conflict between Andromache and Hermione seem at odds, as we are shown with two examples that there should to some extent be a positive connection not just complete hatred. To some degree the failing of this connection must be on Andromache. </w:t>
      </w:r>
    </w:p>
    <w:p w14:paraId="12640F44" w14:textId="79C08AC3" w:rsidR="57E875F5"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This is not to say that Euripides’ audience would be expected to make this connection, but that scholars should have. As this comparison shows that the two women are not natural enemies due to what families they belong to. There was another path for them to take that did not involve conflict, but Euripides in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did not allow them to take that direction.</w:t>
      </w:r>
    </w:p>
    <w:p w14:paraId="67E40A41" w14:textId="797D59C4" w:rsidR="1AE869D8"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Another cause of resentment towards Hermione, that is mostly harboured by Peleus but is also shown by Andromache, is the prejudice against Hermione because she is Spartan. </w:t>
      </w:r>
      <w:r w:rsidRPr="09F6F64B">
        <w:rPr>
          <w:rFonts w:ascii="Times New Roman" w:eastAsia="Times New Roman" w:hAnsi="Times New Roman" w:cs="Times New Roman"/>
          <w:i/>
          <w:iCs/>
          <w:sz w:val="24"/>
          <w:szCs w:val="24"/>
        </w:rPr>
        <w:t xml:space="preserve">Andromache </w:t>
      </w:r>
      <w:r w:rsidRPr="09F6F64B">
        <w:rPr>
          <w:rFonts w:ascii="Times New Roman" w:eastAsia="Times New Roman" w:hAnsi="Times New Roman" w:cs="Times New Roman"/>
          <w:sz w:val="24"/>
          <w:szCs w:val="24"/>
        </w:rPr>
        <w:t xml:space="preserve">is agreed to have been produced during the </w:t>
      </w:r>
      <w:proofErr w:type="spellStart"/>
      <w:r w:rsidRPr="09F6F64B">
        <w:rPr>
          <w:rFonts w:ascii="Times New Roman" w:eastAsia="Times New Roman" w:hAnsi="Times New Roman" w:cs="Times New Roman"/>
          <w:sz w:val="24"/>
          <w:szCs w:val="24"/>
        </w:rPr>
        <w:t>Archidamian</w:t>
      </w:r>
      <w:proofErr w:type="spellEnd"/>
      <w:r w:rsidRPr="09F6F64B">
        <w:rPr>
          <w:rFonts w:ascii="Times New Roman" w:eastAsia="Times New Roman" w:hAnsi="Times New Roman" w:cs="Times New Roman"/>
          <w:sz w:val="24"/>
          <w:szCs w:val="24"/>
        </w:rPr>
        <w:t xml:space="preserve"> War of the Peloponnesian War between Athens and Sparta</w:t>
      </w:r>
      <w:r w:rsidR="1AE869D8" w:rsidRPr="09F6F64B">
        <w:rPr>
          <w:rStyle w:val="FootnoteReference"/>
          <w:rFonts w:ascii="Times New Roman" w:eastAsia="Times New Roman" w:hAnsi="Times New Roman" w:cs="Times New Roman"/>
          <w:sz w:val="24"/>
          <w:szCs w:val="24"/>
        </w:rPr>
        <w:footnoteReference w:id="50"/>
      </w:r>
      <w:r w:rsidRPr="09F6F64B">
        <w:rPr>
          <w:rFonts w:ascii="Times New Roman" w:eastAsia="Times New Roman" w:hAnsi="Times New Roman" w:cs="Times New Roman"/>
          <w:sz w:val="24"/>
          <w:szCs w:val="24"/>
        </w:rPr>
        <w:t xml:space="preserve">, causing the argument that Euripides is drawing on the Athenian stereotype of Spartans in order to denounce </w:t>
      </w:r>
      <w:r w:rsidRPr="09F6F64B">
        <w:rPr>
          <w:rFonts w:ascii="Times New Roman" w:eastAsia="Times New Roman" w:hAnsi="Times New Roman" w:cs="Times New Roman"/>
          <w:sz w:val="24"/>
          <w:szCs w:val="24"/>
        </w:rPr>
        <w:lastRenderedPageBreak/>
        <w:t>Sparta</w:t>
      </w:r>
      <w:r w:rsidR="1AE869D8" w:rsidRPr="09F6F64B">
        <w:rPr>
          <w:rStyle w:val="FootnoteReference"/>
          <w:rFonts w:ascii="Times New Roman" w:eastAsia="Times New Roman" w:hAnsi="Times New Roman" w:cs="Times New Roman"/>
          <w:sz w:val="24"/>
          <w:szCs w:val="24"/>
        </w:rPr>
        <w:footnoteReference w:id="51"/>
      </w:r>
      <w:r w:rsidRPr="09F6F64B">
        <w:rPr>
          <w:rFonts w:ascii="Times New Roman" w:eastAsia="Times New Roman" w:hAnsi="Times New Roman" w:cs="Times New Roman"/>
          <w:sz w:val="24"/>
          <w:szCs w:val="24"/>
        </w:rPr>
        <w:t xml:space="preserve">. While it is true that the </w:t>
      </w:r>
      <w:r w:rsidRPr="09F6F64B">
        <w:rPr>
          <w:rFonts w:ascii="Times New Roman" w:eastAsia="Times New Roman" w:hAnsi="Times New Roman" w:cs="Times New Roman"/>
          <w:i/>
          <w:iCs/>
          <w:sz w:val="24"/>
          <w:szCs w:val="24"/>
        </w:rPr>
        <w:t xml:space="preserve">Andromache‘s </w:t>
      </w:r>
      <w:r w:rsidRPr="09F6F64B">
        <w:rPr>
          <w:rFonts w:ascii="Times New Roman" w:eastAsia="Times New Roman" w:hAnsi="Times New Roman" w:cs="Times New Roman"/>
          <w:sz w:val="24"/>
          <w:szCs w:val="24"/>
        </w:rPr>
        <w:t xml:space="preserve">anti-Spartan bias is arguably more extreme than others, shown by Rutherford’s comparisons that Menelaus is still a respected hero and Aeschylus still gives him dignity in his </w:t>
      </w:r>
      <w:r w:rsidRPr="09F6F64B">
        <w:rPr>
          <w:rFonts w:ascii="Times New Roman" w:eastAsia="Times New Roman" w:hAnsi="Times New Roman" w:cs="Times New Roman"/>
          <w:i/>
          <w:iCs/>
          <w:sz w:val="24"/>
          <w:szCs w:val="24"/>
        </w:rPr>
        <w:t>Agamemnon</w:t>
      </w:r>
      <w:r w:rsidRPr="09F6F64B">
        <w:rPr>
          <w:rFonts w:ascii="Times New Roman" w:eastAsia="Times New Roman" w:hAnsi="Times New Roman" w:cs="Times New Roman"/>
          <w:sz w:val="24"/>
          <w:szCs w:val="24"/>
        </w:rPr>
        <w:t xml:space="preserve"> while Euripides treats him as a hateful villain</w:t>
      </w:r>
      <w:r w:rsidR="1AE869D8" w:rsidRPr="09F6F64B">
        <w:rPr>
          <w:rStyle w:val="FootnoteReference"/>
          <w:rFonts w:ascii="Times New Roman" w:eastAsia="Times New Roman" w:hAnsi="Times New Roman" w:cs="Times New Roman"/>
          <w:sz w:val="24"/>
          <w:szCs w:val="24"/>
        </w:rPr>
        <w:footnoteReference w:id="52"/>
      </w:r>
      <w:r w:rsidRPr="09F6F64B">
        <w:rPr>
          <w:rFonts w:ascii="Times New Roman" w:eastAsia="Times New Roman" w:hAnsi="Times New Roman" w:cs="Times New Roman"/>
          <w:sz w:val="24"/>
          <w:szCs w:val="24"/>
        </w:rPr>
        <w:t>, creating the assumption that there must be a connection between Euripides’ own views and the war. But as Grube states we cannot know how far these views express those of Euripides or if they were only put in to appease the Athenian audience</w:t>
      </w:r>
      <w:r w:rsidR="1AE869D8" w:rsidRPr="09F6F64B">
        <w:rPr>
          <w:rStyle w:val="FootnoteReference"/>
          <w:rFonts w:ascii="Times New Roman" w:eastAsia="Times New Roman" w:hAnsi="Times New Roman" w:cs="Times New Roman"/>
          <w:sz w:val="24"/>
          <w:szCs w:val="24"/>
        </w:rPr>
        <w:footnoteReference w:id="53"/>
      </w:r>
      <w:r w:rsidRPr="09F6F64B">
        <w:rPr>
          <w:rFonts w:ascii="Times New Roman" w:eastAsia="Times New Roman" w:hAnsi="Times New Roman" w:cs="Times New Roman"/>
          <w:sz w:val="24"/>
          <w:szCs w:val="24"/>
        </w:rPr>
        <w:t>. But anti-Spartan feeling may be included for neither of those reasons, instead the inclusion can be a device to further an aspect of Hermione’s character.</w:t>
      </w:r>
    </w:p>
    <w:p w14:paraId="70055FCA" w14:textId="4251716C" w:rsidR="18F503EB"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This work proposes a new reason to include Peleus’ and Andromache’s anti-Spartan ideas. That is that Euripides is again highlighting Hermione’s isolation. As Andromache’s speech against Spartans</w:t>
      </w:r>
      <w:r w:rsidRPr="09F6F64B">
        <w:rPr>
          <w:rStyle w:val="FootnoteReference"/>
          <w:rFonts w:ascii="Times New Roman" w:eastAsia="Times New Roman" w:hAnsi="Times New Roman" w:cs="Times New Roman"/>
          <w:sz w:val="24"/>
          <w:szCs w:val="24"/>
        </w:rPr>
        <w:footnoteReference w:id="54"/>
      </w:r>
      <w:r w:rsidRPr="09F6F64B">
        <w:rPr>
          <w:rFonts w:ascii="Times New Roman" w:eastAsia="Times New Roman" w:hAnsi="Times New Roman" w:cs="Times New Roman"/>
          <w:sz w:val="24"/>
          <w:szCs w:val="24"/>
        </w:rPr>
        <w:t xml:space="preserve"> is drawing on typical Athenian conceptions of Spartans and so too is Peleus</w:t>
      </w:r>
      <w:r w:rsidRPr="09F6F64B">
        <w:rPr>
          <w:rStyle w:val="FootnoteReference"/>
          <w:rFonts w:ascii="Times New Roman" w:eastAsia="Times New Roman" w:hAnsi="Times New Roman" w:cs="Times New Roman"/>
          <w:sz w:val="24"/>
          <w:szCs w:val="24"/>
        </w:rPr>
        <w:footnoteReference w:id="55"/>
      </w:r>
      <w:r w:rsidRPr="09F6F64B">
        <w:rPr>
          <w:rFonts w:ascii="Times New Roman" w:eastAsia="Times New Roman" w:hAnsi="Times New Roman" w:cs="Times New Roman"/>
          <w:sz w:val="24"/>
          <w:szCs w:val="24"/>
        </w:rPr>
        <w:t xml:space="preserve"> as Allan notes he mostly concentrated his criticisms on Spartans as a whole, not on the individuals involved</w:t>
      </w:r>
      <w:r w:rsidRPr="09F6F64B">
        <w:rPr>
          <w:rStyle w:val="FootnoteReference"/>
          <w:rFonts w:ascii="Times New Roman" w:eastAsia="Times New Roman" w:hAnsi="Times New Roman" w:cs="Times New Roman"/>
          <w:sz w:val="24"/>
          <w:szCs w:val="24"/>
        </w:rPr>
        <w:footnoteReference w:id="56"/>
      </w:r>
      <w:r w:rsidRPr="09F6F64B">
        <w:rPr>
          <w:rFonts w:ascii="Times New Roman" w:eastAsia="Times New Roman" w:hAnsi="Times New Roman" w:cs="Times New Roman"/>
          <w:sz w:val="24"/>
          <w:szCs w:val="24"/>
        </w:rPr>
        <w:t>. It then appears as though the pair, especially Peleus as he does not live with them</w:t>
      </w:r>
      <w:r w:rsidRPr="09F6F64B">
        <w:rPr>
          <w:rStyle w:val="FootnoteReference"/>
          <w:rFonts w:ascii="Times New Roman" w:eastAsia="Times New Roman" w:hAnsi="Times New Roman" w:cs="Times New Roman"/>
          <w:sz w:val="24"/>
          <w:szCs w:val="24"/>
        </w:rPr>
        <w:footnoteReference w:id="57"/>
      </w:r>
      <w:r w:rsidRPr="09F6F64B">
        <w:rPr>
          <w:rFonts w:ascii="Times New Roman" w:eastAsia="Times New Roman" w:hAnsi="Times New Roman" w:cs="Times New Roman"/>
          <w:sz w:val="24"/>
          <w:szCs w:val="24"/>
        </w:rPr>
        <w:t>, do not know Hermione well enough and so have resorted to stock stereotypes. This then shows there is a lack of integration of Hermione into this family, causing her to then be isolated. This is further shown when you realise that Hermione is frequently called ’the Spartan’</w:t>
      </w:r>
      <w:r w:rsidRPr="09F6F64B">
        <w:rPr>
          <w:rStyle w:val="FootnoteReference"/>
          <w:rFonts w:ascii="Times New Roman" w:eastAsia="Times New Roman" w:hAnsi="Times New Roman" w:cs="Times New Roman"/>
          <w:sz w:val="24"/>
          <w:szCs w:val="24"/>
        </w:rPr>
        <w:footnoteReference w:id="58"/>
      </w:r>
      <w:r w:rsidRPr="09F6F64B">
        <w:rPr>
          <w:rFonts w:ascii="Times New Roman" w:eastAsia="Times New Roman" w:hAnsi="Times New Roman" w:cs="Times New Roman"/>
          <w:sz w:val="24"/>
          <w:szCs w:val="24"/>
        </w:rPr>
        <w:t xml:space="preserve"> or ’Menelaus’ daughter’</w:t>
      </w:r>
      <w:r w:rsidRPr="09F6F64B">
        <w:rPr>
          <w:rStyle w:val="FootnoteReference"/>
          <w:rFonts w:ascii="Times New Roman" w:eastAsia="Times New Roman" w:hAnsi="Times New Roman" w:cs="Times New Roman"/>
          <w:sz w:val="24"/>
          <w:szCs w:val="24"/>
        </w:rPr>
        <w:footnoteReference w:id="59"/>
      </w:r>
      <w:r w:rsidRPr="09F6F64B">
        <w:rPr>
          <w:rFonts w:ascii="Times New Roman" w:eastAsia="Times New Roman" w:hAnsi="Times New Roman" w:cs="Times New Roman"/>
          <w:sz w:val="24"/>
          <w:szCs w:val="24"/>
        </w:rPr>
        <w:t>, more so than her own name</w:t>
      </w:r>
      <w:r w:rsidRPr="09F6F64B">
        <w:rPr>
          <w:rStyle w:val="FootnoteReference"/>
          <w:rFonts w:ascii="Times New Roman" w:eastAsia="Times New Roman" w:hAnsi="Times New Roman" w:cs="Times New Roman"/>
          <w:sz w:val="24"/>
          <w:szCs w:val="24"/>
        </w:rPr>
        <w:footnoteReference w:id="60"/>
      </w:r>
      <w:r w:rsidRPr="09F6F64B">
        <w:rPr>
          <w:rFonts w:ascii="Times New Roman" w:eastAsia="Times New Roman" w:hAnsi="Times New Roman" w:cs="Times New Roman"/>
          <w:sz w:val="24"/>
          <w:szCs w:val="24"/>
        </w:rPr>
        <w:t>.</w:t>
      </w:r>
    </w:p>
    <w:p w14:paraId="315D8DDB" w14:textId="58DDFEAC" w:rsidR="18F503EB" w:rsidRDefault="18F503EB" w:rsidP="09F6F64B">
      <w:pPr>
        <w:spacing w:line="480" w:lineRule="auto"/>
        <w:rPr>
          <w:rFonts w:ascii="Times New Roman" w:eastAsia="Times New Roman" w:hAnsi="Times New Roman" w:cs="Times New Roman"/>
          <w:i/>
          <w:iCs/>
          <w:sz w:val="24"/>
          <w:szCs w:val="24"/>
        </w:rPr>
      </w:pPr>
      <w:r w:rsidRPr="09F6F64B">
        <w:rPr>
          <w:rFonts w:ascii="Times New Roman" w:eastAsia="Times New Roman" w:hAnsi="Times New Roman" w:cs="Times New Roman"/>
          <w:sz w:val="24"/>
          <w:szCs w:val="24"/>
        </w:rPr>
        <w:lastRenderedPageBreak/>
        <w:t>But Hermione has been shown to comply with three Spartan stereotypes</w:t>
      </w:r>
      <w:r w:rsidRPr="09F6F64B">
        <w:rPr>
          <w:rStyle w:val="FootnoteReference"/>
          <w:rFonts w:ascii="Times New Roman" w:eastAsia="Times New Roman" w:hAnsi="Times New Roman" w:cs="Times New Roman"/>
          <w:sz w:val="24"/>
          <w:szCs w:val="24"/>
        </w:rPr>
        <w:footnoteReference w:id="61"/>
      </w:r>
      <w:r w:rsidRPr="09F6F64B">
        <w:rPr>
          <w:rFonts w:ascii="Times New Roman" w:eastAsia="Times New Roman" w:hAnsi="Times New Roman" w:cs="Times New Roman"/>
          <w:sz w:val="24"/>
          <w:szCs w:val="24"/>
        </w:rPr>
        <w:t>; lacking modesty with Orestes which has already been discussed to be due to circumstance and therefore not due to her being a Spartan or Helen’s daughter, being boastful of her luxury and being bold with her speech. In terms of her being boastful of her luxuries most scholars refer to her entrance, where she talks about her golden diadem, her dowry and her fine clothes that are from Sparta not from her husband</w:t>
      </w:r>
      <w:r w:rsidRPr="09F6F64B">
        <w:rPr>
          <w:rStyle w:val="FootnoteReference"/>
          <w:rFonts w:ascii="Times New Roman" w:eastAsia="Times New Roman" w:hAnsi="Times New Roman" w:cs="Times New Roman"/>
          <w:sz w:val="24"/>
          <w:szCs w:val="24"/>
        </w:rPr>
        <w:footnoteReference w:id="62"/>
      </w:r>
      <w:r w:rsidRPr="09F6F64B">
        <w:rPr>
          <w:rFonts w:ascii="Times New Roman" w:eastAsia="Times New Roman" w:hAnsi="Times New Roman" w:cs="Times New Roman"/>
          <w:sz w:val="24"/>
          <w:szCs w:val="24"/>
        </w:rPr>
        <w:t>. In fact, it is this passage that scholars tend to focus on in order to prove Hermione is nothing but an arrogant Spartan</w:t>
      </w:r>
      <w:r w:rsidRPr="09F6F64B">
        <w:rPr>
          <w:rStyle w:val="FootnoteReference"/>
          <w:rFonts w:ascii="Times New Roman" w:eastAsia="Times New Roman" w:hAnsi="Times New Roman" w:cs="Times New Roman"/>
          <w:sz w:val="24"/>
          <w:szCs w:val="24"/>
        </w:rPr>
        <w:footnoteReference w:id="63"/>
      </w:r>
      <w:r w:rsidRPr="09F6F64B">
        <w:rPr>
          <w:rFonts w:ascii="Times New Roman" w:eastAsia="Times New Roman" w:hAnsi="Times New Roman" w:cs="Times New Roman"/>
          <w:sz w:val="24"/>
          <w:szCs w:val="24"/>
        </w:rPr>
        <w:t xml:space="preserve"> and a ’thorough villain’</w:t>
      </w:r>
      <w:r w:rsidRPr="09F6F64B">
        <w:rPr>
          <w:rStyle w:val="FootnoteReference"/>
          <w:rFonts w:ascii="Times New Roman" w:eastAsia="Times New Roman" w:hAnsi="Times New Roman" w:cs="Times New Roman"/>
          <w:sz w:val="24"/>
          <w:szCs w:val="24"/>
        </w:rPr>
        <w:footnoteReference w:id="64"/>
      </w:r>
      <w:r w:rsidRPr="09F6F64B">
        <w:rPr>
          <w:rFonts w:ascii="Times New Roman" w:eastAsia="Times New Roman" w:hAnsi="Times New Roman" w:cs="Times New Roman"/>
          <w:sz w:val="24"/>
          <w:szCs w:val="24"/>
        </w:rPr>
        <w:t>. But</w:t>
      </w:r>
      <w:r w:rsidR="425BF1E3" w:rsidRPr="09F6F64B">
        <w:rPr>
          <w:rFonts w:ascii="Times New Roman" w:eastAsia="Times New Roman" w:hAnsi="Times New Roman" w:cs="Times New Roman"/>
          <w:sz w:val="24"/>
          <w:szCs w:val="24"/>
        </w:rPr>
        <w:t xml:space="preserve"> scholars seem to be forgetting that the first time we meet Andromache in </w:t>
      </w:r>
      <w:r w:rsidR="425BF1E3" w:rsidRPr="09F6F64B">
        <w:rPr>
          <w:rFonts w:ascii="Times New Roman" w:eastAsia="Times New Roman" w:hAnsi="Times New Roman" w:cs="Times New Roman"/>
          <w:i/>
          <w:iCs/>
          <w:sz w:val="24"/>
          <w:szCs w:val="24"/>
        </w:rPr>
        <w:t xml:space="preserve">The Iliad </w:t>
      </w:r>
      <w:r w:rsidR="425BF1E3" w:rsidRPr="09F6F64B">
        <w:rPr>
          <w:rFonts w:ascii="Times New Roman" w:eastAsia="Times New Roman" w:hAnsi="Times New Roman" w:cs="Times New Roman"/>
          <w:sz w:val="24"/>
          <w:szCs w:val="24"/>
        </w:rPr>
        <w:t>the first thing we are told is she has a rich dowry</w:t>
      </w:r>
      <w:r w:rsidRPr="09F6F64B">
        <w:rPr>
          <w:rStyle w:val="FootnoteReference"/>
          <w:rFonts w:ascii="Times New Roman" w:eastAsia="Times New Roman" w:hAnsi="Times New Roman" w:cs="Times New Roman"/>
          <w:sz w:val="24"/>
          <w:szCs w:val="24"/>
        </w:rPr>
        <w:footnoteReference w:id="65"/>
      </w:r>
      <w:r w:rsidR="425BF1E3" w:rsidRPr="09F6F64B">
        <w:rPr>
          <w:rFonts w:ascii="Times New Roman" w:eastAsia="Times New Roman" w:hAnsi="Times New Roman" w:cs="Times New Roman"/>
          <w:sz w:val="24"/>
          <w:szCs w:val="24"/>
        </w:rPr>
        <w:t>.</w:t>
      </w:r>
    </w:p>
    <w:p w14:paraId="2BA07111" w14:textId="3E7C4469" w:rsidR="18F503EB"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Regardless that is still a too simple reading of the text. Hermione is isolated and genuinely believes she is going to be replaced by Andromache</w:t>
      </w:r>
      <w:r w:rsidRPr="09F6F64B">
        <w:rPr>
          <w:rStyle w:val="FootnoteReference"/>
          <w:rFonts w:ascii="Times New Roman" w:eastAsia="Times New Roman" w:hAnsi="Times New Roman" w:cs="Times New Roman"/>
          <w:sz w:val="24"/>
          <w:szCs w:val="24"/>
        </w:rPr>
        <w:footnoteReference w:id="66"/>
      </w:r>
      <w:r w:rsidRPr="09F6F64B">
        <w:rPr>
          <w:rFonts w:ascii="Times New Roman" w:eastAsia="Times New Roman" w:hAnsi="Times New Roman" w:cs="Times New Roman"/>
          <w:sz w:val="24"/>
          <w:szCs w:val="24"/>
        </w:rPr>
        <w:t>, this passage begins the first time the audience are shown Andromache and Hermione interacting and so it would be reasonable that Hermione would go into the conversation by affirming her status. By her stating that she had wealth before coming to Peleus’ household and the large dowry she came with</w:t>
      </w:r>
      <w:r w:rsidRPr="09F6F64B">
        <w:rPr>
          <w:rStyle w:val="FootnoteReference"/>
          <w:rFonts w:ascii="Times New Roman" w:eastAsia="Times New Roman" w:hAnsi="Times New Roman" w:cs="Times New Roman"/>
          <w:sz w:val="24"/>
          <w:szCs w:val="24"/>
        </w:rPr>
        <w:footnoteReference w:id="67"/>
      </w:r>
      <w:r w:rsidRPr="09F6F64B">
        <w:rPr>
          <w:rFonts w:ascii="Times New Roman" w:eastAsia="Times New Roman" w:hAnsi="Times New Roman" w:cs="Times New Roman"/>
          <w:sz w:val="24"/>
          <w:szCs w:val="24"/>
        </w:rPr>
        <w:t>, Hermione is saying she comes from a powerful family and therefore she herself has some power as well-dowered women often did</w:t>
      </w:r>
      <w:r w:rsidRPr="09F6F64B">
        <w:rPr>
          <w:rStyle w:val="FootnoteReference"/>
          <w:rFonts w:ascii="Times New Roman" w:eastAsia="Times New Roman" w:hAnsi="Times New Roman" w:cs="Times New Roman"/>
          <w:sz w:val="24"/>
          <w:szCs w:val="24"/>
        </w:rPr>
        <w:footnoteReference w:id="68"/>
      </w:r>
      <w:r w:rsidRPr="09F6F64B">
        <w:rPr>
          <w:rFonts w:ascii="Times New Roman" w:eastAsia="Times New Roman" w:hAnsi="Times New Roman" w:cs="Times New Roman"/>
          <w:sz w:val="24"/>
          <w:szCs w:val="24"/>
        </w:rPr>
        <w:t>, but she is also telling Andromache that she is the lady of the house and has a higher status than her. Hermione feels the need to do this possibly because she is young and lacks self-</w:t>
      </w:r>
      <w:r w:rsidRPr="09F6F64B">
        <w:rPr>
          <w:rFonts w:ascii="Times New Roman" w:eastAsia="Times New Roman" w:hAnsi="Times New Roman" w:cs="Times New Roman"/>
          <w:sz w:val="24"/>
          <w:szCs w:val="24"/>
        </w:rPr>
        <w:lastRenderedPageBreak/>
        <w:t>confidence</w:t>
      </w:r>
      <w:r w:rsidRPr="09F6F64B">
        <w:rPr>
          <w:rStyle w:val="FootnoteReference"/>
          <w:rFonts w:ascii="Times New Roman" w:eastAsia="Times New Roman" w:hAnsi="Times New Roman" w:cs="Times New Roman"/>
          <w:sz w:val="24"/>
          <w:szCs w:val="24"/>
        </w:rPr>
        <w:footnoteReference w:id="69"/>
      </w:r>
      <w:r w:rsidRPr="09F6F64B">
        <w:rPr>
          <w:rFonts w:ascii="Times New Roman" w:eastAsia="Times New Roman" w:hAnsi="Times New Roman" w:cs="Times New Roman"/>
          <w:sz w:val="24"/>
          <w:szCs w:val="24"/>
        </w:rPr>
        <w:t>, and Andromache reminds her of this and to an extent belittles her because of this addressing her as ’young woman’</w:t>
      </w:r>
      <w:r w:rsidRPr="09F6F64B">
        <w:rPr>
          <w:rStyle w:val="FootnoteReference"/>
          <w:rFonts w:ascii="Times New Roman" w:eastAsia="Times New Roman" w:hAnsi="Times New Roman" w:cs="Times New Roman"/>
          <w:sz w:val="24"/>
          <w:szCs w:val="24"/>
        </w:rPr>
        <w:footnoteReference w:id="70"/>
      </w:r>
      <w:r w:rsidRPr="09F6F64B">
        <w:rPr>
          <w:rFonts w:ascii="Times New Roman" w:eastAsia="Times New Roman" w:hAnsi="Times New Roman" w:cs="Times New Roman"/>
          <w:sz w:val="24"/>
          <w:szCs w:val="24"/>
        </w:rPr>
        <w:t xml:space="preserve"> as they argue. </w:t>
      </w:r>
    </w:p>
    <w:p w14:paraId="0D76C45B" w14:textId="1E0A9097" w:rsidR="18F503EB"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Importantly though she most likely does this as Andromache’s status in the house is ambiguous as we see slaves address her as ’my lady’</w:t>
      </w:r>
      <w:r w:rsidRPr="09F6F64B">
        <w:rPr>
          <w:rStyle w:val="FootnoteReference"/>
          <w:rFonts w:ascii="Times New Roman" w:eastAsia="Times New Roman" w:hAnsi="Times New Roman" w:cs="Times New Roman"/>
          <w:sz w:val="24"/>
          <w:szCs w:val="24"/>
        </w:rPr>
        <w:footnoteReference w:id="71"/>
      </w:r>
      <w:r w:rsidRPr="09F6F64B">
        <w:rPr>
          <w:rFonts w:ascii="Times New Roman" w:eastAsia="Times New Roman" w:hAnsi="Times New Roman" w:cs="Times New Roman"/>
          <w:sz w:val="24"/>
          <w:szCs w:val="24"/>
        </w:rPr>
        <w:t xml:space="preserve"> and Grube argues that Andromache ’is still the once great queen’</w:t>
      </w:r>
      <w:r w:rsidRPr="09F6F64B">
        <w:rPr>
          <w:rStyle w:val="FootnoteReference"/>
          <w:rFonts w:ascii="Times New Roman" w:eastAsia="Times New Roman" w:hAnsi="Times New Roman" w:cs="Times New Roman"/>
          <w:sz w:val="24"/>
          <w:szCs w:val="24"/>
        </w:rPr>
        <w:footnoteReference w:id="72"/>
      </w:r>
      <w:r w:rsidRPr="09F6F64B">
        <w:rPr>
          <w:rFonts w:ascii="Times New Roman" w:eastAsia="Times New Roman" w:hAnsi="Times New Roman" w:cs="Times New Roman"/>
          <w:sz w:val="24"/>
          <w:szCs w:val="24"/>
        </w:rPr>
        <w:t xml:space="preserve"> by the way she carries herself. This question of status would be exaggerated for the audience via the costumes as they would visually see Hermione in her fine clothes being belittled by Andromache dressed as a slave</w:t>
      </w:r>
      <w:r w:rsidRPr="09F6F64B">
        <w:rPr>
          <w:rStyle w:val="FootnoteReference"/>
          <w:rFonts w:ascii="Times New Roman" w:eastAsia="Times New Roman" w:hAnsi="Times New Roman" w:cs="Times New Roman"/>
          <w:sz w:val="24"/>
          <w:szCs w:val="24"/>
        </w:rPr>
        <w:footnoteReference w:id="73"/>
      </w:r>
      <w:r w:rsidR="132AC45A" w:rsidRPr="09F6F64B">
        <w:rPr>
          <w:rFonts w:ascii="Times New Roman" w:eastAsia="Times New Roman" w:hAnsi="Times New Roman" w:cs="Times New Roman"/>
          <w:sz w:val="24"/>
          <w:szCs w:val="24"/>
        </w:rPr>
        <w:t xml:space="preserve">, which would clearly show that this household is in upheaval and the status quo is not being upheld. </w:t>
      </w:r>
      <w:r w:rsidRPr="09F6F64B">
        <w:rPr>
          <w:rFonts w:ascii="Times New Roman" w:eastAsia="Times New Roman" w:hAnsi="Times New Roman" w:cs="Times New Roman"/>
          <w:sz w:val="24"/>
          <w:szCs w:val="24"/>
        </w:rPr>
        <w:t>In essence, Hermione is preforming here in order to regain control of her situation and is not as self-assured as scholars such as Chong-</w:t>
      </w:r>
      <w:proofErr w:type="spellStart"/>
      <w:r w:rsidRPr="09F6F64B">
        <w:rPr>
          <w:rFonts w:ascii="Times New Roman" w:eastAsia="Times New Roman" w:hAnsi="Times New Roman" w:cs="Times New Roman"/>
          <w:sz w:val="24"/>
          <w:szCs w:val="24"/>
        </w:rPr>
        <w:t>Gossard</w:t>
      </w:r>
      <w:proofErr w:type="spellEnd"/>
      <w:r w:rsidRPr="09F6F64B">
        <w:rPr>
          <w:rFonts w:ascii="Times New Roman" w:eastAsia="Times New Roman" w:hAnsi="Times New Roman" w:cs="Times New Roman"/>
          <w:sz w:val="24"/>
          <w:szCs w:val="24"/>
        </w:rPr>
        <w:t xml:space="preserve"> have claimed</w:t>
      </w:r>
      <w:r w:rsidRPr="09F6F64B">
        <w:rPr>
          <w:rStyle w:val="FootnoteReference"/>
          <w:rFonts w:ascii="Times New Roman" w:eastAsia="Times New Roman" w:hAnsi="Times New Roman" w:cs="Times New Roman"/>
          <w:sz w:val="24"/>
          <w:szCs w:val="24"/>
        </w:rPr>
        <w:footnoteReference w:id="74"/>
      </w:r>
      <w:r w:rsidRPr="09F6F64B">
        <w:rPr>
          <w:rFonts w:ascii="Times New Roman" w:eastAsia="Times New Roman" w:hAnsi="Times New Roman" w:cs="Times New Roman"/>
          <w:sz w:val="24"/>
          <w:szCs w:val="24"/>
        </w:rPr>
        <w:t xml:space="preserve"> as she is not in a situation where she can be confident in her position.</w:t>
      </w:r>
    </w:p>
    <w:p w14:paraId="41BC10B6" w14:textId="0C9971DA" w:rsidR="18F503EB"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This in turn validates her boldness in speech as she has power in her own right and therefore can speak ‘with perfect freedom’</w:t>
      </w:r>
      <w:r w:rsidRPr="09F6F64B">
        <w:rPr>
          <w:rStyle w:val="FootnoteReference"/>
          <w:rFonts w:ascii="Times New Roman" w:eastAsia="Times New Roman" w:hAnsi="Times New Roman" w:cs="Times New Roman"/>
          <w:sz w:val="24"/>
          <w:szCs w:val="24"/>
        </w:rPr>
        <w:footnoteReference w:id="75"/>
      </w:r>
      <w:r w:rsidRPr="09F6F64B">
        <w:rPr>
          <w:rFonts w:ascii="Times New Roman" w:eastAsia="Times New Roman" w:hAnsi="Times New Roman" w:cs="Times New Roman"/>
          <w:sz w:val="24"/>
          <w:szCs w:val="24"/>
        </w:rPr>
        <w:t>. She also must speak boldly in order to stamp out the perceived threat against her. While this then does mean she is living up to the stereotype that Spartan women are verbally dominating</w:t>
      </w:r>
      <w:r w:rsidRPr="09F6F64B">
        <w:rPr>
          <w:rStyle w:val="FootnoteReference"/>
          <w:rFonts w:ascii="Times New Roman" w:eastAsia="Times New Roman" w:hAnsi="Times New Roman" w:cs="Times New Roman"/>
          <w:sz w:val="24"/>
          <w:szCs w:val="24"/>
        </w:rPr>
        <w:footnoteReference w:id="76"/>
      </w:r>
      <w:r w:rsidRPr="09F6F64B">
        <w:rPr>
          <w:rFonts w:ascii="Times New Roman" w:eastAsia="Times New Roman" w:hAnsi="Times New Roman" w:cs="Times New Roman"/>
          <w:sz w:val="24"/>
          <w:szCs w:val="24"/>
        </w:rPr>
        <w:t>, it can be argued it is the circumstances she is in which force her to take on that trait. Even if we take Andromache’s comment afterwards to be not about what has just occurred, but that Hermione frequently is outspoken and boasts about Sparta then it must be pointed out that Andromache clarifies that this happens when ’anything causes you (Hermione) irritation’</w:t>
      </w:r>
      <w:r w:rsidRPr="09F6F64B">
        <w:rPr>
          <w:rStyle w:val="FootnoteReference"/>
          <w:rFonts w:ascii="Times New Roman" w:eastAsia="Times New Roman" w:hAnsi="Times New Roman" w:cs="Times New Roman"/>
          <w:sz w:val="24"/>
          <w:szCs w:val="24"/>
        </w:rPr>
        <w:footnoteReference w:id="77"/>
      </w:r>
      <w:r w:rsidRPr="09F6F64B">
        <w:rPr>
          <w:rFonts w:ascii="Times New Roman" w:eastAsia="Times New Roman" w:hAnsi="Times New Roman" w:cs="Times New Roman"/>
          <w:sz w:val="24"/>
          <w:szCs w:val="24"/>
        </w:rPr>
        <w:t xml:space="preserve">. We are not aware as to in what situations these other times occurred, so it is </w:t>
      </w:r>
      <w:r w:rsidRPr="09F6F64B">
        <w:rPr>
          <w:rFonts w:ascii="Times New Roman" w:eastAsia="Times New Roman" w:hAnsi="Times New Roman" w:cs="Times New Roman"/>
          <w:sz w:val="24"/>
          <w:szCs w:val="24"/>
        </w:rPr>
        <w:lastRenderedPageBreak/>
        <w:t xml:space="preserve">possible that during these other times Hermione also felt she had to defend her position and her authority.  </w:t>
      </w:r>
    </w:p>
    <w:p w14:paraId="0C2BEE4F" w14:textId="17310774" w:rsidR="18F503EB" w:rsidRDefault="18F503E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Also, in terms of boldness of speech, Andromache too has this trait and yet scholars mostly ignore it. Arguably Andromache’s boldness is worse than Hermione’s as Andromache is a slave</w:t>
      </w:r>
      <w:r w:rsidRPr="09F6F64B">
        <w:rPr>
          <w:rStyle w:val="FootnoteReference"/>
          <w:rFonts w:ascii="Times New Roman" w:eastAsia="Times New Roman" w:hAnsi="Times New Roman" w:cs="Times New Roman"/>
          <w:sz w:val="24"/>
          <w:szCs w:val="24"/>
        </w:rPr>
        <w:footnoteReference w:id="78"/>
      </w:r>
      <w:r w:rsidRPr="09F6F64B">
        <w:rPr>
          <w:rFonts w:ascii="Times New Roman" w:eastAsia="Times New Roman" w:hAnsi="Times New Roman" w:cs="Times New Roman"/>
          <w:sz w:val="24"/>
          <w:szCs w:val="24"/>
        </w:rPr>
        <w:t xml:space="preserve">, yet she is bold not only to her mistress but to Menelaus also. While Menelaus is also depicted seemingly as </w:t>
      </w:r>
      <w:proofErr w:type="gramStart"/>
      <w:r w:rsidRPr="09F6F64B">
        <w:rPr>
          <w:rFonts w:ascii="Times New Roman" w:eastAsia="Times New Roman" w:hAnsi="Times New Roman" w:cs="Times New Roman"/>
          <w:sz w:val="24"/>
          <w:szCs w:val="24"/>
        </w:rPr>
        <w:t>villainous</w:t>
      </w:r>
      <w:proofErr w:type="gramEnd"/>
      <w:r w:rsidRPr="09F6F64B">
        <w:rPr>
          <w:rFonts w:ascii="Times New Roman" w:eastAsia="Times New Roman" w:hAnsi="Times New Roman" w:cs="Times New Roman"/>
          <w:sz w:val="24"/>
          <w:szCs w:val="24"/>
        </w:rPr>
        <w:t xml:space="preserve"> he is in the right</w:t>
      </w:r>
      <w:r w:rsidRPr="09F6F64B">
        <w:rPr>
          <w:rStyle w:val="FootnoteReference"/>
          <w:rFonts w:ascii="Times New Roman" w:eastAsia="Times New Roman" w:hAnsi="Times New Roman" w:cs="Times New Roman"/>
          <w:sz w:val="24"/>
          <w:szCs w:val="24"/>
        </w:rPr>
        <w:footnoteReference w:id="79"/>
      </w:r>
      <w:r w:rsidRPr="09F6F64B">
        <w:rPr>
          <w:rFonts w:ascii="Times New Roman" w:eastAsia="Times New Roman" w:hAnsi="Times New Roman" w:cs="Times New Roman"/>
          <w:sz w:val="24"/>
          <w:szCs w:val="24"/>
        </w:rPr>
        <w:t xml:space="preserve"> when he criticises her for not realising, she is a slave and must act appropriately</w:t>
      </w:r>
      <w:r w:rsidRPr="09F6F64B">
        <w:rPr>
          <w:rStyle w:val="FootnoteReference"/>
          <w:rFonts w:ascii="Times New Roman" w:eastAsia="Times New Roman" w:hAnsi="Times New Roman" w:cs="Times New Roman"/>
          <w:sz w:val="24"/>
          <w:szCs w:val="24"/>
        </w:rPr>
        <w:footnoteReference w:id="80"/>
      </w:r>
      <w:r w:rsidRPr="09F6F64B">
        <w:rPr>
          <w:rFonts w:ascii="Times New Roman" w:eastAsia="Times New Roman" w:hAnsi="Times New Roman" w:cs="Times New Roman"/>
          <w:sz w:val="24"/>
          <w:szCs w:val="24"/>
        </w:rPr>
        <w:t>. The chorus tells Andromache to stop arguing with Hermione and to ’reach an accommodation’</w:t>
      </w:r>
      <w:r w:rsidRPr="09F6F64B">
        <w:rPr>
          <w:rStyle w:val="FootnoteReference"/>
          <w:rFonts w:ascii="Times New Roman" w:eastAsia="Times New Roman" w:hAnsi="Times New Roman" w:cs="Times New Roman"/>
          <w:sz w:val="24"/>
          <w:szCs w:val="24"/>
        </w:rPr>
        <w:footnoteReference w:id="81"/>
      </w:r>
      <w:r w:rsidRPr="09F6F64B">
        <w:rPr>
          <w:rFonts w:ascii="Times New Roman" w:eastAsia="Times New Roman" w:hAnsi="Times New Roman" w:cs="Times New Roman"/>
          <w:sz w:val="24"/>
          <w:szCs w:val="24"/>
        </w:rPr>
        <w:t xml:space="preserve"> and when she is arguing with Menelaus the chorus once again reprimand her speaking too freely ’before a man’</w:t>
      </w:r>
      <w:r w:rsidRPr="09F6F64B">
        <w:rPr>
          <w:rStyle w:val="FootnoteReference"/>
          <w:rFonts w:ascii="Times New Roman" w:eastAsia="Times New Roman" w:hAnsi="Times New Roman" w:cs="Times New Roman"/>
          <w:sz w:val="24"/>
          <w:szCs w:val="24"/>
        </w:rPr>
        <w:footnoteReference w:id="82"/>
      </w:r>
      <w:r w:rsidRPr="09F6F64B">
        <w:rPr>
          <w:rFonts w:ascii="Times New Roman" w:eastAsia="Times New Roman" w:hAnsi="Times New Roman" w:cs="Times New Roman"/>
          <w:sz w:val="24"/>
          <w:szCs w:val="24"/>
        </w:rPr>
        <w:t>. Therefore, it is unfair for Hermione to be judged, by scholars, for her apparent bold speech when Andromache has not been. In fact, scholars even praise Andromache’s speech for emulating male rhetoric</w:t>
      </w:r>
      <w:r w:rsidRPr="09F6F64B">
        <w:rPr>
          <w:rStyle w:val="FootnoteReference"/>
          <w:rFonts w:ascii="Times New Roman" w:eastAsia="Times New Roman" w:hAnsi="Times New Roman" w:cs="Times New Roman"/>
          <w:sz w:val="24"/>
          <w:szCs w:val="24"/>
        </w:rPr>
        <w:footnoteReference w:id="83"/>
      </w:r>
      <w:r w:rsidR="0579C69B" w:rsidRPr="09F6F64B">
        <w:rPr>
          <w:rFonts w:ascii="Times New Roman" w:eastAsia="Times New Roman" w:hAnsi="Times New Roman" w:cs="Times New Roman"/>
          <w:sz w:val="24"/>
          <w:szCs w:val="24"/>
        </w:rPr>
        <w:t>, apparent with her criticisms of women that they are scheming</w:t>
      </w:r>
      <w:r w:rsidRPr="09F6F64B">
        <w:rPr>
          <w:rStyle w:val="FootnoteReference"/>
          <w:rFonts w:ascii="Times New Roman" w:eastAsia="Times New Roman" w:hAnsi="Times New Roman" w:cs="Times New Roman"/>
          <w:sz w:val="24"/>
          <w:szCs w:val="24"/>
        </w:rPr>
        <w:footnoteReference w:id="84"/>
      </w:r>
      <w:r w:rsidR="0579C69B" w:rsidRPr="09F6F64B">
        <w:rPr>
          <w:rFonts w:ascii="Times New Roman" w:eastAsia="Times New Roman" w:hAnsi="Times New Roman" w:cs="Times New Roman"/>
          <w:sz w:val="24"/>
          <w:szCs w:val="24"/>
        </w:rPr>
        <w:t>, jealous</w:t>
      </w:r>
      <w:r w:rsidRPr="09F6F64B">
        <w:rPr>
          <w:rStyle w:val="FootnoteReference"/>
          <w:rFonts w:ascii="Times New Roman" w:eastAsia="Times New Roman" w:hAnsi="Times New Roman" w:cs="Times New Roman"/>
          <w:sz w:val="24"/>
          <w:szCs w:val="24"/>
        </w:rPr>
        <w:footnoteReference w:id="85"/>
      </w:r>
      <w:r w:rsidR="0579C69B" w:rsidRPr="09F6F64B">
        <w:rPr>
          <w:rFonts w:ascii="Times New Roman" w:eastAsia="Times New Roman" w:hAnsi="Times New Roman" w:cs="Times New Roman"/>
          <w:sz w:val="24"/>
          <w:szCs w:val="24"/>
        </w:rPr>
        <w:t xml:space="preserve"> and ’lust for sex’</w:t>
      </w:r>
      <w:r w:rsidRPr="09F6F64B">
        <w:rPr>
          <w:rStyle w:val="FootnoteReference"/>
          <w:rFonts w:ascii="Times New Roman" w:eastAsia="Times New Roman" w:hAnsi="Times New Roman" w:cs="Times New Roman"/>
          <w:sz w:val="24"/>
          <w:szCs w:val="24"/>
        </w:rPr>
        <w:footnoteReference w:id="86"/>
      </w:r>
      <w:r w:rsidR="0579C69B" w:rsidRPr="09F6F64B">
        <w:rPr>
          <w:rFonts w:ascii="Times New Roman" w:eastAsia="Times New Roman" w:hAnsi="Times New Roman" w:cs="Times New Roman"/>
          <w:sz w:val="24"/>
          <w:szCs w:val="24"/>
        </w:rPr>
        <w:t xml:space="preserve">. </w:t>
      </w:r>
      <w:proofErr w:type="gramStart"/>
      <w:r w:rsidR="0579C69B" w:rsidRPr="09F6F64B">
        <w:rPr>
          <w:rFonts w:ascii="Times New Roman" w:eastAsia="Times New Roman" w:hAnsi="Times New Roman" w:cs="Times New Roman"/>
          <w:sz w:val="24"/>
          <w:szCs w:val="24"/>
        </w:rPr>
        <w:t>So</w:t>
      </w:r>
      <w:proofErr w:type="gramEnd"/>
      <w:r w:rsidR="0579C69B" w:rsidRPr="09F6F64B">
        <w:rPr>
          <w:rFonts w:ascii="Times New Roman" w:eastAsia="Times New Roman" w:hAnsi="Times New Roman" w:cs="Times New Roman"/>
          <w:sz w:val="24"/>
          <w:szCs w:val="24"/>
        </w:rPr>
        <w:t xml:space="preserve"> are scholars biased towards Andromache because of her apparent male mentality which is discussed by Lloyd</w:t>
      </w:r>
      <w:r w:rsidRPr="09F6F64B">
        <w:rPr>
          <w:rStyle w:val="FootnoteReference"/>
          <w:rFonts w:ascii="Times New Roman" w:eastAsia="Times New Roman" w:hAnsi="Times New Roman" w:cs="Times New Roman"/>
          <w:sz w:val="24"/>
          <w:szCs w:val="24"/>
        </w:rPr>
        <w:footnoteReference w:id="87"/>
      </w:r>
      <w:r w:rsidR="31205D37" w:rsidRPr="09F6F64B">
        <w:rPr>
          <w:rFonts w:ascii="Times New Roman" w:eastAsia="Times New Roman" w:hAnsi="Times New Roman" w:cs="Times New Roman"/>
          <w:sz w:val="24"/>
          <w:szCs w:val="24"/>
        </w:rPr>
        <w:t>?</w:t>
      </w:r>
    </w:p>
    <w:p w14:paraId="6ABF09C4" w14:textId="0D6CA0B2" w:rsidR="18F503EB" w:rsidRDefault="0579C69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The demonization of Hermione is most notable with the construction that she is a remorseless killer. Lloyd rejects that Hermione is a ruthless killer, pointing out Hermione does not need Andromache to die to be satisfied</w:t>
      </w:r>
      <w:r w:rsidR="18F503EB" w:rsidRPr="09F6F64B">
        <w:rPr>
          <w:rStyle w:val="FootnoteReference"/>
          <w:rFonts w:ascii="Times New Roman" w:eastAsia="Times New Roman" w:hAnsi="Times New Roman" w:cs="Times New Roman"/>
          <w:sz w:val="24"/>
          <w:szCs w:val="24"/>
        </w:rPr>
        <w:footnoteReference w:id="88"/>
      </w:r>
      <w:r w:rsidRPr="09F6F64B">
        <w:rPr>
          <w:rFonts w:ascii="Times New Roman" w:eastAsia="Times New Roman" w:hAnsi="Times New Roman" w:cs="Times New Roman"/>
          <w:sz w:val="24"/>
          <w:szCs w:val="24"/>
        </w:rPr>
        <w:t xml:space="preserve">. As we see Hermione explain to Andromache that she must accept her new reality that she is a slave and no </w:t>
      </w:r>
      <w:r w:rsidRPr="09F6F64B">
        <w:rPr>
          <w:rFonts w:ascii="Times New Roman" w:eastAsia="Times New Roman" w:hAnsi="Times New Roman" w:cs="Times New Roman"/>
          <w:sz w:val="24"/>
          <w:szCs w:val="24"/>
        </w:rPr>
        <w:lastRenderedPageBreak/>
        <w:t>longer royalty, so must respect Hermione as her mistress</w:t>
      </w:r>
      <w:r w:rsidR="18F503EB" w:rsidRPr="09F6F64B">
        <w:rPr>
          <w:rStyle w:val="FootnoteReference"/>
          <w:rFonts w:ascii="Times New Roman" w:eastAsia="Times New Roman" w:hAnsi="Times New Roman" w:cs="Times New Roman"/>
          <w:sz w:val="24"/>
          <w:szCs w:val="24"/>
        </w:rPr>
        <w:footnoteReference w:id="89"/>
      </w:r>
      <w:r w:rsidRPr="09F6F64B">
        <w:rPr>
          <w:rFonts w:ascii="Times New Roman" w:eastAsia="Times New Roman" w:hAnsi="Times New Roman" w:cs="Times New Roman"/>
          <w:sz w:val="24"/>
          <w:szCs w:val="24"/>
        </w:rPr>
        <w:t xml:space="preserve">. As discussed, the chorus implores Andromache to submit as it would be better to be </w:t>
      </w:r>
      <w:r w:rsidRPr="18C04F21">
        <w:rPr>
          <w:rFonts w:ascii="Times New Roman" w:eastAsia="Times New Roman" w:hAnsi="Times New Roman" w:cs="Times New Roman"/>
          <w:sz w:val="24"/>
          <w:szCs w:val="24"/>
        </w:rPr>
        <w:t>conciliatory</w:t>
      </w:r>
      <w:r w:rsidR="18F503EB" w:rsidRPr="18C04F21">
        <w:rPr>
          <w:rStyle w:val="FootnoteReference"/>
          <w:rFonts w:ascii="Times New Roman" w:eastAsia="Times New Roman" w:hAnsi="Times New Roman" w:cs="Times New Roman"/>
          <w:sz w:val="24"/>
          <w:szCs w:val="24"/>
        </w:rPr>
        <w:footnoteReference w:id="90"/>
      </w:r>
      <w:r w:rsidRPr="18C04F21">
        <w:rPr>
          <w:rFonts w:ascii="Times New Roman" w:eastAsia="Times New Roman" w:hAnsi="Times New Roman" w:cs="Times New Roman"/>
          <w:sz w:val="24"/>
          <w:szCs w:val="24"/>
        </w:rPr>
        <w:t xml:space="preserve"> further suggesting Hermione can be reasoned with. </w:t>
      </w:r>
    </w:p>
    <w:p w14:paraId="1AD8C7D1" w14:textId="08F500F8" w:rsidR="0579C69B" w:rsidRDefault="0579C69B"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Stevens also argues that if Hermione was just a killer than after her threats, we should see her rage and intentions to kill. Instead she is not present in the following epeisodion</w:t>
      </w:r>
      <w:r w:rsidRPr="18C04F21">
        <w:rPr>
          <w:rStyle w:val="FootnoteReference"/>
          <w:rFonts w:ascii="Times New Roman" w:eastAsia="Times New Roman" w:hAnsi="Times New Roman" w:cs="Times New Roman"/>
          <w:sz w:val="24"/>
          <w:szCs w:val="24"/>
        </w:rPr>
        <w:footnoteReference w:id="91"/>
      </w:r>
      <w:r w:rsidRPr="18C04F21">
        <w:rPr>
          <w:rFonts w:ascii="Times New Roman" w:eastAsia="Times New Roman" w:hAnsi="Times New Roman" w:cs="Times New Roman"/>
          <w:sz w:val="24"/>
          <w:szCs w:val="24"/>
        </w:rPr>
        <w:t>. Rather we see Menelaus threatening Andromache and his intention to kill</w:t>
      </w:r>
      <w:r w:rsidRPr="18C04F21">
        <w:rPr>
          <w:rStyle w:val="FootnoteReference"/>
          <w:rFonts w:ascii="Times New Roman" w:eastAsia="Times New Roman" w:hAnsi="Times New Roman" w:cs="Times New Roman"/>
          <w:sz w:val="24"/>
          <w:szCs w:val="24"/>
        </w:rPr>
        <w:footnoteReference w:id="92"/>
      </w:r>
      <w:r w:rsidR="425BF1E3" w:rsidRPr="18C04F21">
        <w:rPr>
          <w:rFonts w:ascii="Times New Roman" w:eastAsia="Times New Roman" w:hAnsi="Times New Roman" w:cs="Times New Roman"/>
          <w:sz w:val="24"/>
          <w:szCs w:val="24"/>
        </w:rPr>
        <w:t>. Furthermore, in the beginning of play the Maidservant informs us it is Menelaus going to get the boy in order to kill him</w:t>
      </w:r>
      <w:r w:rsidRPr="18C04F21">
        <w:rPr>
          <w:rStyle w:val="FootnoteReference"/>
          <w:rFonts w:ascii="Times New Roman" w:eastAsia="Times New Roman" w:hAnsi="Times New Roman" w:cs="Times New Roman"/>
          <w:sz w:val="24"/>
          <w:szCs w:val="24"/>
        </w:rPr>
        <w:footnoteReference w:id="93"/>
      </w:r>
      <w:r w:rsidR="425BF1E3" w:rsidRPr="18C04F21">
        <w:rPr>
          <w:rFonts w:ascii="Times New Roman" w:eastAsia="Times New Roman" w:hAnsi="Times New Roman" w:cs="Times New Roman"/>
          <w:sz w:val="24"/>
          <w:szCs w:val="24"/>
        </w:rPr>
        <w:t xml:space="preserve">. </w:t>
      </w:r>
      <w:r w:rsidRPr="18C04F21">
        <w:rPr>
          <w:rFonts w:ascii="Times New Roman" w:eastAsia="Times New Roman" w:hAnsi="Times New Roman" w:cs="Times New Roman"/>
          <w:sz w:val="24"/>
          <w:szCs w:val="24"/>
        </w:rPr>
        <w:t>In terms of the child of Andromache and Neoptolemus, Menelaus is letting Hermione decide his fate knowing it opens the possibility she will not kill him, but Andromache automatically assumes Hermione will kill him</w:t>
      </w:r>
      <w:r w:rsidRPr="18C04F21">
        <w:rPr>
          <w:rStyle w:val="FootnoteReference"/>
          <w:rFonts w:ascii="Times New Roman" w:eastAsia="Times New Roman" w:hAnsi="Times New Roman" w:cs="Times New Roman"/>
          <w:sz w:val="24"/>
          <w:szCs w:val="24"/>
        </w:rPr>
        <w:footnoteReference w:id="94"/>
      </w:r>
      <w:r w:rsidRPr="18C04F21">
        <w:rPr>
          <w:rFonts w:ascii="Times New Roman" w:eastAsia="Times New Roman" w:hAnsi="Times New Roman" w:cs="Times New Roman"/>
          <w:sz w:val="24"/>
          <w:szCs w:val="24"/>
        </w:rPr>
        <w:t>. Menelaus plays on Andromache’s fears that her child will be killed that she should ’have no ground for confidence’ in his future</w:t>
      </w:r>
      <w:r w:rsidRPr="18C04F21">
        <w:rPr>
          <w:rStyle w:val="FootnoteReference"/>
          <w:rFonts w:ascii="Times New Roman" w:eastAsia="Times New Roman" w:hAnsi="Times New Roman" w:cs="Times New Roman"/>
          <w:sz w:val="24"/>
          <w:szCs w:val="24"/>
        </w:rPr>
        <w:footnoteReference w:id="95"/>
      </w:r>
      <w:r w:rsidRPr="18C04F21">
        <w:rPr>
          <w:rFonts w:ascii="Times New Roman" w:eastAsia="Times New Roman" w:hAnsi="Times New Roman" w:cs="Times New Roman"/>
          <w:sz w:val="24"/>
          <w:szCs w:val="24"/>
        </w:rPr>
        <w:t xml:space="preserve">, but Menelaus also has no confidence that Hermione will kill him. </w:t>
      </w:r>
    </w:p>
    <w:p w14:paraId="37FFC034" w14:textId="17347C52" w:rsidR="0579C69B" w:rsidRDefault="0579C69B"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While later Hermione tells Orestes that she had planned to kill the child</w:t>
      </w:r>
      <w:r w:rsidRPr="18C04F21">
        <w:rPr>
          <w:rStyle w:val="FootnoteReference"/>
          <w:rFonts w:ascii="Times New Roman" w:eastAsia="Times New Roman" w:hAnsi="Times New Roman" w:cs="Times New Roman"/>
          <w:sz w:val="24"/>
          <w:szCs w:val="24"/>
        </w:rPr>
        <w:footnoteReference w:id="96"/>
      </w:r>
      <w:r w:rsidR="5E08A7B7" w:rsidRPr="18C04F21">
        <w:rPr>
          <w:rFonts w:ascii="Times New Roman" w:eastAsia="Times New Roman" w:hAnsi="Times New Roman" w:cs="Times New Roman"/>
          <w:sz w:val="24"/>
          <w:szCs w:val="24"/>
        </w:rPr>
        <w:t>, there is nothing to suggest before this, that would be the event that took place. As Hermione’s own threats have only been towards Andromache in order to get her to ’quit this place of sanctuary’</w:t>
      </w:r>
      <w:r w:rsidRPr="132AC45A">
        <w:rPr>
          <w:rStyle w:val="FootnoteReference"/>
          <w:rFonts w:ascii="Times New Roman" w:eastAsia="Times New Roman" w:hAnsi="Times New Roman" w:cs="Times New Roman"/>
          <w:sz w:val="24"/>
          <w:szCs w:val="24"/>
        </w:rPr>
        <w:footnoteReference w:id="97"/>
      </w:r>
      <w:r w:rsidR="5E08A7B7" w:rsidRPr="18C04F21">
        <w:rPr>
          <w:rFonts w:ascii="Times New Roman" w:eastAsia="Times New Roman" w:hAnsi="Times New Roman" w:cs="Times New Roman"/>
          <w:sz w:val="24"/>
          <w:szCs w:val="24"/>
        </w:rPr>
        <w:t xml:space="preserve"> and Hermione is also aware the child and any other children she might have ’would be bastards and...slaves’</w:t>
      </w:r>
      <w:r w:rsidRPr="132AC45A">
        <w:rPr>
          <w:rStyle w:val="FootnoteReference"/>
          <w:rFonts w:ascii="Times New Roman" w:eastAsia="Times New Roman" w:hAnsi="Times New Roman" w:cs="Times New Roman"/>
          <w:sz w:val="24"/>
          <w:szCs w:val="24"/>
        </w:rPr>
        <w:footnoteReference w:id="98"/>
      </w:r>
      <w:r w:rsidR="5E08A7B7" w:rsidRPr="18C04F21">
        <w:rPr>
          <w:rFonts w:ascii="Times New Roman" w:eastAsia="Times New Roman" w:hAnsi="Times New Roman" w:cs="Times New Roman"/>
          <w:sz w:val="24"/>
          <w:szCs w:val="24"/>
        </w:rPr>
        <w:t xml:space="preserve"> therefore, no threat to her. Also, in that scene Hermione is highly emotional and her father, who was arguably the true creator of this </w:t>
      </w:r>
      <w:r w:rsidR="5E08A7B7" w:rsidRPr="18C04F21">
        <w:rPr>
          <w:rFonts w:ascii="Times New Roman" w:eastAsia="Times New Roman" w:hAnsi="Times New Roman" w:cs="Times New Roman"/>
          <w:sz w:val="24"/>
          <w:szCs w:val="24"/>
        </w:rPr>
        <w:lastRenderedPageBreak/>
        <w:t xml:space="preserve">plan, has abandoned her. Thus, it is arguable she is repeating her father’s wishes as it is the only thing in place of instruction she has left, the one cornerstone she has remaining. As will be shown shortly, Hermione is not able to make or carry out decisions due to her lack of self-confidence and her naivete. As later we see in place of her father, she leaves it to Orestes to </w:t>
      </w:r>
      <w:proofErr w:type="gramStart"/>
      <w:r w:rsidR="5E08A7B7" w:rsidRPr="18C04F21">
        <w:rPr>
          <w:rFonts w:ascii="Times New Roman" w:eastAsia="Times New Roman" w:hAnsi="Times New Roman" w:cs="Times New Roman"/>
          <w:sz w:val="24"/>
          <w:szCs w:val="24"/>
        </w:rPr>
        <w:t>make a plan</w:t>
      </w:r>
      <w:proofErr w:type="gramEnd"/>
      <w:r w:rsidR="5E08A7B7" w:rsidRPr="18C04F21">
        <w:rPr>
          <w:rFonts w:ascii="Times New Roman" w:eastAsia="Times New Roman" w:hAnsi="Times New Roman" w:cs="Times New Roman"/>
          <w:sz w:val="24"/>
          <w:szCs w:val="24"/>
        </w:rPr>
        <w:t xml:space="preserve"> as to what to do next</w:t>
      </w:r>
      <w:r w:rsidRPr="18C04F21">
        <w:rPr>
          <w:rStyle w:val="FootnoteReference"/>
          <w:rFonts w:ascii="Times New Roman" w:eastAsia="Times New Roman" w:hAnsi="Times New Roman" w:cs="Times New Roman"/>
          <w:sz w:val="24"/>
          <w:szCs w:val="24"/>
        </w:rPr>
        <w:footnoteReference w:id="99"/>
      </w:r>
      <w:r w:rsidR="5E08A7B7" w:rsidRPr="18C04F21">
        <w:rPr>
          <w:rFonts w:ascii="Times New Roman" w:eastAsia="Times New Roman" w:hAnsi="Times New Roman" w:cs="Times New Roman"/>
          <w:sz w:val="24"/>
          <w:szCs w:val="24"/>
        </w:rPr>
        <w:t>.</w:t>
      </w:r>
    </w:p>
    <w:p w14:paraId="6C72175F" w14:textId="12835D22" w:rsidR="0579C69B" w:rsidRDefault="0579C69B" w:rsidP="09F6F64B">
      <w:pPr>
        <w:spacing w:line="480" w:lineRule="auto"/>
        <w:rPr>
          <w:rFonts w:ascii="Times New Roman" w:eastAsia="Times New Roman" w:hAnsi="Times New Roman" w:cs="Times New Roman"/>
          <w:sz w:val="24"/>
          <w:szCs w:val="24"/>
        </w:rPr>
      </w:pPr>
      <w:proofErr w:type="gramStart"/>
      <w:r w:rsidRPr="18C04F21">
        <w:rPr>
          <w:rFonts w:ascii="Times New Roman" w:eastAsia="Times New Roman" w:hAnsi="Times New Roman" w:cs="Times New Roman"/>
          <w:sz w:val="24"/>
          <w:szCs w:val="24"/>
        </w:rPr>
        <w:t>Cairns</w:t>
      </w:r>
      <w:proofErr w:type="gramEnd"/>
      <w:r w:rsidRPr="18C04F21">
        <w:rPr>
          <w:rFonts w:ascii="Times New Roman" w:eastAsia="Times New Roman" w:hAnsi="Times New Roman" w:cs="Times New Roman"/>
          <w:sz w:val="24"/>
          <w:szCs w:val="24"/>
        </w:rPr>
        <w:t xml:space="preserve"> however, sees Hermione as an ignoble character and only fears punishment, meaning she is not truly remorseful and that the Nurse is constructing a narrative to make it appear as though she is genuinely remorseful</w:t>
      </w:r>
      <w:r w:rsidRPr="18C04F21">
        <w:rPr>
          <w:rStyle w:val="FootnoteReference"/>
          <w:rFonts w:ascii="Times New Roman" w:eastAsia="Times New Roman" w:hAnsi="Times New Roman" w:cs="Times New Roman"/>
          <w:sz w:val="24"/>
          <w:szCs w:val="24"/>
        </w:rPr>
        <w:footnoteReference w:id="100"/>
      </w:r>
      <w:r w:rsidRPr="18C04F21">
        <w:rPr>
          <w:rFonts w:ascii="Times New Roman" w:eastAsia="Times New Roman" w:hAnsi="Times New Roman" w:cs="Times New Roman"/>
          <w:sz w:val="24"/>
          <w:szCs w:val="24"/>
        </w:rPr>
        <w:t>. While it is right that Hermione’s panic is caused by the fear of punishment as maintained by Allan, which the Nurse does talk about</w:t>
      </w:r>
      <w:r w:rsidRPr="18C04F21">
        <w:rPr>
          <w:rStyle w:val="FootnoteReference"/>
          <w:rFonts w:ascii="Times New Roman" w:eastAsia="Times New Roman" w:hAnsi="Times New Roman" w:cs="Times New Roman"/>
          <w:sz w:val="24"/>
          <w:szCs w:val="24"/>
        </w:rPr>
        <w:footnoteReference w:id="101"/>
      </w:r>
      <w:r w:rsidRPr="18C04F21">
        <w:rPr>
          <w:rFonts w:ascii="Times New Roman" w:eastAsia="Times New Roman" w:hAnsi="Times New Roman" w:cs="Times New Roman"/>
          <w:sz w:val="24"/>
          <w:szCs w:val="24"/>
        </w:rPr>
        <w:t>, Allan is also more balanced and fairer by rightly noting that just because she is also scared does not mean she is without morals</w:t>
      </w:r>
      <w:r w:rsidRPr="18C04F21">
        <w:rPr>
          <w:rStyle w:val="FootnoteReference"/>
          <w:rFonts w:ascii="Times New Roman" w:eastAsia="Times New Roman" w:hAnsi="Times New Roman" w:cs="Times New Roman"/>
          <w:sz w:val="24"/>
          <w:szCs w:val="24"/>
        </w:rPr>
        <w:footnoteReference w:id="102"/>
      </w:r>
      <w:r w:rsidR="48246923" w:rsidRPr="18C04F21">
        <w:rPr>
          <w:rFonts w:ascii="Times New Roman" w:eastAsia="Times New Roman" w:hAnsi="Times New Roman" w:cs="Times New Roman"/>
          <w:sz w:val="24"/>
          <w:szCs w:val="24"/>
        </w:rPr>
        <w:t>. Hermione can be both fearful and repentant, because the two are not mutually exclusive as Cairns would have you believe, which is shown by her lament</w:t>
      </w:r>
      <w:r w:rsidRPr="18C04F21">
        <w:rPr>
          <w:rStyle w:val="FootnoteReference"/>
          <w:rFonts w:ascii="Times New Roman" w:eastAsia="Times New Roman" w:hAnsi="Times New Roman" w:cs="Times New Roman"/>
          <w:sz w:val="24"/>
          <w:szCs w:val="24"/>
        </w:rPr>
        <w:footnoteReference w:id="103"/>
      </w:r>
      <w:r w:rsidR="48246923" w:rsidRPr="18C04F21">
        <w:rPr>
          <w:rFonts w:ascii="Times New Roman" w:eastAsia="Times New Roman" w:hAnsi="Times New Roman" w:cs="Times New Roman"/>
          <w:sz w:val="24"/>
          <w:szCs w:val="24"/>
        </w:rPr>
        <w:t>. Allan also highlights that this scene is important because Euripides is emphasising that Hermione is a victim. Here we see her fragile self-confidence completely fail and what is left is an obviously, insecure women</w:t>
      </w:r>
      <w:r w:rsidRPr="18C04F21">
        <w:rPr>
          <w:rStyle w:val="FootnoteReference"/>
          <w:rFonts w:ascii="Times New Roman" w:eastAsia="Times New Roman" w:hAnsi="Times New Roman" w:cs="Times New Roman"/>
          <w:sz w:val="24"/>
          <w:szCs w:val="24"/>
        </w:rPr>
        <w:footnoteReference w:id="104"/>
      </w:r>
      <w:r w:rsidR="48246923" w:rsidRPr="18C04F21">
        <w:rPr>
          <w:rFonts w:ascii="Times New Roman" w:eastAsia="Times New Roman" w:hAnsi="Times New Roman" w:cs="Times New Roman"/>
          <w:sz w:val="24"/>
          <w:szCs w:val="24"/>
        </w:rPr>
        <w:t>. Her naivete is displayed when it is shown how much she relies on her father and how now he has left she is at a loss of what to do</w:t>
      </w:r>
      <w:r w:rsidRPr="18C04F21">
        <w:rPr>
          <w:rStyle w:val="FootnoteReference"/>
          <w:rFonts w:ascii="Times New Roman" w:eastAsia="Times New Roman" w:hAnsi="Times New Roman" w:cs="Times New Roman"/>
          <w:sz w:val="24"/>
          <w:szCs w:val="24"/>
        </w:rPr>
        <w:footnoteReference w:id="105"/>
      </w:r>
      <w:r w:rsidR="5E08A7B7" w:rsidRPr="18C04F21">
        <w:rPr>
          <w:rFonts w:ascii="Times New Roman" w:eastAsia="Times New Roman" w:hAnsi="Times New Roman" w:cs="Times New Roman"/>
          <w:sz w:val="24"/>
          <w:szCs w:val="24"/>
        </w:rPr>
        <w:t>. So is her lack of self-confidence when it is shown how much she is concerned about what other people say, or even what they allegedly say, and how that impacts her as she explains she was ’crushed by the visits of wearisome women...who kept giving me this advice’</w:t>
      </w:r>
      <w:r w:rsidRPr="18C04F21">
        <w:rPr>
          <w:rStyle w:val="FootnoteReference"/>
          <w:rFonts w:ascii="Times New Roman" w:eastAsia="Times New Roman" w:hAnsi="Times New Roman" w:cs="Times New Roman"/>
          <w:sz w:val="24"/>
          <w:szCs w:val="24"/>
        </w:rPr>
        <w:footnoteReference w:id="106"/>
      </w:r>
      <w:r w:rsidR="5E08A7B7" w:rsidRPr="18C04F21">
        <w:rPr>
          <w:rFonts w:ascii="Times New Roman" w:eastAsia="Times New Roman" w:hAnsi="Times New Roman" w:cs="Times New Roman"/>
          <w:sz w:val="24"/>
          <w:szCs w:val="24"/>
        </w:rPr>
        <w:t>.</w:t>
      </w:r>
    </w:p>
    <w:p w14:paraId="01787993" w14:textId="4481ACEC" w:rsidR="0579C69B" w:rsidRDefault="48246923"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lastRenderedPageBreak/>
        <w:t>Cairns’ argument airs on the side of being contradictory also, as the Nurse uses ‘the language of conscience’ which Cairns says reveals the Nurse is familiar with conscience and remorse</w:t>
      </w:r>
      <w:r w:rsidR="0579C69B" w:rsidRPr="18C04F21">
        <w:rPr>
          <w:rStyle w:val="FootnoteReference"/>
          <w:rFonts w:ascii="Times New Roman" w:eastAsia="Times New Roman" w:hAnsi="Times New Roman" w:cs="Times New Roman"/>
          <w:sz w:val="24"/>
          <w:szCs w:val="24"/>
        </w:rPr>
        <w:footnoteReference w:id="107"/>
      </w:r>
      <w:r w:rsidRPr="18C04F21">
        <w:rPr>
          <w:rFonts w:ascii="Times New Roman" w:eastAsia="Times New Roman" w:hAnsi="Times New Roman" w:cs="Times New Roman"/>
          <w:sz w:val="24"/>
          <w:szCs w:val="24"/>
        </w:rPr>
        <w:t>, when she addresses the chorus to go help Hermione</w:t>
      </w:r>
      <w:r w:rsidR="0579C69B" w:rsidRPr="18C04F21">
        <w:rPr>
          <w:rStyle w:val="FootnoteReference"/>
          <w:rFonts w:ascii="Times New Roman" w:eastAsia="Times New Roman" w:hAnsi="Times New Roman" w:cs="Times New Roman"/>
          <w:sz w:val="24"/>
          <w:szCs w:val="24"/>
        </w:rPr>
        <w:footnoteReference w:id="108"/>
      </w:r>
      <w:r w:rsidRPr="18C04F21">
        <w:rPr>
          <w:rFonts w:ascii="Times New Roman" w:eastAsia="Times New Roman" w:hAnsi="Times New Roman" w:cs="Times New Roman"/>
          <w:sz w:val="24"/>
          <w:szCs w:val="24"/>
        </w:rPr>
        <w:t>. If the Nurse is familiar with this subject, which is convincing, then is it not reasonable to maintain that the Nurse sees remorse in Hermione’s actions because it is there. By Cairns own argument she must recognise Hermione’s action as remorseful because she is familiar with it and knows how it manifests. But it appears that Hermione is easy to be seen as the bad guy. Even Allan, whilst fair enough to say she can still have remorse and that this scene highlights her anxieties, is still resolute that ’she remains a shallow person’</w:t>
      </w:r>
      <w:r w:rsidR="0579C69B" w:rsidRPr="18C04F21">
        <w:rPr>
          <w:rStyle w:val="FootnoteReference"/>
          <w:rFonts w:ascii="Times New Roman" w:eastAsia="Times New Roman" w:hAnsi="Times New Roman" w:cs="Times New Roman"/>
          <w:sz w:val="24"/>
          <w:szCs w:val="24"/>
        </w:rPr>
        <w:footnoteReference w:id="109"/>
      </w:r>
      <w:r w:rsidRPr="18C04F21">
        <w:rPr>
          <w:rFonts w:ascii="Times New Roman" w:eastAsia="Times New Roman" w:hAnsi="Times New Roman" w:cs="Times New Roman"/>
          <w:sz w:val="24"/>
          <w:szCs w:val="24"/>
        </w:rPr>
        <w:t>. When, as will now be argued, it seems what has actually transpired here is that Hermione has been the victim not only her own anxieties but the cruelty of Andromache and the other women.</w:t>
      </w:r>
    </w:p>
    <w:p w14:paraId="421075D0" w14:textId="4AB5F640" w:rsidR="0579C69B" w:rsidRDefault="0579C69B" w:rsidP="09F6F64B">
      <w:pPr>
        <w:spacing w:line="480" w:lineRule="auto"/>
      </w:pPr>
      <w:r w:rsidRPr="09F6F64B">
        <w:br w:type="page"/>
      </w:r>
    </w:p>
    <w:p w14:paraId="16125027" w14:textId="4F49ADD1" w:rsidR="00217742" w:rsidRDefault="00217742" w:rsidP="00217742">
      <w:pPr>
        <w:pStyle w:val="Heading1"/>
        <w:rPr>
          <w:rFonts w:eastAsia="Times New Roman"/>
          <w:color w:val="auto"/>
        </w:rPr>
      </w:pPr>
      <w:bookmarkStart w:id="3" w:name="_Toc7809469"/>
      <w:r w:rsidRPr="00217742">
        <w:rPr>
          <w:rFonts w:eastAsia="Times New Roman"/>
          <w:color w:val="auto"/>
        </w:rPr>
        <w:lastRenderedPageBreak/>
        <w:t>Chapter Two</w:t>
      </w:r>
      <w:bookmarkEnd w:id="3"/>
    </w:p>
    <w:p w14:paraId="589E0E34" w14:textId="77777777" w:rsidR="00217742" w:rsidRPr="00217742" w:rsidRDefault="00217742" w:rsidP="00217742"/>
    <w:p w14:paraId="0888B95F" w14:textId="77E7E392" w:rsidR="0579C69B" w:rsidRDefault="18C04F21"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The following chapter will explore that Andromache should not be free from criticism and that her behaviour towards Hermione and others means that the status she holds of being morally superior</w:t>
      </w:r>
      <w:r w:rsidR="0579C69B" w:rsidRPr="18C04F21">
        <w:rPr>
          <w:rStyle w:val="FootnoteReference"/>
          <w:rFonts w:ascii="Times New Roman" w:eastAsia="Times New Roman" w:hAnsi="Times New Roman" w:cs="Times New Roman"/>
          <w:sz w:val="24"/>
          <w:szCs w:val="24"/>
        </w:rPr>
        <w:footnoteReference w:id="110"/>
      </w:r>
      <w:r w:rsidRPr="18C04F21">
        <w:rPr>
          <w:rFonts w:ascii="Times New Roman" w:eastAsia="Times New Roman" w:hAnsi="Times New Roman" w:cs="Times New Roman"/>
          <w:sz w:val="24"/>
          <w:szCs w:val="24"/>
        </w:rPr>
        <w:t xml:space="preserve"> needs to be questioned. This will conclude the argument that scholars should be directing their attention on the conflict and not on who is the better woman, as this is not a productive way of looking at </w:t>
      </w:r>
      <w:r w:rsidRPr="09F6F64B">
        <w:rPr>
          <w:rFonts w:ascii="Times New Roman" w:eastAsia="Times New Roman" w:hAnsi="Times New Roman" w:cs="Times New Roman"/>
          <w:i/>
          <w:iCs/>
          <w:sz w:val="24"/>
          <w:szCs w:val="24"/>
        </w:rPr>
        <w:t>Andromache.</w:t>
      </w:r>
    </w:p>
    <w:p w14:paraId="2375E46B" w14:textId="29C76956" w:rsidR="0579C69B" w:rsidRDefault="593754D4" w:rsidP="09F6F64B">
      <w:pPr>
        <w:spacing w:line="480" w:lineRule="auto"/>
        <w:rPr>
          <w:rFonts w:ascii="Times New Roman" w:eastAsia="Times New Roman" w:hAnsi="Times New Roman" w:cs="Times New Roman"/>
          <w:sz w:val="24"/>
          <w:szCs w:val="24"/>
        </w:rPr>
      </w:pPr>
      <w:r w:rsidRPr="18C04F21">
        <w:rPr>
          <w:rFonts w:ascii="Times New Roman" w:eastAsia="Times New Roman" w:hAnsi="Times New Roman" w:cs="Times New Roman"/>
          <w:sz w:val="24"/>
          <w:szCs w:val="24"/>
        </w:rPr>
        <w:t>Scholars like to cling to the fact that Hermione has no reason to complain because Neoptolemus is no longer sleeping with Andromache, there are no real foundations to the accusation of being poisoned</w:t>
      </w:r>
      <w:r w:rsidR="0579C69B" w:rsidRPr="18C04F21">
        <w:rPr>
          <w:rStyle w:val="FootnoteReference"/>
          <w:rFonts w:ascii="Times New Roman" w:eastAsia="Times New Roman" w:hAnsi="Times New Roman" w:cs="Times New Roman"/>
          <w:sz w:val="24"/>
          <w:szCs w:val="24"/>
        </w:rPr>
        <w:footnoteReference w:id="111"/>
      </w:r>
      <w:r w:rsidRPr="18C04F21">
        <w:rPr>
          <w:rFonts w:ascii="Times New Roman" w:eastAsia="Times New Roman" w:hAnsi="Times New Roman" w:cs="Times New Roman"/>
          <w:sz w:val="24"/>
          <w:szCs w:val="24"/>
        </w:rPr>
        <w:t xml:space="preserve"> and Andromache has nothing but distaste for Neoptolemus because Hector remains her great love</w:t>
      </w:r>
      <w:r w:rsidR="0579C69B" w:rsidRPr="18C04F21">
        <w:rPr>
          <w:rStyle w:val="FootnoteReference"/>
          <w:rFonts w:ascii="Times New Roman" w:eastAsia="Times New Roman" w:hAnsi="Times New Roman" w:cs="Times New Roman"/>
          <w:sz w:val="24"/>
          <w:szCs w:val="24"/>
        </w:rPr>
        <w:footnoteReference w:id="112"/>
      </w:r>
      <w:r w:rsidRPr="18C04F21">
        <w:rPr>
          <w:rFonts w:ascii="Times New Roman" w:eastAsia="Times New Roman" w:hAnsi="Times New Roman" w:cs="Times New Roman"/>
          <w:sz w:val="24"/>
          <w:szCs w:val="24"/>
        </w:rPr>
        <w:t xml:space="preserve">. However, Neoptolemus is not a character in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as he is away in Delphi so at no point </w:t>
      </w:r>
      <w:proofErr w:type="gramStart"/>
      <w:r w:rsidRPr="09F6F64B">
        <w:rPr>
          <w:rFonts w:ascii="Times New Roman" w:eastAsia="Times New Roman" w:hAnsi="Times New Roman" w:cs="Times New Roman"/>
          <w:sz w:val="24"/>
          <w:szCs w:val="24"/>
        </w:rPr>
        <w:t>do</w:t>
      </w:r>
      <w:proofErr w:type="gramEnd"/>
      <w:r w:rsidRPr="09F6F64B">
        <w:rPr>
          <w:rFonts w:ascii="Times New Roman" w:eastAsia="Times New Roman" w:hAnsi="Times New Roman" w:cs="Times New Roman"/>
          <w:sz w:val="24"/>
          <w:szCs w:val="24"/>
        </w:rPr>
        <w:t xml:space="preserve"> we see him say he is no longer sleeping with Andromache to anyone. Where we get this information is from Andromache</w:t>
      </w:r>
      <w:r w:rsidR="0579C69B" w:rsidRPr="09F6F64B">
        <w:rPr>
          <w:rStyle w:val="FootnoteReference"/>
          <w:rFonts w:ascii="Times New Roman" w:eastAsia="Times New Roman" w:hAnsi="Times New Roman" w:cs="Times New Roman"/>
          <w:sz w:val="24"/>
          <w:szCs w:val="24"/>
        </w:rPr>
        <w:footnoteReference w:id="113"/>
      </w:r>
      <w:r w:rsidRPr="09F6F64B">
        <w:rPr>
          <w:rFonts w:ascii="Times New Roman" w:eastAsia="Times New Roman" w:hAnsi="Times New Roman" w:cs="Times New Roman"/>
          <w:sz w:val="24"/>
          <w:szCs w:val="24"/>
        </w:rPr>
        <w:t>. But should Andromache be trusted? This is the opening dialogue with Andromache speaking to herself alone, which points towards it being the truth as why should she lie to herself. But as we have found out from the play gossip, or as Hermione calls it ’Siren words’</w:t>
      </w:r>
      <w:r w:rsidR="0579C69B" w:rsidRPr="09F6F64B">
        <w:rPr>
          <w:rStyle w:val="FootnoteReference"/>
          <w:rFonts w:ascii="Times New Roman" w:eastAsia="Times New Roman" w:hAnsi="Times New Roman" w:cs="Times New Roman"/>
          <w:sz w:val="24"/>
          <w:szCs w:val="24"/>
        </w:rPr>
        <w:footnoteReference w:id="114"/>
      </w:r>
      <w:r w:rsidRPr="09F6F64B">
        <w:rPr>
          <w:rFonts w:ascii="Times New Roman" w:eastAsia="Times New Roman" w:hAnsi="Times New Roman" w:cs="Times New Roman"/>
          <w:sz w:val="24"/>
          <w:szCs w:val="24"/>
        </w:rPr>
        <w:t xml:space="preserve">, is rife in the household and Andromache would or should be aware that she will probably be overheard. In which case it may not be the truth. While some like Storey insist it is true and deny the possibility that the sexual relationship has continued because neither </w:t>
      </w:r>
      <w:proofErr w:type="spellStart"/>
      <w:r w:rsidRPr="09F6F64B">
        <w:rPr>
          <w:rFonts w:ascii="Times New Roman" w:eastAsia="Times New Roman" w:hAnsi="Times New Roman" w:cs="Times New Roman"/>
          <w:i/>
          <w:iCs/>
          <w:sz w:val="24"/>
          <w:szCs w:val="24"/>
        </w:rPr>
        <w:t>gamos</w:t>
      </w:r>
      <w:proofErr w:type="spellEnd"/>
      <w:r w:rsidRPr="09F6F64B">
        <w:rPr>
          <w:rFonts w:ascii="Times New Roman" w:eastAsia="Times New Roman" w:hAnsi="Times New Roman" w:cs="Times New Roman"/>
          <w:i/>
          <w:iCs/>
          <w:sz w:val="24"/>
          <w:szCs w:val="24"/>
        </w:rPr>
        <w:t xml:space="preserve"> </w:t>
      </w:r>
      <w:r w:rsidRPr="09F6F64B">
        <w:rPr>
          <w:rFonts w:ascii="Times New Roman" w:eastAsia="Times New Roman" w:hAnsi="Times New Roman" w:cs="Times New Roman"/>
          <w:sz w:val="24"/>
          <w:szCs w:val="24"/>
        </w:rPr>
        <w:t xml:space="preserve">nor </w:t>
      </w:r>
      <w:proofErr w:type="spellStart"/>
      <w:r w:rsidRPr="09F6F64B">
        <w:rPr>
          <w:rFonts w:ascii="Times New Roman" w:eastAsia="Times New Roman" w:hAnsi="Times New Roman" w:cs="Times New Roman"/>
          <w:i/>
          <w:iCs/>
          <w:sz w:val="24"/>
          <w:szCs w:val="24"/>
        </w:rPr>
        <w:t>posis</w:t>
      </w:r>
      <w:proofErr w:type="spellEnd"/>
      <w:r w:rsidRPr="09F6F64B">
        <w:rPr>
          <w:rFonts w:ascii="Times New Roman" w:eastAsia="Times New Roman" w:hAnsi="Times New Roman" w:cs="Times New Roman"/>
          <w:sz w:val="24"/>
          <w:szCs w:val="24"/>
        </w:rPr>
        <w:t xml:space="preserve"> is used regarding the relationship</w:t>
      </w:r>
      <w:r w:rsidR="0579C69B" w:rsidRPr="09F6F64B">
        <w:rPr>
          <w:rStyle w:val="FootnoteReference"/>
          <w:rFonts w:ascii="Times New Roman" w:eastAsia="Times New Roman" w:hAnsi="Times New Roman" w:cs="Times New Roman"/>
          <w:sz w:val="24"/>
          <w:szCs w:val="24"/>
        </w:rPr>
        <w:footnoteReference w:id="115"/>
      </w:r>
      <w:r w:rsidRPr="09F6F64B">
        <w:rPr>
          <w:rFonts w:ascii="Times New Roman" w:eastAsia="Times New Roman" w:hAnsi="Times New Roman" w:cs="Times New Roman"/>
          <w:sz w:val="24"/>
          <w:szCs w:val="24"/>
        </w:rPr>
        <w:t xml:space="preserve">. However, argued is that there is evidence that the relationship is still sexual, which will </w:t>
      </w:r>
      <w:r w:rsidRPr="09F6F64B">
        <w:rPr>
          <w:rFonts w:ascii="Times New Roman" w:eastAsia="Times New Roman" w:hAnsi="Times New Roman" w:cs="Times New Roman"/>
          <w:sz w:val="24"/>
          <w:szCs w:val="24"/>
        </w:rPr>
        <w:lastRenderedPageBreak/>
        <w:t>then raise the question is Andromache deceitful or possibly just needlessly cruel to Hermione.</w:t>
      </w:r>
    </w:p>
    <w:p w14:paraId="105840C8" w14:textId="5D88A1CE"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Firstly, in Andromache’s own words she says ‘in this house I lay with Achilles’ son’</w:t>
      </w:r>
      <w:r w:rsidRPr="09F6F64B">
        <w:rPr>
          <w:rStyle w:val="FootnoteReference"/>
          <w:rFonts w:ascii="Times New Roman" w:eastAsia="Times New Roman" w:hAnsi="Times New Roman" w:cs="Times New Roman"/>
          <w:sz w:val="24"/>
          <w:szCs w:val="24"/>
        </w:rPr>
        <w:footnoteReference w:id="116"/>
      </w:r>
      <w:r w:rsidRPr="09F6F64B">
        <w:rPr>
          <w:rFonts w:ascii="Times New Roman" w:eastAsia="Times New Roman" w:hAnsi="Times New Roman" w:cs="Times New Roman"/>
          <w:sz w:val="24"/>
          <w:szCs w:val="24"/>
        </w:rPr>
        <w:t>. Now while it could be past tense more immediately one would assume it would be present tense, as in that she still lies with Neoptolemus. Unfortunately, commentaries of the play do not make this clearer either. A Few lines down she will tell us that he ceased sleeping with her but then the Maidservant will enter and say that Andromache and Hermione ’share one man’</w:t>
      </w:r>
      <w:r w:rsidRPr="09F6F64B">
        <w:rPr>
          <w:rStyle w:val="FootnoteReference"/>
          <w:rFonts w:ascii="Times New Roman" w:eastAsia="Times New Roman" w:hAnsi="Times New Roman" w:cs="Times New Roman"/>
          <w:sz w:val="24"/>
          <w:szCs w:val="24"/>
        </w:rPr>
        <w:footnoteReference w:id="117"/>
      </w:r>
      <w:r w:rsidRPr="09F6F64B">
        <w:rPr>
          <w:rFonts w:ascii="Times New Roman" w:eastAsia="Times New Roman" w:hAnsi="Times New Roman" w:cs="Times New Roman"/>
          <w:sz w:val="24"/>
          <w:szCs w:val="24"/>
        </w:rPr>
        <w:t xml:space="preserve">. Again, there is present tense showing that the slaves at least believe that the two are still engaging in a sexual relationship and importantly Andromache does not correct her. </w:t>
      </w:r>
    </w:p>
    <w:p w14:paraId="3C7C8B4B" w14:textId="79982DC7"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Moreover, it seems that even those outside the household believe they are still sleeping together. As the chorus leader, a </w:t>
      </w:r>
      <w:proofErr w:type="spellStart"/>
      <w:r w:rsidRPr="09F6F64B">
        <w:rPr>
          <w:rFonts w:ascii="Times New Roman" w:eastAsia="Times New Roman" w:hAnsi="Times New Roman" w:cs="Times New Roman"/>
          <w:sz w:val="24"/>
          <w:szCs w:val="24"/>
        </w:rPr>
        <w:t>Phthian</w:t>
      </w:r>
      <w:proofErr w:type="spellEnd"/>
      <w:r w:rsidRPr="09F6F64B">
        <w:rPr>
          <w:rFonts w:ascii="Times New Roman" w:eastAsia="Times New Roman" w:hAnsi="Times New Roman" w:cs="Times New Roman"/>
          <w:sz w:val="24"/>
          <w:szCs w:val="24"/>
        </w:rPr>
        <w:t xml:space="preserve"> woman, uses the word </w:t>
      </w:r>
      <w:proofErr w:type="spellStart"/>
      <w:r w:rsidRPr="09F6F64B">
        <w:rPr>
          <w:rFonts w:ascii="Times New Roman" w:eastAsia="Times New Roman" w:hAnsi="Times New Roman" w:cs="Times New Roman"/>
          <w:i/>
          <w:iCs/>
          <w:sz w:val="24"/>
          <w:szCs w:val="24"/>
        </w:rPr>
        <w:t>σύγγ</w:t>
      </w:r>
      <w:proofErr w:type="spellEnd"/>
      <w:r w:rsidRPr="09F6F64B">
        <w:rPr>
          <w:rFonts w:ascii="Times New Roman" w:eastAsia="Times New Roman" w:hAnsi="Times New Roman" w:cs="Times New Roman"/>
          <w:i/>
          <w:iCs/>
          <w:sz w:val="24"/>
          <w:szCs w:val="24"/>
        </w:rPr>
        <w:t>αμοϛ</w:t>
      </w:r>
      <w:r w:rsidRPr="09F6F64B">
        <w:rPr>
          <w:rStyle w:val="FootnoteReference"/>
          <w:rFonts w:ascii="Times New Roman" w:eastAsia="Times New Roman" w:hAnsi="Times New Roman" w:cs="Times New Roman"/>
          <w:i/>
          <w:iCs/>
          <w:sz w:val="24"/>
          <w:szCs w:val="24"/>
        </w:rPr>
        <w:footnoteReference w:id="118"/>
      </w:r>
      <w:r w:rsidRPr="09F6F64B">
        <w:rPr>
          <w:rFonts w:ascii="Times New Roman" w:eastAsia="Times New Roman" w:hAnsi="Times New Roman" w:cs="Times New Roman"/>
          <w:i/>
          <w:iCs/>
          <w:sz w:val="24"/>
          <w:szCs w:val="24"/>
        </w:rPr>
        <w:t xml:space="preserve"> </w:t>
      </w:r>
      <w:r w:rsidRPr="09F6F64B">
        <w:rPr>
          <w:rFonts w:ascii="Times New Roman" w:eastAsia="Times New Roman" w:hAnsi="Times New Roman" w:cs="Times New Roman"/>
          <w:sz w:val="24"/>
          <w:szCs w:val="24"/>
        </w:rPr>
        <w:t xml:space="preserve">which </w:t>
      </w:r>
      <w:proofErr w:type="spellStart"/>
      <w:r w:rsidRPr="09F6F64B">
        <w:rPr>
          <w:rFonts w:ascii="Times New Roman" w:eastAsia="Times New Roman" w:hAnsi="Times New Roman" w:cs="Times New Roman"/>
          <w:sz w:val="24"/>
          <w:szCs w:val="24"/>
        </w:rPr>
        <w:t>Papadimitropoulos</w:t>
      </w:r>
      <w:proofErr w:type="spellEnd"/>
      <w:r w:rsidRPr="09F6F64B">
        <w:rPr>
          <w:rFonts w:ascii="Times New Roman" w:eastAsia="Times New Roman" w:hAnsi="Times New Roman" w:cs="Times New Roman"/>
          <w:sz w:val="24"/>
          <w:szCs w:val="24"/>
        </w:rPr>
        <w:t xml:space="preserve"> notes indicates that they believe the two to be intimate</w:t>
      </w:r>
      <w:r w:rsidRPr="09F6F64B">
        <w:rPr>
          <w:rStyle w:val="FootnoteReference"/>
          <w:rFonts w:ascii="Times New Roman" w:eastAsia="Times New Roman" w:hAnsi="Times New Roman" w:cs="Times New Roman"/>
          <w:sz w:val="24"/>
          <w:szCs w:val="24"/>
        </w:rPr>
        <w:footnoteReference w:id="119"/>
      </w:r>
      <w:r w:rsidRPr="09F6F64B">
        <w:rPr>
          <w:rFonts w:ascii="Times New Roman" w:eastAsia="Times New Roman" w:hAnsi="Times New Roman" w:cs="Times New Roman"/>
          <w:sz w:val="24"/>
          <w:szCs w:val="24"/>
        </w:rPr>
        <w:t>. Menelaus also claims that Andromache lives under the same roof as Neoptolemus but also dines at his table which Peleus does not deny</w:t>
      </w:r>
      <w:r w:rsidRPr="09F6F64B">
        <w:rPr>
          <w:rStyle w:val="FootnoteReference"/>
          <w:rFonts w:ascii="Times New Roman" w:eastAsia="Times New Roman" w:hAnsi="Times New Roman" w:cs="Times New Roman"/>
          <w:sz w:val="24"/>
          <w:szCs w:val="24"/>
        </w:rPr>
        <w:footnoteReference w:id="120"/>
      </w:r>
      <w:r w:rsidRPr="09F6F64B">
        <w:rPr>
          <w:rFonts w:ascii="Times New Roman" w:eastAsia="Times New Roman" w:hAnsi="Times New Roman" w:cs="Times New Roman"/>
          <w:sz w:val="24"/>
          <w:szCs w:val="24"/>
        </w:rPr>
        <w:t>. While this does not mean they are in a sexual relationship it does still suggest intimacy which is furthermore indicated when Andromache knows how Hermione behaves towards her husband</w:t>
      </w:r>
      <w:r w:rsidRPr="09F6F64B">
        <w:rPr>
          <w:rStyle w:val="FootnoteReference"/>
          <w:rFonts w:ascii="Times New Roman" w:eastAsia="Times New Roman" w:hAnsi="Times New Roman" w:cs="Times New Roman"/>
          <w:sz w:val="24"/>
          <w:szCs w:val="24"/>
        </w:rPr>
        <w:footnoteReference w:id="121"/>
      </w:r>
      <w:r w:rsidRPr="09F6F64B">
        <w:rPr>
          <w:rFonts w:ascii="Times New Roman" w:eastAsia="Times New Roman" w:hAnsi="Times New Roman" w:cs="Times New Roman"/>
          <w:sz w:val="24"/>
          <w:szCs w:val="24"/>
        </w:rPr>
        <w:t xml:space="preserve">. It could be that the slaves have gossiped about it explaining why Andromache knows, or perhaps Neoptolemus has confided in Andromache as posed by </w:t>
      </w:r>
      <w:proofErr w:type="spellStart"/>
      <w:r w:rsidRPr="09F6F64B">
        <w:rPr>
          <w:rFonts w:ascii="Times New Roman" w:eastAsia="Times New Roman" w:hAnsi="Times New Roman" w:cs="Times New Roman"/>
          <w:sz w:val="24"/>
          <w:szCs w:val="24"/>
        </w:rPr>
        <w:t>Papadimitropoulos</w:t>
      </w:r>
      <w:proofErr w:type="spellEnd"/>
      <w:r w:rsidRPr="09F6F64B">
        <w:rPr>
          <w:rStyle w:val="FootnoteReference"/>
          <w:rFonts w:ascii="Times New Roman" w:eastAsia="Times New Roman" w:hAnsi="Times New Roman" w:cs="Times New Roman"/>
          <w:sz w:val="24"/>
          <w:szCs w:val="24"/>
        </w:rPr>
        <w:footnoteReference w:id="122"/>
      </w:r>
      <w:r w:rsidRPr="09F6F64B">
        <w:rPr>
          <w:rFonts w:ascii="Times New Roman" w:eastAsia="Times New Roman" w:hAnsi="Times New Roman" w:cs="Times New Roman"/>
          <w:sz w:val="24"/>
          <w:szCs w:val="24"/>
        </w:rPr>
        <w:t xml:space="preserve">. Importantly, the relationship between Neoptolemus and Andromache has continued to a degree that both slaves and people outside the household believe them to still be </w:t>
      </w:r>
      <w:r w:rsidRPr="09F6F64B">
        <w:rPr>
          <w:rFonts w:ascii="Times New Roman" w:eastAsia="Times New Roman" w:hAnsi="Times New Roman" w:cs="Times New Roman"/>
          <w:sz w:val="24"/>
          <w:szCs w:val="24"/>
        </w:rPr>
        <w:lastRenderedPageBreak/>
        <w:t>intimate, whilst this may not be a sexual intimacy anymore it is reasonable to see that people could speculate it still is. Another part of the text that suggests the relationship must to some degree be intimate is that Andromache trusts him</w:t>
      </w:r>
      <w:r w:rsidRPr="09F6F64B">
        <w:rPr>
          <w:rStyle w:val="FootnoteReference"/>
          <w:rFonts w:ascii="Times New Roman" w:eastAsia="Times New Roman" w:hAnsi="Times New Roman" w:cs="Times New Roman"/>
          <w:sz w:val="24"/>
          <w:szCs w:val="24"/>
        </w:rPr>
        <w:footnoteReference w:id="123"/>
      </w:r>
      <w:r w:rsidR="1E668355" w:rsidRPr="09F6F64B">
        <w:rPr>
          <w:rFonts w:ascii="Times New Roman" w:eastAsia="Times New Roman" w:hAnsi="Times New Roman" w:cs="Times New Roman"/>
          <w:sz w:val="24"/>
          <w:szCs w:val="24"/>
        </w:rPr>
        <w:t>.</w:t>
      </w:r>
    </w:p>
    <w:p w14:paraId="18EEBB49" w14:textId="2025EADC" w:rsidR="1E668355" w:rsidRDefault="1E66835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Therefore, it is reasonable to see why Hermione would still assume the sexual relationship is ongoing. Especially as we are never told that Neoptolemus made Hermione aware he ceased sleeping with Andromache and Andromache never tells anyone else that Neoptolemus is no longer sleeping with her. The fact that Andromache does not even attempt to reassure Hermione that the sexual relationship is over is suspicious. Moreover, when you consider also that she waits for Hermione to leave to say she trusts Neoptolemus</w:t>
      </w:r>
      <w:r w:rsidRPr="09F6F64B">
        <w:rPr>
          <w:rStyle w:val="FootnoteReference"/>
          <w:rFonts w:ascii="Times New Roman" w:eastAsia="Times New Roman" w:hAnsi="Times New Roman" w:cs="Times New Roman"/>
          <w:sz w:val="24"/>
          <w:szCs w:val="24"/>
        </w:rPr>
        <w:footnoteReference w:id="124"/>
      </w:r>
      <w:r w:rsidRPr="09F6F64B">
        <w:rPr>
          <w:rFonts w:ascii="Times New Roman" w:eastAsia="Times New Roman" w:hAnsi="Times New Roman" w:cs="Times New Roman"/>
          <w:sz w:val="24"/>
          <w:szCs w:val="24"/>
        </w:rPr>
        <w:t>, this implies that their relationship is of a nature she does not wish Hermione to know about.</w:t>
      </w:r>
    </w:p>
    <w:p w14:paraId="4BA0BA5B" w14:textId="023F0581"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Either Andromache wants to prey on Hermione’s youth and insecurities, the sexual relationship has continued or even perhaps both. Andromache can be seen as trying to assert herself as the wife</w:t>
      </w:r>
      <w:r w:rsidRPr="09F6F64B">
        <w:rPr>
          <w:rStyle w:val="FootnoteReference"/>
          <w:rFonts w:ascii="Times New Roman" w:eastAsia="Times New Roman" w:hAnsi="Times New Roman" w:cs="Times New Roman"/>
          <w:sz w:val="24"/>
          <w:szCs w:val="24"/>
        </w:rPr>
        <w:footnoteReference w:id="125"/>
      </w:r>
      <w:r w:rsidRPr="09F6F64B">
        <w:rPr>
          <w:rFonts w:ascii="Times New Roman" w:eastAsia="Times New Roman" w:hAnsi="Times New Roman" w:cs="Times New Roman"/>
          <w:sz w:val="24"/>
          <w:szCs w:val="24"/>
        </w:rPr>
        <w:t>, competing against Hermione. Hence why she emphasises her own virtues and Hermione’s flaws</w:t>
      </w:r>
      <w:r w:rsidRPr="09F6F64B">
        <w:rPr>
          <w:rStyle w:val="FootnoteReference"/>
          <w:rFonts w:ascii="Times New Roman" w:eastAsia="Times New Roman" w:hAnsi="Times New Roman" w:cs="Times New Roman"/>
          <w:sz w:val="24"/>
          <w:szCs w:val="24"/>
        </w:rPr>
        <w:footnoteReference w:id="126"/>
      </w:r>
      <w:r w:rsidRPr="09F6F64B">
        <w:rPr>
          <w:rFonts w:ascii="Times New Roman" w:eastAsia="Times New Roman" w:hAnsi="Times New Roman" w:cs="Times New Roman"/>
          <w:sz w:val="24"/>
          <w:szCs w:val="24"/>
        </w:rPr>
        <w:t xml:space="preserve">, while she refuses to mention that she is no longer in a sexual relationship with Neoptolemus whether it is true or not. Could then this be how she gets revenge on Helen and the family that has caused her suffering? If this is the case perhaps then more stock should be put into the poisoning accusation. </w:t>
      </w:r>
    </w:p>
    <w:p w14:paraId="41187E94" w14:textId="09884B7B"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Importantly this also gives weight to the idea, she is deceitful. Plus, even if they are no longer engaging in a sexual relationship it could be seen that Andromache feels abandoned or in some way upset by this as she refers to Neoptolemus as having ’turned </w:t>
      </w:r>
      <w:r w:rsidRPr="09F6F64B">
        <w:rPr>
          <w:rFonts w:ascii="Times New Roman" w:eastAsia="Times New Roman" w:hAnsi="Times New Roman" w:cs="Times New Roman"/>
          <w:sz w:val="24"/>
          <w:szCs w:val="24"/>
        </w:rPr>
        <w:lastRenderedPageBreak/>
        <w:t>his back’</w:t>
      </w:r>
      <w:r w:rsidRPr="09F6F64B">
        <w:rPr>
          <w:rStyle w:val="FootnoteReference"/>
          <w:rFonts w:ascii="Times New Roman" w:eastAsia="Times New Roman" w:hAnsi="Times New Roman" w:cs="Times New Roman"/>
          <w:sz w:val="24"/>
          <w:szCs w:val="24"/>
        </w:rPr>
        <w:footnoteReference w:id="127"/>
      </w:r>
      <w:r w:rsidRPr="09F6F64B">
        <w:rPr>
          <w:rFonts w:ascii="Times New Roman" w:eastAsia="Times New Roman" w:hAnsi="Times New Roman" w:cs="Times New Roman"/>
          <w:sz w:val="24"/>
          <w:szCs w:val="24"/>
        </w:rPr>
        <w:t xml:space="preserve"> on her, so then is she getting revenge for being a scorned lover. Scholars tend to focus on Hermione’s supposed jealousy that Andromache can bare Neoptolemus children while she is childless</w:t>
      </w:r>
      <w:r w:rsidRPr="09F6F64B">
        <w:rPr>
          <w:rStyle w:val="FootnoteReference"/>
          <w:rFonts w:ascii="Times New Roman" w:eastAsia="Times New Roman" w:hAnsi="Times New Roman" w:cs="Times New Roman"/>
          <w:sz w:val="24"/>
          <w:szCs w:val="24"/>
        </w:rPr>
        <w:footnoteReference w:id="128"/>
      </w:r>
      <w:r w:rsidRPr="09F6F64B">
        <w:rPr>
          <w:rFonts w:ascii="Times New Roman" w:eastAsia="Times New Roman" w:hAnsi="Times New Roman" w:cs="Times New Roman"/>
          <w:sz w:val="24"/>
          <w:szCs w:val="24"/>
        </w:rPr>
        <w:t xml:space="preserve"> (but never in a sympathetic way despite knowing the importance of motherhood to Spartan women</w:t>
      </w:r>
      <w:r w:rsidRPr="09F6F64B">
        <w:rPr>
          <w:rStyle w:val="FootnoteReference"/>
          <w:rFonts w:ascii="Times New Roman" w:eastAsia="Times New Roman" w:hAnsi="Times New Roman" w:cs="Times New Roman"/>
          <w:sz w:val="24"/>
          <w:szCs w:val="24"/>
        </w:rPr>
        <w:footnoteReference w:id="129"/>
      </w:r>
      <w:r w:rsidRPr="09F6F64B">
        <w:rPr>
          <w:rFonts w:ascii="Times New Roman" w:eastAsia="Times New Roman" w:hAnsi="Times New Roman" w:cs="Times New Roman"/>
          <w:sz w:val="24"/>
          <w:szCs w:val="24"/>
        </w:rPr>
        <w:t xml:space="preserve">), but there has been nothing by scholars suggesting that Andromache also may harbour jealousy herself.  </w:t>
      </w:r>
    </w:p>
    <w:p w14:paraId="4D210EFB" w14:textId="5C1C5F58"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Andromache is deceitful and able to twist the truth. She says that ‘this role of mistress was forced upon me from the beginning and I have now relinquished it’</w:t>
      </w:r>
      <w:r w:rsidRPr="09F6F64B">
        <w:rPr>
          <w:rStyle w:val="FootnoteReference"/>
          <w:rFonts w:ascii="Times New Roman" w:eastAsia="Times New Roman" w:hAnsi="Times New Roman" w:cs="Times New Roman"/>
          <w:sz w:val="24"/>
          <w:szCs w:val="24"/>
        </w:rPr>
        <w:footnoteReference w:id="130"/>
      </w:r>
      <w:r w:rsidRPr="09F6F64B">
        <w:rPr>
          <w:rFonts w:ascii="Times New Roman" w:eastAsia="Times New Roman" w:hAnsi="Times New Roman" w:cs="Times New Roman"/>
          <w:sz w:val="24"/>
          <w:szCs w:val="24"/>
        </w:rPr>
        <w:t>. With this she is cleverly situated herself as both a victim and the agent of her own situation. When the need calls for it, she can be the helpless slave, a victim of the circumstance she has been forced into</w:t>
      </w:r>
      <w:r w:rsidRPr="09F6F64B">
        <w:rPr>
          <w:rStyle w:val="FootnoteReference"/>
          <w:rFonts w:ascii="Times New Roman" w:eastAsia="Times New Roman" w:hAnsi="Times New Roman" w:cs="Times New Roman"/>
          <w:sz w:val="24"/>
          <w:szCs w:val="24"/>
        </w:rPr>
        <w:footnoteReference w:id="131"/>
      </w:r>
      <w:r w:rsidRPr="09F6F64B">
        <w:rPr>
          <w:rFonts w:ascii="Times New Roman" w:eastAsia="Times New Roman" w:hAnsi="Times New Roman" w:cs="Times New Roman"/>
          <w:sz w:val="24"/>
          <w:szCs w:val="24"/>
        </w:rPr>
        <w:t xml:space="preserve"> gaining her sympathy</w:t>
      </w:r>
      <w:r w:rsidRPr="09F6F64B">
        <w:rPr>
          <w:rStyle w:val="FootnoteReference"/>
          <w:rFonts w:ascii="Times New Roman" w:eastAsia="Times New Roman" w:hAnsi="Times New Roman" w:cs="Times New Roman"/>
          <w:sz w:val="24"/>
          <w:szCs w:val="24"/>
        </w:rPr>
        <w:footnoteReference w:id="132"/>
      </w:r>
      <w:r w:rsidRPr="09F6F64B">
        <w:rPr>
          <w:rFonts w:ascii="Times New Roman" w:eastAsia="Times New Roman" w:hAnsi="Times New Roman" w:cs="Times New Roman"/>
          <w:sz w:val="24"/>
          <w:szCs w:val="24"/>
        </w:rPr>
        <w:t>. But we also see her cunningly plan and have agency and power that not only allows her to be confrontational with those with a higher status but allows her to secretly send her child away</w:t>
      </w:r>
      <w:r w:rsidRPr="09F6F64B">
        <w:rPr>
          <w:rStyle w:val="FootnoteReference"/>
          <w:rFonts w:ascii="Times New Roman" w:eastAsia="Times New Roman" w:hAnsi="Times New Roman" w:cs="Times New Roman"/>
          <w:sz w:val="24"/>
          <w:szCs w:val="24"/>
        </w:rPr>
        <w:footnoteReference w:id="133"/>
      </w:r>
      <w:r w:rsidRPr="09F6F64B">
        <w:rPr>
          <w:rFonts w:ascii="Times New Roman" w:eastAsia="Times New Roman" w:hAnsi="Times New Roman" w:cs="Times New Roman"/>
          <w:sz w:val="24"/>
          <w:szCs w:val="24"/>
        </w:rPr>
        <w:t>. It appears that Andromache can weave a narrative to what will further her interests.</w:t>
      </w:r>
    </w:p>
    <w:p w14:paraId="46811146" w14:textId="3349D49D"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This is mostly seen in her conversation with the Maidservant. Andromache uses the role of victim and slave to get the Maidservant to do what she wants; she rejects the title of lady and says instead that the two women are the same, both dear friends and companions in slavery</w:t>
      </w:r>
      <w:r w:rsidRPr="09F6F64B">
        <w:rPr>
          <w:rStyle w:val="FootnoteReference"/>
          <w:rFonts w:ascii="Times New Roman" w:eastAsia="Times New Roman" w:hAnsi="Times New Roman" w:cs="Times New Roman"/>
          <w:sz w:val="24"/>
          <w:szCs w:val="24"/>
        </w:rPr>
        <w:footnoteReference w:id="134"/>
      </w:r>
      <w:r w:rsidRPr="09F6F64B">
        <w:rPr>
          <w:rFonts w:ascii="Times New Roman" w:eastAsia="Times New Roman" w:hAnsi="Times New Roman" w:cs="Times New Roman"/>
          <w:sz w:val="24"/>
          <w:szCs w:val="24"/>
        </w:rPr>
        <w:t xml:space="preserve">. But it is clear that Andromache is just using this notion of friendship and solidarity to get loyalty, also as a way to deceive as she has little care for the danger or risk her request puts the Maidservant in. Actually, she accuses the Maidservant of being a bad person who disowns her friends for not wanting to be in </w:t>
      </w:r>
      <w:r w:rsidRPr="09F6F64B">
        <w:rPr>
          <w:rFonts w:ascii="Times New Roman" w:eastAsia="Times New Roman" w:hAnsi="Times New Roman" w:cs="Times New Roman"/>
          <w:sz w:val="24"/>
          <w:szCs w:val="24"/>
        </w:rPr>
        <w:lastRenderedPageBreak/>
        <w:t>danger</w:t>
      </w:r>
      <w:r w:rsidRPr="09F6F64B">
        <w:rPr>
          <w:rStyle w:val="FootnoteReference"/>
          <w:rFonts w:ascii="Times New Roman" w:eastAsia="Times New Roman" w:hAnsi="Times New Roman" w:cs="Times New Roman"/>
          <w:sz w:val="24"/>
          <w:szCs w:val="24"/>
        </w:rPr>
        <w:footnoteReference w:id="135"/>
      </w:r>
      <w:r w:rsidRPr="09F6F64B">
        <w:rPr>
          <w:rFonts w:ascii="Times New Roman" w:eastAsia="Times New Roman" w:hAnsi="Times New Roman" w:cs="Times New Roman"/>
          <w:sz w:val="24"/>
          <w:szCs w:val="24"/>
        </w:rPr>
        <w:t xml:space="preserve">. The charge of being a bad friend is grievous to the Maidservant and that accusation alone causes her to abandon the fear of being caught and punished. Andromache must know that, for her, solidarity and friendship are important and so Andromache uses it to manipulate her, which also highlights that Andromache dose not regard solidarity and female friendship highly. </w:t>
      </w:r>
    </w:p>
    <w:p w14:paraId="515051C7" w14:textId="28FEDF5A"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Andromache is also asserting power over a slave despite herself also being a slave. Also, she is careful not to put her own life in danger despite the Maidservant saying that a slave’s life is a small matter</w:t>
      </w:r>
      <w:r w:rsidRPr="09F6F64B">
        <w:rPr>
          <w:rStyle w:val="FootnoteReference"/>
          <w:rFonts w:ascii="Times New Roman" w:eastAsia="Times New Roman" w:hAnsi="Times New Roman" w:cs="Times New Roman"/>
          <w:sz w:val="24"/>
          <w:szCs w:val="24"/>
        </w:rPr>
        <w:footnoteReference w:id="136"/>
      </w:r>
      <w:r w:rsidR="425BF1E3" w:rsidRPr="09F6F64B">
        <w:rPr>
          <w:rFonts w:ascii="Times New Roman" w:eastAsia="Times New Roman" w:hAnsi="Times New Roman" w:cs="Times New Roman"/>
          <w:sz w:val="24"/>
          <w:szCs w:val="24"/>
        </w:rPr>
        <w:t>, meaning that if harm or death should happen to them it is not of consequence, yet the Maidservant is manipulated to allow another slave’s life to mean more than her own. While the Maidservant allows this because of past loyalties, being formerly the slave of Andromache and Hector in Troy</w:t>
      </w:r>
      <w:r w:rsidRPr="09F6F64B">
        <w:rPr>
          <w:rStyle w:val="FootnoteReference"/>
          <w:rFonts w:ascii="Times New Roman" w:eastAsia="Times New Roman" w:hAnsi="Times New Roman" w:cs="Times New Roman"/>
          <w:sz w:val="24"/>
          <w:szCs w:val="24"/>
        </w:rPr>
        <w:footnoteReference w:id="137"/>
      </w:r>
      <w:r w:rsidR="425BF1E3" w:rsidRPr="09F6F64B">
        <w:rPr>
          <w:rFonts w:ascii="Times New Roman" w:eastAsia="Times New Roman" w:hAnsi="Times New Roman" w:cs="Times New Roman"/>
          <w:sz w:val="24"/>
          <w:szCs w:val="24"/>
        </w:rPr>
        <w:t xml:space="preserve">, one must question does that make this exchange correct. Why should the Maidservant still be able to be controlled by Andromache, when Andromache says herself, they are now supposedly equal? Importantly, why does Andromache still have the belief she can order and manipulate slaves to do her bidding. Surely this idea she has further supports the notion that she is trying to remain in power (depending on the relationship she had with Neoptolemus) or regain the power she had in Troy. </w:t>
      </w:r>
    </w:p>
    <w:p w14:paraId="577651FF" w14:textId="59FCD6F1"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Furthermore, she says ’you will think of a hundred schemes; you are a woman’</w:t>
      </w:r>
      <w:r w:rsidRPr="09F6F64B">
        <w:rPr>
          <w:rStyle w:val="FootnoteReference"/>
          <w:rFonts w:ascii="Times New Roman" w:eastAsia="Times New Roman" w:hAnsi="Times New Roman" w:cs="Times New Roman"/>
          <w:sz w:val="24"/>
          <w:szCs w:val="24"/>
        </w:rPr>
        <w:footnoteReference w:id="138"/>
      </w:r>
      <w:r w:rsidRPr="09F6F64B">
        <w:rPr>
          <w:rFonts w:ascii="Times New Roman" w:eastAsia="Times New Roman" w:hAnsi="Times New Roman" w:cs="Times New Roman"/>
          <w:sz w:val="24"/>
          <w:szCs w:val="24"/>
        </w:rPr>
        <w:t>. Which firstly could be read as contempt for women, as we do see other anti-women remarks from Andromache stating that women are worse than snakes and fire</w:t>
      </w:r>
      <w:r w:rsidRPr="09F6F64B">
        <w:rPr>
          <w:rStyle w:val="FootnoteReference"/>
          <w:rFonts w:ascii="Times New Roman" w:eastAsia="Times New Roman" w:hAnsi="Times New Roman" w:cs="Times New Roman"/>
          <w:sz w:val="24"/>
          <w:szCs w:val="24"/>
        </w:rPr>
        <w:footnoteReference w:id="139"/>
      </w:r>
      <w:r w:rsidR="425BF1E3" w:rsidRPr="09F6F64B">
        <w:rPr>
          <w:rFonts w:ascii="Times New Roman" w:eastAsia="Times New Roman" w:hAnsi="Times New Roman" w:cs="Times New Roman"/>
          <w:sz w:val="24"/>
          <w:szCs w:val="24"/>
        </w:rPr>
        <w:t>,</w:t>
      </w:r>
      <w:r w:rsidRPr="09F6F64B">
        <w:rPr>
          <w:rFonts w:ascii="Times New Roman" w:eastAsia="Times New Roman" w:hAnsi="Times New Roman" w:cs="Times New Roman"/>
          <w:sz w:val="24"/>
          <w:szCs w:val="24"/>
        </w:rPr>
        <w:t xml:space="preserve"> but is perhaps Andromache revealing that she too has a hundred schemes. After all she too is a </w:t>
      </w:r>
      <w:r w:rsidRPr="09F6F64B">
        <w:rPr>
          <w:rFonts w:ascii="Times New Roman" w:eastAsia="Times New Roman" w:hAnsi="Times New Roman" w:cs="Times New Roman"/>
          <w:sz w:val="24"/>
          <w:szCs w:val="24"/>
        </w:rPr>
        <w:lastRenderedPageBreak/>
        <w:t xml:space="preserve">woman. We have already discussed her not being transparent about her relationship with Neoptolemus to Hermione, smuggling away her child and getting the Maidservant to send a message. But here another scheme that perhaps was being orchestrated will be discussed. </w:t>
      </w:r>
    </w:p>
    <w:p w14:paraId="40997C0D" w14:textId="36633F43" w:rsidR="593754D4" w:rsidRDefault="593754D4"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Andromache tells Hermione, in order to make Hermione look foolish for thinking it and to prove she is no threat, that it is not possible for her son to take over as ruler as </w:t>
      </w:r>
      <w:proofErr w:type="spellStart"/>
      <w:r w:rsidRPr="09F6F64B">
        <w:rPr>
          <w:rFonts w:ascii="Times New Roman" w:eastAsia="Times New Roman" w:hAnsi="Times New Roman" w:cs="Times New Roman"/>
          <w:sz w:val="24"/>
          <w:szCs w:val="24"/>
        </w:rPr>
        <w:t>Phthia</w:t>
      </w:r>
      <w:proofErr w:type="spellEnd"/>
      <w:r w:rsidRPr="09F6F64B">
        <w:rPr>
          <w:rFonts w:ascii="Times New Roman" w:eastAsia="Times New Roman" w:hAnsi="Times New Roman" w:cs="Times New Roman"/>
          <w:sz w:val="24"/>
          <w:szCs w:val="24"/>
        </w:rPr>
        <w:t xml:space="preserve"> will not accept her offspring</w:t>
      </w:r>
      <w:r w:rsidRPr="09F6F64B">
        <w:rPr>
          <w:rStyle w:val="FootnoteReference"/>
          <w:rFonts w:ascii="Times New Roman" w:eastAsia="Times New Roman" w:hAnsi="Times New Roman" w:cs="Times New Roman"/>
          <w:sz w:val="24"/>
          <w:szCs w:val="24"/>
        </w:rPr>
        <w:footnoteReference w:id="140"/>
      </w:r>
      <w:r w:rsidRPr="09F6F64B">
        <w:rPr>
          <w:rFonts w:ascii="Times New Roman" w:eastAsia="Times New Roman" w:hAnsi="Times New Roman" w:cs="Times New Roman"/>
          <w:sz w:val="24"/>
          <w:szCs w:val="24"/>
        </w:rPr>
        <w:t>. Andromache in roundabout way is reassuring Hermione that her child is no threat, but why did she choose to do that and decide not to clarify her relationship with Neoptolemus when that would also further prove she is no threat. I propose she is misdirecting Hermione. We know she is in contact with Peleus</w:t>
      </w:r>
      <w:r w:rsidRPr="09F6F64B">
        <w:rPr>
          <w:rStyle w:val="FootnoteReference"/>
          <w:rFonts w:ascii="Times New Roman" w:eastAsia="Times New Roman" w:hAnsi="Times New Roman" w:cs="Times New Roman"/>
          <w:sz w:val="24"/>
          <w:szCs w:val="24"/>
        </w:rPr>
        <w:footnoteReference w:id="141"/>
      </w:r>
      <w:r w:rsidR="425BF1E3" w:rsidRPr="09F6F64B">
        <w:rPr>
          <w:rFonts w:ascii="Times New Roman" w:eastAsia="Times New Roman" w:hAnsi="Times New Roman" w:cs="Times New Roman"/>
          <w:sz w:val="24"/>
          <w:szCs w:val="24"/>
        </w:rPr>
        <w:t xml:space="preserve"> and he likes her or at least the child enough to come to their aid but importantly when he arrives, he says that should Hermione be barren he will support Andromache’s child to be heir and ruler</w:t>
      </w:r>
      <w:r w:rsidRPr="09F6F64B">
        <w:rPr>
          <w:rStyle w:val="FootnoteReference"/>
          <w:rFonts w:ascii="Times New Roman" w:eastAsia="Times New Roman" w:hAnsi="Times New Roman" w:cs="Times New Roman"/>
          <w:sz w:val="24"/>
          <w:szCs w:val="24"/>
        </w:rPr>
        <w:footnoteReference w:id="142"/>
      </w:r>
      <w:r w:rsidR="425BF1E3" w:rsidRPr="09F6F64B">
        <w:rPr>
          <w:rFonts w:ascii="Times New Roman" w:eastAsia="Times New Roman" w:hAnsi="Times New Roman" w:cs="Times New Roman"/>
          <w:sz w:val="24"/>
          <w:szCs w:val="24"/>
        </w:rPr>
        <w:t>. Is it then possible that Andromache was ensuring her son’s position, but as to not aggravate Hermione she misdirected her by saying that it is not possible her son could be a threat? If this is not the case, that Andromache had not been finding a way to secure her son’s position, not only does that not make sense because of the type of mother Andromache has shown herself to be. As it would be out of character for her to not have taken measures to ensure her son’s safety. But also, why would she still adamantly say she trusts Neoptolemus to do what is best for their son, whilst telling Hermione that it would be ridiculous for Neoptolemus to choose her and their child over Hermione.</w:t>
      </w:r>
    </w:p>
    <w:p w14:paraId="5121ABC1" w14:textId="1270B0E5" w:rsidR="425BF1E3" w:rsidRDefault="425BF1E3"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lastRenderedPageBreak/>
        <w:t>While scheming to ensure the wellbeing of her child is admirable, the fact remains that she is still scheming. While being scheming has been considered an attribute for male heroes, Odysseus for example is praised for being a hero that uses his cunning mind for schemes that are a mean to a heroic end</w:t>
      </w:r>
      <w:r w:rsidRPr="09F6F64B">
        <w:rPr>
          <w:rStyle w:val="FootnoteReference"/>
          <w:rFonts w:ascii="Times New Roman" w:eastAsia="Times New Roman" w:hAnsi="Times New Roman" w:cs="Times New Roman"/>
          <w:sz w:val="24"/>
          <w:szCs w:val="24"/>
        </w:rPr>
        <w:footnoteReference w:id="143"/>
      </w:r>
      <w:r w:rsidRPr="09F6F64B">
        <w:rPr>
          <w:rFonts w:ascii="Times New Roman" w:eastAsia="Times New Roman" w:hAnsi="Times New Roman" w:cs="Times New Roman"/>
          <w:sz w:val="24"/>
          <w:szCs w:val="24"/>
        </w:rPr>
        <w:t>, women who are cunning are not normally given the same praise. Clytemnestra and Medea are arguably intelligent and cunning enough to come up with schemes, but they are considered bad which understandably may be because their schemes involve murder</w:t>
      </w:r>
      <w:r w:rsidRPr="09F6F64B">
        <w:rPr>
          <w:rStyle w:val="FootnoteReference"/>
          <w:rFonts w:ascii="Times New Roman" w:eastAsia="Times New Roman" w:hAnsi="Times New Roman" w:cs="Times New Roman"/>
          <w:sz w:val="24"/>
          <w:szCs w:val="24"/>
        </w:rPr>
        <w:footnoteReference w:id="144"/>
      </w:r>
      <w:r w:rsidRPr="09F6F64B">
        <w:rPr>
          <w:rFonts w:ascii="Times New Roman" w:eastAsia="Times New Roman" w:hAnsi="Times New Roman" w:cs="Times New Roman"/>
          <w:sz w:val="24"/>
          <w:szCs w:val="24"/>
        </w:rPr>
        <w:t>. Nevertheless, a distinction has been made that cunning men are good and cunning women are bad, is that perhaps why scholars ignore this cunning side of Andromache as they do not wish to complicate this distinction by instead arguing that while Andromache is a cunning female, she can still be good. But that too is a complicated conclusion, as just because Andromache’s scheming does not involve murder it is arguably still cruel to both Hermione and the Maidservant.</w:t>
      </w:r>
    </w:p>
    <w:p w14:paraId="45C682C9" w14:textId="336DE5E3" w:rsidR="425BF1E3" w:rsidRDefault="425BF1E3"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Perhaps that is why some, as previously mentioned, align Andromache with males and male behaviour so if you do make this connection, that she is cunning, then it is okay because it is male cunning not female cunning. Or again is it because they so want Hermione to be the villain and Andromache to be the hero, that any negative trait Andromache may have like cunning, scheming or manipulating is ignored because it complicates the villain/hero dynamic. Hermione is the villain so for the most part, as argued throughout the previous chapter, only negative traits can be disused and more extremely because Andromache is the hero only good traits can be shown. So that the conclusion will always be, even if the scholar decides to treat Hermione’s character slightly sympathetically, that ‘Andromache is more noble, resourceful and self-</w:t>
      </w:r>
      <w:r w:rsidRPr="09F6F64B">
        <w:rPr>
          <w:rFonts w:ascii="Times New Roman" w:eastAsia="Times New Roman" w:hAnsi="Times New Roman" w:cs="Times New Roman"/>
          <w:sz w:val="24"/>
          <w:szCs w:val="24"/>
        </w:rPr>
        <w:lastRenderedPageBreak/>
        <w:t>sacrificing than any other...Hermione’s jealousy and selfishness throw Andromache's modesty, tolerance and selfless heroism into greater relief’</w:t>
      </w:r>
      <w:r w:rsidRPr="09F6F64B">
        <w:rPr>
          <w:rStyle w:val="FootnoteReference"/>
          <w:rFonts w:ascii="Times New Roman" w:eastAsia="Times New Roman" w:hAnsi="Times New Roman" w:cs="Times New Roman"/>
          <w:sz w:val="24"/>
          <w:szCs w:val="24"/>
        </w:rPr>
        <w:footnoteReference w:id="145"/>
      </w:r>
      <w:r w:rsidRPr="09F6F64B">
        <w:rPr>
          <w:rFonts w:ascii="Times New Roman" w:eastAsia="Times New Roman" w:hAnsi="Times New Roman" w:cs="Times New Roman"/>
          <w:sz w:val="24"/>
          <w:szCs w:val="24"/>
        </w:rPr>
        <w:t xml:space="preserve">. This and the previous chapter </w:t>
      </w:r>
      <w:proofErr w:type="gramStart"/>
      <w:r w:rsidRPr="09F6F64B">
        <w:rPr>
          <w:rFonts w:ascii="Times New Roman" w:eastAsia="Times New Roman" w:hAnsi="Times New Roman" w:cs="Times New Roman"/>
          <w:sz w:val="24"/>
          <w:szCs w:val="24"/>
        </w:rPr>
        <w:t>has</w:t>
      </w:r>
      <w:proofErr w:type="gramEnd"/>
      <w:r w:rsidRPr="09F6F64B">
        <w:rPr>
          <w:rFonts w:ascii="Times New Roman" w:eastAsia="Times New Roman" w:hAnsi="Times New Roman" w:cs="Times New Roman"/>
          <w:sz w:val="24"/>
          <w:szCs w:val="24"/>
        </w:rPr>
        <w:t xml:space="preserve"> exposed the hyperbolic treatment these two characters have suffered from scholarship and has also proven that there is more to Hermione than just a plain villain and that Andromache is not the morally superior one. But if nether woman is better than the other, no one holds the upper hand morally, then should we then not focus on who is better and who wins the conflict but on the conflict itself. </w:t>
      </w:r>
    </w:p>
    <w:p w14:paraId="1A18F8AE" w14:textId="4B08DC10" w:rsidR="00217742" w:rsidRDefault="00217742" w:rsidP="09F6F64B">
      <w:pPr>
        <w:spacing w:line="480" w:lineRule="auto"/>
        <w:rPr>
          <w:rFonts w:ascii="Times New Roman" w:eastAsia="Times New Roman" w:hAnsi="Times New Roman" w:cs="Times New Roman"/>
          <w:sz w:val="24"/>
          <w:szCs w:val="24"/>
        </w:rPr>
      </w:pPr>
    </w:p>
    <w:p w14:paraId="2DEF3C23" w14:textId="3A2D7A79" w:rsidR="00217742" w:rsidRDefault="00217742" w:rsidP="09F6F64B">
      <w:pPr>
        <w:spacing w:line="480" w:lineRule="auto"/>
        <w:rPr>
          <w:rFonts w:ascii="Times New Roman" w:eastAsia="Times New Roman" w:hAnsi="Times New Roman" w:cs="Times New Roman"/>
          <w:sz w:val="24"/>
          <w:szCs w:val="24"/>
        </w:rPr>
      </w:pPr>
    </w:p>
    <w:p w14:paraId="7DC03837" w14:textId="0105A5EF" w:rsidR="00217742" w:rsidRDefault="00217742" w:rsidP="09F6F64B">
      <w:pPr>
        <w:spacing w:line="480" w:lineRule="auto"/>
        <w:rPr>
          <w:rFonts w:ascii="Times New Roman" w:eastAsia="Times New Roman" w:hAnsi="Times New Roman" w:cs="Times New Roman"/>
          <w:sz w:val="24"/>
          <w:szCs w:val="24"/>
        </w:rPr>
      </w:pPr>
    </w:p>
    <w:p w14:paraId="50BB6FC2" w14:textId="69B6BEB9" w:rsidR="00217742" w:rsidRDefault="00217742" w:rsidP="09F6F64B">
      <w:pPr>
        <w:spacing w:line="480" w:lineRule="auto"/>
        <w:rPr>
          <w:rFonts w:ascii="Times New Roman" w:eastAsia="Times New Roman" w:hAnsi="Times New Roman" w:cs="Times New Roman"/>
          <w:sz w:val="24"/>
          <w:szCs w:val="24"/>
        </w:rPr>
      </w:pPr>
    </w:p>
    <w:p w14:paraId="22BFB85E" w14:textId="4AFB8D97" w:rsidR="00217742" w:rsidRDefault="00217742" w:rsidP="09F6F64B">
      <w:pPr>
        <w:spacing w:line="480" w:lineRule="auto"/>
        <w:rPr>
          <w:rFonts w:ascii="Times New Roman" w:eastAsia="Times New Roman" w:hAnsi="Times New Roman" w:cs="Times New Roman"/>
          <w:sz w:val="24"/>
          <w:szCs w:val="24"/>
        </w:rPr>
      </w:pPr>
    </w:p>
    <w:p w14:paraId="2F73BDBC" w14:textId="557AC93F" w:rsidR="00217742" w:rsidRDefault="00217742" w:rsidP="09F6F64B">
      <w:pPr>
        <w:spacing w:line="480" w:lineRule="auto"/>
        <w:rPr>
          <w:rFonts w:ascii="Times New Roman" w:eastAsia="Times New Roman" w:hAnsi="Times New Roman" w:cs="Times New Roman"/>
          <w:sz w:val="24"/>
          <w:szCs w:val="24"/>
        </w:rPr>
      </w:pPr>
    </w:p>
    <w:p w14:paraId="62875C76" w14:textId="18165CC8" w:rsidR="00217742" w:rsidRDefault="00217742" w:rsidP="09F6F64B">
      <w:pPr>
        <w:spacing w:line="480" w:lineRule="auto"/>
        <w:rPr>
          <w:rFonts w:ascii="Times New Roman" w:eastAsia="Times New Roman" w:hAnsi="Times New Roman" w:cs="Times New Roman"/>
          <w:sz w:val="24"/>
          <w:szCs w:val="24"/>
        </w:rPr>
      </w:pPr>
    </w:p>
    <w:p w14:paraId="2CF2203A" w14:textId="39FA1A2A" w:rsidR="00217742" w:rsidRDefault="00217742" w:rsidP="09F6F64B">
      <w:pPr>
        <w:spacing w:line="480" w:lineRule="auto"/>
        <w:rPr>
          <w:rFonts w:ascii="Times New Roman" w:eastAsia="Times New Roman" w:hAnsi="Times New Roman" w:cs="Times New Roman"/>
          <w:sz w:val="24"/>
          <w:szCs w:val="24"/>
        </w:rPr>
      </w:pPr>
    </w:p>
    <w:p w14:paraId="4ACA8C4F" w14:textId="6CDB99E3" w:rsidR="00217742" w:rsidRDefault="00217742" w:rsidP="09F6F64B">
      <w:pPr>
        <w:spacing w:line="480" w:lineRule="auto"/>
        <w:rPr>
          <w:rFonts w:ascii="Times New Roman" w:eastAsia="Times New Roman" w:hAnsi="Times New Roman" w:cs="Times New Roman"/>
          <w:sz w:val="24"/>
          <w:szCs w:val="24"/>
        </w:rPr>
      </w:pPr>
    </w:p>
    <w:p w14:paraId="3FAB93F9" w14:textId="44246E6C" w:rsidR="00217742" w:rsidRDefault="00217742" w:rsidP="09F6F64B">
      <w:pPr>
        <w:spacing w:line="480" w:lineRule="auto"/>
        <w:rPr>
          <w:rFonts w:ascii="Times New Roman" w:eastAsia="Times New Roman" w:hAnsi="Times New Roman" w:cs="Times New Roman"/>
          <w:sz w:val="24"/>
          <w:szCs w:val="24"/>
        </w:rPr>
      </w:pPr>
    </w:p>
    <w:p w14:paraId="44ACF076" w14:textId="725CF76E" w:rsidR="00217742" w:rsidRDefault="00217742" w:rsidP="09F6F64B">
      <w:pPr>
        <w:spacing w:line="480" w:lineRule="auto"/>
        <w:rPr>
          <w:rFonts w:ascii="Times New Roman" w:eastAsia="Times New Roman" w:hAnsi="Times New Roman" w:cs="Times New Roman"/>
          <w:sz w:val="24"/>
          <w:szCs w:val="24"/>
        </w:rPr>
      </w:pPr>
    </w:p>
    <w:p w14:paraId="738D2541" w14:textId="77777777" w:rsidR="00217742" w:rsidRDefault="00217742" w:rsidP="09F6F64B">
      <w:pPr>
        <w:spacing w:line="480" w:lineRule="auto"/>
        <w:rPr>
          <w:rFonts w:ascii="Times New Roman" w:eastAsia="Times New Roman" w:hAnsi="Times New Roman" w:cs="Times New Roman"/>
          <w:sz w:val="24"/>
          <w:szCs w:val="24"/>
        </w:rPr>
      </w:pPr>
    </w:p>
    <w:p w14:paraId="7E59DA46" w14:textId="2109EA9F" w:rsidR="00217742" w:rsidRDefault="00217742" w:rsidP="00217742">
      <w:pPr>
        <w:pStyle w:val="Heading1"/>
        <w:rPr>
          <w:rFonts w:eastAsia="Times New Roman"/>
          <w:color w:val="auto"/>
        </w:rPr>
      </w:pPr>
      <w:bookmarkStart w:id="4" w:name="_Toc7809470"/>
      <w:r w:rsidRPr="00217742">
        <w:rPr>
          <w:rFonts w:eastAsia="Times New Roman"/>
          <w:color w:val="auto"/>
        </w:rPr>
        <w:lastRenderedPageBreak/>
        <w:t>Chapter Three</w:t>
      </w:r>
      <w:bookmarkEnd w:id="4"/>
    </w:p>
    <w:p w14:paraId="147A8F03" w14:textId="77777777" w:rsidR="00217742" w:rsidRPr="00217742" w:rsidRDefault="00217742" w:rsidP="00217742"/>
    <w:p w14:paraId="28919787" w14:textId="6CEA94C2"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Once you move away from the idea of who is the morally better woman some scholars look instead to what causes the argument. Arguably the conflict centres around legitimacy of Andromache’s child and the clashing of Andromache being a concubine and Hermione being a wife as they live in the same house and their roles are being challenged. Allan argues that their roles have even been reversed as Andromache the concubine is associated with the wifely duties of child-bearing while Hermione the wife is reduced to be erotised by exposing her breasts</w:t>
      </w:r>
      <w:r w:rsidRPr="09F6F64B">
        <w:rPr>
          <w:rStyle w:val="FootnoteReference"/>
          <w:rFonts w:ascii="Times New Roman" w:eastAsia="Times New Roman" w:hAnsi="Times New Roman" w:cs="Times New Roman"/>
          <w:sz w:val="24"/>
          <w:szCs w:val="24"/>
        </w:rPr>
        <w:footnoteReference w:id="146"/>
      </w:r>
      <w:r w:rsidRPr="09F6F64B">
        <w:rPr>
          <w:rFonts w:ascii="Times New Roman" w:eastAsia="Times New Roman" w:hAnsi="Times New Roman" w:cs="Times New Roman"/>
          <w:sz w:val="24"/>
          <w:szCs w:val="24"/>
        </w:rPr>
        <w:t xml:space="preserve">. In fact, if you are looking for a central theme of the play the most convincing would be that of marriage, also perhaps strife in marriage as posed by </w:t>
      </w:r>
      <w:proofErr w:type="spellStart"/>
      <w:r w:rsidRPr="09F6F64B">
        <w:rPr>
          <w:rFonts w:ascii="Times New Roman" w:eastAsia="Times New Roman" w:hAnsi="Times New Roman" w:cs="Times New Roman"/>
          <w:sz w:val="24"/>
          <w:szCs w:val="24"/>
        </w:rPr>
        <w:t>Papadimitropoulos</w:t>
      </w:r>
      <w:proofErr w:type="spellEnd"/>
      <w:r w:rsidRPr="09F6F64B">
        <w:rPr>
          <w:rStyle w:val="FootnoteReference"/>
          <w:rFonts w:ascii="Times New Roman" w:eastAsia="Times New Roman" w:hAnsi="Times New Roman" w:cs="Times New Roman"/>
          <w:sz w:val="24"/>
          <w:szCs w:val="24"/>
        </w:rPr>
        <w:footnoteReference w:id="147"/>
      </w:r>
      <w:r w:rsidRPr="09F6F64B">
        <w:rPr>
          <w:rFonts w:ascii="Times New Roman" w:eastAsia="Times New Roman" w:hAnsi="Times New Roman" w:cs="Times New Roman"/>
          <w:sz w:val="24"/>
          <w:szCs w:val="24"/>
        </w:rPr>
        <w:t>. As the conflict between concubine and wife is replaced at the end by the resolution of another marriage, that of Peleus and Thetis, who says she will make him divine and they will finally live together as husband and wife</w:t>
      </w:r>
      <w:r w:rsidRPr="09F6F64B">
        <w:rPr>
          <w:rStyle w:val="FootnoteReference"/>
          <w:rFonts w:ascii="Times New Roman" w:eastAsia="Times New Roman" w:hAnsi="Times New Roman" w:cs="Times New Roman"/>
          <w:sz w:val="24"/>
          <w:szCs w:val="24"/>
        </w:rPr>
        <w:footnoteReference w:id="148"/>
      </w:r>
      <w:r w:rsidRPr="09F6F64B">
        <w:rPr>
          <w:rFonts w:ascii="Times New Roman" w:eastAsia="Times New Roman" w:hAnsi="Times New Roman" w:cs="Times New Roman"/>
          <w:sz w:val="24"/>
          <w:szCs w:val="24"/>
        </w:rPr>
        <w:t>. This chapter however will not try to prove if marriage is or is not the central theme of the play. Instead it will explore the notion that Euripides has created this conflict between Andromache and Hermione with the intention of engaging with social issues surrounding marriage at the time, as conflict in drama is a good way to debate issues regarding a societies’ values.</w:t>
      </w:r>
    </w:p>
    <w:p w14:paraId="277C204D" w14:textId="690E5E7D"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Pomeroy notes that Euripides’ work questions traditional Athenian beliefs, such as the prejudice of foreigners, and that it is therefore reasonable to believe this play is also used to question aspects of Athenian society</w:t>
      </w:r>
      <w:r w:rsidRPr="09F6F64B">
        <w:rPr>
          <w:rStyle w:val="FootnoteReference"/>
          <w:rFonts w:ascii="Times New Roman" w:eastAsia="Times New Roman" w:hAnsi="Times New Roman" w:cs="Times New Roman"/>
          <w:sz w:val="24"/>
          <w:szCs w:val="24"/>
        </w:rPr>
        <w:footnoteReference w:id="149"/>
      </w:r>
      <w:r w:rsidRPr="09F6F64B">
        <w:rPr>
          <w:rFonts w:ascii="Times New Roman" w:eastAsia="Times New Roman" w:hAnsi="Times New Roman" w:cs="Times New Roman"/>
          <w:sz w:val="24"/>
          <w:szCs w:val="24"/>
        </w:rPr>
        <w:t>. Due to Andromache’s speech that she suckled Hector’s bastards without any bitterness towards him</w:t>
      </w:r>
      <w:r w:rsidRPr="09F6F64B">
        <w:rPr>
          <w:rStyle w:val="FootnoteReference"/>
          <w:rFonts w:ascii="Times New Roman" w:eastAsia="Times New Roman" w:hAnsi="Times New Roman" w:cs="Times New Roman"/>
          <w:sz w:val="24"/>
          <w:szCs w:val="24"/>
        </w:rPr>
        <w:footnoteReference w:id="150"/>
      </w:r>
      <w:r w:rsidRPr="09F6F64B">
        <w:rPr>
          <w:rFonts w:ascii="Times New Roman" w:eastAsia="Times New Roman" w:hAnsi="Times New Roman" w:cs="Times New Roman"/>
          <w:sz w:val="24"/>
          <w:szCs w:val="24"/>
        </w:rPr>
        <w:t xml:space="preserve">, Pomeroy suggests that </w:t>
      </w:r>
      <w:r w:rsidRPr="09F6F64B">
        <w:rPr>
          <w:rFonts w:ascii="Times New Roman" w:eastAsia="Times New Roman" w:hAnsi="Times New Roman" w:cs="Times New Roman"/>
          <w:sz w:val="24"/>
          <w:szCs w:val="24"/>
        </w:rPr>
        <w:lastRenderedPageBreak/>
        <w:t>Euripides is questioning is it right that men can be polygamous and that is not to say that Euripides believes women should be allowed sexual freedom but that men should also be monogamous like his wife</w:t>
      </w:r>
      <w:r w:rsidRPr="09F6F64B">
        <w:rPr>
          <w:rStyle w:val="FootnoteReference"/>
          <w:rFonts w:ascii="Times New Roman" w:eastAsia="Times New Roman" w:hAnsi="Times New Roman" w:cs="Times New Roman"/>
          <w:sz w:val="24"/>
          <w:szCs w:val="24"/>
        </w:rPr>
        <w:footnoteReference w:id="151"/>
      </w:r>
      <w:r w:rsidRPr="09F6F64B">
        <w:rPr>
          <w:rFonts w:ascii="Times New Roman" w:eastAsia="Times New Roman" w:hAnsi="Times New Roman" w:cs="Times New Roman"/>
          <w:sz w:val="24"/>
          <w:szCs w:val="24"/>
        </w:rPr>
        <w:t>. However, arguably it is not the polygamy that Euripides is questioning. While the chorus states they do not approve of their husbands having another woman they put more emphasises on the notion that this ’bed-fellow’ shares the marriage bed and is in the same house, comparing it to a city with two rulers. They also bring up how sons by different mothers is an issue</w:t>
      </w:r>
      <w:r w:rsidRPr="09F6F64B">
        <w:rPr>
          <w:rStyle w:val="FootnoteReference"/>
          <w:rFonts w:ascii="Times New Roman" w:eastAsia="Times New Roman" w:hAnsi="Times New Roman" w:cs="Times New Roman"/>
          <w:sz w:val="24"/>
          <w:szCs w:val="24"/>
        </w:rPr>
        <w:footnoteReference w:id="152"/>
      </w:r>
      <w:r w:rsidRPr="09F6F64B">
        <w:rPr>
          <w:rFonts w:ascii="Times New Roman" w:eastAsia="Times New Roman" w:hAnsi="Times New Roman" w:cs="Times New Roman"/>
          <w:sz w:val="24"/>
          <w:szCs w:val="24"/>
        </w:rPr>
        <w:t>.</w:t>
      </w:r>
    </w:p>
    <w:p w14:paraId="14A48CCB" w14:textId="6019BDC3"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Firstly, the issue of the two women being in the same house. We know that one aspect of the conflict between Andromache and Hermione is that there is a confusion of the roles, as Andromache does not act like a slave and Hermione is not fully integrated like a wife ought to be. In fact, furthering the point that Andromache has power in the household and can be regarded as an almost second wife is that the chorus say this is a ‘feud over two beds’</w:t>
      </w:r>
      <w:r w:rsidRPr="09F6F64B">
        <w:rPr>
          <w:rStyle w:val="FootnoteReference"/>
          <w:rFonts w:ascii="Times New Roman" w:eastAsia="Times New Roman" w:hAnsi="Times New Roman" w:cs="Times New Roman"/>
          <w:sz w:val="24"/>
          <w:szCs w:val="24"/>
        </w:rPr>
        <w:footnoteReference w:id="153"/>
      </w:r>
      <w:r w:rsidRPr="09F6F64B">
        <w:rPr>
          <w:rFonts w:ascii="Times New Roman" w:eastAsia="Times New Roman" w:hAnsi="Times New Roman" w:cs="Times New Roman"/>
          <w:sz w:val="24"/>
          <w:szCs w:val="24"/>
        </w:rPr>
        <w:t xml:space="preserve"> putting her relationship with Neoptolemus on par with Hermione’s marriage to him. But, Neoptolemus should have known, as so too should the Athenian audience, that you do not house your concubine and your wife in the same house. Both Phoenix</w:t>
      </w:r>
      <w:r w:rsidRPr="09F6F64B">
        <w:rPr>
          <w:rStyle w:val="FootnoteReference"/>
          <w:rFonts w:ascii="Times New Roman" w:eastAsia="Times New Roman" w:hAnsi="Times New Roman" w:cs="Times New Roman"/>
          <w:sz w:val="24"/>
          <w:szCs w:val="24"/>
        </w:rPr>
        <w:footnoteReference w:id="154"/>
      </w:r>
      <w:r w:rsidRPr="09F6F64B">
        <w:rPr>
          <w:rFonts w:ascii="Times New Roman" w:eastAsia="Times New Roman" w:hAnsi="Times New Roman" w:cs="Times New Roman"/>
          <w:sz w:val="24"/>
          <w:szCs w:val="24"/>
        </w:rPr>
        <w:t xml:space="preserve"> and Laertes</w:t>
      </w:r>
      <w:r w:rsidRPr="09F6F64B">
        <w:rPr>
          <w:rStyle w:val="FootnoteReference"/>
          <w:rFonts w:ascii="Times New Roman" w:eastAsia="Times New Roman" w:hAnsi="Times New Roman" w:cs="Times New Roman"/>
          <w:sz w:val="24"/>
          <w:szCs w:val="24"/>
        </w:rPr>
        <w:footnoteReference w:id="155"/>
      </w:r>
      <w:r w:rsidRPr="09F6F64B">
        <w:rPr>
          <w:rFonts w:ascii="Times New Roman" w:eastAsia="Times New Roman" w:hAnsi="Times New Roman" w:cs="Times New Roman"/>
          <w:sz w:val="24"/>
          <w:szCs w:val="24"/>
        </w:rPr>
        <w:t xml:space="preserve"> from Homer show us that a wife can feel displaced by a concubine which can cause strife in the home. In fact, in a judicial </w:t>
      </w:r>
      <w:proofErr w:type="spellStart"/>
      <w:r w:rsidRPr="09F6F64B">
        <w:rPr>
          <w:rFonts w:ascii="Times New Roman" w:eastAsia="Times New Roman" w:hAnsi="Times New Roman" w:cs="Times New Roman"/>
          <w:sz w:val="24"/>
          <w:szCs w:val="24"/>
        </w:rPr>
        <w:t>speach</w:t>
      </w:r>
      <w:proofErr w:type="spellEnd"/>
      <w:r w:rsidRPr="09F6F64B">
        <w:rPr>
          <w:rFonts w:ascii="Times New Roman" w:eastAsia="Times New Roman" w:hAnsi="Times New Roman" w:cs="Times New Roman"/>
          <w:sz w:val="24"/>
          <w:szCs w:val="24"/>
        </w:rPr>
        <w:t xml:space="preserve"> </w:t>
      </w:r>
      <w:proofErr w:type="spellStart"/>
      <w:r w:rsidRPr="09F6F64B">
        <w:rPr>
          <w:rFonts w:ascii="Times New Roman" w:eastAsia="Times New Roman" w:hAnsi="Times New Roman" w:cs="Times New Roman"/>
          <w:sz w:val="24"/>
          <w:szCs w:val="24"/>
        </w:rPr>
        <w:t>Apollodorus</w:t>
      </w:r>
      <w:proofErr w:type="spellEnd"/>
      <w:r w:rsidRPr="09F6F64B">
        <w:rPr>
          <w:rFonts w:ascii="Times New Roman" w:eastAsia="Times New Roman" w:hAnsi="Times New Roman" w:cs="Times New Roman"/>
          <w:sz w:val="24"/>
          <w:szCs w:val="24"/>
        </w:rPr>
        <w:t xml:space="preserve"> gives praise to men who out of respect for their wives do not bring concubines home</w:t>
      </w:r>
      <w:r w:rsidRPr="09F6F64B">
        <w:rPr>
          <w:rStyle w:val="FootnoteReference"/>
          <w:rFonts w:ascii="Times New Roman" w:eastAsia="Times New Roman" w:hAnsi="Times New Roman" w:cs="Times New Roman"/>
          <w:sz w:val="24"/>
          <w:szCs w:val="24"/>
        </w:rPr>
        <w:footnoteReference w:id="156"/>
      </w:r>
      <w:r w:rsidRPr="09F6F64B">
        <w:rPr>
          <w:rFonts w:ascii="Times New Roman" w:eastAsia="Times New Roman" w:hAnsi="Times New Roman" w:cs="Times New Roman"/>
          <w:sz w:val="24"/>
          <w:szCs w:val="24"/>
        </w:rPr>
        <w:t xml:space="preserve"> and there was a general tendency to house them separate to each other because of their differing statuses</w:t>
      </w:r>
      <w:r w:rsidRPr="09F6F64B">
        <w:rPr>
          <w:rStyle w:val="FootnoteReference"/>
          <w:rFonts w:ascii="Times New Roman" w:eastAsia="Times New Roman" w:hAnsi="Times New Roman" w:cs="Times New Roman"/>
          <w:sz w:val="24"/>
          <w:szCs w:val="24"/>
        </w:rPr>
        <w:footnoteReference w:id="157"/>
      </w:r>
      <w:r w:rsidRPr="09F6F64B">
        <w:rPr>
          <w:rFonts w:ascii="Times New Roman" w:eastAsia="Times New Roman" w:hAnsi="Times New Roman" w:cs="Times New Roman"/>
          <w:sz w:val="24"/>
          <w:szCs w:val="24"/>
        </w:rPr>
        <w:t xml:space="preserve">. Therefore, unless there was a trend to house </w:t>
      </w:r>
      <w:r w:rsidRPr="09F6F64B">
        <w:rPr>
          <w:rFonts w:ascii="Times New Roman" w:eastAsia="Times New Roman" w:hAnsi="Times New Roman" w:cs="Times New Roman"/>
          <w:sz w:val="24"/>
          <w:szCs w:val="24"/>
        </w:rPr>
        <w:lastRenderedPageBreak/>
        <w:t>wives and concubines together at the time of the play’s composition, it is hard to accept that Euripides is questioning that part of social behaviour.</w:t>
      </w:r>
    </w:p>
    <w:p w14:paraId="6CED8AEE" w14:textId="4F654EE1"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Perhaps instead Euripides is questioning the type of woman that is brought in to be a concubine. Feasibly the reason that Andromache acts as she does is because she is used to being in a more advantageous position in the household, like the one she enjoyed in Troy when she was married to Hector. The Maidservant, for example, does not act out of place for a slave because she was a slave in her former household. That suggests that Andromache and Hermione may not have necessarily been at odds simply because concubines and wives are natural enemies, but because Neoptolemus has put someone with a high-born status into a role that defies normal convention. For example, we learn from the later work of Ovid, that Philomela does not wish to be her sisters' enemy but believes she now has to be because a natural order has been displaced by Tereus’ actions</w:t>
      </w:r>
      <w:r w:rsidRPr="09F6F64B">
        <w:rPr>
          <w:rStyle w:val="FootnoteReference"/>
          <w:rFonts w:ascii="Times New Roman" w:eastAsia="Times New Roman" w:hAnsi="Times New Roman" w:cs="Times New Roman"/>
          <w:sz w:val="24"/>
          <w:szCs w:val="24"/>
        </w:rPr>
        <w:footnoteReference w:id="158"/>
      </w:r>
      <w:r w:rsidRPr="09F6F64B">
        <w:rPr>
          <w:rFonts w:ascii="Times New Roman" w:eastAsia="Times New Roman" w:hAnsi="Times New Roman" w:cs="Times New Roman"/>
          <w:sz w:val="24"/>
          <w:szCs w:val="24"/>
        </w:rPr>
        <w:t xml:space="preserve">. Therefore, is Euripides highlighting there are certain people you cannot place in concubinage as it disrupts a natural order and causes strife? </w:t>
      </w:r>
    </w:p>
    <w:p w14:paraId="75EC396D" w14:textId="74E99A63"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It is more reasonable to suggest that if anything is being questioned here it is the Athenian concerns regarding illegitimate or foreign interlopers, as we see Hermione, whose role as woman means she is meant to preserve the house, anxiety centres around a foreign women with the potential power to overthrow her and an illegitimate child</w:t>
      </w:r>
      <w:r w:rsidRPr="09F6F64B">
        <w:rPr>
          <w:rStyle w:val="FootnoteReference"/>
          <w:rFonts w:ascii="Times New Roman" w:eastAsia="Times New Roman" w:hAnsi="Times New Roman" w:cs="Times New Roman"/>
          <w:sz w:val="24"/>
          <w:szCs w:val="24"/>
        </w:rPr>
        <w:footnoteReference w:id="159"/>
      </w:r>
      <w:r w:rsidRPr="09F6F64B">
        <w:rPr>
          <w:rFonts w:ascii="Times New Roman" w:eastAsia="Times New Roman" w:hAnsi="Times New Roman" w:cs="Times New Roman"/>
          <w:sz w:val="24"/>
          <w:szCs w:val="24"/>
        </w:rPr>
        <w:t xml:space="preserve">. The distance of time in the setting of </w:t>
      </w:r>
      <w:r w:rsidRPr="09F6F64B">
        <w:rPr>
          <w:rFonts w:ascii="Times New Roman" w:eastAsia="Times New Roman" w:hAnsi="Times New Roman" w:cs="Times New Roman"/>
          <w:i/>
          <w:iCs/>
          <w:sz w:val="24"/>
          <w:szCs w:val="24"/>
        </w:rPr>
        <w:t xml:space="preserve">Andromache </w:t>
      </w:r>
      <w:r w:rsidRPr="09F6F64B">
        <w:rPr>
          <w:rFonts w:ascii="Times New Roman" w:eastAsia="Times New Roman" w:hAnsi="Times New Roman" w:cs="Times New Roman"/>
          <w:sz w:val="24"/>
          <w:szCs w:val="24"/>
        </w:rPr>
        <w:t>compared to the time of Euripides’ audience, allows the audience to explore the issues and concerns they have in an abstract way.</w:t>
      </w:r>
    </w:p>
    <w:p w14:paraId="4B6C71AC" w14:textId="2AB0F807" w:rsidR="01C23E99" w:rsidRDefault="01C23E99"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lastRenderedPageBreak/>
        <w:t>Importantly Euripides has also blurred the Athenian Citizenship Laws of his day with the laws that govern the Heroic world. For example, under normal Heroic world laws, Helen, not having any other children besides Hermione, is not worried about being replaced by the mother of Menelaus’ only son</w:t>
      </w:r>
      <w:r w:rsidRPr="09F6F64B">
        <w:rPr>
          <w:rStyle w:val="FootnoteReference"/>
          <w:rFonts w:ascii="Times New Roman" w:eastAsia="Times New Roman" w:hAnsi="Times New Roman" w:cs="Times New Roman"/>
          <w:sz w:val="24"/>
          <w:szCs w:val="24"/>
        </w:rPr>
        <w:footnoteReference w:id="160"/>
      </w:r>
      <w:r w:rsidRPr="09F6F64B">
        <w:rPr>
          <w:rFonts w:ascii="Times New Roman" w:eastAsia="Times New Roman" w:hAnsi="Times New Roman" w:cs="Times New Roman"/>
          <w:sz w:val="24"/>
          <w:szCs w:val="24"/>
        </w:rPr>
        <w:t xml:space="preserve"> because the status of that child can be the same as Hermione‘s if the father so willed it in the Heroic world</w:t>
      </w:r>
      <w:r w:rsidRPr="09F6F64B">
        <w:rPr>
          <w:rStyle w:val="FootnoteReference"/>
          <w:rFonts w:ascii="Times New Roman" w:eastAsia="Times New Roman" w:hAnsi="Times New Roman" w:cs="Times New Roman"/>
          <w:sz w:val="24"/>
          <w:szCs w:val="24"/>
        </w:rPr>
        <w:footnoteReference w:id="161"/>
      </w:r>
      <w:r w:rsidRPr="09F6F64B">
        <w:rPr>
          <w:rFonts w:ascii="Times New Roman" w:eastAsia="Times New Roman" w:hAnsi="Times New Roman" w:cs="Times New Roman"/>
          <w:sz w:val="24"/>
          <w:szCs w:val="24"/>
        </w:rPr>
        <w:t xml:space="preserve">. In the </w:t>
      </w:r>
      <w:r w:rsidRPr="09F6F64B">
        <w:rPr>
          <w:rFonts w:ascii="Times New Roman" w:eastAsia="Times New Roman" w:hAnsi="Times New Roman" w:cs="Times New Roman"/>
          <w:i/>
          <w:iCs/>
          <w:sz w:val="24"/>
          <w:szCs w:val="24"/>
        </w:rPr>
        <w:t xml:space="preserve">Odyssey, </w:t>
      </w:r>
      <w:r w:rsidRPr="09F6F64B">
        <w:rPr>
          <w:rFonts w:ascii="Times New Roman" w:eastAsia="Times New Roman" w:hAnsi="Times New Roman" w:cs="Times New Roman"/>
          <w:sz w:val="24"/>
          <w:szCs w:val="24"/>
        </w:rPr>
        <w:t>we see that Menelaus’ son is not disadvantaged</w:t>
      </w:r>
      <w:r w:rsidRPr="09F6F64B">
        <w:rPr>
          <w:rStyle w:val="FootnoteReference"/>
          <w:rFonts w:ascii="Times New Roman" w:eastAsia="Times New Roman" w:hAnsi="Times New Roman" w:cs="Times New Roman"/>
          <w:sz w:val="24"/>
          <w:szCs w:val="24"/>
        </w:rPr>
        <w:footnoteReference w:id="162"/>
      </w:r>
      <w:r w:rsidRPr="09F6F64B">
        <w:rPr>
          <w:rFonts w:ascii="Times New Roman" w:eastAsia="Times New Roman" w:hAnsi="Times New Roman" w:cs="Times New Roman"/>
          <w:sz w:val="24"/>
          <w:szCs w:val="24"/>
        </w:rPr>
        <w:t>, yet in fifth-century Athens Menelaus’ son would be because he is not the male offspring of a legitimate citizen marriage</w:t>
      </w:r>
      <w:r w:rsidRPr="09F6F64B">
        <w:rPr>
          <w:rStyle w:val="FootnoteReference"/>
          <w:rFonts w:ascii="Times New Roman" w:eastAsia="Times New Roman" w:hAnsi="Times New Roman" w:cs="Times New Roman"/>
          <w:sz w:val="24"/>
          <w:szCs w:val="24"/>
        </w:rPr>
        <w:footnoteReference w:id="163"/>
      </w:r>
      <w:r w:rsidRPr="09F6F64B">
        <w:rPr>
          <w:rFonts w:ascii="Times New Roman" w:eastAsia="Times New Roman" w:hAnsi="Times New Roman" w:cs="Times New Roman"/>
          <w:sz w:val="24"/>
          <w:szCs w:val="24"/>
        </w:rPr>
        <w:t xml:space="preserve">. Simply having this play in the Heroic age would mean there would be no conflict between Andromache and Hermione. </w:t>
      </w:r>
    </w:p>
    <w:p w14:paraId="653EDB8A" w14:textId="65929DAD" w:rsidR="01C23E99" w:rsidRDefault="01C23E99" w:rsidP="09F6F64B">
      <w:pPr>
        <w:spacing w:line="480" w:lineRule="auto"/>
        <w:rPr>
          <w:rFonts w:ascii="Times New Roman" w:eastAsia="Times New Roman" w:hAnsi="Times New Roman" w:cs="Times New Roman"/>
          <w:i/>
          <w:iCs/>
          <w:sz w:val="24"/>
          <w:szCs w:val="24"/>
        </w:rPr>
      </w:pPr>
      <w:r w:rsidRPr="09F6F64B">
        <w:rPr>
          <w:rFonts w:ascii="Times New Roman" w:eastAsia="Times New Roman" w:hAnsi="Times New Roman" w:cs="Times New Roman"/>
          <w:sz w:val="24"/>
          <w:szCs w:val="24"/>
        </w:rPr>
        <w:t>However, Euripides has not simply just put the Athenian Citizenship Laws in a Heroic setting, as stated it is more a blurring of the two, as if this were the case Hermione still should not fear being replaced, as Andromache would still be a foreigner and therefore the child would still not be a citizen. Therefore, instead there is a mix of the two age’s laws by making it, so Andromache’s fertility and pervious royal status is enough to cause fear</w:t>
      </w:r>
      <w:r w:rsidRPr="09F6F64B">
        <w:rPr>
          <w:rStyle w:val="FootnoteReference"/>
          <w:rFonts w:ascii="Times New Roman" w:eastAsia="Times New Roman" w:hAnsi="Times New Roman" w:cs="Times New Roman"/>
          <w:sz w:val="24"/>
          <w:szCs w:val="24"/>
        </w:rPr>
        <w:footnoteReference w:id="164"/>
      </w:r>
      <w:r w:rsidRPr="09F6F64B">
        <w:rPr>
          <w:rFonts w:ascii="Times New Roman" w:eastAsia="Times New Roman" w:hAnsi="Times New Roman" w:cs="Times New Roman"/>
          <w:sz w:val="24"/>
          <w:szCs w:val="24"/>
        </w:rPr>
        <w:t xml:space="preserve">. This is because the Heroic world offers the advantage of marriage for alliances and offspring, while fifth-century Athens limited marriage to legitimate citizens within the </w:t>
      </w:r>
      <w:r w:rsidRPr="09F6F64B">
        <w:rPr>
          <w:rFonts w:ascii="Times New Roman" w:eastAsia="Times New Roman" w:hAnsi="Times New Roman" w:cs="Times New Roman"/>
          <w:i/>
          <w:iCs/>
          <w:sz w:val="24"/>
          <w:szCs w:val="24"/>
        </w:rPr>
        <w:t>polis</w:t>
      </w:r>
      <w:r w:rsidRPr="09F6F64B">
        <w:rPr>
          <w:rStyle w:val="FootnoteReference"/>
          <w:rFonts w:ascii="Times New Roman" w:eastAsia="Times New Roman" w:hAnsi="Times New Roman" w:cs="Times New Roman"/>
          <w:i/>
          <w:iCs/>
          <w:sz w:val="24"/>
          <w:szCs w:val="24"/>
        </w:rPr>
        <w:footnoteReference w:id="165"/>
      </w:r>
      <w:r w:rsidRPr="09F6F64B">
        <w:rPr>
          <w:rFonts w:ascii="Times New Roman" w:eastAsia="Times New Roman" w:hAnsi="Times New Roman" w:cs="Times New Roman"/>
          <w:i/>
          <w:iCs/>
          <w:sz w:val="24"/>
          <w:szCs w:val="24"/>
        </w:rPr>
        <w:t xml:space="preserve">. </w:t>
      </w:r>
      <w:r w:rsidRPr="09F6F64B">
        <w:rPr>
          <w:rFonts w:ascii="Times New Roman" w:eastAsia="Times New Roman" w:hAnsi="Times New Roman" w:cs="Times New Roman"/>
          <w:sz w:val="24"/>
          <w:szCs w:val="24"/>
        </w:rPr>
        <w:t>As the purpose of marriage was no longer to establish power between great, autonomous families but rather to ensure the permanence of the city through perpetuating the households within that city</w:t>
      </w:r>
      <w:r w:rsidRPr="09F6F64B">
        <w:rPr>
          <w:rStyle w:val="FootnoteReference"/>
          <w:rFonts w:ascii="Times New Roman" w:eastAsia="Times New Roman" w:hAnsi="Times New Roman" w:cs="Times New Roman"/>
          <w:sz w:val="24"/>
          <w:szCs w:val="24"/>
        </w:rPr>
        <w:footnoteReference w:id="166"/>
      </w:r>
      <w:r w:rsidRPr="09F6F64B">
        <w:rPr>
          <w:rFonts w:ascii="Times New Roman" w:eastAsia="Times New Roman" w:hAnsi="Times New Roman" w:cs="Times New Roman"/>
          <w:sz w:val="24"/>
          <w:szCs w:val="24"/>
        </w:rPr>
        <w:t xml:space="preserve">. </w:t>
      </w:r>
    </w:p>
    <w:p w14:paraId="10FAB081" w14:textId="03AA6D5A" w:rsidR="01C23E99"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Therefore, the concept that the play’s main idea is a comment on Athenian Citizenship Laws seems flawed. As Euripides has not commented on them as they are, rather a </w:t>
      </w:r>
      <w:r w:rsidRPr="09F6F64B">
        <w:rPr>
          <w:rFonts w:ascii="Times New Roman" w:eastAsia="Times New Roman" w:hAnsi="Times New Roman" w:cs="Times New Roman"/>
          <w:sz w:val="24"/>
          <w:szCs w:val="24"/>
        </w:rPr>
        <w:lastRenderedPageBreak/>
        <w:t xml:space="preserve">twisted version of them has been created for the play. If the play was strictly in either the Heroic world or fifth-century Athens, there would be no cause for conflict. That Euripides has created a melding of both ages’ laws highlights that he wanted to create tension between the two women, so then it is realistic to suggest that the thought that Euripides is exploring is the idea of conflict between women. Euripides is using a version of Athenian Citizenship Laws as a catalyst to cause conflict between the two women, in order to explore the notion of women being in conflict and what that conflict causes. While the play may consequently cause questions about marriage, illegitimacy and citizenship to arise making it good to think with for both the audience and scholars, the effort that has gone into making sure these two women are in conflict is too much to ignore. </w:t>
      </w:r>
    </w:p>
    <w:p w14:paraId="15D5D59F" w14:textId="7ADE12F3" w:rsidR="01C23E99"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But the concept that distance is important for the audience to be able to think about their societies’ issues is of value, but it does not need to be mutually exclusive to the importance this work argues is placed on female conflict. While the idea that Euripides created this play purposefully to explore female conflict is maintained. Understood is the idea that Euripides also allows the audience to use the play to explore the issues they have in their society.</w:t>
      </w:r>
    </w:p>
    <w:p w14:paraId="6267C979" w14:textId="4A5BB954" w:rsidR="6659FEEF" w:rsidRDefault="6659FEEF"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br w:type="page"/>
      </w:r>
    </w:p>
    <w:p w14:paraId="3C4F1CFD" w14:textId="5852A400" w:rsidR="00217742" w:rsidRDefault="00217742" w:rsidP="00217742">
      <w:pPr>
        <w:pStyle w:val="Heading1"/>
        <w:rPr>
          <w:rFonts w:eastAsia="Times New Roman"/>
          <w:color w:val="auto"/>
        </w:rPr>
      </w:pPr>
      <w:bookmarkStart w:id="5" w:name="_Toc7809471"/>
      <w:r w:rsidRPr="00217742">
        <w:rPr>
          <w:rFonts w:eastAsia="Times New Roman"/>
          <w:color w:val="auto"/>
        </w:rPr>
        <w:lastRenderedPageBreak/>
        <w:t xml:space="preserve">Chapter </w:t>
      </w:r>
      <w:r>
        <w:rPr>
          <w:rFonts w:eastAsia="Times New Roman"/>
          <w:color w:val="auto"/>
        </w:rPr>
        <w:t>Four</w:t>
      </w:r>
      <w:bookmarkEnd w:id="5"/>
    </w:p>
    <w:p w14:paraId="462F0D6D" w14:textId="77777777" w:rsidR="00217742" w:rsidRPr="00217742" w:rsidRDefault="00217742" w:rsidP="00217742"/>
    <w:p w14:paraId="51811A09" w14:textId="4293D494" w:rsidR="6659FEEF"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The purpose of this chapter is to further prove that the conflict should be the focus when determining why Euripides wrote this play. As rightfully just because Euripides decided to include a conflict does not mean that the whole play needs to centre around it, it is possible that the conflict was needed to create the event or events that Euripides was instead focusing the play around. Although in the previous chapter the conclusion pushed was that the conflict was the main aim, it is obviously feasible that the conflict was a means to an end as the argument for the purpose of the play being issues regarding marriage and legitimacy is compelling. But, the problem with working thematically is that if you want to find something, provided there is evidence, you normally can. But this means you are left with a lot of themes that there is evidence for, which then leaves you left arguing which theme is the theme that is the focus of the play. Here however there will be a focus on the structure of the play as the structure is a constant, which will also reveal that scholars dealing with structure have been circling around the answer, but importantly argued will be that the way the play is structured points to the focus being the conflict.</w:t>
      </w:r>
    </w:p>
    <w:p w14:paraId="7CCC5375" w14:textId="63F5EFAA" w:rsidR="1F83FE37" w:rsidRDefault="1F83FE37"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Firstly, it is prudent to note that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is not popular in the </w:t>
      </w:r>
      <w:proofErr w:type="spellStart"/>
      <w:r w:rsidRPr="09F6F64B">
        <w:rPr>
          <w:rFonts w:ascii="Times New Roman" w:eastAsia="Times New Roman" w:hAnsi="Times New Roman" w:cs="Times New Roman"/>
          <w:sz w:val="24"/>
          <w:szCs w:val="24"/>
        </w:rPr>
        <w:t>Euripidean</w:t>
      </w:r>
      <w:proofErr w:type="spellEnd"/>
      <w:r w:rsidRPr="09F6F64B">
        <w:rPr>
          <w:rFonts w:ascii="Times New Roman" w:eastAsia="Times New Roman" w:hAnsi="Times New Roman" w:cs="Times New Roman"/>
          <w:sz w:val="24"/>
          <w:szCs w:val="24"/>
        </w:rPr>
        <w:t xml:space="preserve"> canon</w:t>
      </w:r>
      <w:r w:rsidRPr="09F6F64B">
        <w:rPr>
          <w:rStyle w:val="FootnoteReference"/>
          <w:rFonts w:ascii="Times New Roman" w:eastAsia="Times New Roman" w:hAnsi="Times New Roman" w:cs="Times New Roman"/>
          <w:sz w:val="24"/>
          <w:szCs w:val="24"/>
        </w:rPr>
        <w:footnoteReference w:id="167"/>
      </w:r>
      <w:r w:rsidRPr="09F6F64B">
        <w:rPr>
          <w:rFonts w:ascii="Times New Roman" w:eastAsia="Times New Roman" w:hAnsi="Times New Roman" w:cs="Times New Roman"/>
          <w:sz w:val="24"/>
          <w:szCs w:val="24"/>
        </w:rPr>
        <w:t xml:space="preserve"> as the structure does not have unity in terms of Aristotelian criteria</w:t>
      </w:r>
      <w:r w:rsidRPr="09F6F64B">
        <w:rPr>
          <w:rStyle w:val="FootnoteReference"/>
          <w:rFonts w:ascii="Times New Roman" w:eastAsia="Times New Roman" w:hAnsi="Times New Roman" w:cs="Times New Roman"/>
          <w:sz w:val="24"/>
          <w:szCs w:val="24"/>
        </w:rPr>
        <w:footnoteReference w:id="168"/>
      </w:r>
      <w:r w:rsidRPr="09F6F64B">
        <w:rPr>
          <w:rFonts w:ascii="Times New Roman" w:eastAsia="Times New Roman" w:hAnsi="Times New Roman" w:cs="Times New Roman"/>
          <w:sz w:val="24"/>
          <w:szCs w:val="24"/>
        </w:rPr>
        <w:t xml:space="preserve"> which results in the play being deemed to be not a good one. This is because it appears there is no single, central figure there is no prominent hero or heroine throughout this play. Andromache has the longest, consecutive presence before leaving and not returning, giving Hermione the spotlight but then she too leaves before the final part of the play. </w:t>
      </w:r>
      <w:r w:rsidRPr="09F6F64B">
        <w:rPr>
          <w:rFonts w:ascii="Times New Roman" w:eastAsia="Times New Roman" w:hAnsi="Times New Roman" w:cs="Times New Roman"/>
          <w:sz w:val="24"/>
          <w:szCs w:val="24"/>
        </w:rPr>
        <w:lastRenderedPageBreak/>
        <w:t>The want to have the play conform to the tragic hero style means that scholars have tried to argue for a single figure that unites all the play’s parts with some even arguing that it is Neoptolemus despite the fact he is never physically in the play</w:t>
      </w:r>
      <w:r w:rsidRPr="09F6F64B">
        <w:rPr>
          <w:rStyle w:val="FootnoteReference"/>
          <w:rFonts w:ascii="Times New Roman" w:eastAsia="Times New Roman" w:hAnsi="Times New Roman" w:cs="Times New Roman"/>
          <w:sz w:val="24"/>
          <w:szCs w:val="24"/>
        </w:rPr>
        <w:footnoteReference w:id="169"/>
      </w:r>
      <w:r w:rsidRPr="09F6F64B">
        <w:rPr>
          <w:rFonts w:ascii="Times New Roman" w:eastAsia="Times New Roman" w:hAnsi="Times New Roman" w:cs="Times New Roman"/>
          <w:sz w:val="24"/>
          <w:szCs w:val="24"/>
        </w:rPr>
        <w:t xml:space="preserve"> except when dead</w:t>
      </w:r>
      <w:r w:rsidRPr="09F6F64B">
        <w:rPr>
          <w:rStyle w:val="FootnoteReference"/>
          <w:rFonts w:ascii="Times New Roman" w:eastAsia="Times New Roman" w:hAnsi="Times New Roman" w:cs="Times New Roman"/>
          <w:sz w:val="24"/>
          <w:szCs w:val="24"/>
        </w:rPr>
        <w:footnoteReference w:id="170"/>
      </w:r>
      <w:r w:rsidRPr="09F6F64B">
        <w:rPr>
          <w:rFonts w:ascii="Times New Roman" w:eastAsia="Times New Roman" w:hAnsi="Times New Roman" w:cs="Times New Roman"/>
          <w:sz w:val="24"/>
          <w:szCs w:val="24"/>
        </w:rPr>
        <w:t xml:space="preserve">. Similarly, there is still a want to make Andromache the central figure despite her absence, with the likes of </w:t>
      </w:r>
      <w:proofErr w:type="spellStart"/>
      <w:r w:rsidRPr="09F6F64B">
        <w:rPr>
          <w:rFonts w:ascii="Times New Roman" w:eastAsia="Times New Roman" w:hAnsi="Times New Roman" w:cs="Times New Roman"/>
          <w:sz w:val="24"/>
          <w:szCs w:val="24"/>
        </w:rPr>
        <w:t>Kamerbeek</w:t>
      </w:r>
      <w:proofErr w:type="spellEnd"/>
      <w:r w:rsidRPr="09F6F64B">
        <w:rPr>
          <w:rStyle w:val="FootnoteReference"/>
          <w:rFonts w:ascii="Times New Roman" w:eastAsia="Times New Roman" w:hAnsi="Times New Roman" w:cs="Times New Roman"/>
          <w:sz w:val="24"/>
          <w:szCs w:val="24"/>
        </w:rPr>
        <w:footnoteReference w:id="171"/>
      </w:r>
      <w:r w:rsidRPr="09F6F64B">
        <w:rPr>
          <w:rFonts w:ascii="Times New Roman" w:eastAsia="Times New Roman" w:hAnsi="Times New Roman" w:cs="Times New Roman"/>
          <w:sz w:val="24"/>
          <w:szCs w:val="24"/>
        </w:rPr>
        <w:t xml:space="preserve"> and </w:t>
      </w:r>
      <w:proofErr w:type="spellStart"/>
      <w:r w:rsidRPr="09F6F64B">
        <w:rPr>
          <w:rFonts w:ascii="Times New Roman" w:eastAsia="Times New Roman" w:hAnsi="Times New Roman" w:cs="Times New Roman"/>
          <w:sz w:val="24"/>
          <w:szCs w:val="24"/>
        </w:rPr>
        <w:t>Erbse</w:t>
      </w:r>
      <w:proofErr w:type="spellEnd"/>
      <w:r w:rsidRPr="09F6F64B">
        <w:rPr>
          <w:rStyle w:val="FootnoteReference"/>
          <w:rFonts w:ascii="Times New Roman" w:eastAsia="Times New Roman" w:hAnsi="Times New Roman" w:cs="Times New Roman"/>
          <w:sz w:val="24"/>
          <w:szCs w:val="24"/>
        </w:rPr>
        <w:footnoteReference w:id="172"/>
      </w:r>
      <w:r w:rsidRPr="09F6F64B">
        <w:rPr>
          <w:rFonts w:ascii="Times New Roman" w:eastAsia="Times New Roman" w:hAnsi="Times New Roman" w:cs="Times New Roman"/>
          <w:sz w:val="24"/>
          <w:szCs w:val="24"/>
        </w:rPr>
        <w:t xml:space="preserve"> arguing that her moral superiority still dominates even when she is not physically present. Which can be then used, as we see from Allan, to insist her absence is not significant when deciding who is the central character</w:t>
      </w:r>
      <w:r w:rsidRPr="09F6F64B">
        <w:rPr>
          <w:rStyle w:val="FootnoteReference"/>
          <w:rFonts w:ascii="Times New Roman" w:eastAsia="Times New Roman" w:hAnsi="Times New Roman" w:cs="Times New Roman"/>
          <w:sz w:val="24"/>
          <w:szCs w:val="24"/>
        </w:rPr>
        <w:footnoteReference w:id="173"/>
      </w:r>
      <w:r w:rsidRPr="09F6F64B">
        <w:rPr>
          <w:rFonts w:ascii="Times New Roman" w:eastAsia="Times New Roman" w:hAnsi="Times New Roman" w:cs="Times New Roman"/>
          <w:sz w:val="24"/>
          <w:szCs w:val="24"/>
        </w:rPr>
        <w:t xml:space="preserve">.  </w:t>
      </w:r>
    </w:p>
    <w:p w14:paraId="3DA87537" w14:textId="32677C34" w:rsidR="1F83FE37" w:rsidRDefault="1E66835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That Andromache’s moral superiority can be used in place of her physical presence is not convincing. While some translations put in the stage directions that in fact Andromache is with Peleus at the end of the play</w:t>
      </w:r>
      <w:r w:rsidR="1F83FE37" w:rsidRPr="09F6F64B">
        <w:rPr>
          <w:rStyle w:val="FootnoteReference"/>
          <w:rFonts w:ascii="Times New Roman" w:eastAsia="Times New Roman" w:hAnsi="Times New Roman" w:cs="Times New Roman"/>
          <w:sz w:val="24"/>
          <w:szCs w:val="24"/>
        </w:rPr>
        <w:footnoteReference w:id="174"/>
      </w:r>
      <w:r w:rsidRPr="09F6F64B">
        <w:rPr>
          <w:rFonts w:ascii="Times New Roman" w:eastAsia="Times New Roman" w:hAnsi="Times New Roman" w:cs="Times New Roman"/>
          <w:sz w:val="24"/>
          <w:szCs w:val="24"/>
        </w:rPr>
        <w:t>, there is no dialogue from her, meaning Andromache is reduced to be little more than a prop. However, if her nonspeaking presence is meant to be significant, then surely too it can be argued that Hermione is always on the audience's mind in the last section, so she has presence on stage too. Andromache may be there on stage, but Hermione is either verbally spoken about or is directly involved with the people and actions that are being talked about. Not only because her departure with Orestes is spoken about</w:t>
      </w:r>
      <w:r w:rsidR="1F83FE37" w:rsidRPr="09F6F64B">
        <w:rPr>
          <w:rStyle w:val="FootnoteReference"/>
          <w:rFonts w:ascii="Times New Roman" w:eastAsia="Times New Roman" w:hAnsi="Times New Roman" w:cs="Times New Roman"/>
          <w:sz w:val="24"/>
          <w:szCs w:val="24"/>
        </w:rPr>
        <w:footnoteReference w:id="175"/>
      </w:r>
      <w:r w:rsidRPr="09F6F64B">
        <w:rPr>
          <w:rFonts w:ascii="Times New Roman" w:eastAsia="Times New Roman" w:hAnsi="Times New Roman" w:cs="Times New Roman"/>
          <w:sz w:val="24"/>
          <w:szCs w:val="24"/>
        </w:rPr>
        <w:t xml:space="preserve">, which leads to the chorus revealing Orestes’ plan to kill Neoptolemus to take her as his wife, but again when Neoptolemus’ body arrives Hermione is not only in mind because she is his wife but </w:t>
      </w:r>
      <w:r w:rsidRPr="09F6F64B">
        <w:rPr>
          <w:rFonts w:ascii="Times New Roman" w:eastAsia="Times New Roman" w:hAnsi="Times New Roman" w:cs="Times New Roman"/>
          <w:sz w:val="24"/>
          <w:szCs w:val="24"/>
        </w:rPr>
        <w:lastRenderedPageBreak/>
        <w:t>because Peleus mentions her by name</w:t>
      </w:r>
      <w:r w:rsidR="1F83FE37" w:rsidRPr="09F6F64B">
        <w:rPr>
          <w:rStyle w:val="FootnoteReference"/>
          <w:rFonts w:ascii="Times New Roman" w:eastAsia="Times New Roman" w:hAnsi="Times New Roman" w:cs="Times New Roman"/>
          <w:sz w:val="24"/>
          <w:szCs w:val="24"/>
        </w:rPr>
        <w:footnoteReference w:id="176"/>
      </w:r>
      <w:r w:rsidRPr="09F6F64B">
        <w:rPr>
          <w:rFonts w:ascii="Times New Roman" w:eastAsia="Times New Roman" w:hAnsi="Times New Roman" w:cs="Times New Roman"/>
          <w:sz w:val="24"/>
          <w:szCs w:val="24"/>
        </w:rPr>
        <w:t>. Arguably they both have a presence during the end scene.</w:t>
      </w:r>
    </w:p>
    <w:p w14:paraId="3F25FD4D" w14:textId="21DB84AC" w:rsidR="1E668355" w:rsidRDefault="1E66835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In fact, arguably this happens throughout the play. When one woman is off stage, she will be spoken about or at the very least something will be spoken about that makes the audience think of them. While Andromache and Hermione are only physically together during lines 145-267, through their speech the women are together throughout the play. When Andromache and Menelaus are speaking Hermione naturally comes up because Menelaus has come to secure his daughter’s position</w:t>
      </w:r>
      <w:r w:rsidRPr="09F6F64B">
        <w:rPr>
          <w:rStyle w:val="FootnoteReference"/>
          <w:rFonts w:ascii="Times New Roman" w:eastAsia="Times New Roman" w:hAnsi="Times New Roman" w:cs="Times New Roman"/>
          <w:sz w:val="24"/>
          <w:szCs w:val="24"/>
        </w:rPr>
        <w:footnoteReference w:id="177"/>
      </w:r>
      <w:r w:rsidRPr="09F6F64B">
        <w:rPr>
          <w:rFonts w:ascii="Times New Roman" w:eastAsia="Times New Roman" w:hAnsi="Times New Roman" w:cs="Times New Roman"/>
          <w:sz w:val="24"/>
          <w:szCs w:val="24"/>
        </w:rPr>
        <w:t xml:space="preserve"> and when Hermione is distressed, and Orestes arrives also, naturally Andromache is brought up</w:t>
      </w:r>
      <w:r w:rsidRPr="09F6F64B">
        <w:rPr>
          <w:rStyle w:val="FootnoteReference"/>
          <w:rFonts w:ascii="Times New Roman" w:eastAsia="Times New Roman" w:hAnsi="Times New Roman" w:cs="Times New Roman"/>
          <w:sz w:val="24"/>
          <w:szCs w:val="24"/>
        </w:rPr>
        <w:footnoteReference w:id="178"/>
      </w:r>
      <w:r w:rsidRPr="09F6F64B">
        <w:rPr>
          <w:rFonts w:ascii="Times New Roman" w:eastAsia="Times New Roman" w:hAnsi="Times New Roman" w:cs="Times New Roman"/>
          <w:sz w:val="24"/>
          <w:szCs w:val="24"/>
        </w:rPr>
        <w:t xml:space="preserve">. At all times both women have a presence, which is why Storey aligns with </w:t>
      </w:r>
      <w:proofErr w:type="spellStart"/>
      <w:r w:rsidRPr="09F6F64B">
        <w:rPr>
          <w:rFonts w:ascii="Times New Roman" w:eastAsia="Times New Roman" w:hAnsi="Times New Roman" w:cs="Times New Roman"/>
          <w:sz w:val="24"/>
          <w:szCs w:val="24"/>
        </w:rPr>
        <w:t>Garyza</w:t>
      </w:r>
      <w:proofErr w:type="spellEnd"/>
      <w:r w:rsidRPr="09F6F64B">
        <w:rPr>
          <w:rFonts w:ascii="Times New Roman" w:eastAsia="Times New Roman" w:hAnsi="Times New Roman" w:cs="Times New Roman"/>
          <w:sz w:val="24"/>
          <w:szCs w:val="24"/>
        </w:rPr>
        <w:t xml:space="preserve"> that the play is about the relationship between these two women and that Hermione with Andromache are together the central figures</w:t>
      </w:r>
      <w:r w:rsidRPr="09F6F64B">
        <w:rPr>
          <w:rStyle w:val="FootnoteReference"/>
          <w:rFonts w:ascii="Times New Roman" w:eastAsia="Times New Roman" w:hAnsi="Times New Roman" w:cs="Times New Roman"/>
          <w:sz w:val="24"/>
          <w:szCs w:val="24"/>
        </w:rPr>
        <w:footnoteReference w:id="179"/>
      </w:r>
      <w:r w:rsidRPr="09F6F64B">
        <w:rPr>
          <w:rFonts w:ascii="Times New Roman" w:eastAsia="Times New Roman" w:hAnsi="Times New Roman" w:cs="Times New Roman"/>
          <w:sz w:val="24"/>
          <w:szCs w:val="24"/>
        </w:rPr>
        <w:t>.</w:t>
      </w:r>
    </w:p>
    <w:p w14:paraId="1903CA6B" w14:textId="5E39878C" w:rsidR="1E668355" w:rsidRDefault="1E66835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However, there is still the argument that the play is structurally bad because of the episodic nature it has</w:t>
      </w:r>
      <w:r w:rsidRPr="09F6F64B">
        <w:rPr>
          <w:rStyle w:val="FootnoteReference"/>
          <w:rFonts w:ascii="Times New Roman" w:eastAsia="Times New Roman" w:hAnsi="Times New Roman" w:cs="Times New Roman"/>
          <w:sz w:val="24"/>
          <w:szCs w:val="24"/>
        </w:rPr>
        <w:footnoteReference w:id="180"/>
      </w:r>
      <w:r w:rsidRPr="09F6F64B">
        <w:rPr>
          <w:rFonts w:ascii="Times New Roman" w:eastAsia="Times New Roman" w:hAnsi="Times New Roman" w:cs="Times New Roman"/>
          <w:sz w:val="24"/>
          <w:szCs w:val="24"/>
        </w:rPr>
        <w:t>. Grube argues that the play is flawed because Euripides spends too much time on the conflict and allows it to overbalance the whole play, so the other aspects of the story are not welded into the play sufficiently</w:t>
      </w:r>
      <w:r w:rsidRPr="09F6F64B">
        <w:rPr>
          <w:rStyle w:val="FootnoteReference"/>
          <w:rFonts w:ascii="Times New Roman" w:eastAsia="Times New Roman" w:hAnsi="Times New Roman" w:cs="Times New Roman"/>
          <w:sz w:val="24"/>
          <w:szCs w:val="24"/>
        </w:rPr>
        <w:footnoteReference w:id="181"/>
      </w:r>
      <w:r w:rsidRPr="09F6F64B">
        <w:rPr>
          <w:rFonts w:ascii="Times New Roman" w:eastAsia="Times New Roman" w:hAnsi="Times New Roman" w:cs="Times New Roman"/>
          <w:sz w:val="24"/>
          <w:szCs w:val="24"/>
        </w:rPr>
        <w:t>. But, if this is the case then this must mean something, as Allan is resolute that Euripides crafts purposeful structures</w:t>
      </w:r>
      <w:r w:rsidRPr="09F6F64B">
        <w:rPr>
          <w:rStyle w:val="FootnoteReference"/>
          <w:rFonts w:ascii="Times New Roman" w:eastAsia="Times New Roman" w:hAnsi="Times New Roman" w:cs="Times New Roman"/>
          <w:sz w:val="24"/>
          <w:szCs w:val="24"/>
        </w:rPr>
        <w:footnoteReference w:id="182"/>
      </w:r>
      <w:r w:rsidRPr="09F6F64B">
        <w:rPr>
          <w:rFonts w:ascii="Times New Roman" w:eastAsia="Times New Roman" w:hAnsi="Times New Roman" w:cs="Times New Roman"/>
          <w:sz w:val="24"/>
          <w:szCs w:val="24"/>
        </w:rPr>
        <w:t xml:space="preserve">. So, by Euripides apparently overbalancing the play’s structure with the conflict then it is convincing that the conflict must be the purpose of the play. </w:t>
      </w:r>
    </w:p>
    <w:p w14:paraId="1B511ED3" w14:textId="68F4E3AA" w:rsidR="1E668355" w:rsidRDefault="1E668355" w:rsidP="09F6F64B">
      <w:pPr>
        <w:spacing w:line="480" w:lineRule="auto"/>
        <w:rPr>
          <w:rFonts w:ascii="Times New Roman" w:eastAsia="Times New Roman" w:hAnsi="Times New Roman" w:cs="Times New Roman"/>
          <w:sz w:val="24"/>
          <w:szCs w:val="24"/>
        </w:rPr>
      </w:pPr>
      <w:proofErr w:type="spellStart"/>
      <w:r w:rsidRPr="09F6F64B">
        <w:rPr>
          <w:rFonts w:ascii="Times New Roman" w:eastAsia="Times New Roman" w:hAnsi="Times New Roman" w:cs="Times New Roman"/>
          <w:sz w:val="24"/>
          <w:szCs w:val="24"/>
        </w:rPr>
        <w:lastRenderedPageBreak/>
        <w:t>Kitto</w:t>
      </w:r>
      <w:proofErr w:type="spellEnd"/>
      <w:r w:rsidRPr="09F6F64B">
        <w:rPr>
          <w:rFonts w:ascii="Times New Roman" w:eastAsia="Times New Roman" w:hAnsi="Times New Roman" w:cs="Times New Roman"/>
          <w:sz w:val="24"/>
          <w:szCs w:val="24"/>
        </w:rPr>
        <w:t xml:space="preserve"> advocates that Euripides never concerned himself with structure, rather he focused on ideas and had no interest to try to artificially create unity</w:t>
      </w:r>
      <w:r w:rsidRPr="09F6F64B">
        <w:rPr>
          <w:rStyle w:val="FootnoteReference"/>
          <w:rFonts w:ascii="Times New Roman" w:eastAsia="Times New Roman" w:hAnsi="Times New Roman" w:cs="Times New Roman"/>
          <w:sz w:val="24"/>
          <w:szCs w:val="24"/>
        </w:rPr>
        <w:footnoteReference w:id="183"/>
      </w:r>
      <w:r w:rsidRPr="09F6F64B">
        <w:rPr>
          <w:rFonts w:ascii="Times New Roman" w:eastAsia="Times New Roman" w:hAnsi="Times New Roman" w:cs="Times New Roman"/>
          <w:sz w:val="24"/>
          <w:szCs w:val="24"/>
        </w:rPr>
        <w:t>. This again is still evidence supporting the idea that Euripides, caring more about the idea, focused on the conflict without a thought of what it would do to the structure which in turn concludes that the conflict must be what the play is centred around.</w:t>
      </w:r>
    </w:p>
    <w:p w14:paraId="51465DDC" w14:textId="35C19BFD" w:rsidR="1E668355" w:rsidRDefault="1E668355" w:rsidP="09F6F64B">
      <w:pPr>
        <w:spacing w:line="480" w:lineRule="auto"/>
        <w:rPr>
          <w:rFonts w:ascii="Times New Roman" w:eastAsia="Times New Roman" w:hAnsi="Times New Roman" w:cs="Times New Roman"/>
          <w:sz w:val="24"/>
          <w:szCs w:val="24"/>
        </w:rPr>
      </w:pPr>
      <w:proofErr w:type="gramStart"/>
      <w:r w:rsidRPr="09F6F64B">
        <w:rPr>
          <w:rFonts w:ascii="Times New Roman" w:eastAsia="Times New Roman" w:hAnsi="Times New Roman" w:cs="Times New Roman"/>
          <w:sz w:val="24"/>
          <w:szCs w:val="24"/>
        </w:rPr>
        <w:t>Another,</w:t>
      </w:r>
      <w:proofErr w:type="gramEnd"/>
      <w:r w:rsidRPr="09F6F64B">
        <w:rPr>
          <w:rFonts w:ascii="Times New Roman" w:eastAsia="Times New Roman" w:hAnsi="Times New Roman" w:cs="Times New Roman"/>
          <w:sz w:val="24"/>
          <w:szCs w:val="24"/>
        </w:rPr>
        <w:t xml:space="preserve"> is that MacDowell notes that Euripides in his work reveals aspects of the female psychology that normally receives little attention</w:t>
      </w:r>
      <w:r w:rsidRPr="09F6F64B">
        <w:rPr>
          <w:rStyle w:val="FootnoteReference"/>
          <w:rFonts w:ascii="Times New Roman" w:eastAsia="Times New Roman" w:hAnsi="Times New Roman" w:cs="Times New Roman"/>
          <w:sz w:val="24"/>
          <w:szCs w:val="24"/>
        </w:rPr>
        <w:footnoteReference w:id="184"/>
      </w:r>
      <w:r w:rsidRPr="09F6F64B">
        <w:rPr>
          <w:rFonts w:ascii="Times New Roman" w:eastAsia="Times New Roman" w:hAnsi="Times New Roman" w:cs="Times New Roman"/>
          <w:sz w:val="24"/>
          <w:szCs w:val="24"/>
        </w:rPr>
        <w:t>. If this is true that Euripides had an interest in these matters, then writing around the idea of female conflict fits. As we see even today scholars who look at female relationships tend to try and leave out negative relationships, in favour for positive comradery.</w:t>
      </w:r>
    </w:p>
    <w:p w14:paraId="2E2183A3" w14:textId="13589692" w:rsidR="1F83FE37"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Thus, it seems reasonable to suggest that structurally the play focuses on the conflict. As every opinion around the plays structure, positive or not, points to the conflict being the intended focus. Therefore, conflict is the central purpose of the play. But this then leads us to question what Euripides is doing by concentrating on the conflict, if the conflict is what we should be attentive too what is that conflict trying to convey? In order to do that then another contested part of the play’s structure must be analysed, that of the choral ode of the Judgement of Paris. So, whilst this chapter concludes the argument for female conflict being the focal point of the play, this work will now continue in the next chapter to argue what this female conflict is exploring that females in conflict causes catastrophe.</w:t>
      </w:r>
    </w:p>
    <w:p w14:paraId="16D227EB" w14:textId="2EF5547A" w:rsidR="1F83FE37" w:rsidRDefault="1F83FE37" w:rsidP="09F6F64B">
      <w:pPr>
        <w:spacing w:line="480" w:lineRule="auto"/>
      </w:pPr>
      <w:r>
        <w:br w:type="page"/>
      </w:r>
    </w:p>
    <w:p w14:paraId="106ED27C" w14:textId="0544DEB1" w:rsidR="00217742" w:rsidRDefault="00217742" w:rsidP="00217742">
      <w:pPr>
        <w:pStyle w:val="Heading1"/>
        <w:rPr>
          <w:rFonts w:eastAsia="Times New Roman"/>
          <w:color w:val="auto"/>
        </w:rPr>
      </w:pPr>
      <w:bookmarkStart w:id="6" w:name="_Toc7809472"/>
      <w:r w:rsidRPr="00217742">
        <w:rPr>
          <w:rFonts w:eastAsia="Times New Roman"/>
          <w:color w:val="auto"/>
        </w:rPr>
        <w:lastRenderedPageBreak/>
        <w:t>Chapter Five</w:t>
      </w:r>
      <w:bookmarkEnd w:id="6"/>
    </w:p>
    <w:p w14:paraId="3E1FEE50" w14:textId="77777777" w:rsidR="00217742" w:rsidRPr="00217742" w:rsidRDefault="00217742" w:rsidP="00217742"/>
    <w:p w14:paraId="741EABE1" w14:textId="756A7747" w:rsidR="1F83FE37" w:rsidRDefault="6E68C4B0"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The choral ode which refers the Judgment of Paris, lines 273-306, has already been mentioned briefly in this work. Discussed then was how Stevens believes the ode does not fit into the play as it is not relevant</w:t>
      </w:r>
      <w:r w:rsidR="1F83FE37" w:rsidRPr="09F6F64B">
        <w:rPr>
          <w:rStyle w:val="FootnoteReference"/>
          <w:rFonts w:ascii="Times New Roman" w:eastAsia="Times New Roman" w:hAnsi="Times New Roman" w:cs="Times New Roman"/>
          <w:sz w:val="24"/>
          <w:szCs w:val="24"/>
        </w:rPr>
        <w:footnoteReference w:id="185"/>
      </w:r>
      <w:r w:rsidRPr="09F6F64B">
        <w:rPr>
          <w:rFonts w:ascii="Times New Roman" w:eastAsia="Times New Roman" w:hAnsi="Times New Roman" w:cs="Times New Roman"/>
          <w:sz w:val="24"/>
          <w:szCs w:val="24"/>
        </w:rPr>
        <w:t>, before suggesting that it was included to say that Andromache's assessment of who was to blame for the Trojan War was incorrect. This chapter will argue another reason for the inclusion of the choral ode, that being that the ode highlights a reflection of past events and the present which in turn sums up the purpose of the conflict which is that when females are in conflict the result is catastrophe. Thus, aligning with the notion that the use of this myth is fundamental to the shaping of the plot</w:t>
      </w:r>
      <w:r w:rsidR="1F83FE37" w:rsidRPr="09F6F64B">
        <w:rPr>
          <w:rStyle w:val="FootnoteReference"/>
          <w:rFonts w:ascii="Times New Roman" w:eastAsia="Times New Roman" w:hAnsi="Times New Roman" w:cs="Times New Roman"/>
          <w:sz w:val="24"/>
          <w:szCs w:val="24"/>
        </w:rPr>
        <w:footnoteReference w:id="186"/>
      </w:r>
      <w:r w:rsidRPr="09F6F64B">
        <w:rPr>
          <w:rFonts w:ascii="Times New Roman" w:eastAsia="Times New Roman" w:hAnsi="Times New Roman" w:cs="Times New Roman"/>
          <w:sz w:val="24"/>
          <w:szCs w:val="24"/>
        </w:rPr>
        <w:t>.</w:t>
      </w:r>
    </w:p>
    <w:p w14:paraId="42CC647E" w14:textId="2950C926" w:rsidR="1F83FE37" w:rsidRDefault="6E68C4B0"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Firstly, the play engages with and repeats events of the Trojan War</w:t>
      </w:r>
      <w:r w:rsidRPr="09F6F64B">
        <w:rPr>
          <w:rFonts w:ascii="Times New Roman" w:eastAsia="Times New Roman" w:hAnsi="Times New Roman" w:cs="Times New Roman"/>
          <w:i/>
          <w:iCs/>
          <w:sz w:val="24"/>
          <w:szCs w:val="24"/>
        </w:rPr>
        <w:t>.</w:t>
      </w:r>
      <w:r w:rsidRPr="09F6F64B">
        <w:rPr>
          <w:rFonts w:ascii="Times New Roman" w:eastAsia="Times New Roman" w:hAnsi="Times New Roman" w:cs="Times New Roman"/>
          <w:sz w:val="24"/>
          <w:szCs w:val="24"/>
        </w:rPr>
        <w:t xml:space="preserve"> For example, Allan notes that Andromache's present predicament mirrors her past as she is still under attack from the house of Atreus and she is still being imperilled by Greeks</w:t>
      </w:r>
      <w:r w:rsidR="1F83FE37" w:rsidRPr="09F6F64B">
        <w:rPr>
          <w:rStyle w:val="FootnoteReference"/>
          <w:rFonts w:ascii="Times New Roman" w:eastAsia="Times New Roman" w:hAnsi="Times New Roman" w:cs="Times New Roman"/>
          <w:sz w:val="24"/>
          <w:szCs w:val="24"/>
        </w:rPr>
        <w:footnoteReference w:id="187"/>
      </w:r>
      <w:r w:rsidR="741EABE1" w:rsidRPr="09F6F64B">
        <w:rPr>
          <w:rFonts w:ascii="Times New Roman" w:eastAsia="Times New Roman" w:hAnsi="Times New Roman" w:cs="Times New Roman"/>
          <w:sz w:val="24"/>
          <w:szCs w:val="24"/>
        </w:rPr>
        <w:t xml:space="preserve">. </w:t>
      </w:r>
      <w:r w:rsidR="6ECAA4A4" w:rsidRPr="09F6F64B">
        <w:rPr>
          <w:rFonts w:ascii="Times New Roman" w:eastAsia="Times New Roman" w:hAnsi="Times New Roman" w:cs="Times New Roman"/>
          <w:i/>
          <w:iCs/>
          <w:sz w:val="24"/>
          <w:szCs w:val="24"/>
        </w:rPr>
        <w:t>Andromache</w:t>
      </w:r>
      <w:r w:rsidR="6ECAA4A4" w:rsidRPr="09F6F64B">
        <w:rPr>
          <w:rFonts w:ascii="Times New Roman" w:eastAsia="Times New Roman" w:hAnsi="Times New Roman" w:cs="Times New Roman"/>
          <w:sz w:val="24"/>
          <w:szCs w:val="24"/>
        </w:rPr>
        <w:t xml:space="preserve"> begins with Andromache in a house that is foreign to her</w:t>
      </w:r>
      <w:r w:rsidR="1F83FE37" w:rsidRPr="09F6F64B">
        <w:rPr>
          <w:rStyle w:val="FootnoteReference"/>
          <w:rFonts w:ascii="Times New Roman" w:eastAsia="Times New Roman" w:hAnsi="Times New Roman" w:cs="Times New Roman"/>
          <w:sz w:val="24"/>
          <w:szCs w:val="24"/>
        </w:rPr>
        <w:footnoteReference w:id="188"/>
      </w:r>
      <w:r w:rsidR="6ECAA4A4" w:rsidRPr="09F6F64B">
        <w:rPr>
          <w:rFonts w:ascii="Times New Roman" w:eastAsia="Times New Roman" w:hAnsi="Times New Roman" w:cs="Times New Roman"/>
          <w:sz w:val="24"/>
          <w:szCs w:val="24"/>
        </w:rPr>
        <w:t xml:space="preserve">. In the </w:t>
      </w:r>
      <w:r w:rsidR="6ECAA4A4" w:rsidRPr="09F6F64B">
        <w:rPr>
          <w:rFonts w:ascii="Times New Roman" w:eastAsia="Times New Roman" w:hAnsi="Times New Roman" w:cs="Times New Roman"/>
          <w:i/>
          <w:iCs/>
          <w:sz w:val="24"/>
          <w:szCs w:val="24"/>
        </w:rPr>
        <w:t xml:space="preserve">Iliad </w:t>
      </w:r>
      <w:r w:rsidR="6ECAA4A4" w:rsidRPr="09F6F64B">
        <w:rPr>
          <w:rFonts w:ascii="Times New Roman" w:eastAsia="Times New Roman" w:hAnsi="Times New Roman" w:cs="Times New Roman"/>
          <w:sz w:val="24"/>
          <w:szCs w:val="24"/>
        </w:rPr>
        <w:t>there is also a woman in a foreign home as Helen is a Spartan in a Trojan household</w:t>
      </w:r>
      <w:r w:rsidR="1F83FE37" w:rsidRPr="09F6F64B">
        <w:rPr>
          <w:rStyle w:val="FootnoteReference"/>
          <w:rFonts w:ascii="Times New Roman" w:eastAsia="Times New Roman" w:hAnsi="Times New Roman" w:cs="Times New Roman"/>
          <w:sz w:val="24"/>
          <w:szCs w:val="24"/>
        </w:rPr>
        <w:footnoteReference w:id="189"/>
      </w:r>
      <w:r w:rsidR="6ECAA4A4" w:rsidRPr="09F6F64B">
        <w:rPr>
          <w:rFonts w:ascii="Times New Roman" w:eastAsia="Times New Roman" w:hAnsi="Times New Roman" w:cs="Times New Roman"/>
          <w:sz w:val="24"/>
          <w:szCs w:val="24"/>
        </w:rPr>
        <w:t>. In terms of the ode, t</w:t>
      </w:r>
      <w:r w:rsidR="741EABE1" w:rsidRPr="09F6F64B">
        <w:rPr>
          <w:rFonts w:ascii="Times New Roman" w:eastAsia="Times New Roman" w:hAnsi="Times New Roman" w:cs="Times New Roman"/>
          <w:sz w:val="24"/>
          <w:szCs w:val="24"/>
        </w:rPr>
        <w:t>he chorus echo Andromache’s lament at the beginning of the ode</w:t>
      </w:r>
      <w:r w:rsidR="1F83FE37" w:rsidRPr="09F6F64B">
        <w:rPr>
          <w:rStyle w:val="FootnoteReference"/>
          <w:rFonts w:ascii="Times New Roman" w:eastAsia="Times New Roman" w:hAnsi="Times New Roman" w:cs="Times New Roman"/>
          <w:sz w:val="24"/>
          <w:szCs w:val="24"/>
        </w:rPr>
        <w:footnoteReference w:id="190"/>
      </w:r>
      <w:r w:rsidR="6ECAA4A4" w:rsidRPr="09F6F64B">
        <w:rPr>
          <w:rFonts w:ascii="Times New Roman" w:eastAsia="Times New Roman" w:hAnsi="Times New Roman" w:cs="Times New Roman"/>
          <w:sz w:val="24"/>
          <w:szCs w:val="24"/>
        </w:rPr>
        <w:t>. Thus, the past and present have been set up to echo one another. Importantly, the ode puts emphasis on the beginning of the Trojan War being the fault of the three goddesses being in conflict over a ’a hateful contest’</w:t>
      </w:r>
      <w:r w:rsidR="1F83FE37" w:rsidRPr="09F6F64B">
        <w:rPr>
          <w:rStyle w:val="FootnoteReference"/>
          <w:rFonts w:ascii="Times New Roman" w:eastAsia="Times New Roman" w:hAnsi="Times New Roman" w:cs="Times New Roman"/>
          <w:sz w:val="24"/>
          <w:szCs w:val="24"/>
        </w:rPr>
        <w:footnoteReference w:id="191"/>
      </w:r>
      <w:r w:rsidR="6ECAA4A4" w:rsidRPr="09F6F64B">
        <w:rPr>
          <w:rFonts w:ascii="Times New Roman" w:eastAsia="Times New Roman" w:hAnsi="Times New Roman" w:cs="Times New Roman"/>
          <w:sz w:val="24"/>
          <w:szCs w:val="24"/>
        </w:rPr>
        <w:t xml:space="preserve"> which is also similar to how the human female conflict is described</w:t>
      </w:r>
      <w:r w:rsidR="1F83FE37" w:rsidRPr="09F6F64B">
        <w:rPr>
          <w:rStyle w:val="FootnoteReference"/>
          <w:rFonts w:ascii="Times New Roman" w:eastAsia="Times New Roman" w:hAnsi="Times New Roman" w:cs="Times New Roman"/>
          <w:sz w:val="24"/>
          <w:szCs w:val="24"/>
        </w:rPr>
        <w:footnoteReference w:id="192"/>
      </w:r>
      <w:r w:rsidR="6ECAA4A4" w:rsidRPr="09F6F64B">
        <w:rPr>
          <w:rFonts w:ascii="Times New Roman" w:eastAsia="Times New Roman" w:hAnsi="Times New Roman" w:cs="Times New Roman"/>
          <w:sz w:val="24"/>
          <w:szCs w:val="24"/>
        </w:rPr>
        <w:t xml:space="preserve">. So, both the Trojan War and the events of the play have their cause being </w:t>
      </w:r>
      <w:r w:rsidR="6ECAA4A4" w:rsidRPr="09F6F64B">
        <w:rPr>
          <w:rFonts w:ascii="Times New Roman" w:eastAsia="Times New Roman" w:hAnsi="Times New Roman" w:cs="Times New Roman"/>
          <w:sz w:val="24"/>
          <w:szCs w:val="24"/>
        </w:rPr>
        <w:lastRenderedPageBreak/>
        <w:t>conflict between females. Lloyd also states that it is clear the chorus’ account of the Judgement of Paris takes its cue from the conflict between Hermione and Andromache. This cue not only prompts them to remember the Judgment of Paris but also the disastrous consequences of that judgment further proving the connection between conflict and consequence</w:t>
      </w:r>
      <w:r w:rsidR="1F83FE37" w:rsidRPr="09F6F64B">
        <w:rPr>
          <w:rStyle w:val="FootnoteReference"/>
          <w:rFonts w:ascii="Times New Roman" w:eastAsia="Times New Roman" w:hAnsi="Times New Roman" w:cs="Times New Roman"/>
          <w:sz w:val="24"/>
          <w:szCs w:val="24"/>
        </w:rPr>
        <w:footnoteReference w:id="193"/>
      </w:r>
      <w:r w:rsidR="6ECAA4A4" w:rsidRPr="09F6F64B">
        <w:rPr>
          <w:rFonts w:ascii="Times New Roman" w:eastAsia="Times New Roman" w:hAnsi="Times New Roman" w:cs="Times New Roman"/>
          <w:sz w:val="24"/>
          <w:szCs w:val="24"/>
        </w:rPr>
        <w:t>.</w:t>
      </w:r>
    </w:p>
    <w:p w14:paraId="4A07FAD8" w14:textId="1B8DD527" w:rsidR="1F83FE37" w:rsidRDefault="6ECAA4A4" w:rsidP="09F6F64B">
      <w:pPr>
        <w:spacing w:line="480" w:lineRule="auto"/>
        <w:rPr>
          <w:rFonts w:ascii="Times New Roman" w:eastAsia="Times New Roman" w:hAnsi="Times New Roman" w:cs="Times New Roman"/>
          <w:b/>
          <w:bCs/>
          <w:sz w:val="24"/>
          <w:szCs w:val="24"/>
        </w:rPr>
      </w:pPr>
      <w:r w:rsidRPr="09F6F64B">
        <w:rPr>
          <w:rFonts w:ascii="Times New Roman" w:eastAsia="Times New Roman" w:hAnsi="Times New Roman" w:cs="Times New Roman"/>
          <w:sz w:val="24"/>
          <w:szCs w:val="24"/>
        </w:rPr>
        <w:t xml:space="preserve">The Trojan War arguably is a catastrophe, as what was a simple conflict between the goddesses spiralled into all-out war spanning ten years which brought countless deaths and ended with Priam’s household to be no more. Parts of that catastrophe are repeated in </w:t>
      </w:r>
      <w:r w:rsidRPr="09F6F64B">
        <w:rPr>
          <w:rFonts w:ascii="Times New Roman" w:eastAsia="Times New Roman" w:hAnsi="Times New Roman" w:cs="Times New Roman"/>
          <w:i/>
          <w:iCs/>
          <w:sz w:val="24"/>
          <w:szCs w:val="24"/>
        </w:rPr>
        <w:t xml:space="preserve">Andromache. </w:t>
      </w:r>
      <w:r w:rsidRPr="09F6F64B">
        <w:rPr>
          <w:rFonts w:ascii="Times New Roman" w:eastAsia="Times New Roman" w:hAnsi="Times New Roman" w:cs="Times New Roman"/>
          <w:sz w:val="24"/>
          <w:szCs w:val="24"/>
        </w:rPr>
        <w:t>As in the Trojan war the father of Andromache’s child dies</w:t>
      </w:r>
      <w:r w:rsidR="1F83FE37" w:rsidRPr="09F6F64B">
        <w:rPr>
          <w:rStyle w:val="FootnoteReference"/>
          <w:rFonts w:ascii="Times New Roman" w:eastAsia="Times New Roman" w:hAnsi="Times New Roman" w:cs="Times New Roman"/>
          <w:sz w:val="24"/>
          <w:szCs w:val="24"/>
        </w:rPr>
        <w:footnoteReference w:id="194"/>
      </w:r>
      <w:r w:rsidRPr="09F6F64B">
        <w:rPr>
          <w:rFonts w:ascii="Times New Roman" w:eastAsia="Times New Roman" w:hAnsi="Times New Roman" w:cs="Times New Roman"/>
          <w:sz w:val="24"/>
          <w:szCs w:val="24"/>
        </w:rPr>
        <w:t>, Achilles who was Peleus’ successor dies</w:t>
      </w:r>
      <w:r w:rsidR="1F83FE37" w:rsidRPr="09F6F64B">
        <w:rPr>
          <w:rStyle w:val="FootnoteReference"/>
          <w:rFonts w:ascii="Times New Roman" w:eastAsia="Times New Roman" w:hAnsi="Times New Roman" w:cs="Times New Roman"/>
          <w:sz w:val="24"/>
          <w:szCs w:val="24"/>
        </w:rPr>
        <w:footnoteReference w:id="195"/>
      </w:r>
      <w:r w:rsidRPr="09F6F64B">
        <w:rPr>
          <w:rFonts w:ascii="Times New Roman" w:eastAsia="Times New Roman" w:hAnsi="Times New Roman" w:cs="Times New Roman"/>
          <w:sz w:val="24"/>
          <w:szCs w:val="24"/>
        </w:rPr>
        <w:t xml:space="preserve"> and a household, here the household of Priam, is left in ruins</w:t>
      </w:r>
      <w:r w:rsidR="1F83FE37" w:rsidRPr="09F6F64B">
        <w:rPr>
          <w:rStyle w:val="FootnoteReference"/>
          <w:rFonts w:ascii="Times New Roman" w:eastAsia="Times New Roman" w:hAnsi="Times New Roman" w:cs="Times New Roman"/>
          <w:sz w:val="24"/>
          <w:szCs w:val="24"/>
        </w:rPr>
        <w:footnoteReference w:id="196"/>
      </w:r>
      <w:r w:rsidRPr="09F6F64B">
        <w:rPr>
          <w:rFonts w:ascii="Times New Roman" w:eastAsia="Times New Roman" w:hAnsi="Times New Roman" w:cs="Times New Roman"/>
          <w:sz w:val="24"/>
          <w:szCs w:val="24"/>
        </w:rPr>
        <w:t xml:space="preserve">. In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again the father of Andromache’s child dies</w:t>
      </w:r>
      <w:r w:rsidR="1F83FE37" w:rsidRPr="09F6F64B">
        <w:rPr>
          <w:rStyle w:val="FootnoteReference"/>
          <w:rFonts w:ascii="Times New Roman" w:eastAsia="Times New Roman" w:hAnsi="Times New Roman" w:cs="Times New Roman"/>
          <w:sz w:val="24"/>
          <w:szCs w:val="24"/>
        </w:rPr>
        <w:footnoteReference w:id="197"/>
      </w:r>
      <w:r w:rsidRPr="09F6F64B">
        <w:rPr>
          <w:rFonts w:ascii="Times New Roman" w:eastAsia="Times New Roman" w:hAnsi="Times New Roman" w:cs="Times New Roman"/>
          <w:sz w:val="24"/>
          <w:szCs w:val="24"/>
        </w:rPr>
        <w:t>, Neoptolemus who was Peleus’ successor dies</w:t>
      </w:r>
      <w:r w:rsidR="1F83FE37" w:rsidRPr="09F6F64B">
        <w:rPr>
          <w:rStyle w:val="FootnoteReference"/>
          <w:rFonts w:ascii="Times New Roman" w:eastAsia="Times New Roman" w:hAnsi="Times New Roman" w:cs="Times New Roman"/>
          <w:sz w:val="24"/>
          <w:szCs w:val="24"/>
        </w:rPr>
        <w:footnoteReference w:id="198"/>
      </w:r>
      <w:r w:rsidRPr="09F6F64B">
        <w:rPr>
          <w:rFonts w:ascii="Times New Roman" w:eastAsia="Times New Roman" w:hAnsi="Times New Roman" w:cs="Times New Roman"/>
          <w:sz w:val="24"/>
          <w:szCs w:val="24"/>
        </w:rPr>
        <w:t xml:space="preserve"> and the play ends with Peleus believing that his household is ruined</w:t>
      </w:r>
      <w:r w:rsidR="1F83FE37" w:rsidRPr="09F6F64B">
        <w:rPr>
          <w:rStyle w:val="FootnoteReference"/>
          <w:rFonts w:ascii="Times New Roman" w:eastAsia="Times New Roman" w:hAnsi="Times New Roman" w:cs="Times New Roman"/>
          <w:sz w:val="24"/>
          <w:szCs w:val="24"/>
        </w:rPr>
        <w:footnoteReference w:id="199"/>
      </w:r>
      <w:r w:rsidRPr="09F6F64B">
        <w:rPr>
          <w:rFonts w:ascii="Times New Roman" w:eastAsia="Times New Roman" w:hAnsi="Times New Roman" w:cs="Times New Roman"/>
          <w:sz w:val="24"/>
          <w:szCs w:val="24"/>
        </w:rPr>
        <w:t>. By having these events repeated and repeated because of female conflict once again, it does appear that divine or not when females are in conflict the results are a catastrophic ending with the ruin of a house.</w:t>
      </w:r>
    </w:p>
    <w:p w14:paraId="39B0BE21" w14:textId="5FCE303A" w:rsidR="4A9BA538" w:rsidRDefault="4A9BA538" w:rsidP="09F6F64B">
      <w:pPr>
        <w:spacing w:line="480" w:lineRule="auto"/>
        <w:rPr>
          <w:rFonts w:ascii="Times New Roman" w:eastAsia="Times New Roman" w:hAnsi="Times New Roman" w:cs="Times New Roman"/>
          <w:sz w:val="24"/>
          <w:szCs w:val="24"/>
        </w:rPr>
      </w:pPr>
      <w:proofErr w:type="spellStart"/>
      <w:r w:rsidRPr="09F6F64B">
        <w:rPr>
          <w:rFonts w:ascii="Times New Roman" w:eastAsia="Times New Roman" w:hAnsi="Times New Roman" w:cs="Times New Roman"/>
          <w:sz w:val="24"/>
          <w:szCs w:val="24"/>
        </w:rPr>
        <w:t>Padadimitropoulos</w:t>
      </w:r>
      <w:proofErr w:type="spellEnd"/>
      <w:r w:rsidRPr="09F6F64B">
        <w:rPr>
          <w:rFonts w:ascii="Times New Roman" w:eastAsia="Times New Roman" w:hAnsi="Times New Roman" w:cs="Times New Roman"/>
          <w:sz w:val="24"/>
          <w:szCs w:val="24"/>
        </w:rPr>
        <w:t xml:space="preserve"> says that it is the marriage that destroyed the house</w:t>
      </w:r>
      <w:r w:rsidRPr="09F6F64B">
        <w:rPr>
          <w:rStyle w:val="FootnoteReference"/>
          <w:rFonts w:ascii="Times New Roman" w:eastAsia="Times New Roman" w:hAnsi="Times New Roman" w:cs="Times New Roman"/>
          <w:sz w:val="24"/>
          <w:szCs w:val="24"/>
        </w:rPr>
        <w:footnoteReference w:id="200"/>
      </w:r>
      <w:r w:rsidRPr="09F6F64B">
        <w:rPr>
          <w:rFonts w:ascii="Times New Roman" w:eastAsia="Times New Roman" w:hAnsi="Times New Roman" w:cs="Times New Roman"/>
          <w:sz w:val="24"/>
          <w:szCs w:val="24"/>
        </w:rPr>
        <w:t xml:space="preserve">, but that is not true Neoptolemus and Hermione simply being married did not cause this. The conflict between Hermione and Andromache caused this as without the conflict Hermione would not have asked for help from her father, who would not have then arrived in order to kill Andromache. Also, if it were not for the conflict between them Orestes’ </w:t>
      </w:r>
      <w:r w:rsidRPr="09F6F64B">
        <w:rPr>
          <w:rFonts w:ascii="Times New Roman" w:eastAsia="Times New Roman" w:hAnsi="Times New Roman" w:cs="Times New Roman"/>
          <w:sz w:val="24"/>
          <w:szCs w:val="24"/>
        </w:rPr>
        <w:lastRenderedPageBreak/>
        <w:t>plan would not have been put into action, as he informs Hermione that he knew of the turmoil in the house and was bidding his time waiting for the right moment</w:t>
      </w:r>
      <w:r w:rsidRPr="09F6F64B">
        <w:rPr>
          <w:rStyle w:val="FootnoteReference"/>
          <w:rFonts w:ascii="Times New Roman" w:eastAsia="Times New Roman" w:hAnsi="Times New Roman" w:cs="Times New Roman"/>
          <w:sz w:val="24"/>
          <w:szCs w:val="24"/>
        </w:rPr>
        <w:footnoteReference w:id="201"/>
      </w:r>
      <w:r w:rsidRPr="09F6F64B">
        <w:rPr>
          <w:rFonts w:ascii="Times New Roman" w:eastAsia="Times New Roman" w:hAnsi="Times New Roman" w:cs="Times New Roman"/>
          <w:sz w:val="24"/>
          <w:szCs w:val="24"/>
        </w:rPr>
        <w:t xml:space="preserve">. </w:t>
      </w:r>
    </w:p>
    <w:p w14:paraId="2E926B62" w14:textId="56175E0D" w:rsidR="4A9BA538" w:rsidRDefault="4A9BA538"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This ode allows the motif of female, destructive conflict, which generates the play’s action in the beginning, to not work in isolation</w:t>
      </w:r>
      <w:r w:rsidRPr="09F6F64B">
        <w:rPr>
          <w:rStyle w:val="FootnoteReference"/>
          <w:rFonts w:ascii="Times New Roman" w:eastAsia="Times New Roman" w:hAnsi="Times New Roman" w:cs="Times New Roman"/>
          <w:sz w:val="24"/>
          <w:szCs w:val="24"/>
        </w:rPr>
        <w:footnoteReference w:id="202"/>
      </w:r>
      <w:r w:rsidRPr="09F6F64B">
        <w:rPr>
          <w:rFonts w:ascii="Times New Roman" w:eastAsia="Times New Roman" w:hAnsi="Times New Roman" w:cs="Times New Roman"/>
          <w:sz w:val="24"/>
          <w:szCs w:val="24"/>
        </w:rPr>
        <w:t xml:space="preserve"> as it now plays with the past. But arguably once you notice this motif you see it in other aspects of the play too. McClure compellingly puts forth that by ode connecting past and present there is also connection between female conflict and political upheaval</w:t>
      </w:r>
      <w:r w:rsidRPr="09F6F64B">
        <w:rPr>
          <w:rStyle w:val="FootnoteReference"/>
          <w:rFonts w:ascii="Times New Roman" w:eastAsia="Times New Roman" w:hAnsi="Times New Roman" w:cs="Times New Roman"/>
          <w:sz w:val="24"/>
          <w:szCs w:val="24"/>
        </w:rPr>
        <w:footnoteReference w:id="203"/>
      </w:r>
      <w:r w:rsidRPr="09F6F64B">
        <w:rPr>
          <w:rFonts w:ascii="Times New Roman" w:eastAsia="Times New Roman" w:hAnsi="Times New Roman" w:cs="Times New Roman"/>
          <w:sz w:val="24"/>
          <w:szCs w:val="24"/>
        </w:rPr>
        <w:t>. Already mentioned has been the comparison that the two women in conflict are like two rulers in a city who cause chaos among the citizens</w:t>
      </w:r>
      <w:r w:rsidRPr="09F6F64B">
        <w:rPr>
          <w:rStyle w:val="FootnoteReference"/>
          <w:rFonts w:ascii="Times New Roman" w:eastAsia="Times New Roman" w:hAnsi="Times New Roman" w:cs="Times New Roman"/>
          <w:sz w:val="24"/>
          <w:szCs w:val="24"/>
        </w:rPr>
        <w:footnoteReference w:id="204"/>
      </w:r>
      <w:r w:rsidRPr="09F6F64B">
        <w:rPr>
          <w:rFonts w:ascii="Times New Roman" w:eastAsia="Times New Roman" w:hAnsi="Times New Roman" w:cs="Times New Roman"/>
          <w:sz w:val="24"/>
          <w:szCs w:val="24"/>
        </w:rPr>
        <w:t xml:space="preserve">, which McClure uses to construct the argument that there is a suggestion that the behaviour of women in a household had implications for the </w:t>
      </w:r>
      <w:r w:rsidRPr="09F6F64B">
        <w:rPr>
          <w:rFonts w:ascii="Times New Roman" w:eastAsia="Times New Roman" w:hAnsi="Times New Roman" w:cs="Times New Roman"/>
          <w:i/>
          <w:iCs/>
          <w:sz w:val="24"/>
          <w:szCs w:val="24"/>
        </w:rPr>
        <w:t xml:space="preserve">polis </w:t>
      </w:r>
      <w:r w:rsidRPr="09F6F64B">
        <w:rPr>
          <w:rFonts w:ascii="Times New Roman" w:eastAsia="Times New Roman" w:hAnsi="Times New Roman" w:cs="Times New Roman"/>
          <w:sz w:val="24"/>
          <w:szCs w:val="24"/>
        </w:rPr>
        <w:t>as a whole</w:t>
      </w:r>
      <w:r w:rsidRPr="09F6F64B">
        <w:rPr>
          <w:rStyle w:val="FootnoteReference"/>
          <w:rFonts w:ascii="Times New Roman" w:eastAsia="Times New Roman" w:hAnsi="Times New Roman" w:cs="Times New Roman"/>
          <w:sz w:val="24"/>
          <w:szCs w:val="24"/>
        </w:rPr>
        <w:footnoteReference w:id="205"/>
      </w:r>
      <w:r w:rsidRPr="09F6F64B">
        <w:rPr>
          <w:rFonts w:ascii="Times New Roman" w:eastAsia="Times New Roman" w:hAnsi="Times New Roman" w:cs="Times New Roman"/>
          <w:sz w:val="24"/>
          <w:szCs w:val="24"/>
        </w:rPr>
        <w:t xml:space="preserve">. This is a credible analysis as it is something that is also engaged with in Sophocles’ </w:t>
      </w:r>
      <w:r w:rsidRPr="09F6F64B">
        <w:rPr>
          <w:rFonts w:ascii="Times New Roman" w:eastAsia="Times New Roman" w:hAnsi="Times New Roman" w:cs="Times New Roman"/>
          <w:i/>
          <w:iCs/>
          <w:sz w:val="24"/>
          <w:szCs w:val="24"/>
        </w:rPr>
        <w:t xml:space="preserve">Antigone, </w:t>
      </w:r>
      <w:r w:rsidRPr="09F6F64B">
        <w:rPr>
          <w:rFonts w:ascii="Times New Roman" w:eastAsia="Times New Roman" w:hAnsi="Times New Roman" w:cs="Times New Roman"/>
          <w:sz w:val="24"/>
          <w:szCs w:val="24"/>
        </w:rPr>
        <w:t>highlighted when Creon tells Antigone that personal actions have consequences to your country and therefore whoever places something ’above the good of his own country he is nothing’</w:t>
      </w:r>
      <w:r w:rsidRPr="09F6F64B">
        <w:rPr>
          <w:rStyle w:val="FootnoteReference"/>
          <w:rFonts w:ascii="Times New Roman" w:eastAsia="Times New Roman" w:hAnsi="Times New Roman" w:cs="Times New Roman"/>
          <w:sz w:val="24"/>
          <w:szCs w:val="24"/>
        </w:rPr>
        <w:footnoteReference w:id="206"/>
      </w:r>
      <w:r w:rsidRPr="09F6F64B">
        <w:rPr>
          <w:rFonts w:ascii="Times New Roman" w:eastAsia="Times New Roman" w:hAnsi="Times New Roman" w:cs="Times New Roman"/>
          <w:sz w:val="24"/>
          <w:szCs w:val="24"/>
        </w:rPr>
        <w:t>.</w:t>
      </w:r>
    </w:p>
    <w:p w14:paraId="0187168C" w14:textId="5D559F17" w:rsidR="4A9BA538" w:rsidRDefault="4A9BA538" w:rsidP="09F6F64B">
      <w:pPr>
        <w:spacing w:line="480" w:lineRule="auto"/>
        <w:rPr>
          <w:rFonts w:ascii="Times New Roman" w:eastAsia="Times New Roman" w:hAnsi="Times New Roman" w:cs="Times New Roman"/>
          <w:i/>
          <w:iCs/>
          <w:sz w:val="24"/>
          <w:szCs w:val="24"/>
        </w:rPr>
      </w:pPr>
      <w:r w:rsidRPr="09F6F64B">
        <w:rPr>
          <w:rFonts w:ascii="Times New Roman" w:eastAsia="Times New Roman" w:hAnsi="Times New Roman" w:cs="Times New Roman"/>
          <w:sz w:val="24"/>
          <w:szCs w:val="24"/>
        </w:rPr>
        <w:t>Rabinowitz suggests that Euripides ultimately supports male power, so while he may endow his female characters with understanding and gives them a voice to important ideas, what his audience takes from his work is that to continue the patriarchy you need to ensure the events or catalyst for these events does not happen</w:t>
      </w:r>
      <w:r w:rsidRPr="09F6F64B">
        <w:rPr>
          <w:rStyle w:val="FootnoteReference"/>
          <w:rFonts w:ascii="Times New Roman" w:eastAsia="Times New Roman" w:hAnsi="Times New Roman" w:cs="Times New Roman"/>
          <w:sz w:val="24"/>
          <w:szCs w:val="24"/>
        </w:rPr>
        <w:footnoteReference w:id="207"/>
      </w:r>
      <w:r w:rsidRPr="09F6F64B">
        <w:rPr>
          <w:rFonts w:ascii="Times New Roman" w:eastAsia="Times New Roman" w:hAnsi="Times New Roman" w:cs="Times New Roman"/>
          <w:sz w:val="24"/>
          <w:szCs w:val="24"/>
        </w:rPr>
        <w:t xml:space="preserve">. This work was not intended to engage with debate surrounding whether Euripides was a misogynist or a </w:t>
      </w:r>
      <w:r w:rsidRPr="09F6F64B">
        <w:rPr>
          <w:rFonts w:ascii="Times New Roman" w:eastAsia="Times New Roman" w:hAnsi="Times New Roman" w:cs="Times New Roman"/>
          <w:sz w:val="24"/>
          <w:szCs w:val="24"/>
        </w:rPr>
        <w:lastRenderedPageBreak/>
        <w:t xml:space="preserve">proto-feminist. Instead the purpose was to see why he would engage with female conflict. </w:t>
      </w:r>
    </w:p>
    <w:p w14:paraId="4F43EEB6" w14:textId="638F01D4" w:rsidR="4A9BA538" w:rsidRDefault="4A9BA538" w:rsidP="09F6F64B">
      <w:pPr>
        <w:spacing w:line="480" w:lineRule="auto"/>
        <w:rPr>
          <w:rFonts w:ascii="Times New Roman" w:eastAsia="Times New Roman" w:hAnsi="Times New Roman" w:cs="Times New Roman"/>
          <w:i/>
          <w:iCs/>
          <w:sz w:val="24"/>
          <w:szCs w:val="24"/>
        </w:rPr>
      </w:pPr>
      <w:r w:rsidRPr="09F6F64B">
        <w:rPr>
          <w:rFonts w:ascii="Times New Roman" w:eastAsia="Times New Roman" w:hAnsi="Times New Roman" w:cs="Times New Roman"/>
          <w:sz w:val="24"/>
          <w:szCs w:val="24"/>
        </w:rPr>
        <w:t>That being said, this claim by Rabinowitz would explain Euripides interest in creating a play focused on female conflict causing catastrophe which makes it convincing. As during this period of Athenian society men secured their claims to citizenship by advertising that their wives conformed to ideals surrounding Athenian women and that their homes were therefore a place of domestic regularity</w:t>
      </w:r>
      <w:r w:rsidRPr="09F6F64B">
        <w:rPr>
          <w:rStyle w:val="FootnoteReference"/>
          <w:rFonts w:ascii="Times New Roman" w:eastAsia="Times New Roman" w:hAnsi="Times New Roman" w:cs="Times New Roman"/>
          <w:sz w:val="24"/>
          <w:szCs w:val="24"/>
        </w:rPr>
        <w:footnoteReference w:id="208"/>
      </w:r>
      <w:r w:rsidRPr="09F6F64B">
        <w:rPr>
          <w:rFonts w:ascii="Times New Roman" w:eastAsia="Times New Roman" w:hAnsi="Times New Roman" w:cs="Times New Roman"/>
          <w:sz w:val="24"/>
          <w:szCs w:val="24"/>
        </w:rPr>
        <w:t xml:space="preserve">. Also, as previously discussed the regularity of the </w:t>
      </w:r>
      <w:r w:rsidRPr="09F6F64B">
        <w:rPr>
          <w:rFonts w:ascii="Times New Roman" w:eastAsia="Times New Roman" w:hAnsi="Times New Roman" w:cs="Times New Roman"/>
          <w:i/>
          <w:iCs/>
          <w:sz w:val="24"/>
          <w:szCs w:val="24"/>
        </w:rPr>
        <w:t>oikos</w:t>
      </w:r>
      <w:r w:rsidRPr="09F6F64B">
        <w:rPr>
          <w:rFonts w:ascii="Times New Roman" w:eastAsia="Times New Roman" w:hAnsi="Times New Roman" w:cs="Times New Roman"/>
          <w:sz w:val="24"/>
          <w:szCs w:val="24"/>
        </w:rPr>
        <w:t xml:space="preserve"> was now needed to ensure the permeance of the </w:t>
      </w:r>
      <w:r w:rsidRPr="09F6F64B">
        <w:rPr>
          <w:rFonts w:ascii="Times New Roman" w:eastAsia="Times New Roman" w:hAnsi="Times New Roman" w:cs="Times New Roman"/>
          <w:i/>
          <w:iCs/>
          <w:sz w:val="24"/>
          <w:szCs w:val="24"/>
        </w:rPr>
        <w:t>polis</w:t>
      </w:r>
      <w:r w:rsidRPr="09F6F64B">
        <w:rPr>
          <w:rStyle w:val="FootnoteReference"/>
          <w:rFonts w:ascii="Times New Roman" w:eastAsia="Times New Roman" w:hAnsi="Times New Roman" w:cs="Times New Roman"/>
          <w:sz w:val="24"/>
          <w:szCs w:val="24"/>
        </w:rPr>
        <w:footnoteReference w:id="209"/>
      </w:r>
      <w:r w:rsidRPr="09F6F64B">
        <w:rPr>
          <w:rFonts w:ascii="Times New Roman" w:eastAsia="Times New Roman" w:hAnsi="Times New Roman" w:cs="Times New Roman"/>
          <w:i/>
          <w:iCs/>
          <w:sz w:val="24"/>
          <w:szCs w:val="24"/>
        </w:rPr>
        <w:t xml:space="preserve">. </w:t>
      </w:r>
      <w:r w:rsidRPr="09F6F64B">
        <w:rPr>
          <w:rFonts w:ascii="Times New Roman" w:eastAsia="Times New Roman" w:hAnsi="Times New Roman" w:cs="Times New Roman"/>
          <w:sz w:val="24"/>
          <w:szCs w:val="24"/>
        </w:rPr>
        <w:t>In which case it is compelling to say Euripides is warning about the potential threat females in conflict are not only to the house but the whole city, so that the status quo of Athens could remain unaffected as citizens are now aware that female conflict is something that needs to be avoided as women have potential destructive power.</w:t>
      </w:r>
    </w:p>
    <w:p w14:paraId="438DDF26" w14:textId="053F6B43" w:rsidR="6C550CB3" w:rsidRDefault="5773D33F"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Going on from that a persuasive thought arises. If scholars are correct in their well-founded claims that Euripides normally focuses on female solidarity positively, this then pushes for the status quo too. As women who are friends and in solidarity with one another will not be in conflict, therefore cannot cause catastrophe. Therefore, it makes sense for Euripides to promote female solidarity stating ‘a woman is a woman’s natural ally’</w:t>
      </w:r>
      <w:r w:rsidR="6C550CB3" w:rsidRPr="09F6F64B">
        <w:rPr>
          <w:rStyle w:val="FootnoteReference"/>
          <w:rFonts w:ascii="Times New Roman" w:eastAsia="Times New Roman" w:hAnsi="Times New Roman" w:cs="Times New Roman"/>
          <w:sz w:val="24"/>
          <w:szCs w:val="24"/>
        </w:rPr>
        <w:footnoteReference w:id="210"/>
      </w:r>
      <w:r w:rsidRPr="09F6F64B">
        <w:rPr>
          <w:rFonts w:ascii="Times New Roman" w:eastAsia="Times New Roman" w:hAnsi="Times New Roman" w:cs="Times New Roman"/>
          <w:sz w:val="24"/>
          <w:szCs w:val="24"/>
        </w:rPr>
        <w:t xml:space="preserve"> and elsewhere that ’we are women and our sex </w:t>
      </w:r>
      <w:proofErr w:type="spellStart"/>
      <w:r w:rsidRPr="09F6F64B">
        <w:rPr>
          <w:rFonts w:ascii="Times New Roman" w:eastAsia="Times New Roman" w:hAnsi="Times New Roman" w:cs="Times New Roman"/>
          <w:sz w:val="24"/>
          <w:szCs w:val="24"/>
        </w:rPr>
        <w:t>wish</w:t>
      </w:r>
      <w:proofErr w:type="spellEnd"/>
      <w:r w:rsidRPr="09F6F64B">
        <w:rPr>
          <w:rFonts w:ascii="Times New Roman" w:eastAsia="Times New Roman" w:hAnsi="Times New Roman" w:cs="Times New Roman"/>
          <w:sz w:val="24"/>
          <w:szCs w:val="24"/>
        </w:rPr>
        <w:t xml:space="preserve"> each other well’</w:t>
      </w:r>
      <w:r w:rsidR="6C550CB3" w:rsidRPr="09F6F64B">
        <w:rPr>
          <w:rStyle w:val="FootnoteReference"/>
          <w:rFonts w:ascii="Times New Roman" w:eastAsia="Times New Roman" w:hAnsi="Times New Roman" w:cs="Times New Roman"/>
          <w:sz w:val="24"/>
          <w:szCs w:val="24"/>
        </w:rPr>
        <w:footnoteReference w:id="211"/>
      </w:r>
      <w:r w:rsidRPr="09F6F64B">
        <w:rPr>
          <w:rFonts w:ascii="Times New Roman" w:eastAsia="Times New Roman" w:hAnsi="Times New Roman" w:cs="Times New Roman"/>
          <w:sz w:val="24"/>
          <w:szCs w:val="24"/>
        </w:rPr>
        <w:t xml:space="preserve">, while also writing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as a warning about female conflict.</w:t>
      </w:r>
    </w:p>
    <w:p w14:paraId="17BCC405" w14:textId="328317EE" w:rsidR="6C550CB3"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Overall, this idea that Euripides is warning of the potential destructive power of females in conflict, in order to continue the regularity of both </w:t>
      </w:r>
      <w:r w:rsidRPr="09F6F64B">
        <w:rPr>
          <w:rFonts w:ascii="Times New Roman" w:eastAsia="Times New Roman" w:hAnsi="Times New Roman" w:cs="Times New Roman"/>
          <w:i/>
          <w:iCs/>
          <w:sz w:val="24"/>
          <w:szCs w:val="24"/>
        </w:rPr>
        <w:t>oikos</w:t>
      </w:r>
      <w:r w:rsidRPr="09F6F64B">
        <w:rPr>
          <w:rFonts w:ascii="Times New Roman" w:eastAsia="Times New Roman" w:hAnsi="Times New Roman" w:cs="Times New Roman"/>
          <w:sz w:val="24"/>
          <w:szCs w:val="24"/>
        </w:rPr>
        <w:t xml:space="preserve"> and </w:t>
      </w:r>
      <w:r w:rsidRPr="09F6F64B">
        <w:rPr>
          <w:rFonts w:ascii="Times New Roman" w:eastAsia="Times New Roman" w:hAnsi="Times New Roman" w:cs="Times New Roman"/>
          <w:i/>
          <w:iCs/>
          <w:sz w:val="24"/>
          <w:szCs w:val="24"/>
        </w:rPr>
        <w:t>polis</w:t>
      </w:r>
      <w:r w:rsidRPr="09F6F64B">
        <w:rPr>
          <w:rFonts w:ascii="Times New Roman" w:eastAsia="Times New Roman" w:hAnsi="Times New Roman" w:cs="Times New Roman"/>
          <w:sz w:val="24"/>
          <w:szCs w:val="24"/>
        </w:rPr>
        <w:t xml:space="preserve"> is credible. As not only does it explain the focus of Andromache and Hermione’s conflict, but it also </w:t>
      </w:r>
      <w:r w:rsidRPr="09F6F64B">
        <w:rPr>
          <w:rFonts w:ascii="Times New Roman" w:eastAsia="Times New Roman" w:hAnsi="Times New Roman" w:cs="Times New Roman"/>
          <w:sz w:val="24"/>
          <w:szCs w:val="24"/>
        </w:rPr>
        <w:lastRenderedPageBreak/>
        <w:t xml:space="preserve">explains why Euripides would choose to look at conflict when he has an established trend to include female solidarity. </w:t>
      </w:r>
    </w:p>
    <w:p w14:paraId="4D96F2F1" w14:textId="77777777" w:rsidR="008805C3" w:rsidRDefault="008805C3" w:rsidP="09F6F64B">
      <w:pPr>
        <w:spacing w:line="480" w:lineRule="auto"/>
      </w:pPr>
    </w:p>
    <w:p w14:paraId="2C475949" w14:textId="5B90DBC5" w:rsidR="008805C3" w:rsidRDefault="008805C3" w:rsidP="09F6F64B">
      <w:pPr>
        <w:spacing w:line="480" w:lineRule="auto"/>
      </w:pPr>
    </w:p>
    <w:p w14:paraId="5F4BF453" w14:textId="7FE8F33C" w:rsidR="00217742" w:rsidRDefault="00217742" w:rsidP="09F6F64B">
      <w:pPr>
        <w:spacing w:line="480" w:lineRule="auto"/>
      </w:pPr>
    </w:p>
    <w:p w14:paraId="26C831E5" w14:textId="692EE3A6" w:rsidR="00217742" w:rsidRDefault="00217742" w:rsidP="09F6F64B">
      <w:pPr>
        <w:spacing w:line="480" w:lineRule="auto"/>
      </w:pPr>
    </w:p>
    <w:p w14:paraId="46E03FC1" w14:textId="23FAB0E6" w:rsidR="00217742" w:rsidRDefault="00217742" w:rsidP="09F6F64B">
      <w:pPr>
        <w:spacing w:line="480" w:lineRule="auto"/>
      </w:pPr>
    </w:p>
    <w:p w14:paraId="63611C9A" w14:textId="1F9330DD" w:rsidR="00217742" w:rsidRDefault="00217742" w:rsidP="09F6F64B">
      <w:pPr>
        <w:spacing w:line="480" w:lineRule="auto"/>
      </w:pPr>
    </w:p>
    <w:p w14:paraId="6CC65DDB" w14:textId="110B9705" w:rsidR="00217742" w:rsidRDefault="00217742" w:rsidP="09F6F64B">
      <w:pPr>
        <w:spacing w:line="480" w:lineRule="auto"/>
      </w:pPr>
    </w:p>
    <w:p w14:paraId="04AD430F" w14:textId="05F23852" w:rsidR="00217742" w:rsidRDefault="00217742" w:rsidP="09F6F64B">
      <w:pPr>
        <w:spacing w:line="480" w:lineRule="auto"/>
      </w:pPr>
    </w:p>
    <w:p w14:paraId="38675929" w14:textId="6FD45CA6" w:rsidR="00217742" w:rsidRDefault="00217742" w:rsidP="09F6F64B">
      <w:pPr>
        <w:spacing w:line="480" w:lineRule="auto"/>
      </w:pPr>
    </w:p>
    <w:p w14:paraId="40F33594" w14:textId="4D5B508C" w:rsidR="00217742" w:rsidRDefault="00217742" w:rsidP="09F6F64B">
      <w:pPr>
        <w:spacing w:line="480" w:lineRule="auto"/>
      </w:pPr>
    </w:p>
    <w:p w14:paraId="432DE646" w14:textId="52E7D5FC" w:rsidR="00217742" w:rsidRDefault="00217742" w:rsidP="09F6F64B">
      <w:pPr>
        <w:spacing w:line="480" w:lineRule="auto"/>
      </w:pPr>
    </w:p>
    <w:p w14:paraId="2308F41F" w14:textId="298A1F5B" w:rsidR="00217742" w:rsidRDefault="00217742" w:rsidP="09F6F64B">
      <w:pPr>
        <w:spacing w:line="480" w:lineRule="auto"/>
      </w:pPr>
    </w:p>
    <w:p w14:paraId="32E1B496" w14:textId="17D99FC2" w:rsidR="00217742" w:rsidRDefault="00217742" w:rsidP="09F6F64B">
      <w:pPr>
        <w:spacing w:line="480" w:lineRule="auto"/>
      </w:pPr>
    </w:p>
    <w:p w14:paraId="12D290F9" w14:textId="33105C7A" w:rsidR="00217742" w:rsidRDefault="00217742" w:rsidP="09F6F64B">
      <w:pPr>
        <w:spacing w:line="480" w:lineRule="auto"/>
      </w:pPr>
    </w:p>
    <w:p w14:paraId="15B87AC1" w14:textId="614A0E0F" w:rsidR="00217742" w:rsidRDefault="00217742" w:rsidP="09F6F64B">
      <w:pPr>
        <w:spacing w:line="480" w:lineRule="auto"/>
      </w:pPr>
    </w:p>
    <w:p w14:paraId="710A4E61" w14:textId="77777777" w:rsidR="00217742" w:rsidRDefault="00217742" w:rsidP="09F6F64B">
      <w:pPr>
        <w:spacing w:line="480" w:lineRule="auto"/>
      </w:pPr>
    </w:p>
    <w:p w14:paraId="0EE669E9" w14:textId="77777777" w:rsidR="00217742" w:rsidRDefault="00217742" w:rsidP="09F6F64B">
      <w:pPr>
        <w:spacing w:line="480" w:lineRule="auto"/>
        <w:rPr>
          <w:rFonts w:ascii="Times New Roman" w:eastAsia="Times New Roman" w:hAnsi="Times New Roman" w:cs="Times New Roman"/>
          <w:sz w:val="24"/>
          <w:szCs w:val="24"/>
        </w:rPr>
      </w:pPr>
    </w:p>
    <w:p w14:paraId="35A646C0" w14:textId="14DC8301" w:rsidR="00217742" w:rsidRDefault="00217742" w:rsidP="00217742">
      <w:pPr>
        <w:pStyle w:val="Heading1"/>
        <w:rPr>
          <w:rFonts w:eastAsia="Times New Roman"/>
          <w:color w:val="auto"/>
        </w:rPr>
      </w:pPr>
      <w:bookmarkStart w:id="7" w:name="_Toc7809473"/>
      <w:r w:rsidRPr="00217742">
        <w:rPr>
          <w:rFonts w:eastAsia="Times New Roman"/>
          <w:color w:val="auto"/>
        </w:rPr>
        <w:lastRenderedPageBreak/>
        <w:t>Conclusion</w:t>
      </w:r>
      <w:bookmarkEnd w:id="7"/>
    </w:p>
    <w:p w14:paraId="6A9A7987" w14:textId="77777777" w:rsidR="00217742" w:rsidRPr="00217742" w:rsidRDefault="00217742" w:rsidP="00217742"/>
    <w:p w14:paraId="08719436" w14:textId="3879D9D3" w:rsidR="55461449"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In summary, by fairly evaluating the characters Hermione and Andromache the characters become more than just hero and villain. In fact, those titles become too simple and incorrect. This play is not in the tragic hero style so it should not be treated as such and by engaging with the structure of the play, without dismissing parts of it, the result is a better understanding of the play and what Euripides is trying to convey. By being inclusive in the study of the </w:t>
      </w:r>
      <w:r w:rsidRPr="09F6F64B">
        <w:rPr>
          <w:rFonts w:ascii="Times New Roman" w:eastAsia="Times New Roman" w:hAnsi="Times New Roman" w:cs="Times New Roman"/>
          <w:i/>
          <w:iCs/>
          <w:sz w:val="24"/>
          <w:szCs w:val="24"/>
        </w:rPr>
        <w:t xml:space="preserve">Andromache </w:t>
      </w:r>
      <w:r w:rsidRPr="09F6F64B">
        <w:rPr>
          <w:rFonts w:ascii="Times New Roman" w:eastAsia="Times New Roman" w:hAnsi="Times New Roman" w:cs="Times New Roman"/>
          <w:sz w:val="24"/>
          <w:szCs w:val="24"/>
        </w:rPr>
        <w:t xml:space="preserve">the statement that the female conflict is the focus becomes more than plausible, the reason for that being the focus also becomes clear. </w:t>
      </w:r>
    </w:p>
    <w:p w14:paraId="1B0F077A" w14:textId="6C3D639D" w:rsidR="55461449"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The results of this work demonstrate that Euripides wrote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in order to warn that female conflict causes catastrophe for not only the </w:t>
      </w:r>
      <w:r w:rsidRPr="09F6F64B">
        <w:rPr>
          <w:rFonts w:ascii="Times New Roman" w:eastAsia="Times New Roman" w:hAnsi="Times New Roman" w:cs="Times New Roman"/>
          <w:i/>
          <w:iCs/>
          <w:sz w:val="24"/>
          <w:szCs w:val="24"/>
        </w:rPr>
        <w:t xml:space="preserve">oikos </w:t>
      </w:r>
      <w:r w:rsidRPr="09F6F64B">
        <w:rPr>
          <w:rFonts w:ascii="Times New Roman" w:eastAsia="Times New Roman" w:hAnsi="Times New Roman" w:cs="Times New Roman"/>
          <w:sz w:val="24"/>
          <w:szCs w:val="24"/>
        </w:rPr>
        <w:t xml:space="preserve">but the </w:t>
      </w:r>
      <w:r w:rsidRPr="09F6F64B">
        <w:rPr>
          <w:rFonts w:ascii="Times New Roman" w:eastAsia="Times New Roman" w:hAnsi="Times New Roman" w:cs="Times New Roman"/>
          <w:i/>
          <w:iCs/>
          <w:sz w:val="24"/>
          <w:szCs w:val="24"/>
        </w:rPr>
        <w:t>polis</w:t>
      </w:r>
      <w:r w:rsidRPr="09F6F64B">
        <w:rPr>
          <w:rFonts w:ascii="Times New Roman" w:eastAsia="Times New Roman" w:hAnsi="Times New Roman" w:cs="Times New Roman"/>
          <w:sz w:val="24"/>
          <w:szCs w:val="24"/>
        </w:rPr>
        <w:t xml:space="preserve">. Which then works in conjunction with his other plays which promote female solidarity, as ultimately female solidarity is better for the </w:t>
      </w:r>
      <w:r w:rsidRPr="09F6F64B">
        <w:rPr>
          <w:rFonts w:ascii="Times New Roman" w:eastAsia="Times New Roman" w:hAnsi="Times New Roman" w:cs="Times New Roman"/>
          <w:i/>
          <w:iCs/>
          <w:sz w:val="24"/>
          <w:szCs w:val="24"/>
        </w:rPr>
        <w:t>polis</w:t>
      </w:r>
      <w:r w:rsidRPr="09F6F64B">
        <w:rPr>
          <w:rFonts w:ascii="Times New Roman" w:eastAsia="Times New Roman" w:hAnsi="Times New Roman" w:cs="Times New Roman"/>
          <w:sz w:val="24"/>
          <w:szCs w:val="24"/>
        </w:rPr>
        <w:t xml:space="preserve"> as it means the catastrophic female conflict is avoided.</w:t>
      </w:r>
    </w:p>
    <w:p w14:paraId="1757B9AB" w14:textId="0F4CE40A" w:rsidR="55461449" w:rsidRDefault="09F6F64B"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Also shown, is how the </w:t>
      </w:r>
      <w:r w:rsidRPr="09F6F64B">
        <w:rPr>
          <w:rFonts w:ascii="Times New Roman" w:eastAsia="Times New Roman" w:hAnsi="Times New Roman" w:cs="Times New Roman"/>
          <w:i/>
          <w:iCs/>
          <w:sz w:val="24"/>
          <w:szCs w:val="24"/>
        </w:rPr>
        <w:t>Andromache</w:t>
      </w:r>
      <w:r w:rsidRPr="09F6F64B">
        <w:rPr>
          <w:rFonts w:ascii="Times New Roman" w:eastAsia="Times New Roman" w:hAnsi="Times New Roman" w:cs="Times New Roman"/>
          <w:sz w:val="24"/>
          <w:szCs w:val="24"/>
        </w:rPr>
        <w:t xml:space="preserve"> has been unfairly treated or simply ignored by past scholarship. This work has addressed the issues of that treatment and in doing so has highlighted that this play deserves to be taken more seriously, as it offers a wealth of avenues to explore and think with. In the future more productive and serious studies of the text should take place. </w:t>
      </w:r>
    </w:p>
    <w:p w14:paraId="51C4C887" w14:textId="2722BF52" w:rsidR="00217742" w:rsidRDefault="771DC6B5" w:rsidP="09F6F64B">
      <w:pPr>
        <w:spacing w:line="480" w:lineRule="auto"/>
        <w:rPr>
          <w:rFonts w:ascii="Times New Roman" w:eastAsia="Times New Roman" w:hAnsi="Times New Roman" w:cs="Times New Roman"/>
          <w:sz w:val="24"/>
          <w:szCs w:val="24"/>
        </w:rPr>
      </w:pPr>
      <w:r w:rsidRPr="09F6F64B">
        <w:rPr>
          <w:rFonts w:ascii="Times New Roman" w:eastAsia="Times New Roman" w:hAnsi="Times New Roman" w:cs="Times New Roman"/>
          <w:sz w:val="24"/>
          <w:szCs w:val="24"/>
        </w:rPr>
        <w:t xml:space="preserve">Furthermore, this concept of looking at the relationships between the women has turned out to be a fruitful way of analysing the text. Going forward it may prove valuable to use this same technique to examine other work. Work such as Euripides’ </w:t>
      </w:r>
      <w:r w:rsidRPr="09F6F64B">
        <w:rPr>
          <w:rFonts w:ascii="Times New Roman" w:eastAsia="Times New Roman" w:hAnsi="Times New Roman" w:cs="Times New Roman"/>
          <w:i/>
          <w:iCs/>
          <w:sz w:val="24"/>
          <w:szCs w:val="24"/>
        </w:rPr>
        <w:t>Iphigenia In Aulis</w:t>
      </w:r>
      <w:r w:rsidRPr="09F6F64B">
        <w:rPr>
          <w:rFonts w:ascii="Times New Roman" w:eastAsia="Times New Roman" w:hAnsi="Times New Roman" w:cs="Times New Roman"/>
          <w:sz w:val="24"/>
          <w:szCs w:val="24"/>
        </w:rPr>
        <w:t xml:space="preserve"> which also has received little attention by those working with female relationships. Similarly, it could also prove of worth to use this concept but instead to </w:t>
      </w:r>
      <w:r w:rsidRPr="09F6F64B">
        <w:rPr>
          <w:rFonts w:ascii="Times New Roman" w:eastAsia="Times New Roman" w:hAnsi="Times New Roman" w:cs="Times New Roman"/>
          <w:sz w:val="24"/>
          <w:szCs w:val="24"/>
        </w:rPr>
        <w:lastRenderedPageBreak/>
        <w:t>look at the relationships between the men, to `see if it is true to say that solidarity is not available to tragic men as Chong-</w:t>
      </w:r>
      <w:proofErr w:type="spellStart"/>
      <w:r w:rsidRPr="09F6F64B">
        <w:rPr>
          <w:rFonts w:ascii="Times New Roman" w:eastAsia="Times New Roman" w:hAnsi="Times New Roman" w:cs="Times New Roman"/>
          <w:sz w:val="24"/>
          <w:szCs w:val="24"/>
        </w:rPr>
        <w:t>Gossard</w:t>
      </w:r>
      <w:proofErr w:type="spellEnd"/>
      <w:r w:rsidRPr="09F6F64B">
        <w:rPr>
          <w:rFonts w:ascii="Times New Roman" w:eastAsia="Times New Roman" w:hAnsi="Times New Roman" w:cs="Times New Roman"/>
          <w:sz w:val="24"/>
          <w:szCs w:val="24"/>
        </w:rPr>
        <w:t xml:space="preserve"> says</w:t>
      </w:r>
      <w:r w:rsidR="55461449" w:rsidRPr="09F6F64B">
        <w:rPr>
          <w:rStyle w:val="FootnoteReference"/>
          <w:rFonts w:ascii="Times New Roman" w:eastAsia="Times New Roman" w:hAnsi="Times New Roman" w:cs="Times New Roman"/>
          <w:sz w:val="24"/>
          <w:szCs w:val="24"/>
        </w:rPr>
        <w:footnoteReference w:id="212"/>
      </w:r>
      <w:r w:rsidRPr="09F6F64B">
        <w:rPr>
          <w:rFonts w:ascii="Times New Roman" w:eastAsia="Times New Roman" w:hAnsi="Times New Roman" w:cs="Times New Roman"/>
          <w:sz w:val="24"/>
          <w:szCs w:val="24"/>
        </w:rPr>
        <w:t>.</w:t>
      </w:r>
    </w:p>
    <w:p w14:paraId="7B128606" w14:textId="77777777" w:rsidR="00217742" w:rsidRDefault="0021774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72F3541" w14:textId="2F7FF796" w:rsidR="00217742" w:rsidRDefault="00217742" w:rsidP="00217742">
      <w:pPr>
        <w:spacing w:line="480" w:lineRule="auto"/>
        <w:rPr>
          <w:rFonts w:ascii="Times New Roman" w:eastAsia="Times New Roman" w:hAnsi="Times New Roman" w:cs="Times New Roman"/>
          <w:sz w:val="24"/>
          <w:szCs w:val="24"/>
          <w:u w:val="single"/>
        </w:rPr>
      </w:pPr>
      <w:bookmarkStart w:id="8" w:name="_Toc7809474"/>
      <w:r w:rsidRPr="00217742">
        <w:rPr>
          <w:rStyle w:val="Heading1Char"/>
          <w:color w:val="auto"/>
        </w:rPr>
        <w:lastRenderedPageBreak/>
        <w:t>Bibliography</w:t>
      </w:r>
      <w:bookmarkEnd w:id="8"/>
      <w:r>
        <w:br/>
      </w:r>
      <w:r w:rsidRPr="00217742">
        <w:rPr>
          <w:rStyle w:val="Heading1Char"/>
          <w:rFonts w:ascii="Times New Roman" w:hAnsi="Times New Roman" w:cs="Times New Roman"/>
          <w:color w:val="auto"/>
          <w:sz w:val="24"/>
          <w:szCs w:val="24"/>
        </w:rPr>
        <w:t>Ancient Sources:</w:t>
      </w:r>
    </w:p>
    <w:p w14:paraId="791AD1B5" w14:textId="77777777" w:rsidR="00217742" w:rsidRDefault="00217742" w:rsidP="00217742">
      <w:pPr>
        <w:spacing w:line="480" w:lineRule="auto"/>
        <w:rPr>
          <w:rFonts w:ascii="Times New Roman" w:eastAsia="Times New Roman" w:hAnsi="Times New Roman" w:cs="Times New Roman"/>
          <w:sz w:val="24"/>
          <w:szCs w:val="24"/>
        </w:rPr>
      </w:pPr>
      <w:r w:rsidRPr="16CE8CA5">
        <w:rPr>
          <w:rFonts w:ascii="Times New Roman" w:eastAsia="Times New Roman" w:hAnsi="Times New Roman" w:cs="Times New Roman"/>
          <w:color w:val="0A0A0A"/>
          <w:sz w:val="24"/>
          <w:szCs w:val="24"/>
        </w:rPr>
        <w:t xml:space="preserve">Aeschylus, </w:t>
      </w:r>
      <w:r w:rsidRPr="16CE8CA5">
        <w:rPr>
          <w:rFonts w:ascii="Times New Roman" w:eastAsia="Times New Roman" w:hAnsi="Times New Roman" w:cs="Times New Roman"/>
          <w:i/>
          <w:iCs/>
          <w:color w:val="0A0A0A"/>
          <w:sz w:val="24"/>
          <w:szCs w:val="24"/>
        </w:rPr>
        <w:t>Agamemnon.</w:t>
      </w:r>
      <w:r w:rsidRPr="16CE8CA5">
        <w:rPr>
          <w:rFonts w:ascii="Times New Roman" w:eastAsia="Times New Roman" w:hAnsi="Times New Roman" w:cs="Times New Roman"/>
          <w:color w:val="0A0A0A"/>
          <w:sz w:val="24"/>
          <w:szCs w:val="24"/>
        </w:rPr>
        <w:t xml:space="preserve"> A. H. </w:t>
      </w:r>
      <w:proofErr w:type="spellStart"/>
      <w:r w:rsidRPr="16CE8CA5">
        <w:rPr>
          <w:rFonts w:ascii="Times New Roman" w:eastAsia="Times New Roman" w:hAnsi="Times New Roman" w:cs="Times New Roman"/>
          <w:color w:val="0A0A0A"/>
          <w:sz w:val="24"/>
          <w:szCs w:val="24"/>
        </w:rPr>
        <w:t>Sommerstein</w:t>
      </w:r>
      <w:proofErr w:type="spellEnd"/>
      <w:r w:rsidRPr="16CE8CA5">
        <w:rPr>
          <w:rFonts w:ascii="Times New Roman" w:eastAsia="Times New Roman" w:hAnsi="Times New Roman" w:cs="Times New Roman"/>
          <w:color w:val="0A0A0A"/>
          <w:sz w:val="24"/>
          <w:szCs w:val="24"/>
        </w:rPr>
        <w:t xml:space="preserve"> (trans.). 2009. Loeb</w:t>
      </w:r>
      <w:r>
        <w:br/>
      </w:r>
      <w:r w:rsidRPr="16CE8CA5">
        <w:rPr>
          <w:rFonts w:ascii="Times New Roman" w:eastAsia="Times New Roman" w:hAnsi="Times New Roman" w:cs="Times New Roman"/>
          <w:i/>
          <w:iCs/>
          <w:sz w:val="24"/>
          <w:szCs w:val="24"/>
        </w:rPr>
        <w:t>Demosthenes</w:t>
      </w:r>
      <w:r w:rsidRPr="16CE8CA5">
        <w:rPr>
          <w:rFonts w:ascii="Times New Roman" w:eastAsia="Times New Roman" w:hAnsi="Times New Roman" w:cs="Times New Roman"/>
          <w:sz w:val="24"/>
          <w:szCs w:val="24"/>
        </w:rPr>
        <w:t>. Norman W. DeWitt, and Norman J. DeWitt (trans.). 1949. Cambridge: Harvard University Press</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Andromache</w:t>
      </w:r>
      <w:r w:rsidRPr="16CE8CA5">
        <w:rPr>
          <w:rFonts w:ascii="Times New Roman" w:eastAsia="Times New Roman" w:hAnsi="Times New Roman" w:cs="Times New Roman"/>
          <w:sz w:val="24"/>
          <w:szCs w:val="24"/>
        </w:rPr>
        <w:t>. J. Davie (trans.). 1998. London: Penguin</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Fragments</w:t>
      </w:r>
      <w:r w:rsidRPr="16CE8CA5">
        <w:rPr>
          <w:rFonts w:ascii="Times New Roman" w:eastAsia="Times New Roman" w:hAnsi="Times New Roman" w:cs="Times New Roman"/>
          <w:sz w:val="24"/>
          <w:szCs w:val="24"/>
        </w:rPr>
        <w:t xml:space="preserve">. C. Collard and M. </w:t>
      </w:r>
      <w:proofErr w:type="spellStart"/>
      <w:r w:rsidRPr="16CE8CA5">
        <w:rPr>
          <w:rFonts w:ascii="Times New Roman" w:eastAsia="Times New Roman" w:hAnsi="Times New Roman" w:cs="Times New Roman"/>
          <w:sz w:val="24"/>
          <w:szCs w:val="24"/>
        </w:rPr>
        <w:t>Cropp</w:t>
      </w:r>
      <w:proofErr w:type="spellEnd"/>
      <w:r w:rsidRPr="16CE8CA5">
        <w:rPr>
          <w:rFonts w:ascii="Times New Roman" w:eastAsia="Times New Roman" w:hAnsi="Times New Roman" w:cs="Times New Roman"/>
          <w:sz w:val="24"/>
          <w:szCs w:val="24"/>
        </w:rPr>
        <w:t xml:space="preserve"> (trans.). 2008. Loeb</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 xml:space="preserve">Iphigenia Among the </w:t>
      </w:r>
      <w:proofErr w:type="spellStart"/>
      <w:r w:rsidRPr="16CE8CA5">
        <w:rPr>
          <w:rFonts w:ascii="Times New Roman" w:eastAsia="Times New Roman" w:hAnsi="Times New Roman" w:cs="Times New Roman"/>
          <w:i/>
          <w:iCs/>
          <w:sz w:val="24"/>
          <w:szCs w:val="24"/>
        </w:rPr>
        <w:t>Taurians</w:t>
      </w:r>
      <w:proofErr w:type="spellEnd"/>
      <w:r w:rsidRPr="16CE8CA5">
        <w:rPr>
          <w:rFonts w:ascii="Times New Roman" w:eastAsia="Times New Roman" w:hAnsi="Times New Roman" w:cs="Times New Roman"/>
          <w:sz w:val="24"/>
          <w:szCs w:val="24"/>
        </w:rPr>
        <w:t>. D. Kovacs (trans.). 1999. Loeb</w:t>
      </w:r>
      <w:r w:rsidRPr="16CE8CA5">
        <w:rPr>
          <w:rFonts w:ascii="Times New Roman" w:eastAsia="Times New Roman" w:hAnsi="Times New Roman" w:cs="Times New Roman"/>
          <w:i/>
          <w:iCs/>
          <w:sz w:val="24"/>
          <w:szCs w:val="24"/>
        </w:rPr>
        <w:t xml:space="preserve"> </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Medea.</w:t>
      </w:r>
      <w:r w:rsidRPr="16CE8CA5">
        <w:rPr>
          <w:rFonts w:ascii="Times New Roman" w:eastAsia="Times New Roman" w:hAnsi="Times New Roman" w:cs="Times New Roman"/>
          <w:sz w:val="24"/>
          <w:szCs w:val="24"/>
        </w:rPr>
        <w:t xml:space="preserve"> P. Vellacott (trans.). 1963. London: Penguin</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Suppliant Women</w:t>
      </w:r>
      <w:r w:rsidRPr="16CE8CA5">
        <w:rPr>
          <w:rFonts w:ascii="Times New Roman" w:eastAsia="Times New Roman" w:hAnsi="Times New Roman" w:cs="Times New Roman"/>
          <w:sz w:val="24"/>
          <w:szCs w:val="24"/>
        </w:rPr>
        <w:t>. J. Davie (trans.). 1998. London: Penguin</w:t>
      </w:r>
      <w:r>
        <w:br/>
      </w:r>
      <w:r w:rsidRPr="16CE8CA5">
        <w:rPr>
          <w:rFonts w:ascii="Times New Roman" w:eastAsia="Times New Roman" w:hAnsi="Times New Roman" w:cs="Times New Roman"/>
          <w:sz w:val="24"/>
          <w:szCs w:val="24"/>
        </w:rPr>
        <w:t xml:space="preserve">Euripides, </w:t>
      </w:r>
      <w:r w:rsidRPr="16CE8CA5">
        <w:rPr>
          <w:rFonts w:ascii="Times New Roman" w:eastAsia="Times New Roman" w:hAnsi="Times New Roman" w:cs="Times New Roman"/>
          <w:i/>
          <w:iCs/>
          <w:sz w:val="24"/>
          <w:szCs w:val="24"/>
        </w:rPr>
        <w:t>Trojan Women.</w:t>
      </w:r>
      <w:r w:rsidRPr="16CE8CA5">
        <w:rPr>
          <w:rFonts w:ascii="Times New Roman" w:eastAsia="Times New Roman" w:hAnsi="Times New Roman" w:cs="Times New Roman"/>
          <w:sz w:val="24"/>
          <w:szCs w:val="24"/>
        </w:rPr>
        <w:t xml:space="preserve"> J. Davie (trans.). 1998. London: Penguin</w:t>
      </w:r>
      <w:r>
        <w:br/>
      </w:r>
      <w:r w:rsidRPr="16CE8CA5">
        <w:rPr>
          <w:rFonts w:ascii="Times New Roman" w:eastAsia="Times New Roman" w:hAnsi="Times New Roman" w:cs="Times New Roman"/>
          <w:sz w:val="24"/>
          <w:szCs w:val="24"/>
        </w:rPr>
        <w:t xml:space="preserve">Homer, </w:t>
      </w:r>
      <w:r w:rsidRPr="16CE8CA5">
        <w:rPr>
          <w:rFonts w:ascii="Times New Roman" w:eastAsia="Times New Roman" w:hAnsi="Times New Roman" w:cs="Times New Roman"/>
          <w:i/>
          <w:iCs/>
          <w:sz w:val="24"/>
          <w:szCs w:val="24"/>
        </w:rPr>
        <w:t>The Iliad</w:t>
      </w:r>
      <w:r w:rsidRPr="16CE8CA5">
        <w:rPr>
          <w:rFonts w:ascii="Times New Roman" w:eastAsia="Times New Roman" w:hAnsi="Times New Roman" w:cs="Times New Roman"/>
          <w:sz w:val="24"/>
          <w:szCs w:val="24"/>
        </w:rPr>
        <w:t xml:space="preserve">. E. V. </w:t>
      </w:r>
      <w:proofErr w:type="spellStart"/>
      <w:r w:rsidRPr="16CE8CA5">
        <w:rPr>
          <w:rFonts w:ascii="Times New Roman" w:eastAsia="Times New Roman" w:hAnsi="Times New Roman" w:cs="Times New Roman"/>
          <w:sz w:val="24"/>
          <w:szCs w:val="24"/>
        </w:rPr>
        <w:t>Rieu</w:t>
      </w:r>
      <w:proofErr w:type="spellEnd"/>
      <w:r w:rsidRPr="16CE8CA5">
        <w:rPr>
          <w:rFonts w:ascii="Times New Roman" w:eastAsia="Times New Roman" w:hAnsi="Times New Roman" w:cs="Times New Roman"/>
          <w:sz w:val="24"/>
          <w:szCs w:val="24"/>
        </w:rPr>
        <w:t xml:space="preserve"> (trans.). 1950. London: Penguin</w:t>
      </w:r>
      <w:r>
        <w:br/>
      </w:r>
      <w:r w:rsidRPr="16CE8CA5">
        <w:rPr>
          <w:rFonts w:ascii="Times New Roman" w:eastAsia="Times New Roman" w:hAnsi="Times New Roman" w:cs="Times New Roman"/>
          <w:sz w:val="24"/>
          <w:szCs w:val="24"/>
        </w:rPr>
        <w:t xml:space="preserve">Homer, </w:t>
      </w:r>
      <w:r w:rsidRPr="16CE8CA5">
        <w:rPr>
          <w:rFonts w:ascii="Times New Roman" w:eastAsia="Times New Roman" w:hAnsi="Times New Roman" w:cs="Times New Roman"/>
          <w:i/>
          <w:iCs/>
          <w:sz w:val="24"/>
          <w:szCs w:val="24"/>
        </w:rPr>
        <w:t>The Odyssey</w:t>
      </w:r>
      <w:r w:rsidRPr="16CE8CA5">
        <w:rPr>
          <w:rFonts w:ascii="Times New Roman" w:eastAsia="Times New Roman" w:hAnsi="Times New Roman" w:cs="Times New Roman"/>
          <w:sz w:val="24"/>
          <w:szCs w:val="24"/>
        </w:rPr>
        <w:t xml:space="preserve">. E. V. </w:t>
      </w:r>
      <w:proofErr w:type="spellStart"/>
      <w:r w:rsidRPr="16CE8CA5">
        <w:rPr>
          <w:rFonts w:ascii="Times New Roman" w:eastAsia="Times New Roman" w:hAnsi="Times New Roman" w:cs="Times New Roman"/>
          <w:sz w:val="24"/>
          <w:szCs w:val="24"/>
        </w:rPr>
        <w:t>Rieu</w:t>
      </w:r>
      <w:proofErr w:type="spellEnd"/>
      <w:r w:rsidRPr="16CE8CA5">
        <w:rPr>
          <w:rFonts w:ascii="Times New Roman" w:eastAsia="Times New Roman" w:hAnsi="Times New Roman" w:cs="Times New Roman"/>
          <w:sz w:val="24"/>
          <w:szCs w:val="24"/>
        </w:rPr>
        <w:t xml:space="preserve"> (trans.). 1946. London: Penguin</w:t>
      </w:r>
      <w:r>
        <w:br/>
      </w:r>
      <w:r w:rsidRPr="16CE8CA5">
        <w:rPr>
          <w:rFonts w:ascii="Times New Roman" w:eastAsia="Times New Roman" w:hAnsi="Times New Roman" w:cs="Times New Roman"/>
          <w:sz w:val="24"/>
          <w:szCs w:val="24"/>
        </w:rPr>
        <w:t xml:space="preserve">Ovid, </w:t>
      </w:r>
      <w:r w:rsidRPr="16CE8CA5">
        <w:rPr>
          <w:rFonts w:ascii="Times New Roman" w:eastAsia="Times New Roman" w:hAnsi="Times New Roman" w:cs="Times New Roman"/>
          <w:i/>
          <w:iCs/>
          <w:sz w:val="24"/>
          <w:szCs w:val="24"/>
        </w:rPr>
        <w:t xml:space="preserve">Metamorphoses. </w:t>
      </w:r>
      <w:r w:rsidRPr="16CE8CA5">
        <w:rPr>
          <w:rFonts w:ascii="Times New Roman" w:eastAsia="Times New Roman" w:hAnsi="Times New Roman" w:cs="Times New Roman"/>
          <w:sz w:val="24"/>
          <w:szCs w:val="24"/>
        </w:rPr>
        <w:t>D. Raeburn (trans.). 2004: London: Penguin</w:t>
      </w:r>
      <w:r>
        <w:br/>
      </w:r>
      <w:r w:rsidRPr="16CE8CA5">
        <w:rPr>
          <w:rFonts w:ascii="Times New Roman" w:eastAsia="Times New Roman" w:hAnsi="Times New Roman" w:cs="Times New Roman"/>
          <w:sz w:val="24"/>
          <w:szCs w:val="24"/>
        </w:rPr>
        <w:t xml:space="preserve">Plato, </w:t>
      </w:r>
      <w:r w:rsidRPr="16CE8CA5">
        <w:rPr>
          <w:rFonts w:ascii="Times New Roman" w:eastAsia="Times New Roman" w:hAnsi="Times New Roman" w:cs="Times New Roman"/>
          <w:i/>
          <w:iCs/>
          <w:sz w:val="24"/>
          <w:szCs w:val="24"/>
        </w:rPr>
        <w:t>Republic.</w:t>
      </w:r>
      <w:r w:rsidRPr="16CE8CA5">
        <w:rPr>
          <w:rFonts w:ascii="Times New Roman" w:eastAsia="Times New Roman" w:hAnsi="Times New Roman" w:cs="Times New Roman"/>
          <w:sz w:val="24"/>
          <w:szCs w:val="24"/>
        </w:rPr>
        <w:t xml:space="preserve"> C. Emlyn-Jones and W. </w:t>
      </w:r>
      <w:proofErr w:type="spellStart"/>
      <w:r w:rsidRPr="16CE8CA5">
        <w:rPr>
          <w:rFonts w:ascii="Times New Roman" w:eastAsia="Times New Roman" w:hAnsi="Times New Roman" w:cs="Times New Roman"/>
          <w:sz w:val="24"/>
          <w:szCs w:val="24"/>
        </w:rPr>
        <w:t>Preddy</w:t>
      </w:r>
      <w:proofErr w:type="spellEnd"/>
      <w:r w:rsidRPr="16CE8CA5">
        <w:rPr>
          <w:rFonts w:ascii="Times New Roman" w:eastAsia="Times New Roman" w:hAnsi="Times New Roman" w:cs="Times New Roman"/>
          <w:sz w:val="24"/>
          <w:szCs w:val="24"/>
        </w:rPr>
        <w:t xml:space="preserve"> (trans.). 2013. Loeb</w:t>
      </w:r>
      <w:r>
        <w:br/>
      </w:r>
      <w:r w:rsidRPr="16CE8CA5">
        <w:rPr>
          <w:rFonts w:ascii="Times New Roman" w:eastAsia="Times New Roman" w:hAnsi="Times New Roman" w:cs="Times New Roman"/>
          <w:color w:val="0A0A0A"/>
          <w:sz w:val="24"/>
          <w:szCs w:val="24"/>
        </w:rPr>
        <w:t xml:space="preserve">Sophocles, </w:t>
      </w:r>
      <w:r w:rsidRPr="16CE8CA5">
        <w:rPr>
          <w:rFonts w:ascii="Times New Roman" w:eastAsia="Times New Roman" w:hAnsi="Times New Roman" w:cs="Times New Roman"/>
          <w:i/>
          <w:iCs/>
          <w:color w:val="0A0A0A"/>
          <w:sz w:val="24"/>
          <w:szCs w:val="24"/>
        </w:rPr>
        <w:t>Antigone</w:t>
      </w:r>
      <w:r w:rsidRPr="16CE8CA5">
        <w:rPr>
          <w:rFonts w:ascii="Times New Roman" w:eastAsia="Times New Roman" w:hAnsi="Times New Roman" w:cs="Times New Roman"/>
          <w:color w:val="0A0A0A"/>
          <w:sz w:val="24"/>
          <w:szCs w:val="24"/>
        </w:rPr>
        <w:t xml:space="preserve">. R. </w:t>
      </w:r>
      <w:proofErr w:type="spellStart"/>
      <w:r w:rsidRPr="16CE8CA5">
        <w:rPr>
          <w:rFonts w:ascii="Times New Roman" w:eastAsia="Times New Roman" w:hAnsi="Times New Roman" w:cs="Times New Roman"/>
          <w:color w:val="0A0A0A"/>
          <w:sz w:val="24"/>
          <w:szCs w:val="24"/>
        </w:rPr>
        <w:t>Fagles</w:t>
      </w:r>
      <w:proofErr w:type="spellEnd"/>
      <w:r w:rsidRPr="16CE8CA5">
        <w:rPr>
          <w:rFonts w:ascii="Times New Roman" w:eastAsia="Times New Roman" w:hAnsi="Times New Roman" w:cs="Times New Roman"/>
          <w:color w:val="0A0A0A"/>
          <w:sz w:val="24"/>
          <w:szCs w:val="24"/>
        </w:rPr>
        <w:t xml:space="preserve"> (trans.). 1982. New York: Penguin</w:t>
      </w:r>
      <w:r>
        <w:br/>
      </w:r>
      <w:r w:rsidRPr="16CE8CA5">
        <w:rPr>
          <w:rFonts w:ascii="Times New Roman" w:eastAsia="Times New Roman" w:hAnsi="Times New Roman" w:cs="Times New Roman"/>
          <w:sz w:val="24"/>
          <w:szCs w:val="24"/>
        </w:rPr>
        <w:t xml:space="preserve">Xenophon, </w:t>
      </w:r>
      <w:r w:rsidRPr="16CE8CA5">
        <w:rPr>
          <w:rFonts w:ascii="Times New Roman" w:eastAsia="Times New Roman" w:hAnsi="Times New Roman" w:cs="Times New Roman"/>
          <w:i/>
          <w:iCs/>
          <w:sz w:val="24"/>
          <w:szCs w:val="24"/>
        </w:rPr>
        <w:t xml:space="preserve">Constitution of the Lacedaemonians. </w:t>
      </w:r>
      <w:r w:rsidRPr="16CE8CA5">
        <w:rPr>
          <w:rFonts w:ascii="Times New Roman" w:eastAsia="Times New Roman" w:hAnsi="Times New Roman" w:cs="Times New Roman"/>
          <w:sz w:val="24"/>
          <w:szCs w:val="24"/>
        </w:rPr>
        <w:t xml:space="preserve">G. W. </w:t>
      </w:r>
      <w:proofErr w:type="spellStart"/>
      <w:r w:rsidRPr="16CE8CA5">
        <w:rPr>
          <w:rFonts w:ascii="Times New Roman" w:eastAsia="Times New Roman" w:hAnsi="Times New Roman" w:cs="Times New Roman"/>
          <w:sz w:val="24"/>
          <w:szCs w:val="24"/>
        </w:rPr>
        <w:t>Bowersock</w:t>
      </w:r>
      <w:proofErr w:type="spellEnd"/>
      <w:r w:rsidRPr="16CE8CA5">
        <w:rPr>
          <w:rFonts w:ascii="Times New Roman" w:eastAsia="Times New Roman" w:hAnsi="Times New Roman" w:cs="Times New Roman"/>
          <w:sz w:val="24"/>
          <w:szCs w:val="24"/>
        </w:rPr>
        <w:t xml:space="preserve"> and</w:t>
      </w:r>
      <w:r w:rsidRPr="16CE8CA5">
        <w:rPr>
          <w:rFonts w:ascii="Times New Roman" w:eastAsia="Times New Roman" w:hAnsi="Times New Roman" w:cs="Times New Roman"/>
          <w:i/>
          <w:iCs/>
          <w:sz w:val="24"/>
          <w:szCs w:val="24"/>
        </w:rPr>
        <w:t xml:space="preserve"> </w:t>
      </w:r>
      <w:r w:rsidRPr="16CE8CA5">
        <w:rPr>
          <w:rFonts w:ascii="Times New Roman" w:eastAsia="Times New Roman" w:hAnsi="Times New Roman" w:cs="Times New Roman"/>
          <w:sz w:val="24"/>
          <w:szCs w:val="24"/>
        </w:rPr>
        <w:t>E. C. Marchant (trans.). 1925. Loeb.</w:t>
      </w:r>
    </w:p>
    <w:p w14:paraId="14EBF774" w14:textId="7200752F" w:rsidR="00217742" w:rsidRDefault="00217742" w:rsidP="00217742">
      <w:pPr>
        <w:spacing w:line="480" w:lineRule="auto"/>
        <w:rPr>
          <w:rFonts w:ascii="Times New Roman" w:eastAsia="Times New Roman" w:hAnsi="Times New Roman" w:cs="Times New Roman"/>
          <w:sz w:val="24"/>
          <w:szCs w:val="24"/>
        </w:rPr>
      </w:pPr>
    </w:p>
    <w:p w14:paraId="169C7666" w14:textId="0B76F74E" w:rsidR="00217742" w:rsidRDefault="00217742" w:rsidP="00217742">
      <w:pPr>
        <w:spacing w:line="480" w:lineRule="auto"/>
        <w:rPr>
          <w:rFonts w:ascii="Times New Roman" w:eastAsia="Times New Roman" w:hAnsi="Times New Roman" w:cs="Times New Roman"/>
          <w:sz w:val="24"/>
          <w:szCs w:val="24"/>
        </w:rPr>
      </w:pPr>
    </w:p>
    <w:p w14:paraId="6DFA336A" w14:textId="32935FAC" w:rsidR="00217742" w:rsidRDefault="00217742" w:rsidP="00217742">
      <w:pPr>
        <w:spacing w:line="480" w:lineRule="auto"/>
        <w:rPr>
          <w:rFonts w:ascii="Times New Roman" w:eastAsia="Times New Roman" w:hAnsi="Times New Roman" w:cs="Times New Roman"/>
          <w:sz w:val="24"/>
          <w:szCs w:val="24"/>
        </w:rPr>
      </w:pPr>
    </w:p>
    <w:p w14:paraId="5ACA0E31" w14:textId="148F5D4C" w:rsidR="00217742" w:rsidRDefault="00217742" w:rsidP="00217742">
      <w:pPr>
        <w:spacing w:line="480" w:lineRule="auto"/>
        <w:rPr>
          <w:rFonts w:ascii="Times New Roman" w:eastAsia="Times New Roman" w:hAnsi="Times New Roman" w:cs="Times New Roman"/>
          <w:sz w:val="24"/>
          <w:szCs w:val="24"/>
        </w:rPr>
      </w:pPr>
    </w:p>
    <w:p w14:paraId="5AFAEAE0" w14:textId="77777777" w:rsidR="00217742" w:rsidRDefault="00217742" w:rsidP="00217742">
      <w:pPr>
        <w:spacing w:line="480" w:lineRule="auto"/>
        <w:rPr>
          <w:rFonts w:ascii="Times New Roman" w:eastAsia="Times New Roman" w:hAnsi="Times New Roman" w:cs="Times New Roman"/>
          <w:sz w:val="24"/>
          <w:szCs w:val="24"/>
        </w:rPr>
      </w:pPr>
    </w:p>
    <w:p w14:paraId="3B80E9CB" w14:textId="77777777" w:rsidR="00217742" w:rsidRPr="00217742" w:rsidRDefault="00217742" w:rsidP="00217742">
      <w:pPr>
        <w:pStyle w:val="Heading1"/>
        <w:spacing w:line="480" w:lineRule="auto"/>
        <w:rPr>
          <w:rFonts w:ascii="Times New Roman" w:eastAsia="Times New Roman" w:hAnsi="Times New Roman" w:cs="Times New Roman"/>
          <w:color w:val="auto"/>
          <w:sz w:val="24"/>
          <w:szCs w:val="24"/>
        </w:rPr>
      </w:pPr>
      <w:bookmarkStart w:id="9" w:name="_Toc7809475"/>
      <w:r w:rsidRPr="00217742">
        <w:rPr>
          <w:rFonts w:ascii="Times New Roman" w:eastAsia="Times New Roman" w:hAnsi="Times New Roman" w:cs="Times New Roman"/>
          <w:color w:val="auto"/>
          <w:sz w:val="24"/>
          <w:szCs w:val="24"/>
        </w:rPr>
        <w:lastRenderedPageBreak/>
        <w:t>Modern Sources:</w:t>
      </w:r>
      <w:bookmarkEnd w:id="9"/>
    </w:p>
    <w:p w14:paraId="69B6DBFF" w14:textId="5B95E39E" w:rsidR="55461449" w:rsidRDefault="00217742" w:rsidP="00217742">
      <w:pPr>
        <w:spacing w:line="480" w:lineRule="auto"/>
        <w:rPr>
          <w:rFonts w:ascii="Times New Roman" w:eastAsia="Times New Roman" w:hAnsi="Times New Roman" w:cs="Times New Roman"/>
          <w:sz w:val="24"/>
          <w:szCs w:val="24"/>
        </w:rPr>
      </w:pPr>
      <w:r w:rsidRPr="16CE8CA5">
        <w:rPr>
          <w:rFonts w:ascii="Times New Roman" w:eastAsia="Times New Roman" w:hAnsi="Times New Roman" w:cs="Times New Roman"/>
          <w:sz w:val="24"/>
          <w:szCs w:val="24"/>
        </w:rPr>
        <w:t xml:space="preserve">Allan, W. (2000) </w:t>
      </w:r>
      <w:r w:rsidRPr="16CE8CA5">
        <w:rPr>
          <w:rFonts w:ascii="Times New Roman" w:eastAsia="Times New Roman" w:hAnsi="Times New Roman" w:cs="Times New Roman"/>
          <w:i/>
          <w:iCs/>
          <w:sz w:val="24"/>
          <w:szCs w:val="24"/>
        </w:rPr>
        <w:t xml:space="preserve">The Andromache and </w:t>
      </w:r>
      <w:proofErr w:type="spellStart"/>
      <w:r w:rsidRPr="16CE8CA5">
        <w:rPr>
          <w:rFonts w:ascii="Times New Roman" w:eastAsia="Times New Roman" w:hAnsi="Times New Roman" w:cs="Times New Roman"/>
          <w:i/>
          <w:iCs/>
          <w:sz w:val="24"/>
          <w:szCs w:val="24"/>
        </w:rPr>
        <w:t>Euripidean</w:t>
      </w:r>
      <w:proofErr w:type="spellEnd"/>
      <w:r w:rsidRPr="16CE8CA5">
        <w:rPr>
          <w:rFonts w:ascii="Times New Roman" w:eastAsia="Times New Roman" w:hAnsi="Times New Roman" w:cs="Times New Roman"/>
          <w:i/>
          <w:iCs/>
          <w:sz w:val="24"/>
          <w:szCs w:val="24"/>
        </w:rPr>
        <w:t xml:space="preserve"> Tragedy.</w:t>
      </w:r>
      <w:r w:rsidRPr="16CE8CA5">
        <w:rPr>
          <w:rFonts w:ascii="Times New Roman" w:eastAsia="Times New Roman" w:hAnsi="Times New Roman" w:cs="Times New Roman"/>
          <w:sz w:val="24"/>
          <w:szCs w:val="24"/>
        </w:rPr>
        <w:t xml:space="preserve"> Oxford: Oxford University Press</w:t>
      </w:r>
      <w:r>
        <w:br/>
      </w:r>
      <w:r w:rsidRPr="16CE8CA5">
        <w:rPr>
          <w:rFonts w:ascii="Times New Roman" w:eastAsia="Times New Roman" w:hAnsi="Times New Roman" w:cs="Times New Roman"/>
          <w:sz w:val="24"/>
          <w:szCs w:val="24"/>
        </w:rPr>
        <w:t xml:space="preserve">Blondell. R. (2013) </w:t>
      </w:r>
      <w:r w:rsidRPr="16CE8CA5">
        <w:rPr>
          <w:rFonts w:ascii="Times New Roman" w:eastAsia="Times New Roman" w:hAnsi="Times New Roman" w:cs="Times New Roman"/>
          <w:i/>
          <w:iCs/>
          <w:sz w:val="24"/>
          <w:szCs w:val="24"/>
        </w:rPr>
        <w:t>Helen of Troy: Beauty, Myth, Devastation</w:t>
      </w:r>
      <w:r w:rsidRPr="16CE8CA5">
        <w:rPr>
          <w:rFonts w:ascii="Times New Roman" w:eastAsia="Times New Roman" w:hAnsi="Times New Roman" w:cs="Times New Roman"/>
          <w:sz w:val="24"/>
          <w:szCs w:val="24"/>
        </w:rPr>
        <w:t>. Oxford: Oxford University Press</w:t>
      </w:r>
      <w:r>
        <w:br/>
      </w:r>
      <w:r w:rsidRPr="16CE8CA5">
        <w:rPr>
          <w:rFonts w:ascii="Times New Roman" w:eastAsia="Times New Roman" w:hAnsi="Times New Roman" w:cs="Times New Roman"/>
          <w:sz w:val="24"/>
          <w:szCs w:val="24"/>
        </w:rPr>
        <w:t xml:space="preserve">Butler, J. (1990) </w:t>
      </w:r>
      <w:r w:rsidRPr="16CE8CA5">
        <w:rPr>
          <w:rFonts w:ascii="Times New Roman" w:eastAsia="Times New Roman" w:hAnsi="Times New Roman" w:cs="Times New Roman"/>
          <w:i/>
          <w:iCs/>
          <w:sz w:val="24"/>
          <w:szCs w:val="24"/>
        </w:rPr>
        <w:t xml:space="preserve">Gender Trouble. </w:t>
      </w:r>
      <w:r w:rsidRPr="16CE8CA5">
        <w:rPr>
          <w:rFonts w:ascii="Times New Roman" w:eastAsia="Times New Roman" w:hAnsi="Times New Roman" w:cs="Times New Roman"/>
          <w:sz w:val="24"/>
          <w:szCs w:val="24"/>
        </w:rPr>
        <w:t>New York: Routledge</w:t>
      </w:r>
      <w:r>
        <w:br/>
      </w:r>
      <w:r w:rsidRPr="16CE8CA5">
        <w:rPr>
          <w:rFonts w:ascii="Times New Roman" w:eastAsia="Times New Roman" w:hAnsi="Times New Roman" w:cs="Times New Roman"/>
          <w:sz w:val="24"/>
          <w:szCs w:val="24"/>
        </w:rPr>
        <w:t xml:space="preserve">Cairns, D. L. (1993) </w:t>
      </w:r>
      <w:proofErr w:type="spellStart"/>
      <w:r w:rsidRPr="16CE8CA5">
        <w:rPr>
          <w:rFonts w:ascii="Times New Roman" w:eastAsia="Times New Roman" w:hAnsi="Times New Roman" w:cs="Times New Roman"/>
          <w:i/>
          <w:iCs/>
          <w:sz w:val="24"/>
          <w:szCs w:val="24"/>
        </w:rPr>
        <w:t>Aidōs</w:t>
      </w:r>
      <w:proofErr w:type="spellEnd"/>
      <w:r w:rsidRPr="16CE8CA5">
        <w:rPr>
          <w:rFonts w:ascii="Times New Roman" w:eastAsia="Times New Roman" w:hAnsi="Times New Roman" w:cs="Times New Roman"/>
          <w:i/>
          <w:iCs/>
          <w:sz w:val="24"/>
          <w:szCs w:val="24"/>
        </w:rPr>
        <w:t xml:space="preserve">. </w:t>
      </w:r>
      <w:r w:rsidRPr="16CE8CA5">
        <w:rPr>
          <w:rFonts w:ascii="Times New Roman" w:eastAsia="Times New Roman" w:hAnsi="Times New Roman" w:cs="Times New Roman"/>
          <w:sz w:val="24"/>
          <w:szCs w:val="24"/>
        </w:rPr>
        <w:t>Oxford: Clarendon Press</w:t>
      </w:r>
      <w:r>
        <w:br/>
      </w:r>
      <w:r w:rsidRPr="16CE8CA5">
        <w:rPr>
          <w:rFonts w:ascii="Times New Roman" w:eastAsia="Times New Roman" w:hAnsi="Times New Roman" w:cs="Times New Roman"/>
          <w:sz w:val="24"/>
          <w:szCs w:val="24"/>
        </w:rPr>
        <w:t>Chong-</w:t>
      </w:r>
      <w:proofErr w:type="spellStart"/>
      <w:r w:rsidRPr="16CE8CA5">
        <w:rPr>
          <w:rFonts w:ascii="Times New Roman" w:eastAsia="Times New Roman" w:hAnsi="Times New Roman" w:cs="Times New Roman"/>
          <w:sz w:val="24"/>
          <w:szCs w:val="24"/>
        </w:rPr>
        <w:t>Gossard</w:t>
      </w:r>
      <w:proofErr w:type="spellEnd"/>
      <w:r w:rsidRPr="16CE8CA5">
        <w:rPr>
          <w:rFonts w:ascii="Times New Roman" w:eastAsia="Times New Roman" w:hAnsi="Times New Roman" w:cs="Times New Roman"/>
          <w:sz w:val="24"/>
          <w:szCs w:val="24"/>
        </w:rPr>
        <w:t xml:space="preserve">, J.H.K.O. (2008) </w:t>
      </w:r>
      <w:r w:rsidRPr="16CE8CA5">
        <w:rPr>
          <w:rFonts w:ascii="Times New Roman" w:eastAsia="Times New Roman" w:hAnsi="Times New Roman" w:cs="Times New Roman"/>
          <w:i/>
          <w:iCs/>
          <w:sz w:val="24"/>
          <w:szCs w:val="24"/>
        </w:rPr>
        <w:t xml:space="preserve">Gender and Communication in </w:t>
      </w:r>
      <w:proofErr w:type="spellStart"/>
      <w:r w:rsidRPr="16CE8CA5">
        <w:rPr>
          <w:rFonts w:ascii="Times New Roman" w:eastAsia="Times New Roman" w:hAnsi="Times New Roman" w:cs="Times New Roman"/>
          <w:i/>
          <w:iCs/>
          <w:sz w:val="24"/>
          <w:szCs w:val="24"/>
        </w:rPr>
        <w:t>Eurpides</w:t>
      </w:r>
      <w:proofErr w:type="spellEnd"/>
      <w:r w:rsidRPr="16CE8CA5">
        <w:rPr>
          <w:rFonts w:ascii="Times New Roman" w:eastAsia="Times New Roman" w:hAnsi="Times New Roman" w:cs="Times New Roman"/>
          <w:i/>
          <w:iCs/>
          <w:sz w:val="24"/>
          <w:szCs w:val="24"/>
        </w:rPr>
        <w:t xml:space="preserve">’ Plays between Song and Silence. </w:t>
      </w:r>
      <w:r w:rsidRPr="16CE8CA5">
        <w:rPr>
          <w:rFonts w:ascii="Times New Roman" w:eastAsia="Times New Roman" w:hAnsi="Times New Roman" w:cs="Times New Roman"/>
          <w:sz w:val="24"/>
          <w:szCs w:val="24"/>
        </w:rPr>
        <w:t>Leiden: Brill</w:t>
      </w:r>
      <w:r>
        <w:br/>
      </w:r>
      <w:proofErr w:type="spellStart"/>
      <w:r w:rsidRPr="16CE8CA5">
        <w:rPr>
          <w:rFonts w:ascii="Times New Roman" w:eastAsia="Times New Roman" w:hAnsi="Times New Roman" w:cs="Times New Roman"/>
          <w:sz w:val="24"/>
          <w:szCs w:val="24"/>
        </w:rPr>
        <w:t>Erbse</w:t>
      </w:r>
      <w:proofErr w:type="spellEnd"/>
      <w:r w:rsidRPr="16CE8CA5">
        <w:rPr>
          <w:rFonts w:ascii="Times New Roman" w:eastAsia="Times New Roman" w:hAnsi="Times New Roman" w:cs="Times New Roman"/>
          <w:sz w:val="24"/>
          <w:szCs w:val="24"/>
        </w:rPr>
        <w:t xml:space="preserve">, H. (1966) ‘Euripides' 'Andromache'’, </w:t>
      </w:r>
      <w:r w:rsidRPr="16CE8CA5">
        <w:rPr>
          <w:rFonts w:ascii="Times New Roman" w:eastAsia="Times New Roman" w:hAnsi="Times New Roman" w:cs="Times New Roman"/>
          <w:i/>
          <w:iCs/>
          <w:sz w:val="24"/>
          <w:szCs w:val="24"/>
        </w:rPr>
        <w:t>Hermes</w:t>
      </w:r>
      <w:r w:rsidRPr="16CE8CA5">
        <w:rPr>
          <w:rFonts w:ascii="Times New Roman" w:eastAsia="Times New Roman" w:hAnsi="Times New Roman" w:cs="Times New Roman"/>
          <w:sz w:val="24"/>
          <w:szCs w:val="24"/>
        </w:rPr>
        <w:t>, vol. 94, no. 3, pp. 276–297</w:t>
      </w:r>
      <w:r>
        <w:br/>
      </w:r>
      <w:r w:rsidRPr="16CE8CA5">
        <w:rPr>
          <w:rFonts w:ascii="Times New Roman" w:eastAsia="Times New Roman" w:hAnsi="Times New Roman" w:cs="Times New Roman"/>
          <w:sz w:val="24"/>
          <w:szCs w:val="24"/>
        </w:rPr>
        <w:t>Fishman, A. (2008) ‘</w:t>
      </w:r>
      <w:proofErr w:type="spellStart"/>
      <w:r w:rsidRPr="16CE8CA5">
        <w:rPr>
          <w:rFonts w:ascii="Times New Roman" w:eastAsia="Times New Roman" w:hAnsi="Times New Roman" w:cs="Times New Roman"/>
          <w:sz w:val="24"/>
          <w:szCs w:val="24"/>
        </w:rPr>
        <w:t>Thrénoi</w:t>
      </w:r>
      <w:proofErr w:type="spellEnd"/>
      <w:r w:rsidRPr="16CE8CA5">
        <w:rPr>
          <w:rFonts w:ascii="Times New Roman" w:eastAsia="Times New Roman" w:hAnsi="Times New Roman" w:cs="Times New Roman"/>
          <w:sz w:val="24"/>
          <w:szCs w:val="24"/>
        </w:rPr>
        <w:t xml:space="preserve"> to </w:t>
      </w:r>
      <w:proofErr w:type="spellStart"/>
      <w:r w:rsidRPr="16CE8CA5">
        <w:rPr>
          <w:rFonts w:ascii="Times New Roman" w:eastAsia="Times New Roman" w:hAnsi="Times New Roman" w:cs="Times New Roman"/>
          <w:sz w:val="24"/>
          <w:szCs w:val="24"/>
        </w:rPr>
        <w:t>Moirológia</w:t>
      </w:r>
      <w:proofErr w:type="spellEnd"/>
      <w:r w:rsidRPr="16CE8CA5">
        <w:rPr>
          <w:rFonts w:ascii="Times New Roman" w:eastAsia="Times New Roman" w:hAnsi="Times New Roman" w:cs="Times New Roman"/>
          <w:sz w:val="24"/>
          <w:szCs w:val="24"/>
        </w:rPr>
        <w:t xml:space="preserve">: Female Voices of Solitude, Resistance, and Solidarity’, </w:t>
      </w:r>
      <w:r w:rsidRPr="16CE8CA5">
        <w:rPr>
          <w:rFonts w:ascii="Times New Roman" w:eastAsia="Times New Roman" w:hAnsi="Times New Roman" w:cs="Times New Roman"/>
          <w:i/>
          <w:iCs/>
          <w:sz w:val="24"/>
          <w:szCs w:val="24"/>
        </w:rPr>
        <w:t>Oral Tradition,</w:t>
      </w:r>
      <w:r w:rsidRPr="16CE8CA5">
        <w:rPr>
          <w:rFonts w:ascii="Times New Roman" w:eastAsia="Times New Roman" w:hAnsi="Times New Roman" w:cs="Times New Roman"/>
          <w:sz w:val="24"/>
          <w:szCs w:val="24"/>
        </w:rPr>
        <w:t xml:space="preserve"> 23/2, pp. 267-295</w:t>
      </w:r>
      <w:r>
        <w:br/>
      </w:r>
      <w:r w:rsidRPr="16CE8CA5">
        <w:rPr>
          <w:rFonts w:ascii="Times New Roman" w:eastAsia="Times New Roman" w:hAnsi="Times New Roman" w:cs="Times New Roman"/>
          <w:sz w:val="24"/>
          <w:szCs w:val="24"/>
        </w:rPr>
        <w:t xml:space="preserve">Fletcher, J. (2003) “Women and Oaths in Euripides”, </w:t>
      </w:r>
      <w:r w:rsidRPr="16CE8CA5">
        <w:rPr>
          <w:rFonts w:ascii="Times New Roman" w:eastAsia="Times New Roman" w:hAnsi="Times New Roman" w:cs="Times New Roman"/>
          <w:i/>
          <w:iCs/>
          <w:sz w:val="24"/>
          <w:szCs w:val="24"/>
        </w:rPr>
        <w:t xml:space="preserve">Theatre Journal, </w:t>
      </w:r>
      <w:r w:rsidRPr="16CE8CA5">
        <w:rPr>
          <w:rFonts w:ascii="Times New Roman" w:eastAsia="Times New Roman" w:hAnsi="Times New Roman" w:cs="Times New Roman"/>
          <w:sz w:val="24"/>
          <w:szCs w:val="24"/>
        </w:rPr>
        <w:t xml:space="preserve">55, pp. 29-44  </w:t>
      </w:r>
      <w:r w:rsidRPr="16CE8CA5">
        <w:rPr>
          <w:rFonts w:ascii="Times New Roman" w:eastAsia="Times New Roman" w:hAnsi="Times New Roman" w:cs="Times New Roman"/>
          <w:i/>
          <w:iCs/>
          <w:sz w:val="24"/>
          <w:szCs w:val="24"/>
        </w:rPr>
        <w:t xml:space="preserve"> </w:t>
      </w:r>
      <w:r>
        <w:br/>
      </w:r>
      <w:r w:rsidRPr="16CE8CA5">
        <w:rPr>
          <w:rFonts w:ascii="Times New Roman" w:eastAsia="Times New Roman" w:hAnsi="Times New Roman" w:cs="Times New Roman"/>
          <w:sz w:val="24"/>
          <w:szCs w:val="24"/>
        </w:rPr>
        <w:t xml:space="preserve">Grube, G. M. A. (1941) </w:t>
      </w:r>
      <w:r w:rsidRPr="16CE8CA5">
        <w:rPr>
          <w:rFonts w:ascii="Times New Roman" w:eastAsia="Times New Roman" w:hAnsi="Times New Roman" w:cs="Times New Roman"/>
          <w:i/>
          <w:iCs/>
          <w:sz w:val="24"/>
          <w:szCs w:val="24"/>
        </w:rPr>
        <w:t xml:space="preserve">The Drama of Euripides. </w:t>
      </w:r>
      <w:r w:rsidRPr="16CE8CA5">
        <w:rPr>
          <w:rFonts w:ascii="Times New Roman" w:eastAsia="Times New Roman" w:hAnsi="Times New Roman" w:cs="Times New Roman"/>
          <w:sz w:val="24"/>
          <w:szCs w:val="24"/>
        </w:rPr>
        <w:t>London: Methuen &amp; Co.</w:t>
      </w:r>
      <w:r>
        <w:br/>
      </w:r>
      <w:proofErr w:type="spellStart"/>
      <w:r w:rsidRPr="16CE8CA5">
        <w:rPr>
          <w:rFonts w:ascii="Times New Roman" w:eastAsia="Times New Roman" w:hAnsi="Times New Roman" w:cs="Times New Roman"/>
          <w:sz w:val="24"/>
          <w:szCs w:val="24"/>
        </w:rPr>
        <w:t>Halleran</w:t>
      </w:r>
      <w:proofErr w:type="spellEnd"/>
      <w:r w:rsidRPr="16CE8CA5">
        <w:rPr>
          <w:rFonts w:ascii="Times New Roman" w:eastAsia="Times New Roman" w:hAnsi="Times New Roman" w:cs="Times New Roman"/>
          <w:sz w:val="24"/>
          <w:szCs w:val="24"/>
        </w:rPr>
        <w:t xml:space="preserve">, M. R. (1985) </w:t>
      </w:r>
      <w:r w:rsidRPr="16CE8CA5">
        <w:rPr>
          <w:rFonts w:ascii="Times New Roman" w:eastAsia="Times New Roman" w:hAnsi="Times New Roman" w:cs="Times New Roman"/>
          <w:i/>
          <w:iCs/>
          <w:sz w:val="24"/>
          <w:szCs w:val="24"/>
        </w:rPr>
        <w:t xml:space="preserve">Stagecraft in Euripides. </w:t>
      </w:r>
      <w:r w:rsidRPr="16CE8CA5">
        <w:rPr>
          <w:rFonts w:ascii="Times New Roman" w:eastAsia="Times New Roman" w:hAnsi="Times New Roman" w:cs="Times New Roman"/>
          <w:sz w:val="24"/>
          <w:szCs w:val="24"/>
        </w:rPr>
        <w:t>London: Croom Helm</w:t>
      </w:r>
      <w:r>
        <w:br/>
      </w:r>
      <w:r w:rsidRPr="16CE8CA5">
        <w:rPr>
          <w:rFonts w:ascii="Times New Roman" w:eastAsia="Times New Roman" w:hAnsi="Times New Roman" w:cs="Times New Roman"/>
          <w:sz w:val="24"/>
          <w:szCs w:val="24"/>
        </w:rPr>
        <w:t xml:space="preserve">Harrison, A. R. W. (1968) </w:t>
      </w:r>
      <w:r w:rsidRPr="16CE8CA5">
        <w:rPr>
          <w:rFonts w:ascii="Times New Roman" w:eastAsia="Times New Roman" w:hAnsi="Times New Roman" w:cs="Times New Roman"/>
          <w:i/>
          <w:iCs/>
          <w:sz w:val="24"/>
          <w:szCs w:val="24"/>
        </w:rPr>
        <w:t xml:space="preserve">The Law of Athens: The Family and Property. </w:t>
      </w:r>
      <w:r w:rsidRPr="16CE8CA5">
        <w:rPr>
          <w:rFonts w:ascii="Times New Roman" w:eastAsia="Times New Roman" w:hAnsi="Times New Roman" w:cs="Times New Roman"/>
          <w:sz w:val="24"/>
          <w:szCs w:val="24"/>
        </w:rPr>
        <w:t>Oxford: Oxford University Press</w:t>
      </w:r>
      <w:r>
        <w:br/>
      </w:r>
      <w:r w:rsidRPr="16CE8CA5">
        <w:rPr>
          <w:rFonts w:ascii="Times New Roman" w:eastAsia="Times New Roman" w:hAnsi="Times New Roman" w:cs="Times New Roman"/>
          <w:sz w:val="24"/>
          <w:szCs w:val="24"/>
        </w:rPr>
        <w:t xml:space="preserve">Jones, P. (1991) ‘Introduction’, in Homer, </w:t>
      </w:r>
      <w:r w:rsidRPr="16CE8CA5">
        <w:rPr>
          <w:rFonts w:ascii="Times New Roman" w:eastAsia="Times New Roman" w:hAnsi="Times New Roman" w:cs="Times New Roman"/>
          <w:i/>
          <w:iCs/>
          <w:sz w:val="24"/>
          <w:szCs w:val="24"/>
        </w:rPr>
        <w:t xml:space="preserve">The Odyssey. </w:t>
      </w:r>
      <w:r w:rsidRPr="16CE8CA5">
        <w:rPr>
          <w:rFonts w:ascii="Times New Roman" w:eastAsia="Times New Roman" w:hAnsi="Times New Roman" w:cs="Times New Roman"/>
          <w:sz w:val="24"/>
          <w:szCs w:val="24"/>
        </w:rPr>
        <w:t xml:space="preserve">E. V. </w:t>
      </w:r>
      <w:proofErr w:type="spellStart"/>
      <w:r w:rsidRPr="16CE8CA5">
        <w:rPr>
          <w:rFonts w:ascii="Times New Roman" w:eastAsia="Times New Roman" w:hAnsi="Times New Roman" w:cs="Times New Roman"/>
          <w:sz w:val="24"/>
          <w:szCs w:val="24"/>
        </w:rPr>
        <w:t>Rieu</w:t>
      </w:r>
      <w:proofErr w:type="spellEnd"/>
      <w:r w:rsidRPr="16CE8CA5">
        <w:rPr>
          <w:rFonts w:ascii="Times New Roman" w:eastAsia="Times New Roman" w:hAnsi="Times New Roman" w:cs="Times New Roman"/>
          <w:sz w:val="24"/>
          <w:szCs w:val="24"/>
        </w:rPr>
        <w:t xml:space="preserve"> (trans.). London: Penguin</w:t>
      </w:r>
      <w:r>
        <w:br/>
      </w:r>
      <w:proofErr w:type="spellStart"/>
      <w:r w:rsidRPr="16CE8CA5">
        <w:rPr>
          <w:rFonts w:ascii="Times New Roman" w:eastAsia="Times New Roman" w:hAnsi="Times New Roman" w:cs="Times New Roman"/>
          <w:sz w:val="24"/>
          <w:szCs w:val="24"/>
        </w:rPr>
        <w:t>Kamerbeek</w:t>
      </w:r>
      <w:proofErr w:type="spellEnd"/>
      <w:r w:rsidRPr="16CE8CA5">
        <w:rPr>
          <w:rFonts w:ascii="Times New Roman" w:eastAsia="Times New Roman" w:hAnsi="Times New Roman" w:cs="Times New Roman"/>
          <w:sz w:val="24"/>
          <w:szCs w:val="24"/>
        </w:rPr>
        <w:t>, J. C. (1943) ‘</w:t>
      </w:r>
      <w:proofErr w:type="spellStart"/>
      <w:r w:rsidRPr="16CE8CA5">
        <w:rPr>
          <w:rFonts w:ascii="Times New Roman" w:eastAsia="Times New Roman" w:hAnsi="Times New Roman" w:cs="Times New Roman"/>
          <w:sz w:val="24"/>
          <w:szCs w:val="24"/>
        </w:rPr>
        <w:t>L'Andromaque</w:t>
      </w:r>
      <w:proofErr w:type="spellEnd"/>
      <w:r w:rsidRPr="16CE8CA5">
        <w:rPr>
          <w:rFonts w:ascii="Times New Roman" w:eastAsia="Times New Roman" w:hAnsi="Times New Roman" w:cs="Times New Roman"/>
          <w:sz w:val="24"/>
          <w:szCs w:val="24"/>
        </w:rPr>
        <w:t xml:space="preserve"> </w:t>
      </w:r>
      <w:proofErr w:type="spellStart"/>
      <w:r w:rsidRPr="16CE8CA5">
        <w:rPr>
          <w:rFonts w:ascii="Times New Roman" w:eastAsia="Times New Roman" w:hAnsi="Times New Roman" w:cs="Times New Roman"/>
          <w:sz w:val="24"/>
          <w:szCs w:val="24"/>
        </w:rPr>
        <w:t>D'Euripide</w:t>
      </w:r>
      <w:proofErr w:type="spellEnd"/>
      <w:r w:rsidRPr="16CE8CA5">
        <w:rPr>
          <w:rFonts w:ascii="Times New Roman" w:eastAsia="Times New Roman" w:hAnsi="Times New Roman" w:cs="Times New Roman"/>
          <w:sz w:val="24"/>
          <w:szCs w:val="24"/>
        </w:rPr>
        <w:t xml:space="preserve">’, </w:t>
      </w:r>
      <w:r w:rsidRPr="16CE8CA5">
        <w:rPr>
          <w:rFonts w:ascii="Times New Roman" w:eastAsia="Times New Roman" w:hAnsi="Times New Roman" w:cs="Times New Roman"/>
          <w:i/>
          <w:iCs/>
          <w:sz w:val="24"/>
          <w:szCs w:val="24"/>
        </w:rPr>
        <w:t>Mnemosyne</w:t>
      </w:r>
      <w:r w:rsidRPr="16CE8CA5">
        <w:rPr>
          <w:rFonts w:ascii="Times New Roman" w:eastAsia="Times New Roman" w:hAnsi="Times New Roman" w:cs="Times New Roman"/>
          <w:sz w:val="24"/>
          <w:szCs w:val="24"/>
        </w:rPr>
        <w:t>, vol. 11, pp. 47–67.</w:t>
      </w:r>
      <w:r>
        <w:br/>
      </w:r>
      <w:proofErr w:type="spellStart"/>
      <w:r w:rsidRPr="16CE8CA5">
        <w:rPr>
          <w:rFonts w:ascii="Times New Roman" w:eastAsia="Times New Roman" w:hAnsi="Times New Roman" w:cs="Times New Roman"/>
          <w:sz w:val="24"/>
          <w:szCs w:val="24"/>
        </w:rPr>
        <w:t>Kitto</w:t>
      </w:r>
      <w:proofErr w:type="spellEnd"/>
      <w:r w:rsidRPr="16CE8CA5">
        <w:rPr>
          <w:rFonts w:ascii="Times New Roman" w:eastAsia="Times New Roman" w:hAnsi="Times New Roman" w:cs="Times New Roman"/>
          <w:sz w:val="24"/>
          <w:szCs w:val="24"/>
        </w:rPr>
        <w:t xml:space="preserve">, H. D. F. (1939) </w:t>
      </w:r>
      <w:r w:rsidRPr="16CE8CA5">
        <w:rPr>
          <w:rFonts w:ascii="Times New Roman" w:eastAsia="Times New Roman" w:hAnsi="Times New Roman" w:cs="Times New Roman"/>
          <w:i/>
          <w:iCs/>
          <w:sz w:val="24"/>
          <w:szCs w:val="24"/>
        </w:rPr>
        <w:t xml:space="preserve">Greek Tragedy. </w:t>
      </w:r>
      <w:r w:rsidRPr="16CE8CA5">
        <w:rPr>
          <w:rFonts w:ascii="Times New Roman" w:eastAsia="Times New Roman" w:hAnsi="Times New Roman" w:cs="Times New Roman"/>
          <w:sz w:val="24"/>
          <w:szCs w:val="24"/>
        </w:rPr>
        <w:t>London: Methuen &amp; Co.</w:t>
      </w:r>
      <w:r>
        <w:br/>
      </w:r>
      <w:r w:rsidRPr="16CE8CA5">
        <w:rPr>
          <w:rFonts w:ascii="Times New Roman" w:eastAsia="Times New Roman" w:hAnsi="Times New Roman" w:cs="Times New Roman"/>
          <w:sz w:val="24"/>
          <w:szCs w:val="24"/>
        </w:rPr>
        <w:t xml:space="preserve">Lloyd, M. (1994) </w:t>
      </w:r>
      <w:r w:rsidRPr="16CE8CA5">
        <w:rPr>
          <w:rFonts w:ascii="Times New Roman" w:eastAsia="Times New Roman" w:hAnsi="Times New Roman" w:cs="Times New Roman"/>
          <w:i/>
          <w:iCs/>
          <w:sz w:val="24"/>
          <w:szCs w:val="24"/>
        </w:rPr>
        <w:t xml:space="preserve">Euripides Andromache. </w:t>
      </w:r>
      <w:r w:rsidRPr="16CE8CA5">
        <w:rPr>
          <w:rFonts w:ascii="Times New Roman" w:eastAsia="Times New Roman" w:hAnsi="Times New Roman" w:cs="Times New Roman"/>
          <w:sz w:val="24"/>
          <w:szCs w:val="24"/>
        </w:rPr>
        <w:t>Oxford: Oxford University Press</w:t>
      </w:r>
      <w:r>
        <w:br/>
      </w:r>
      <w:r w:rsidRPr="16CE8CA5">
        <w:rPr>
          <w:rFonts w:ascii="Times New Roman" w:eastAsia="Times New Roman" w:hAnsi="Times New Roman" w:cs="Times New Roman"/>
          <w:sz w:val="24"/>
          <w:szCs w:val="24"/>
        </w:rPr>
        <w:t xml:space="preserve">McClure, L. (1959) </w:t>
      </w:r>
      <w:r w:rsidRPr="16CE8CA5">
        <w:rPr>
          <w:rFonts w:ascii="Times New Roman" w:eastAsia="Times New Roman" w:hAnsi="Times New Roman" w:cs="Times New Roman"/>
          <w:i/>
          <w:iCs/>
          <w:sz w:val="24"/>
          <w:szCs w:val="24"/>
        </w:rPr>
        <w:t xml:space="preserve">Spoken Like A Women. </w:t>
      </w:r>
      <w:r w:rsidRPr="16CE8CA5">
        <w:rPr>
          <w:rFonts w:ascii="Times New Roman" w:eastAsia="Times New Roman" w:hAnsi="Times New Roman" w:cs="Times New Roman"/>
          <w:sz w:val="24"/>
          <w:szCs w:val="24"/>
        </w:rPr>
        <w:t>New Jersey: Princeton University Press</w:t>
      </w:r>
      <w:r>
        <w:br/>
      </w:r>
      <w:r w:rsidRPr="16CE8CA5">
        <w:rPr>
          <w:rFonts w:ascii="Times New Roman" w:eastAsia="Times New Roman" w:hAnsi="Times New Roman" w:cs="Times New Roman"/>
          <w:sz w:val="24"/>
          <w:szCs w:val="24"/>
        </w:rPr>
        <w:t xml:space="preserve">MacDowell, D. M. (1995) </w:t>
      </w:r>
      <w:r w:rsidRPr="16CE8CA5">
        <w:rPr>
          <w:rFonts w:ascii="Times New Roman" w:eastAsia="Times New Roman" w:hAnsi="Times New Roman" w:cs="Times New Roman"/>
          <w:i/>
          <w:iCs/>
          <w:sz w:val="24"/>
          <w:szCs w:val="24"/>
        </w:rPr>
        <w:t>Aristophanes and Athens: An Introduction to the Plays.</w:t>
      </w:r>
      <w:r w:rsidRPr="16CE8CA5">
        <w:rPr>
          <w:rFonts w:ascii="Times New Roman" w:eastAsia="Times New Roman" w:hAnsi="Times New Roman" w:cs="Times New Roman"/>
          <w:sz w:val="24"/>
          <w:szCs w:val="24"/>
        </w:rPr>
        <w:t xml:space="preserve"> Oxford: Oxford University Press</w:t>
      </w:r>
      <w:r>
        <w:br/>
      </w:r>
      <w:r w:rsidRPr="16CE8CA5">
        <w:rPr>
          <w:rFonts w:ascii="Times New Roman" w:eastAsia="Times New Roman" w:hAnsi="Times New Roman" w:cs="Times New Roman"/>
          <w:sz w:val="24"/>
          <w:szCs w:val="24"/>
        </w:rPr>
        <w:lastRenderedPageBreak/>
        <w:t xml:space="preserve">Osbourne, R. (1997) ‘Law, the Democratic Citizen and the Representation of Women in Classical Athens’, </w:t>
      </w:r>
      <w:r w:rsidRPr="16CE8CA5">
        <w:rPr>
          <w:rFonts w:ascii="Times New Roman" w:eastAsia="Times New Roman" w:hAnsi="Times New Roman" w:cs="Times New Roman"/>
          <w:i/>
          <w:iCs/>
          <w:sz w:val="24"/>
          <w:szCs w:val="24"/>
        </w:rPr>
        <w:t xml:space="preserve">Past &amp; Present, </w:t>
      </w:r>
      <w:r w:rsidRPr="16CE8CA5">
        <w:rPr>
          <w:rFonts w:ascii="Times New Roman" w:eastAsia="Times New Roman" w:hAnsi="Times New Roman" w:cs="Times New Roman"/>
          <w:sz w:val="24"/>
          <w:szCs w:val="24"/>
        </w:rPr>
        <w:t>No. 155, pp. 3-33</w:t>
      </w:r>
      <w:r>
        <w:br/>
      </w:r>
      <w:proofErr w:type="spellStart"/>
      <w:r w:rsidRPr="16CE8CA5">
        <w:rPr>
          <w:rFonts w:ascii="Times New Roman" w:eastAsia="Times New Roman" w:hAnsi="Times New Roman" w:cs="Times New Roman"/>
          <w:sz w:val="24"/>
          <w:szCs w:val="24"/>
        </w:rPr>
        <w:t>Papadimitropoulos</w:t>
      </w:r>
      <w:proofErr w:type="spellEnd"/>
      <w:r w:rsidRPr="16CE8CA5">
        <w:rPr>
          <w:rFonts w:ascii="Times New Roman" w:eastAsia="Times New Roman" w:hAnsi="Times New Roman" w:cs="Times New Roman"/>
          <w:sz w:val="24"/>
          <w:szCs w:val="24"/>
        </w:rPr>
        <w:t xml:space="preserve">, L. (2010) ‘Marriage and Strife in Euripides’ </w:t>
      </w:r>
      <w:proofErr w:type="spellStart"/>
      <w:r w:rsidRPr="16CE8CA5">
        <w:rPr>
          <w:rFonts w:ascii="Times New Roman" w:eastAsia="Times New Roman" w:hAnsi="Times New Roman" w:cs="Times New Roman"/>
          <w:sz w:val="24"/>
          <w:szCs w:val="24"/>
        </w:rPr>
        <w:t>Andomache</w:t>
      </w:r>
      <w:proofErr w:type="spellEnd"/>
      <w:r w:rsidRPr="16CE8CA5">
        <w:rPr>
          <w:rFonts w:ascii="Times New Roman" w:eastAsia="Times New Roman" w:hAnsi="Times New Roman" w:cs="Times New Roman"/>
          <w:sz w:val="24"/>
          <w:szCs w:val="24"/>
        </w:rPr>
        <w:t xml:space="preserve">’, </w:t>
      </w:r>
      <w:r w:rsidRPr="16CE8CA5">
        <w:rPr>
          <w:rFonts w:ascii="Times New Roman" w:eastAsia="Times New Roman" w:hAnsi="Times New Roman" w:cs="Times New Roman"/>
          <w:i/>
          <w:iCs/>
          <w:sz w:val="24"/>
          <w:szCs w:val="24"/>
        </w:rPr>
        <w:t>Greek, Roman and Byzantine Studies, V</w:t>
      </w:r>
      <w:r w:rsidRPr="16CE8CA5">
        <w:rPr>
          <w:rFonts w:ascii="Times New Roman" w:eastAsia="Times New Roman" w:hAnsi="Times New Roman" w:cs="Times New Roman"/>
          <w:sz w:val="24"/>
          <w:szCs w:val="24"/>
        </w:rPr>
        <w:t xml:space="preserve">ol. 46, pp. 147-158 </w:t>
      </w:r>
      <w:r>
        <w:br/>
      </w:r>
      <w:r w:rsidRPr="16CE8CA5">
        <w:rPr>
          <w:rFonts w:ascii="Times New Roman" w:eastAsia="Times New Roman" w:hAnsi="Times New Roman" w:cs="Times New Roman"/>
          <w:sz w:val="24"/>
          <w:szCs w:val="24"/>
        </w:rPr>
        <w:t xml:space="preserve">Pomeroy, S. B. (1975) </w:t>
      </w:r>
      <w:r w:rsidRPr="16CE8CA5">
        <w:rPr>
          <w:rFonts w:ascii="Times New Roman" w:eastAsia="Times New Roman" w:hAnsi="Times New Roman" w:cs="Times New Roman"/>
          <w:i/>
          <w:iCs/>
          <w:sz w:val="24"/>
          <w:szCs w:val="24"/>
        </w:rPr>
        <w:t xml:space="preserve">Goddesses, Whores, Wives and Slaves. </w:t>
      </w:r>
      <w:r w:rsidRPr="16CE8CA5">
        <w:rPr>
          <w:rFonts w:ascii="Times New Roman" w:eastAsia="Times New Roman" w:hAnsi="Times New Roman" w:cs="Times New Roman"/>
          <w:sz w:val="24"/>
          <w:szCs w:val="24"/>
        </w:rPr>
        <w:t xml:space="preserve">London: Penguin </w:t>
      </w:r>
      <w:r>
        <w:br/>
      </w:r>
      <w:r w:rsidRPr="16CE8CA5">
        <w:rPr>
          <w:rFonts w:ascii="Times New Roman" w:eastAsia="Times New Roman" w:hAnsi="Times New Roman" w:cs="Times New Roman"/>
          <w:sz w:val="24"/>
          <w:szCs w:val="24"/>
        </w:rPr>
        <w:t xml:space="preserve">Rabinowitz, N.S. (1993) </w:t>
      </w:r>
      <w:r w:rsidRPr="16CE8CA5">
        <w:rPr>
          <w:rFonts w:ascii="Times New Roman" w:eastAsia="Times New Roman" w:hAnsi="Times New Roman" w:cs="Times New Roman"/>
          <w:i/>
          <w:iCs/>
          <w:sz w:val="24"/>
          <w:szCs w:val="24"/>
        </w:rPr>
        <w:t xml:space="preserve">Anxiety Veiled: Euripides and Traffic in Women. </w:t>
      </w:r>
      <w:r w:rsidRPr="16CE8CA5">
        <w:rPr>
          <w:rFonts w:ascii="Times New Roman" w:eastAsia="Times New Roman" w:hAnsi="Times New Roman" w:cs="Times New Roman"/>
          <w:sz w:val="24"/>
          <w:szCs w:val="24"/>
        </w:rPr>
        <w:t>London: Cornell University Press</w:t>
      </w:r>
      <w:r>
        <w:br/>
      </w:r>
      <w:r w:rsidRPr="16CE8CA5">
        <w:rPr>
          <w:rFonts w:ascii="Times New Roman" w:eastAsia="Times New Roman" w:hAnsi="Times New Roman" w:cs="Times New Roman"/>
          <w:sz w:val="24"/>
          <w:szCs w:val="24"/>
        </w:rPr>
        <w:t xml:space="preserve">Rehm, R. (2005) ‘Female Solidarity: Timely Resistance in Greek Tragedy’, in Dillon, J and Wilmer, S. E. (ed.) </w:t>
      </w:r>
      <w:r w:rsidRPr="16CE8CA5">
        <w:rPr>
          <w:rFonts w:ascii="Times New Roman" w:eastAsia="Times New Roman" w:hAnsi="Times New Roman" w:cs="Times New Roman"/>
          <w:i/>
          <w:iCs/>
          <w:sz w:val="24"/>
          <w:szCs w:val="24"/>
        </w:rPr>
        <w:t>Rebel Women Staging Ancient Greek Drama Today.</w:t>
      </w:r>
      <w:r w:rsidRPr="16CE8CA5">
        <w:rPr>
          <w:rFonts w:ascii="Times New Roman" w:eastAsia="Times New Roman" w:hAnsi="Times New Roman" w:cs="Times New Roman"/>
          <w:sz w:val="24"/>
          <w:szCs w:val="24"/>
        </w:rPr>
        <w:t xml:space="preserve"> London: Bloomsbury Rutherford, R. (1998) ‘Introduction’, in Euripides, </w:t>
      </w:r>
      <w:r w:rsidRPr="16CE8CA5">
        <w:rPr>
          <w:rFonts w:ascii="Times New Roman" w:eastAsia="Times New Roman" w:hAnsi="Times New Roman" w:cs="Times New Roman"/>
          <w:i/>
          <w:iCs/>
          <w:sz w:val="24"/>
          <w:szCs w:val="24"/>
        </w:rPr>
        <w:t>Andromache</w:t>
      </w:r>
      <w:r w:rsidRPr="16CE8CA5">
        <w:rPr>
          <w:rFonts w:ascii="Times New Roman" w:eastAsia="Times New Roman" w:hAnsi="Times New Roman" w:cs="Times New Roman"/>
          <w:sz w:val="24"/>
          <w:szCs w:val="24"/>
        </w:rPr>
        <w:t>. J. Davie (trans.). London. Penguin</w:t>
      </w:r>
      <w:r>
        <w:br/>
      </w:r>
      <w:r w:rsidRPr="16CE8CA5">
        <w:rPr>
          <w:rFonts w:ascii="Times New Roman" w:eastAsia="Times New Roman" w:hAnsi="Times New Roman" w:cs="Times New Roman"/>
          <w:sz w:val="24"/>
          <w:szCs w:val="24"/>
        </w:rPr>
        <w:t xml:space="preserve">Seaford, R. (1990) ‘The Structural Problems of Marriage in Euripides’, in Powell, A. (ed.) </w:t>
      </w:r>
      <w:r w:rsidRPr="16CE8CA5">
        <w:rPr>
          <w:rFonts w:ascii="Times New Roman" w:eastAsia="Times New Roman" w:hAnsi="Times New Roman" w:cs="Times New Roman"/>
          <w:i/>
          <w:iCs/>
          <w:sz w:val="24"/>
          <w:szCs w:val="24"/>
        </w:rPr>
        <w:t xml:space="preserve">Euripides, Women and Sexuality. </w:t>
      </w:r>
      <w:r w:rsidRPr="16CE8CA5">
        <w:rPr>
          <w:rFonts w:ascii="Times New Roman" w:eastAsia="Times New Roman" w:hAnsi="Times New Roman" w:cs="Times New Roman"/>
          <w:sz w:val="24"/>
          <w:szCs w:val="24"/>
        </w:rPr>
        <w:t>London: Routledge</w:t>
      </w:r>
      <w:r>
        <w:br/>
      </w:r>
      <w:r w:rsidRPr="16CE8CA5">
        <w:rPr>
          <w:rFonts w:ascii="Times New Roman" w:eastAsia="Times New Roman" w:hAnsi="Times New Roman" w:cs="Times New Roman"/>
          <w:sz w:val="24"/>
          <w:szCs w:val="24"/>
        </w:rPr>
        <w:t xml:space="preserve">Stevens, P. T. (1971) </w:t>
      </w:r>
      <w:r w:rsidRPr="16CE8CA5">
        <w:rPr>
          <w:rFonts w:ascii="Times New Roman" w:eastAsia="Times New Roman" w:hAnsi="Times New Roman" w:cs="Times New Roman"/>
          <w:i/>
          <w:iCs/>
          <w:sz w:val="24"/>
          <w:szCs w:val="24"/>
        </w:rPr>
        <w:t xml:space="preserve">Euripides Andromache. </w:t>
      </w:r>
      <w:r w:rsidRPr="16CE8CA5">
        <w:rPr>
          <w:rFonts w:ascii="Times New Roman" w:eastAsia="Times New Roman" w:hAnsi="Times New Roman" w:cs="Times New Roman"/>
          <w:sz w:val="24"/>
          <w:szCs w:val="24"/>
        </w:rPr>
        <w:t>Oxford: Clarendon Press</w:t>
      </w:r>
      <w:r>
        <w:br/>
      </w:r>
      <w:r w:rsidRPr="16CE8CA5">
        <w:rPr>
          <w:rFonts w:ascii="Times New Roman" w:eastAsia="Times New Roman" w:hAnsi="Times New Roman" w:cs="Times New Roman"/>
          <w:sz w:val="24"/>
          <w:szCs w:val="24"/>
        </w:rPr>
        <w:t xml:space="preserve">Storey, I. C. (1989) ‘Domestic Disharmony in Euripides' 'Andromache'’, </w:t>
      </w:r>
      <w:r w:rsidRPr="16CE8CA5">
        <w:rPr>
          <w:rFonts w:ascii="Times New Roman" w:eastAsia="Times New Roman" w:hAnsi="Times New Roman" w:cs="Times New Roman"/>
          <w:i/>
          <w:iCs/>
          <w:sz w:val="24"/>
          <w:szCs w:val="24"/>
        </w:rPr>
        <w:t>Greece &amp; Rome</w:t>
      </w:r>
      <w:r w:rsidRPr="16CE8CA5">
        <w:rPr>
          <w:rFonts w:ascii="Times New Roman" w:eastAsia="Times New Roman" w:hAnsi="Times New Roman" w:cs="Times New Roman"/>
          <w:sz w:val="24"/>
          <w:szCs w:val="24"/>
        </w:rPr>
        <w:t>, vol. 36, no. 1, pp. 16–27</w:t>
      </w:r>
      <w:r>
        <w:br/>
      </w:r>
      <w:proofErr w:type="spellStart"/>
      <w:r w:rsidRPr="16CE8CA5">
        <w:rPr>
          <w:rFonts w:ascii="Times New Roman" w:eastAsia="Times New Roman" w:hAnsi="Times New Roman" w:cs="Times New Roman"/>
          <w:sz w:val="24"/>
          <w:szCs w:val="24"/>
        </w:rPr>
        <w:t>Vernant</w:t>
      </w:r>
      <w:proofErr w:type="spellEnd"/>
      <w:r w:rsidRPr="16CE8CA5">
        <w:rPr>
          <w:rFonts w:ascii="Times New Roman" w:eastAsia="Times New Roman" w:hAnsi="Times New Roman" w:cs="Times New Roman"/>
          <w:sz w:val="24"/>
          <w:szCs w:val="24"/>
        </w:rPr>
        <w:t xml:space="preserve">, J-P. (1980) </w:t>
      </w:r>
      <w:r w:rsidRPr="16CE8CA5">
        <w:rPr>
          <w:rFonts w:ascii="Times New Roman" w:eastAsia="Times New Roman" w:hAnsi="Times New Roman" w:cs="Times New Roman"/>
          <w:i/>
          <w:iCs/>
          <w:sz w:val="24"/>
          <w:szCs w:val="24"/>
        </w:rPr>
        <w:t>Myth and Society in Ancient Greece.</w:t>
      </w:r>
      <w:r w:rsidRPr="16CE8CA5">
        <w:rPr>
          <w:rFonts w:ascii="Times New Roman" w:eastAsia="Times New Roman" w:hAnsi="Times New Roman" w:cs="Times New Roman"/>
          <w:sz w:val="24"/>
          <w:szCs w:val="24"/>
        </w:rPr>
        <w:t xml:space="preserve"> Sussex: Harvester Press</w:t>
      </w:r>
    </w:p>
    <w:sectPr w:rsidR="55461449" w:rsidSect="00217742">
      <w:headerReference w:type="default" r:id="rId8"/>
      <w:footerReference w:type="default" r:id="rId9"/>
      <w:pgSz w:w="11906" w:h="16838"/>
      <w:pgMar w:top="1440" w:right="1134" w:bottom="1440" w:left="226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9BC97" w14:textId="77777777" w:rsidR="00762282" w:rsidRDefault="00762282">
      <w:pPr>
        <w:spacing w:after="0" w:line="240" w:lineRule="auto"/>
      </w:pPr>
      <w:r>
        <w:separator/>
      </w:r>
    </w:p>
  </w:endnote>
  <w:endnote w:type="continuationSeparator" w:id="0">
    <w:p w14:paraId="5D9EE7AE" w14:textId="77777777" w:rsidR="00762282" w:rsidRDefault="00762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E68C4B0" w14:paraId="73CC9FC6" w14:textId="77777777" w:rsidTr="6E68C4B0">
      <w:tc>
        <w:tcPr>
          <w:tcW w:w="3009" w:type="dxa"/>
        </w:tcPr>
        <w:p w14:paraId="442B09F8" w14:textId="36F93A02" w:rsidR="6E68C4B0" w:rsidRDefault="6E68C4B0" w:rsidP="6E68C4B0">
          <w:pPr>
            <w:pStyle w:val="Header"/>
            <w:ind w:left="-115"/>
          </w:pPr>
        </w:p>
      </w:tc>
      <w:tc>
        <w:tcPr>
          <w:tcW w:w="3009" w:type="dxa"/>
        </w:tcPr>
        <w:p w14:paraId="6A5DFFDF" w14:textId="3E79C5CF" w:rsidR="6E68C4B0" w:rsidRDefault="6E68C4B0" w:rsidP="6E68C4B0">
          <w:pPr>
            <w:pStyle w:val="Header"/>
            <w:jc w:val="center"/>
          </w:pPr>
        </w:p>
      </w:tc>
      <w:tc>
        <w:tcPr>
          <w:tcW w:w="3009" w:type="dxa"/>
        </w:tcPr>
        <w:p w14:paraId="64E35B7B" w14:textId="05CC7F83" w:rsidR="6E68C4B0" w:rsidRDefault="6E68C4B0" w:rsidP="6E68C4B0">
          <w:pPr>
            <w:pStyle w:val="Header"/>
            <w:ind w:right="-115"/>
            <w:jc w:val="right"/>
          </w:pPr>
          <w:r>
            <w:fldChar w:fldCharType="begin"/>
          </w:r>
          <w:r>
            <w:instrText>PAGE</w:instrText>
          </w:r>
          <w:r w:rsidR="008805C3">
            <w:fldChar w:fldCharType="separate"/>
          </w:r>
          <w:r w:rsidR="008805C3">
            <w:rPr>
              <w:noProof/>
            </w:rPr>
            <w:t>1</w:t>
          </w:r>
          <w:r>
            <w:fldChar w:fldCharType="end"/>
          </w:r>
        </w:p>
        <w:p w14:paraId="3BB7B1BC" w14:textId="79496830" w:rsidR="6E68C4B0" w:rsidRDefault="6E68C4B0" w:rsidP="6E68C4B0">
          <w:pPr>
            <w:pStyle w:val="Header"/>
            <w:ind w:right="-115"/>
            <w:jc w:val="right"/>
          </w:pPr>
        </w:p>
      </w:tc>
    </w:tr>
  </w:tbl>
  <w:p w14:paraId="43B67920" w14:textId="78724C8F" w:rsidR="6E68C4B0" w:rsidRDefault="6E68C4B0" w:rsidP="6E68C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87666" w14:textId="77777777" w:rsidR="00762282" w:rsidRDefault="00762282">
      <w:pPr>
        <w:spacing w:after="0" w:line="240" w:lineRule="auto"/>
      </w:pPr>
      <w:r>
        <w:separator/>
      </w:r>
    </w:p>
  </w:footnote>
  <w:footnote w:type="continuationSeparator" w:id="0">
    <w:p w14:paraId="4B9CCCB6" w14:textId="77777777" w:rsidR="00762282" w:rsidRDefault="00762282">
      <w:pPr>
        <w:spacing w:after="0" w:line="240" w:lineRule="auto"/>
      </w:pPr>
      <w:r>
        <w:continuationSeparator/>
      </w:r>
    </w:p>
  </w:footnote>
  <w:footnote w:id="1">
    <w:p w14:paraId="5CF53179" w14:textId="10AA015E"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Butler 1990: 5</w:t>
      </w:r>
    </w:p>
  </w:footnote>
  <w:footnote w:id="2">
    <w:p w14:paraId="52B01B12" w14:textId="7131A009"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Fishman 2008: 275</w:t>
      </w:r>
    </w:p>
  </w:footnote>
  <w:footnote w:id="3">
    <w:p w14:paraId="4251DFA4" w14:textId="373EC09B"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Supp. </w:t>
      </w:r>
      <w:r w:rsidRPr="771DC6B5">
        <w:rPr>
          <w:rFonts w:ascii="Times New Roman" w:eastAsia="Times New Roman" w:hAnsi="Times New Roman" w:cs="Times New Roman"/>
        </w:rPr>
        <w:t>47-53</w:t>
      </w:r>
    </w:p>
  </w:footnote>
  <w:footnote w:id="4">
    <w:p w14:paraId="02A45012" w14:textId="3BF53C47"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Rehm 2005: 182</w:t>
      </w:r>
    </w:p>
  </w:footnote>
  <w:footnote w:id="5">
    <w:p w14:paraId="714DB098" w14:textId="6143E7BD"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Chong-</w:t>
      </w:r>
      <w:proofErr w:type="spellStart"/>
      <w:r w:rsidRPr="6E68C4B0">
        <w:rPr>
          <w:rFonts w:ascii="Times New Roman" w:eastAsia="Times New Roman" w:hAnsi="Times New Roman" w:cs="Times New Roman"/>
        </w:rPr>
        <w:t>Gossard</w:t>
      </w:r>
      <w:proofErr w:type="spellEnd"/>
      <w:r w:rsidRPr="6E68C4B0">
        <w:rPr>
          <w:rFonts w:ascii="Times New Roman" w:eastAsia="Times New Roman" w:hAnsi="Times New Roman" w:cs="Times New Roman"/>
        </w:rPr>
        <w:t xml:space="preserve"> 2008: 158-159</w:t>
      </w:r>
    </w:p>
  </w:footnote>
  <w:footnote w:id="6">
    <w:p w14:paraId="0CA5EEB8" w14:textId="310BE578"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Med. </w:t>
      </w:r>
      <w:r w:rsidRPr="771DC6B5">
        <w:rPr>
          <w:rFonts w:ascii="Times New Roman" w:eastAsia="Times New Roman" w:hAnsi="Times New Roman" w:cs="Times New Roman"/>
        </w:rPr>
        <w:t>264</w:t>
      </w:r>
    </w:p>
  </w:footnote>
  <w:footnote w:id="7">
    <w:p w14:paraId="24EB3B6E" w14:textId="7C851B09"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Fletcher 2003: 35-36</w:t>
      </w:r>
    </w:p>
  </w:footnote>
  <w:footnote w:id="8">
    <w:p w14:paraId="6A7E56BA" w14:textId="6A8822FF" w:rsidR="43FC1105" w:rsidRDefault="43FC1105" w:rsidP="43FC1105">
      <w:pPr>
        <w:pStyle w:val="FootnoteText"/>
      </w:pPr>
      <w:r w:rsidRPr="43FC1105">
        <w:rPr>
          <w:rStyle w:val="FootnoteReference"/>
          <w:rFonts w:ascii="Times New Roman" w:eastAsia="Times New Roman" w:hAnsi="Times New Roman" w:cs="Times New Roman"/>
        </w:rPr>
        <w:footnoteRef/>
      </w:r>
      <w:r w:rsidRPr="43FC1105">
        <w:rPr>
          <w:rFonts w:ascii="Times New Roman" w:eastAsia="Times New Roman" w:hAnsi="Times New Roman" w:cs="Times New Roman"/>
        </w:rPr>
        <w:t xml:space="preserve"> Chong-</w:t>
      </w:r>
      <w:proofErr w:type="spellStart"/>
      <w:r w:rsidRPr="43FC1105">
        <w:rPr>
          <w:rFonts w:ascii="Times New Roman" w:eastAsia="Times New Roman" w:hAnsi="Times New Roman" w:cs="Times New Roman"/>
        </w:rPr>
        <w:t>Gossard</w:t>
      </w:r>
      <w:proofErr w:type="spellEnd"/>
      <w:r w:rsidRPr="43FC1105">
        <w:rPr>
          <w:rFonts w:ascii="Times New Roman" w:eastAsia="Times New Roman" w:hAnsi="Times New Roman" w:cs="Times New Roman"/>
        </w:rPr>
        <w:t xml:space="preserve"> 2008: 242</w:t>
      </w:r>
    </w:p>
  </w:footnote>
  <w:footnote w:id="9">
    <w:p w14:paraId="33227E67" w14:textId="1EAFD762" w:rsidR="596B1AD4" w:rsidRDefault="596B1AD4" w:rsidP="596B1AD4">
      <w:pPr>
        <w:pStyle w:val="FootnoteText"/>
      </w:pPr>
      <w:r w:rsidRPr="596B1AD4">
        <w:rPr>
          <w:rStyle w:val="FootnoteReference"/>
          <w:rFonts w:ascii="Times New Roman" w:eastAsia="Times New Roman" w:hAnsi="Times New Roman" w:cs="Times New Roman"/>
        </w:rPr>
        <w:footnoteRef/>
      </w:r>
      <w:r w:rsidRPr="596B1AD4">
        <w:rPr>
          <w:rFonts w:ascii="Times New Roman" w:eastAsia="Times New Roman" w:hAnsi="Times New Roman" w:cs="Times New Roman"/>
        </w:rPr>
        <w:t xml:space="preserve"> Soph. </w:t>
      </w:r>
      <w:r w:rsidRPr="771DC6B5">
        <w:rPr>
          <w:rFonts w:ascii="Times New Roman" w:eastAsia="Times New Roman" w:hAnsi="Times New Roman" w:cs="Times New Roman"/>
          <w:i/>
          <w:iCs/>
        </w:rPr>
        <w:t xml:space="preserve">Ant. </w:t>
      </w:r>
      <w:r w:rsidRPr="596B1AD4">
        <w:rPr>
          <w:rFonts w:ascii="Times New Roman" w:eastAsia="Times New Roman" w:hAnsi="Times New Roman" w:cs="Times New Roman"/>
        </w:rPr>
        <w:t>90-110</w:t>
      </w:r>
    </w:p>
  </w:footnote>
  <w:footnote w:id="10">
    <w:p w14:paraId="6A425D24" w14:textId="4A37B0E9"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199</w:t>
      </w:r>
    </w:p>
  </w:footnote>
  <w:footnote w:id="11">
    <w:p w14:paraId="20B87977" w14:textId="7AB7E30A"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Kitto</w:t>
      </w:r>
      <w:proofErr w:type="spellEnd"/>
      <w:r w:rsidRPr="6E68C4B0">
        <w:rPr>
          <w:rFonts w:ascii="Times New Roman" w:eastAsia="Times New Roman" w:hAnsi="Times New Roman" w:cs="Times New Roman"/>
        </w:rPr>
        <w:t xml:space="preserve"> 1939: 233</w:t>
      </w:r>
    </w:p>
  </w:footnote>
  <w:footnote w:id="12">
    <w:p w14:paraId="3AEA467D" w14:textId="76E6FFFA"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McClure 1959: 26</w:t>
      </w:r>
    </w:p>
  </w:footnote>
  <w:footnote w:id="13">
    <w:p w14:paraId="07E33A0F" w14:textId="7B1A8753"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Lloyd 1994: 6</w:t>
      </w:r>
    </w:p>
  </w:footnote>
  <w:footnote w:id="14">
    <w:p w14:paraId="76D38E7E" w14:textId="7B7557AF"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6E68C4B0">
        <w:rPr>
          <w:rFonts w:ascii="Times New Roman" w:eastAsia="Times New Roman" w:hAnsi="Times New Roman" w:cs="Times New Roman"/>
        </w:rPr>
        <w:t>. 178-180</w:t>
      </w:r>
    </w:p>
  </w:footnote>
  <w:footnote w:id="15">
    <w:p w14:paraId="6EC04A22" w14:textId="5AF4B3C2"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6E68C4B0">
        <w:rPr>
          <w:rFonts w:ascii="Times New Roman" w:eastAsia="Times New Roman" w:hAnsi="Times New Roman" w:cs="Times New Roman"/>
        </w:rPr>
        <w:t>. 227-229</w:t>
      </w:r>
    </w:p>
  </w:footnote>
  <w:footnote w:id="16">
    <w:p w14:paraId="0F21B85D" w14:textId="32702C72"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989</w:t>
      </w:r>
    </w:p>
  </w:footnote>
  <w:footnote w:id="17">
    <w:p w14:paraId="50F87E6A" w14:textId="5AD3D571"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919-928</w:t>
      </w:r>
    </w:p>
  </w:footnote>
  <w:footnote w:id="18">
    <w:p w14:paraId="1516DC21" w14:textId="32F09B08"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Il. </w:t>
      </w:r>
      <w:r w:rsidRPr="771DC6B5">
        <w:rPr>
          <w:rFonts w:ascii="Times New Roman" w:eastAsia="Times New Roman" w:hAnsi="Times New Roman" w:cs="Times New Roman"/>
        </w:rPr>
        <w:t>3</w:t>
      </w:r>
      <w:r w:rsidRPr="771DC6B5">
        <w:rPr>
          <w:rFonts w:ascii="Times New Roman" w:eastAsia="Times New Roman" w:hAnsi="Times New Roman" w:cs="Times New Roman"/>
          <w:i/>
          <w:iCs/>
        </w:rPr>
        <w:t>.</w:t>
      </w:r>
      <w:r w:rsidRPr="771DC6B5">
        <w:rPr>
          <w:rFonts w:ascii="Times New Roman" w:eastAsia="Times New Roman" w:hAnsi="Times New Roman" w:cs="Times New Roman"/>
        </w:rPr>
        <w:t>39-54</w:t>
      </w:r>
    </w:p>
  </w:footnote>
  <w:footnote w:id="19">
    <w:p w14:paraId="6042367D" w14:textId="2E9CC163" w:rsidR="1091CF03" w:rsidRDefault="1091CF0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Chong-</w:t>
      </w:r>
      <w:proofErr w:type="spellStart"/>
      <w:r w:rsidRPr="6E68C4B0">
        <w:rPr>
          <w:rFonts w:ascii="Times New Roman" w:eastAsia="Times New Roman" w:hAnsi="Times New Roman" w:cs="Times New Roman"/>
        </w:rPr>
        <w:t>Gossard</w:t>
      </w:r>
      <w:proofErr w:type="spellEnd"/>
      <w:r w:rsidRPr="6E68C4B0">
        <w:rPr>
          <w:rFonts w:ascii="Times New Roman" w:eastAsia="Times New Roman" w:hAnsi="Times New Roman" w:cs="Times New Roman"/>
        </w:rPr>
        <w:t xml:space="preserve"> 2008: 83</w:t>
      </w:r>
    </w:p>
  </w:footnote>
  <w:footnote w:id="20">
    <w:p w14:paraId="04491B40" w14:textId="153556CF"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819-831</w:t>
      </w:r>
      <w:r w:rsidRPr="6E68C4B0">
        <w:rPr>
          <w:rFonts w:ascii="Times New Roman" w:eastAsia="Times New Roman" w:hAnsi="Times New Roman" w:cs="Times New Roman"/>
        </w:rPr>
        <w:t xml:space="preserve"> </w:t>
      </w:r>
    </w:p>
  </w:footnote>
  <w:footnote w:id="21">
    <w:p w14:paraId="59620F5D" w14:textId="6BAF8BDB"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628</w:t>
      </w:r>
      <w:r w:rsidRPr="771DC6B5">
        <w:rPr>
          <w:rFonts w:ascii="Times New Roman" w:eastAsia="Times New Roman" w:hAnsi="Times New Roman" w:cs="Times New Roman"/>
          <w:i/>
          <w:iCs/>
        </w:rPr>
        <w:t>-</w:t>
      </w:r>
      <w:r w:rsidRPr="771DC6B5">
        <w:rPr>
          <w:rFonts w:ascii="Times New Roman" w:eastAsia="Times New Roman" w:hAnsi="Times New Roman" w:cs="Times New Roman"/>
        </w:rPr>
        <w:t>630</w:t>
      </w:r>
    </w:p>
  </w:footnote>
  <w:footnote w:id="22">
    <w:p w14:paraId="38365570" w14:textId="2B8263CB" w:rsidR="7822D796" w:rsidRDefault="7822D796"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6E68C4B0">
        <w:rPr>
          <w:rFonts w:ascii="Times New Roman" w:eastAsia="Times New Roman" w:hAnsi="Times New Roman" w:cs="Times New Roman"/>
        </w:rPr>
        <w:t>. 230-231</w:t>
      </w:r>
    </w:p>
  </w:footnote>
  <w:footnote w:id="23">
    <w:p w14:paraId="5502E17B" w14:textId="7C551F48"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116</w:t>
      </w:r>
    </w:p>
  </w:footnote>
  <w:footnote w:id="24">
    <w:p w14:paraId="157766B9" w14:textId="0D6B9470"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212-213</w:t>
      </w:r>
    </w:p>
  </w:footnote>
  <w:footnote w:id="25">
    <w:p w14:paraId="2475F8F3" w14:textId="55CC7798"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49-51</w:t>
      </w:r>
    </w:p>
  </w:footnote>
  <w:footnote w:id="26">
    <w:p w14:paraId="3068E4D6" w14:textId="458B5F5E"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620-622</w:t>
      </w:r>
    </w:p>
  </w:footnote>
  <w:footnote w:id="27">
    <w:p w14:paraId="20C06F63" w14:textId="1B84292C"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31-33</w:t>
      </w:r>
    </w:p>
  </w:footnote>
  <w:footnote w:id="28">
    <w:p w14:paraId="373BDC6B" w14:textId="20A601A4"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853-855</w:t>
      </w:r>
    </w:p>
  </w:footnote>
  <w:footnote w:id="29">
    <w:p w14:paraId="010B8CAE" w14:textId="643DE4C8"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800-820</w:t>
      </w:r>
    </w:p>
  </w:footnote>
  <w:footnote w:id="30">
    <w:p w14:paraId="279E5E9D" w14:textId="3E5E95E2"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825-876</w:t>
      </w:r>
    </w:p>
  </w:footnote>
  <w:footnote w:id="31">
    <w:p w14:paraId="00E38C27" w14:textId="428ADB1D"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Blondell 2013: 87</w:t>
      </w:r>
    </w:p>
  </w:footnote>
  <w:footnote w:id="32">
    <w:p w14:paraId="0D0DBCA6" w14:textId="5C97A20C"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Il. </w:t>
      </w:r>
      <w:r w:rsidRPr="771DC6B5">
        <w:rPr>
          <w:rFonts w:ascii="Times New Roman" w:eastAsia="Times New Roman" w:hAnsi="Times New Roman" w:cs="Times New Roman"/>
        </w:rPr>
        <w:t>6.286-296</w:t>
      </w:r>
    </w:p>
  </w:footnote>
  <w:footnote w:id="33">
    <w:p w14:paraId="441C6DBE" w14:textId="1BC592FF"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Il.</w:t>
      </w:r>
      <w:r w:rsidRPr="771DC6B5">
        <w:rPr>
          <w:rFonts w:ascii="Times New Roman" w:eastAsia="Times New Roman" w:hAnsi="Times New Roman" w:cs="Times New Roman"/>
        </w:rPr>
        <w:t xml:space="preserve"> 3.121-24</w:t>
      </w:r>
    </w:p>
  </w:footnote>
  <w:footnote w:id="34">
    <w:p w14:paraId="5CE49793" w14:textId="34093F8C" w:rsidR="34EB97B0" w:rsidRDefault="34EB97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Blondell 2013: 67</w:t>
      </w:r>
    </w:p>
  </w:footnote>
  <w:footnote w:id="35">
    <w:p w14:paraId="210C228D" w14:textId="68736A38"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170-177</w:t>
      </w:r>
    </w:p>
  </w:footnote>
  <w:footnote w:id="36">
    <w:p w14:paraId="6B8E98C6" w14:textId="3CBD2BC9"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Il. </w:t>
      </w:r>
      <w:r w:rsidRPr="771DC6B5">
        <w:rPr>
          <w:rFonts w:ascii="Times New Roman" w:eastAsia="Times New Roman" w:hAnsi="Times New Roman" w:cs="Times New Roman"/>
        </w:rPr>
        <w:t>3.406-410</w:t>
      </w:r>
    </w:p>
  </w:footnote>
  <w:footnote w:id="37">
    <w:p w14:paraId="3A71D99E" w14:textId="2C51DDBA"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Il. </w:t>
      </w:r>
      <w:r w:rsidRPr="771DC6B5">
        <w:rPr>
          <w:rFonts w:ascii="Times New Roman" w:eastAsia="Times New Roman" w:hAnsi="Times New Roman" w:cs="Times New Roman"/>
        </w:rPr>
        <w:t>3. 410-411</w:t>
      </w:r>
    </w:p>
  </w:footnote>
  <w:footnote w:id="38">
    <w:p w14:paraId="7A650E94" w14:textId="0E3F1784"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Blondell 2013: 67</w:t>
      </w:r>
    </w:p>
  </w:footnote>
  <w:footnote w:id="39">
    <w:p w14:paraId="5914E01D" w14:textId="1878FD60"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102-111</w:t>
      </w:r>
    </w:p>
  </w:footnote>
  <w:footnote w:id="40">
    <w:p w14:paraId="11858705" w14:textId="0CBBB927"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766-773</w:t>
      </w:r>
    </w:p>
  </w:footnote>
  <w:footnote w:id="41">
    <w:p w14:paraId="74B5AF1D" w14:textId="251EF231"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248</w:t>
      </w:r>
    </w:p>
  </w:footnote>
  <w:footnote w:id="42">
    <w:p w14:paraId="4482B3E6" w14:textId="492F0CFC"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906-908</w:t>
      </w:r>
    </w:p>
  </w:footnote>
  <w:footnote w:id="43">
    <w:p w14:paraId="17184A2B" w14:textId="11AA8102"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890</w:t>
      </w:r>
    </w:p>
  </w:footnote>
  <w:footnote w:id="44">
    <w:p w14:paraId="53E3E104" w14:textId="7E217211"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612</w:t>
      </w:r>
    </w:p>
  </w:footnote>
  <w:footnote w:id="45">
    <w:p w14:paraId="253DCFF6" w14:textId="2054BC2A"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273-306</w:t>
      </w:r>
    </w:p>
  </w:footnote>
  <w:footnote w:id="46">
    <w:p w14:paraId="7DC7443F" w14:textId="39CFADDB"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Stevens 1971: 127</w:t>
      </w:r>
    </w:p>
  </w:footnote>
  <w:footnote w:id="47">
    <w:p w14:paraId="18CC7BCB" w14:textId="37A4FA1A" w:rsidR="1130C7B7" w:rsidRDefault="1130C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Halleran</w:t>
      </w:r>
      <w:proofErr w:type="spellEnd"/>
      <w:r w:rsidRPr="6E68C4B0">
        <w:rPr>
          <w:rFonts w:ascii="Times New Roman" w:eastAsia="Times New Roman" w:hAnsi="Times New Roman" w:cs="Times New Roman"/>
        </w:rPr>
        <w:t xml:space="preserve"> 1985: 61</w:t>
      </w:r>
    </w:p>
  </w:footnote>
  <w:footnote w:id="48">
    <w:p w14:paraId="774F7D85" w14:textId="3E426379" w:rsidR="57E875F5" w:rsidRDefault="57E875F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Aesch</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Ag. </w:t>
      </w:r>
      <w:r w:rsidRPr="771DC6B5">
        <w:rPr>
          <w:rFonts w:ascii="Times New Roman" w:eastAsia="Times New Roman" w:hAnsi="Times New Roman" w:cs="Times New Roman"/>
        </w:rPr>
        <w:t xml:space="preserve">1343-1371 </w:t>
      </w:r>
    </w:p>
  </w:footnote>
  <w:footnote w:id="49">
    <w:p w14:paraId="1FDFB672" w14:textId="5FA453A7" w:rsidR="57E875F5" w:rsidRDefault="57E875F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351-360</w:t>
      </w:r>
    </w:p>
  </w:footnote>
  <w:footnote w:id="50">
    <w:p w14:paraId="4B52EB1D" w14:textId="60B172F4"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Rutherford 1998: 3</w:t>
      </w:r>
    </w:p>
  </w:footnote>
  <w:footnote w:id="51">
    <w:p w14:paraId="190A1B4C" w14:textId="739423AA"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Kitto</w:t>
      </w:r>
      <w:proofErr w:type="spellEnd"/>
      <w:r w:rsidRPr="6E68C4B0">
        <w:rPr>
          <w:rFonts w:ascii="Times New Roman" w:eastAsia="Times New Roman" w:hAnsi="Times New Roman" w:cs="Times New Roman"/>
        </w:rPr>
        <w:t xml:space="preserve"> 1939: 233</w:t>
      </w:r>
    </w:p>
  </w:footnote>
  <w:footnote w:id="52">
    <w:p w14:paraId="7BE00C28" w14:textId="76E51277"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Rutherford 1998: 5</w:t>
      </w:r>
    </w:p>
  </w:footnote>
  <w:footnote w:id="53">
    <w:p w14:paraId="33CEA105" w14:textId="36BF3DC2"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39</w:t>
      </w:r>
    </w:p>
  </w:footnote>
  <w:footnote w:id="54">
    <w:p w14:paraId="15AF217B" w14:textId="240649E0"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445-452</w:t>
      </w:r>
    </w:p>
  </w:footnote>
  <w:footnote w:id="55">
    <w:p w14:paraId="6EB7375D" w14:textId="2AB887FA"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595-600</w:t>
      </w:r>
    </w:p>
  </w:footnote>
  <w:footnote w:id="56">
    <w:p w14:paraId="3AE8EF2D" w14:textId="721F9765"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2000:189</w:t>
      </w:r>
    </w:p>
  </w:footnote>
  <w:footnote w:id="57">
    <w:p w14:paraId="00E7EDA2" w14:textId="6430FF03"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543-545</w:t>
      </w:r>
    </w:p>
  </w:footnote>
  <w:footnote w:id="58">
    <w:p w14:paraId="0055FE4C" w14:textId="54C13C47" w:rsidR="6E68C4B0" w:rsidRDefault="6E68C4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487</w:t>
      </w:r>
    </w:p>
  </w:footnote>
  <w:footnote w:id="59">
    <w:p w14:paraId="1038895D" w14:textId="0817956E" w:rsidR="6E68C4B0" w:rsidRDefault="6E68C4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1049</w:t>
      </w:r>
    </w:p>
  </w:footnote>
  <w:footnote w:id="60">
    <w:p w14:paraId="379F754F" w14:textId="0A3B7925" w:rsidR="6E68C4B0" w:rsidRDefault="6E68C4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Storey 1989: 3</w:t>
      </w:r>
    </w:p>
  </w:footnote>
  <w:footnote w:id="61">
    <w:p w14:paraId="13607319" w14:textId="02E7E99B"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213</w:t>
      </w:r>
    </w:p>
  </w:footnote>
  <w:footnote w:id="62">
    <w:p w14:paraId="58DD29D6" w14:textId="1DFEA139"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148-153</w:t>
      </w:r>
    </w:p>
  </w:footnote>
  <w:footnote w:id="63">
    <w:p w14:paraId="58BF3144" w14:textId="0E75FF67"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Kitto</w:t>
      </w:r>
      <w:proofErr w:type="spellEnd"/>
      <w:r w:rsidRPr="6E68C4B0">
        <w:rPr>
          <w:rFonts w:ascii="Times New Roman" w:eastAsia="Times New Roman" w:hAnsi="Times New Roman" w:cs="Times New Roman"/>
        </w:rPr>
        <w:t xml:space="preserve"> 1939: 233</w:t>
      </w:r>
    </w:p>
  </w:footnote>
  <w:footnote w:id="64">
    <w:p w14:paraId="0B790BE9" w14:textId="1B76A574"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38</w:t>
      </w:r>
    </w:p>
  </w:footnote>
  <w:footnote w:id="65">
    <w:p w14:paraId="482E1063" w14:textId="1F0D939D"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Il.</w:t>
      </w:r>
      <w:r w:rsidRPr="771DC6B5">
        <w:rPr>
          <w:rFonts w:ascii="Times New Roman" w:eastAsia="Times New Roman" w:hAnsi="Times New Roman" w:cs="Times New Roman"/>
        </w:rPr>
        <w:t xml:space="preserve"> 6.394</w:t>
      </w:r>
    </w:p>
  </w:footnote>
  <w:footnote w:id="66">
    <w:p w14:paraId="2D132AA3" w14:textId="1CC385D7"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154-156</w:t>
      </w:r>
    </w:p>
  </w:footnote>
  <w:footnote w:id="67">
    <w:p w14:paraId="226F9AAE" w14:textId="26D0DCE5"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149-152</w:t>
      </w:r>
    </w:p>
  </w:footnote>
  <w:footnote w:id="68">
    <w:p w14:paraId="0FD6C835" w14:textId="151AAA5F"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178</w:t>
      </w:r>
    </w:p>
  </w:footnote>
  <w:footnote w:id="69">
    <w:p w14:paraId="00C71DE5" w14:textId="17E720FE"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Papadimitropoulos</w:t>
      </w:r>
      <w:proofErr w:type="spellEnd"/>
      <w:r w:rsidRPr="6E68C4B0">
        <w:rPr>
          <w:rFonts w:ascii="Times New Roman" w:eastAsia="Times New Roman" w:hAnsi="Times New Roman" w:cs="Times New Roman"/>
        </w:rPr>
        <w:t xml:space="preserve"> 2010: 155</w:t>
      </w:r>
    </w:p>
  </w:footnote>
  <w:footnote w:id="70">
    <w:p w14:paraId="7A75E429" w14:textId="5361D1E6"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132AC45A">
        <w:rPr>
          <w:rFonts w:ascii="Times New Roman" w:eastAsia="Times New Roman" w:hAnsi="Times New Roman" w:cs="Times New Roman"/>
          <w:i/>
          <w:iCs/>
        </w:rPr>
        <w:t xml:space="preserve">And. </w:t>
      </w:r>
      <w:r w:rsidRPr="132AC45A">
        <w:rPr>
          <w:rFonts w:ascii="Times New Roman" w:eastAsia="Times New Roman" w:hAnsi="Times New Roman" w:cs="Times New Roman"/>
        </w:rPr>
        <w:t>902</w:t>
      </w:r>
    </w:p>
  </w:footnote>
  <w:footnote w:id="71">
    <w:p w14:paraId="21891462" w14:textId="10FC1313"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56</w:t>
      </w:r>
    </w:p>
  </w:footnote>
  <w:footnote w:id="72">
    <w:p w14:paraId="53CFB8A5" w14:textId="77553CF7" w:rsidR="1091CF03" w:rsidRDefault="1091CF0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199</w:t>
      </w:r>
    </w:p>
  </w:footnote>
  <w:footnote w:id="73">
    <w:p w14:paraId="535EE62F" w14:textId="2B7AA904" w:rsidR="132AC45A" w:rsidRDefault="132AC45A" w:rsidP="132AC45A">
      <w:pPr>
        <w:pStyle w:val="FootnoteText"/>
      </w:pPr>
      <w:r w:rsidRPr="132AC45A">
        <w:rPr>
          <w:rStyle w:val="FootnoteReference"/>
        </w:rPr>
        <w:footnoteRef/>
      </w:r>
      <w:r>
        <w:t xml:space="preserve"> Lloyd 1994: 115</w:t>
      </w:r>
    </w:p>
  </w:footnote>
  <w:footnote w:id="74">
    <w:p w14:paraId="377BC5DA" w14:textId="01AEB396" w:rsidR="1091CF03" w:rsidRDefault="1091CF0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Chong-</w:t>
      </w:r>
      <w:proofErr w:type="spellStart"/>
      <w:r w:rsidRPr="6E68C4B0">
        <w:rPr>
          <w:rFonts w:ascii="Times New Roman" w:eastAsia="Times New Roman" w:hAnsi="Times New Roman" w:cs="Times New Roman"/>
        </w:rPr>
        <w:t>Gossard</w:t>
      </w:r>
      <w:proofErr w:type="spellEnd"/>
      <w:r w:rsidRPr="6E68C4B0">
        <w:rPr>
          <w:rFonts w:ascii="Times New Roman" w:eastAsia="Times New Roman" w:hAnsi="Times New Roman" w:cs="Times New Roman"/>
        </w:rPr>
        <w:t xml:space="preserve"> 2008: 91</w:t>
      </w:r>
    </w:p>
  </w:footnote>
  <w:footnote w:id="75">
    <w:p w14:paraId="7847F157" w14:textId="47B03325"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153</w:t>
      </w:r>
    </w:p>
  </w:footnote>
  <w:footnote w:id="76">
    <w:p w14:paraId="26EAC5AA" w14:textId="31ABADF9"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Pl. </w:t>
      </w:r>
      <w:r w:rsidRPr="771DC6B5">
        <w:rPr>
          <w:rFonts w:ascii="Times New Roman" w:eastAsia="Times New Roman" w:hAnsi="Times New Roman" w:cs="Times New Roman"/>
          <w:i/>
          <w:iCs/>
        </w:rPr>
        <w:t>Rep.</w:t>
      </w:r>
      <w:r w:rsidRPr="771DC6B5">
        <w:rPr>
          <w:rFonts w:ascii="Times New Roman" w:eastAsia="Times New Roman" w:hAnsi="Times New Roman" w:cs="Times New Roman"/>
        </w:rPr>
        <w:t xml:space="preserve"> 549c-e</w:t>
      </w:r>
    </w:p>
  </w:footnote>
  <w:footnote w:id="77">
    <w:p w14:paraId="5767CF17" w14:textId="6A53959A"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209-211</w:t>
      </w:r>
    </w:p>
  </w:footnote>
  <w:footnote w:id="78">
    <w:p w14:paraId="16BBAA15" w14:textId="4E2CB408"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154</w:t>
      </w:r>
    </w:p>
  </w:footnote>
  <w:footnote w:id="79">
    <w:p w14:paraId="18FD5BE2" w14:textId="50A6FD3E"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Papadimiropoulos</w:t>
      </w:r>
      <w:proofErr w:type="spellEnd"/>
      <w:r w:rsidRPr="6E68C4B0">
        <w:rPr>
          <w:rFonts w:ascii="Times New Roman" w:eastAsia="Times New Roman" w:hAnsi="Times New Roman" w:cs="Times New Roman"/>
        </w:rPr>
        <w:t xml:space="preserve"> 2010: 156</w:t>
      </w:r>
    </w:p>
  </w:footnote>
  <w:footnote w:id="80">
    <w:p w14:paraId="7B9C1086" w14:textId="159F8809"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433-434</w:t>
      </w:r>
    </w:p>
  </w:footnote>
  <w:footnote w:id="81">
    <w:p w14:paraId="75332173" w14:textId="4B2D45AB"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232-234</w:t>
      </w:r>
    </w:p>
  </w:footnote>
  <w:footnote w:id="82">
    <w:p w14:paraId="0A8C63FF" w14:textId="703100D5" w:rsidR="18F503EB" w:rsidRDefault="18F503E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364-365</w:t>
      </w:r>
    </w:p>
  </w:footnote>
  <w:footnote w:id="83">
    <w:p w14:paraId="20251FCD" w14:textId="7295CFB6"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180</w:t>
      </w:r>
    </w:p>
  </w:footnote>
  <w:footnote w:id="84">
    <w:p w14:paraId="09BD0599" w14:textId="555C1E84" w:rsidR="31205D37" w:rsidRDefault="31205D37" w:rsidP="31205D37">
      <w:pPr>
        <w:pStyle w:val="FootnoteText"/>
      </w:pPr>
      <w:r w:rsidRPr="31205D37">
        <w:rPr>
          <w:rStyle w:val="FootnoteReference"/>
        </w:rPr>
        <w:footnoteRef/>
      </w:r>
      <w:r>
        <w:t xml:space="preserve"> Eur. </w:t>
      </w:r>
      <w:r w:rsidRPr="31205D37">
        <w:rPr>
          <w:i/>
          <w:iCs/>
        </w:rPr>
        <w:t xml:space="preserve">And. </w:t>
      </w:r>
      <w:r w:rsidRPr="31205D37">
        <w:t>85</w:t>
      </w:r>
    </w:p>
  </w:footnote>
  <w:footnote w:id="85">
    <w:p w14:paraId="49261F76" w14:textId="11D5C0E9" w:rsidR="31205D37" w:rsidRDefault="31205D37" w:rsidP="31205D37">
      <w:pPr>
        <w:pStyle w:val="FootnoteText"/>
      </w:pPr>
      <w:r w:rsidRPr="31205D37">
        <w:rPr>
          <w:rStyle w:val="FootnoteReference"/>
        </w:rPr>
        <w:footnoteRef/>
      </w:r>
      <w:r>
        <w:t xml:space="preserve"> Eur. </w:t>
      </w:r>
      <w:r w:rsidRPr="31205D37">
        <w:rPr>
          <w:i/>
          <w:iCs/>
        </w:rPr>
        <w:t>And.</w:t>
      </w:r>
      <w:r w:rsidRPr="31205D37">
        <w:t xml:space="preserve"> 181-182</w:t>
      </w:r>
    </w:p>
  </w:footnote>
  <w:footnote w:id="86">
    <w:p w14:paraId="27F8838C" w14:textId="503D3419" w:rsidR="31205D37" w:rsidRDefault="31205D37" w:rsidP="31205D37">
      <w:pPr>
        <w:pStyle w:val="FootnoteText"/>
      </w:pPr>
      <w:r w:rsidRPr="31205D37">
        <w:rPr>
          <w:rStyle w:val="FootnoteReference"/>
        </w:rPr>
        <w:footnoteRef/>
      </w:r>
      <w:r>
        <w:t xml:space="preserve"> Eur. </w:t>
      </w:r>
      <w:r w:rsidRPr="31205D37">
        <w:rPr>
          <w:i/>
          <w:iCs/>
        </w:rPr>
        <w:t>And.</w:t>
      </w:r>
      <w:r w:rsidRPr="31205D37">
        <w:t xml:space="preserve"> 219</w:t>
      </w:r>
    </w:p>
  </w:footnote>
  <w:footnote w:id="87">
    <w:p w14:paraId="64E1A6C1" w14:textId="0F26872F"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Lloyd 1994: 9</w:t>
      </w:r>
    </w:p>
  </w:footnote>
  <w:footnote w:id="88">
    <w:p w14:paraId="7FBFFE48" w14:textId="716446C9"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Lloyd 1994: 115</w:t>
      </w:r>
    </w:p>
  </w:footnote>
  <w:footnote w:id="89">
    <w:p w14:paraId="06238C75" w14:textId="37AD2FDC"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162-168</w:t>
      </w:r>
    </w:p>
  </w:footnote>
  <w:footnote w:id="90">
    <w:p w14:paraId="1C9D1D96" w14:textId="46F69AF4"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232-233</w:t>
      </w:r>
      <w:r w:rsidRPr="771DC6B5">
        <w:rPr>
          <w:rFonts w:ascii="Times New Roman" w:eastAsia="Times New Roman" w:hAnsi="Times New Roman" w:cs="Times New Roman"/>
          <w:i/>
          <w:iCs/>
        </w:rPr>
        <w:t xml:space="preserve"> </w:t>
      </w:r>
    </w:p>
  </w:footnote>
  <w:footnote w:id="91">
    <w:p w14:paraId="7A55B659" w14:textId="757A469B"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Stevens 1971: 151</w:t>
      </w:r>
    </w:p>
  </w:footnote>
  <w:footnote w:id="92">
    <w:p w14:paraId="59F5E65C" w14:textId="25F109CF"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425-433</w:t>
      </w:r>
    </w:p>
  </w:footnote>
  <w:footnote w:id="93">
    <w:p w14:paraId="4FCB6C8A" w14:textId="5BF38D8C"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76-78</w:t>
      </w:r>
    </w:p>
  </w:footnote>
  <w:footnote w:id="94">
    <w:p w14:paraId="24CF4536" w14:textId="2DB3FB31" w:rsidR="0579C69B" w:rsidRDefault="0579C69B" w:rsidP="771DC6B5">
      <w:pPr>
        <w:pStyle w:val="FootnoteText"/>
        <w:rPr>
          <w:i/>
          <w:iCs/>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442-443</w:t>
      </w:r>
    </w:p>
  </w:footnote>
  <w:footnote w:id="95">
    <w:p w14:paraId="0E361906" w14:textId="7FCA9EB4"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444</w:t>
      </w:r>
    </w:p>
  </w:footnote>
  <w:footnote w:id="96">
    <w:p w14:paraId="1B2A791C" w14:textId="64E263F7" w:rsidR="5E08A7B7" w:rsidRDefault="5E08A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912</w:t>
      </w:r>
    </w:p>
  </w:footnote>
  <w:footnote w:id="97">
    <w:p w14:paraId="55D66577" w14:textId="2FAFDD2C" w:rsidR="132AC45A" w:rsidRDefault="132AC45A" w:rsidP="132AC45A">
      <w:pPr>
        <w:pStyle w:val="FootnoteText"/>
      </w:pPr>
      <w:r w:rsidRPr="132AC45A">
        <w:rPr>
          <w:rStyle w:val="FootnoteReference"/>
        </w:rPr>
        <w:footnoteRef/>
      </w:r>
      <w:r>
        <w:t xml:space="preserve"> Eur. </w:t>
      </w:r>
      <w:r w:rsidRPr="132AC45A">
        <w:rPr>
          <w:i/>
          <w:iCs/>
        </w:rPr>
        <w:t>And.</w:t>
      </w:r>
      <w:r w:rsidRPr="132AC45A">
        <w:t xml:space="preserve"> 262-263</w:t>
      </w:r>
    </w:p>
  </w:footnote>
  <w:footnote w:id="98">
    <w:p w14:paraId="56781A22" w14:textId="6CCBCECC" w:rsidR="132AC45A" w:rsidRDefault="132AC45A" w:rsidP="132AC45A">
      <w:pPr>
        <w:pStyle w:val="FootnoteText"/>
      </w:pPr>
      <w:r w:rsidRPr="132AC45A">
        <w:rPr>
          <w:rStyle w:val="FootnoteReference"/>
        </w:rPr>
        <w:footnoteRef/>
      </w:r>
      <w:r>
        <w:t xml:space="preserve"> Eur. </w:t>
      </w:r>
      <w:r w:rsidRPr="132AC45A">
        <w:rPr>
          <w:i/>
          <w:iCs/>
        </w:rPr>
        <w:t>And.</w:t>
      </w:r>
      <w:r w:rsidRPr="132AC45A">
        <w:t xml:space="preserve"> 941-942</w:t>
      </w:r>
    </w:p>
  </w:footnote>
  <w:footnote w:id="99">
    <w:p w14:paraId="0B5F8E83" w14:textId="1AE10389" w:rsidR="5E08A7B7" w:rsidRDefault="5E08A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982-987</w:t>
      </w:r>
    </w:p>
  </w:footnote>
  <w:footnote w:id="100">
    <w:p w14:paraId="25C2C573" w14:textId="07EC0B55"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Cairns 1993: 305</w:t>
      </w:r>
    </w:p>
  </w:footnote>
  <w:footnote w:id="101">
    <w:p w14:paraId="3147E2E1" w14:textId="0565A136" w:rsidR="0579C69B" w:rsidRDefault="0579C69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Eur. </w:t>
      </w:r>
      <w:r w:rsidRPr="771DC6B5">
        <w:rPr>
          <w:rFonts w:ascii="Times New Roman" w:eastAsia="Times New Roman" w:hAnsi="Times New Roman" w:cs="Times New Roman"/>
          <w:i/>
          <w:iCs/>
        </w:rPr>
        <w:t>And</w:t>
      </w:r>
      <w:r w:rsidRPr="6E68C4B0">
        <w:rPr>
          <w:rFonts w:ascii="Times New Roman" w:eastAsia="Times New Roman" w:hAnsi="Times New Roman" w:cs="Times New Roman"/>
        </w:rPr>
        <w:t xml:space="preserve">. 888-810 </w:t>
      </w:r>
    </w:p>
  </w:footnote>
  <w:footnote w:id="102">
    <w:p w14:paraId="007A0F08" w14:textId="30E08598" w:rsidR="48246923" w:rsidRDefault="4824692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106</w:t>
      </w:r>
    </w:p>
  </w:footnote>
  <w:footnote w:id="103">
    <w:p w14:paraId="418F3D41" w14:textId="274EDDCF" w:rsidR="48246923" w:rsidRDefault="4824692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837-840</w:t>
      </w:r>
    </w:p>
  </w:footnote>
  <w:footnote w:id="104">
    <w:p w14:paraId="69DEF45E" w14:textId="3804276A" w:rsidR="570FCE2B" w:rsidRDefault="570FCE2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104-107</w:t>
      </w:r>
    </w:p>
  </w:footnote>
  <w:footnote w:id="105">
    <w:p w14:paraId="354167CD" w14:textId="5C9ED142" w:rsidR="570FCE2B" w:rsidRDefault="570FCE2B"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918</w:t>
      </w:r>
    </w:p>
  </w:footnote>
  <w:footnote w:id="106">
    <w:p w14:paraId="3AB3AA06" w14:textId="3EF69036" w:rsidR="5E08A7B7" w:rsidRDefault="5E08A7B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930-938</w:t>
      </w:r>
    </w:p>
  </w:footnote>
  <w:footnote w:id="107">
    <w:p w14:paraId="4F992BBA" w14:textId="55593E43" w:rsidR="48246923" w:rsidRDefault="4824692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Cairns 1993: 304</w:t>
      </w:r>
    </w:p>
  </w:footnote>
  <w:footnote w:id="108">
    <w:p w14:paraId="1EBB512D" w14:textId="72AA0535" w:rsidR="48246923" w:rsidRDefault="4824692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804-815</w:t>
      </w:r>
    </w:p>
  </w:footnote>
  <w:footnote w:id="109">
    <w:p w14:paraId="5E60AF1E" w14:textId="62230B17" w:rsidR="48246923" w:rsidRDefault="4824692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106</w:t>
      </w:r>
    </w:p>
  </w:footnote>
  <w:footnote w:id="110">
    <w:p w14:paraId="1706BB3B" w14:textId="64BEABA0" w:rsidR="18C04F21" w:rsidRDefault="18C04F21" w:rsidP="18C04F21">
      <w:pPr>
        <w:pStyle w:val="FootnoteText"/>
      </w:pPr>
      <w:r w:rsidRPr="18C04F21">
        <w:rPr>
          <w:rStyle w:val="FootnoteReference"/>
          <w:rFonts w:ascii="Times New Roman" w:eastAsia="Times New Roman" w:hAnsi="Times New Roman" w:cs="Times New Roman"/>
        </w:rPr>
        <w:footnoteRef/>
      </w:r>
      <w:r w:rsidRPr="18C04F21">
        <w:rPr>
          <w:rFonts w:ascii="Times New Roman" w:eastAsia="Times New Roman" w:hAnsi="Times New Roman" w:cs="Times New Roman"/>
        </w:rPr>
        <w:t xml:space="preserve"> Allan 2000: 46</w:t>
      </w:r>
    </w:p>
  </w:footnote>
  <w:footnote w:id="111">
    <w:p w14:paraId="2533D99C" w14:textId="0286C370"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Lloyd 1994: 9</w:t>
      </w:r>
    </w:p>
  </w:footnote>
  <w:footnote w:id="112">
    <w:p w14:paraId="40088BB9" w14:textId="1736FA2E"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199</w:t>
      </w:r>
    </w:p>
  </w:footnote>
  <w:footnote w:id="113">
    <w:p w14:paraId="53DF130D" w14:textId="626AA0D7"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29-30</w:t>
      </w:r>
    </w:p>
  </w:footnote>
  <w:footnote w:id="114">
    <w:p w14:paraId="4CB12DE2" w14:textId="3D87C3A8" w:rsidR="132AC45A" w:rsidRDefault="132AC45A" w:rsidP="132AC45A">
      <w:pPr>
        <w:pStyle w:val="FootnoteText"/>
      </w:pPr>
      <w:r w:rsidRPr="132AC45A">
        <w:rPr>
          <w:rStyle w:val="FootnoteReference"/>
        </w:rPr>
        <w:footnoteRef/>
      </w:r>
      <w:r>
        <w:t xml:space="preserve"> Eur. </w:t>
      </w:r>
      <w:r w:rsidRPr="132AC45A">
        <w:rPr>
          <w:i/>
          <w:iCs/>
        </w:rPr>
        <w:t>And.</w:t>
      </w:r>
      <w:r w:rsidRPr="132AC45A">
        <w:t xml:space="preserve"> 936</w:t>
      </w:r>
    </w:p>
  </w:footnote>
  <w:footnote w:id="115">
    <w:p w14:paraId="37F69A6D" w14:textId="647FD7CB"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Storey 1989: 3</w:t>
      </w:r>
    </w:p>
  </w:footnote>
  <w:footnote w:id="116">
    <w:p w14:paraId="49916FA0" w14:textId="5F13CCC3"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23</w:t>
      </w:r>
    </w:p>
  </w:footnote>
  <w:footnote w:id="117">
    <w:p w14:paraId="7953DAEA" w14:textId="4B9661D5"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122</w:t>
      </w:r>
    </w:p>
  </w:footnote>
  <w:footnote w:id="118">
    <w:p w14:paraId="7724CF39" w14:textId="6117507E"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182</w:t>
      </w:r>
    </w:p>
  </w:footnote>
  <w:footnote w:id="119">
    <w:p w14:paraId="7AA419F2" w14:textId="2954A7BC"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Papadimitropoulos</w:t>
      </w:r>
      <w:proofErr w:type="spellEnd"/>
      <w:r w:rsidRPr="6E68C4B0">
        <w:rPr>
          <w:rFonts w:ascii="Times New Roman" w:eastAsia="Times New Roman" w:hAnsi="Times New Roman" w:cs="Times New Roman"/>
        </w:rPr>
        <w:t xml:space="preserve"> 2010: 150</w:t>
      </w:r>
    </w:p>
  </w:footnote>
  <w:footnote w:id="120">
    <w:p w14:paraId="05CA3F6D" w14:textId="7986B31D"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657-658</w:t>
      </w:r>
    </w:p>
  </w:footnote>
  <w:footnote w:id="121">
    <w:p w14:paraId="04791BB2" w14:textId="393EEB81"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209-212</w:t>
      </w:r>
    </w:p>
  </w:footnote>
  <w:footnote w:id="122">
    <w:p w14:paraId="0E4B43BB" w14:textId="318467DE" w:rsidR="593754D4" w:rsidRDefault="593754D4" w:rsidP="771DC6B5">
      <w:pPr>
        <w:pStyle w:val="FootnoteText"/>
        <w:rPr>
          <w:rFonts w:ascii="Calibri" w:eastAsia="Calibri" w:hAnsi="Calibri" w:cs="Calibri"/>
          <w:sz w:val="22"/>
          <w:szCs w:val="22"/>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771DC6B5">
        <w:rPr>
          <w:rFonts w:ascii="Times New Roman" w:eastAsia="Times New Roman" w:hAnsi="Times New Roman" w:cs="Times New Roman"/>
        </w:rPr>
        <w:t>Papadimitropoulos</w:t>
      </w:r>
      <w:proofErr w:type="spellEnd"/>
      <w:r w:rsidRPr="771DC6B5">
        <w:rPr>
          <w:rFonts w:ascii="Times New Roman" w:eastAsia="Times New Roman" w:hAnsi="Times New Roman" w:cs="Times New Roman"/>
        </w:rPr>
        <w:t xml:space="preserve"> 2010: 150</w:t>
      </w:r>
    </w:p>
  </w:footnote>
  <w:footnote w:id="123">
    <w:p w14:paraId="4C859E83" w14:textId="6156B4AB"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269</w:t>
      </w:r>
    </w:p>
  </w:footnote>
  <w:footnote w:id="124">
    <w:p w14:paraId="6709D59C" w14:textId="11F700B4" w:rsidR="1E668355" w:rsidRDefault="1E668355" w:rsidP="771DC6B5">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267-269</w:t>
      </w:r>
    </w:p>
  </w:footnote>
  <w:footnote w:id="125">
    <w:p w14:paraId="415EDA9B" w14:textId="59D4E2DF" w:rsidR="593754D4" w:rsidRDefault="593754D4" w:rsidP="771DC6B5">
      <w:pPr>
        <w:pStyle w:val="FootnoteText"/>
        <w:rPr>
          <w:rFonts w:ascii="Calibri" w:eastAsia="Calibri" w:hAnsi="Calibri" w:cs="Calibri"/>
          <w:sz w:val="22"/>
          <w:szCs w:val="22"/>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771DC6B5">
        <w:rPr>
          <w:rFonts w:ascii="Times New Roman" w:eastAsia="Times New Roman" w:hAnsi="Times New Roman" w:cs="Times New Roman"/>
        </w:rPr>
        <w:t>Papadimitropoulos</w:t>
      </w:r>
      <w:proofErr w:type="spellEnd"/>
      <w:r w:rsidRPr="771DC6B5">
        <w:rPr>
          <w:rFonts w:ascii="Times New Roman" w:eastAsia="Times New Roman" w:hAnsi="Times New Roman" w:cs="Times New Roman"/>
        </w:rPr>
        <w:t xml:space="preserve"> 2010: 155</w:t>
      </w:r>
    </w:p>
  </w:footnote>
  <w:footnote w:id="126">
    <w:p w14:paraId="411615DA" w14:textId="5ABA8C14"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183-231</w:t>
      </w:r>
    </w:p>
  </w:footnote>
  <w:footnote w:id="127">
    <w:p w14:paraId="58F20D5E" w14:textId="7EAD63A1"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29-30</w:t>
      </w:r>
    </w:p>
  </w:footnote>
  <w:footnote w:id="128">
    <w:p w14:paraId="079D9D58" w14:textId="21E5D01B" w:rsidR="425BF1E3" w:rsidRDefault="425BF1E3" w:rsidP="771DC6B5">
      <w:pPr>
        <w:pStyle w:val="FootnoteText"/>
        <w:rPr>
          <w:i/>
          <w:iCs/>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167</w:t>
      </w:r>
    </w:p>
  </w:footnote>
  <w:footnote w:id="129">
    <w:p w14:paraId="35903665" w14:textId="5858AD2F"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Xen. Lac. 1. 4</w:t>
      </w:r>
    </w:p>
  </w:footnote>
  <w:footnote w:id="130">
    <w:p w14:paraId="6408B6E5" w14:textId="065FBCCC"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35-37</w:t>
      </w:r>
    </w:p>
  </w:footnote>
  <w:footnote w:id="131">
    <w:p w14:paraId="539CCE43" w14:textId="519C385D"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382-420</w:t>
      </w:r>
    </w:p>
  </w:footnote>
  <w:footnote w:id="132">
    <w:p w14:paraId="518D4764" w14:textId="01E9D1D6"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421-425</w:t>
      </w:r>
    </w:p>
  </w:footnote>
  <w:footnote w:id="133">
    <w:p w14:paraId="7D2CD0F0" w14:textId="1AACB7C7"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48</w:t>
      </w:r>
    </w:p>
  </w:footnote>
  <w:footnote w:id="134">
    <w:p w14:paraId="234033F0" w14:textId="594DA1A8"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64</w:t>
      </w:r>
    </w:p>
  </w:footnote>
  <w:footnote w:id="135">
    <w:p w14:paraId="00BF0877" w14:textId="30A3DAB3"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89-90</w:t>
      </w:r>
    </w:p>
  </w:footnote>
  <w:footnote w:id="136">
    <w:p w14:paraId="20CFA64D" w14:textId="559C388E"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89</w:t>
      </w:r>
    </w:p>
  </w:footnote>
  <w:footnote w:id="137">
    <w:p w14:paraId="6E351444" w14:textId="0C1711B4"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57-58</w:t>
      </w:r>
    </w:p>
  </w:footnote>
  <w:footnote w:id="138">
    <w:p w14:paraId="410761B0" w14:textId="23C066F9" w:rsidR="593754D4" w:rsidRDefault="593754D4"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85</w:t>
      </w:r>
    </w:p>
  </w:footnote>
  <w:footnote w:id="139">
    <w:p w14:paraId="389A0D31" w14:textId="35C1143D"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271</w:t>
      </w:r>
    </w:p>
  </w:footnote>
  <w:footnote w:id="140">
    <w:p w14:paraId="6F7D015E" w14:textId="721FCF46"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201-202</w:t>
      </w:r>
    </w:p>
  </w:footnote>
  <w:footnote w:id="141">
    <w:p w14:paraId="7CC23828" w14:textId="7F4F7B85"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81</w:t>
      </w:r>
    </w:p>
  </w:footnote>
  <w:footnote w:id="142">
    <w:p w14:paraId="0F1FC1EE" w14:textId="0F2957BF"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171-174</w:t>
      </w:r>
    </w:p>
  </w:footnote>
  <w:footnote w:id="143">
    <w:p w14:paraId="1F55FC9D" w14:textId="2ADDDC67"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Jones 1991: xliv</w:t>
      </w:r>
    </w:p>
  </w:footnote>
  <w:footnote w:id="144">
    <w:p w14:paraId="203BB56F" w14:textId="51ABF367" w:rsidR="425BF1E3" w:rsidRDefault="425BF1E3" w:rsidP="771DC6B5">
      <w:pPr>
        <w:pStyle w:val="FootnoteText"/>
        <w:rPr>
          <w:i/>
          <w:iCs/>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Aesch</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Ag. </w:t>
      </w:r>
      <w:r w:rsidRPr="771DC6B5">
        <w:rPr>
          <w:rFonts w:ascii="Times New Roman" w:eastAsia="Times New Roman" w:hAnsi="Times New Roman" w:cs="Times New Roman"/>
        </w:rPr>
        <w:t xml:space="preserve">1343-1371 and Eur. </w:t>
      </w:r>
      <w:r w:rsidRPr="771DC6B5">
        <w:rPr>
          <w:rFonts w:ascii="Times New Roman" w:eastAsia="Times New Roman" w:hAnsi="Times New Roman" w:cs="Times New Roman"/>
          <w:i/>
          <w:iCs/>
        </w:rPr>
        <w:t>Med</w:t>
      </w:r>
      <w:r w:rsidRPr="771DC6B5">
        <w:rPr>
          <w:rFonts w:ascii="Times New Roman" w:eastAsia="Times New Roman" w:hAnsi="Times New Roman" w:cs="Times New Roman"/>
        </w:rPr>
        <w:t>. 1256-1285</w:t>
      </w:r>
    </w:p>
  </w:footnote>
  <w:footnote w:id="145">
    <w:p w14:paraId="53018F7D" w14:textId="4D46FAAB" w:rsidR="425BF1E3" w:rsidRDefault="425BF1E3"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166</w:t>
      </w:r>
    </w:p>
  </w:footnote>
  <w:footnote w:id="146">
    <w:p w14:paraId="7E006789" w14:textId="79E53A54"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187</w:t>
      </w:r>
    </w:p>
  </w:footnote>
  <w:footnote w:id="147">
    <w:p w14:paraId="17ED95E5" w14:textId="1C72482C"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Papadimitropoulos</w:t>
      </w:r>
      <w:proofErr w:type="spellEnd"/>
      <w:r w:rsidRPr="6E68C4B0">
        <w:rPr>
          <w:rFonts w:ascii="Times New Roman" w:eastAsia="Times New Roman" w:hAnsi="Times New Roman" w:cs="Times New Roman"/>
        </w:rPr>
        <w:t xml:space="preserve"> 2010: 148</w:t>
      </w:r>
    </w:p>
  </w:footnote>
  <w:footnote w:id="148">
    <w:p w14:paraId="4FE4D055" w14:textId="7154B745"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1251-1261</w:t>
      </w:r>
    </w:p>
  </w:footnote>
  <w:footnote w:id="149">
    <w:p w14:paraId="775B04AB" w14:textId="6789A55B"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Pomeroy 1975: 107</w:t>
      </w:r>
    </w:p>
  </w:footnote>
  <w:footnote w:id="150">
    <w:p w14:paraId="0AFEE3AD" w14:textId="0F4181E3"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222-225</w:t>
      </w:r>
    </w:p>
  </w:footnote>
  <w:footnote w:id="151">
    <w:p w14:paraId="71A4238D" w14:textId="7F5DF983"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Pomeroy 1975: 110</w:t>
      </w:r>
    </w:p>
  </w:footnote>
  <w:footnote w:id="152">
    <w:p w14:paraId="4B2AE786" w14:textId="62008919" w:rsidR="01C23E99" w:rsidRDefault="01C23E99" w:rsidP="771DC6B5">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467-472</w:t>
      </w:r>
    </w:p>
  </w:footnote>
  <w:footnote w:id="153">
    <w:p w14:paraId="00C325F4" w14:textId="17C132AB"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121</w:t>
      </w:r>
    </w:p>
  </w:footnote>
  <w:footnote w:id="154">
    <w:p w14:paraId="568BC40C" w14:textId="1EF66374"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Il.</w:t>
      </w:r>
      <w:r w:rsidRPr="771DC6B5">
        <w:rPr>
          <w:rFonts w:ascii="Times New Roman" w:eastAsia="Times New Roman" w:hAnsi="Times New Roman" w:cs="Times New Roman"/>
        </w:rPr>
        <w:t xml:space="preserve"> 9.447-463</w:t>
      </w:r>
    </w:p>
  </w:footnote>
  <w:footnote w:id="155">
    <w:p w14:paraId="52E6CE79" w14:textId="281E7E34"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Od.</w:t>
      </w:r>
      <w:r w:rsidRPr="771DC6B5">
        <w:rPr>
          <w:rFonts w:ascii="Times New Roman" w:eastAsia="Times New Roman" w:hAnsi="Times New Roman" w:cs="Times New Roman"/>
        </w:rPr>
        <w:t xml:space="preserve"> 1.433</w:t>
      </w:r>
    </w:p>
  </w:footnote>
  <w:footnote w:id="156">
    <w:p w14:paraId="68ECD060" w14:textId="041C0E3C"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Dem. 59. 22</w:t>
      </w:r>
    </w:p>
  </w:footnote>
  <w:footnote w:id="157">
    <w:p w14:paraId="7DF3A3B0" w14:textId="5F4A549C"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170</w:t>
      </w:r>
    </w:p>
  </w:footnote>
  <w:footnote w:id="158">
    <w:p w14:paraId="4FF43578" w14:textId="079B2876"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Ov</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Met.</w:t>
      </w:r>
      <w:r w:rsidRPr="771DC6B5">
        <w:rPr>
          <w:rFonts w:ascii="Times New Roman" w:eastAsia="Times New Roman" w:hAnsi="Times New Roman" w:cs="Times New Roman"/>
        </w:rPr>
        <w:t xml:space="preserve"> 6.537-538</w:t>
      </w:r>
    </w:p>
  </w:footnote>
  <w:footnote w:id="159">
    <w:p w14:paraId="240D9315" w14:textId="12FFCEE0"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169</w:t>
      </w:r>
    </w:p>
  </w:footnote>
  <w:footnote w:id="160">
    <w:p w14:paraId="477DCF21" w14:textId="4353E8CE"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Seaford 1990: 169</w:t>
      </w:r>
    </w:p>
  </w:footnote>
  <w:footnote w:id="161">
    <w:p w14:paraId="61A5CCB7" w14:textId="1A9D5D9A"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Harrison 1968: 13</w:t>
      </w:r>
    </w:p>
  </w:footnote>
  <w:footnote w:id="162">
    <w:p w14:paraId="0463B156" w14:textId="0DE5AFA4" w:rsidR="01C23E99" w:rsidRDefault="01C23E99" w:rsidP="771DC6B5">
      <w:pPr>
        <w:pStyle w:val="FootnoteText"/>
        <w:rPr>
          <w:i/>
          <w:iCs/>
        </w:rPr>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Hom</w:t>
      </w:r>
      <w:proofErr w:type="spellEnd"/>
      <w:r w:rsidRPr="6E68C4B0">
        <w:rPr>
          <w:rFonts w:ascii="Times New Roman" w:eastAsia="Times New Roman" w:hAnsi="Times New Roman" w:cs="Times New Roman"/>
        </w:rPr>
        <w:t xml:space="preserve">. </w:t>
      </w:r>
      <w:r w:rsidRPr="771DC6B5">
        <w:rPr>
          <w:rFonts w:ascii="Times New Roman" w:eastAsia="Times New Roman" w:hAnsi="Times New Roman" w:cs="Times New Roman"/>
          <w:i/>
          <w:iCs/>
        </w:rPr>
        <w:t>Od.</w:t>
      </w:r>
      <w:r w:rsidRPr="771DC6B5">
        <w:rPr>
          <w:rFonts w:ascii="Times New Roman" w:eastAsia="Times New Roman" w:hAnsi="Times New Roman" w:cs="Times New Roman"/>
        </w:rPr>
        <w:t xml:space="preserve"> 4.10-14</w:t>
      </w:r>
    </w:p>
  </w:footnote>
  <w:footnote w:id="163">
    <w:p w14:paraId="11D95325" w14:textId="2EC3EA68"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168</w:t>
      </w:r>
    </w:p>
  </w:footnote>
  <w:footnote w:id="164">
    <w:p w14:paraId="09614456" w14:textId="230E0950"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N. 47</w:t>
      </w:r>
    </w:p>
  </w:footnote>
  <w:footnote w:id="165">
    <w:p w14:paraId="7DFF7CED" w14:textId="3A88DD43"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Seaford 1990: 159-160</w:t>
      </w:r>
    </w:p>
  </w:footnote>
  <w:footnote w:id="166">
    <w:p w14:paraId="6F4C3731" w14:textId="6C03351B" w:rsidR="01C23E99" w:rsidRDefault="01C23E99"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Vernant</w:t>
      </w:r>
      <w:proofErr w:type="spellEnd"/>
      <w:r w:rsidRPr="6E68C4B0">
        <w:rPr>
          <w:rFonts w:ascii="Times New Roman" w:eastAsia="Times New Roman" w:hAnsi="Times New Roman" w:cs="Times New Roman"/>
        </w:rPr>
        <w:t xml:space="preserve"> 1980: 50</w:t>
      </w:r>
    </w:p>
  </w:footnote>
  <w:footnote w:id="167">
    <w:p w14:paraId="6962A65F" w14:textId="40A0D7F8"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Rutherford 1998: 4</w:t>
      </w:r>
    </w:p>
  </w:footnote>
  <w:footnote w:id="168">
    <w:p w14:paraId="652DAA79" w14:textId="2B97286E"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Papadimitropoulos</w:t>
      </w:r>
      <w:proofErr w:type="spellEnd"/>
      <w:r w:rsidRPr="6E68C4B0">
        <w:rPr>
          <w:rFonts w:ascii="Times New Roman" w:eastAsia="Times New Roman" w:hAnsi="Times New Roman" w:cs="Times New Roman"/>
        </w:rPr>
        <w:t xml:space="preserve"> 2010: 147</w:t>
      </w:r>
    </w:p>
  </w:footnote>
  <w:footnote w:id="169">
    <w:p w14:paraId="798C61C4" w14:textId="25DE052E"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McClure 1959: 159</w:t>
      </w:r>
    </w:p>
  </w:footnote>
  <w:footnote w:id="170">
    <w:p w14:paraId="358064A3" w14:textId="38EDEF5B"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1167-1168</w:t>
      </w:r>
    </w:p>
  </w:footnote>
  <w:footnote w:id="171">
    <w:p w14:paraId="6286F671" w14:textId="6AFA8958" w:rsidR="779D9E75" w:rsidRDefault="779D9E75" w:rsidP="596B1AD4">
      <w:pPr>
        <w:pStyle w:val="FootnoteText"/>
      </w:pPr>
      <w:r w:rsidRPr="596B1AD4">
        <w:rPr>
          <w:rStyle w:val="FootnoteReference"/>
          <w:rFonts w:ascii="Times New Roman" w:eastAsia="Times New Roman" w:hAnsi="Times New Roman" w:cs="Times New Roman"/>
        </w:rPr>
        <w:footnoteRef/>
      </w:r>
      <w:r w:rsidRPr="596B1AD4">
        <w:rPr>
          <w:rFonts w:ascii="Times New Roman" w:eastAsia="Times New Roman" w:hAnsi="Times New Roman" w:cs="Times New Roman"/>
        </w:rPr>
        <w:t xml:space="preserve"> </w:t>
      </w:r>
      <w:proofErr w:type="spellStart"/>
      <w:r w:rsidRPr="596B1AD4">
        <w:rPr>
          <w:rFonts w:ascii="Times New Roman" w:eastAsia="Times New Roman" w:hAnsi="Times New Roman" w:cs="Times New Roman"/>
        </w:rPr>
        <w:t>Kamerbeek</w:t>
      </w:r>
      <w:proofErr w:type="spellEnd"/>
      <w:r w:rsidRPr="596B1AD4">
        <w:rPr>
          <w:rFonts w:ascii="Times New Roman" w:eastAsia="Times New Roman" w:hAnsi="Times New Roman" w:cs="Times New Roman"/>
        </w:rPr>
        <w:t xml:space="preserve"> 1943: 62</w:t>
      </w:r>
    </w:p>
  </w:footnote>
  <w:footnote w:id="172">
    <w:p w14:paraId="14701918" w14:textId="18108F10" w:rsidR="779D9E75" w:rsidRDefault="779D9E75" w:rsidP="596B1AD4">
      <w:pPr>
        <w:pStyle w:val="FootnoteText"/>
      </w:pPr>
      <w:r w:rsidRPr="596B1AD4">
        <w:rPr>
          <w:rStyle w:val="FootnoteReference"/>
          <w:rFonts w:ascii="Times New Roman" w:eastAsia="Times New Roman" w:hAnsi="Times New Roman" w:cs="Times New Roman"/>
        </w:rPr>
        <w:footnoteRef/>
      </w:r>
      <w:r w:rsidRPr="596B1AD4">
        <w:rPr>
          <w:rFonts w:ascii="Times New Roman" w:eastAsia="Times New Roman" w:hAnsi="Times New Roman" w:cs="Times New Roman"/>
        </w:rPr>
        <w:t xml:space="preserve"> </w:t>
      </w:r>
      <w:proofErr w:type="spellStart"/>
      <w:r w:rsidRPr="596B1AD4">
        <w:rPr>
          <w:rFonts w:ascii="Times New Roman" w:eastAsia="Times New Roman" w:hAnsi="Times New Roman" w:cs="Times New Roman"/>
        </w:rPr>
        <w:t>Erbse</w:t>
      </w:r>
      <w:proofErr w:type="spellEnd"/>
      <w:r w:rsidRPr="596B1AD4">
        <w:rPr>
          <w:rFonts w:ascii="Times New Roman" w:eastAsia="Times New Roman" w:hAnsi="Times New Roman" w:cs="Times New Roman"/>
        </w:rPr>
        <w:t xml:space="preserve"> 1966: 297</w:t>
      </w:r>
    </w:p>
  </w:footnote>
  <w:footnote w:id="173">
    <w:p w14:paraId="71E79CE9" w14:textId="15F6BEA8" w:rsidR="1F83FE37" w:rsidRDefault="1F83FE37"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46</w:t>
      </w:r>
    </w:p>
  </w:footnote>
  <w:footnote w:id="174">
    <w:p w14:paraId="6D41DB3E" w14:textId="5EA4DD3A"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1045-1046</w:t>
      </w:r>
    </w:p>
  </w:footnote>
  <w:footnote w:id="175">
    <w:p w14:paraId="73451D7B" w14:textId="0448DCD6"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1049-1061</w:t>
      </w:r>
    </w:p>
  </w:footnote>
  <w:footnote w:id="176">
    <w:p w14:paraId="7F68300E" w14:textId="613403B8"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1189-1192</w:t>
      </w:r>
    </w:p>
  </w:footnote>
  <w:footnote w:id="177">
    <w:p w14:paraId="0EF98CD6" w14:textId="0F3062B0"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310</w:t>
      </w:r>
      <w:r w:rsidRPr="771DC6B5">
        <w:rPr>
          <w:rFonts w:ascii="Times New Roman" w:eastAsia="Times New Roman" w:hAnsi="Times New Roman" w:cs="Times New Roman"/>
          <w:i/>
          <w:iCs/>
        </w:rPr>
        <w:t xml:space="preserve">, </w:t>
      </w:r>
      <w:r w:rsidRPr="771DC6B5">
        <w:rPr>
          <w:rFonts w:ascii="Times New Roman" w:eastAsia="Times New Roman" w:hAnsi="Times New Roman" w:cs="Times New Roman"/>
        </w:rPr>
        <w:t>322, 369 and 442</w:t>
      </w:r>
    </w:p>
  </w:footnote>
  <w:footnote w:id="178">
    <w:p w14:paraId="0EC47C28" w14:textId="595E647A"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803-806 and 904-927</w:t>
      </w:r>
    </w:p>
  </w:footnote>
  <w:footnote w:id="179">
    <w:p w14:paraId="59BC506A" w14:textId="0C03DE7A"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Storey 1989: 1</w:t>
      </w:r>
    </w:p>
  </w:footnote>
  <w:footnote w:id="180">
    <w:p w14:paraId="350813FF" w14:textId="746607BC"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Chong-</w:t>
      </w:r>
      <w:proofErr w:type="spellStart"/>
      <w:r w:rsidRPr="6E68C4B0">
        <w:rPr>
          <w:rFonts w:ascii="Times New Roman" w:eastAsia="Times New Roman" w:hAnsi="Times New Roman" w:cs="Times New Roman"/>
        </w:rPr>
        <w:t>Gossard</w:t>
      </w:r>
      <w:proofErr w:type="spellEnd"/>
      <w:r w:rsidRPr="6E68C4B0">
        <w:rPr>
          <w:rFonts w:ascii="Times New Roman" w:eastAsia="Times New Roman" w:hAnsi="Times New Roman" w:cs="Times New Roman"/>
        </w:rPr>
        <w:t xml:space="preserve"> 2008: 83</w:t>
      </w:r>
    </w:p>
  </w:footnote>
  <w:footnote w:id="181">
    <w:p w14:paraId="79A282A0" w14:textId="7D724D10"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Grube 1941: 82</w:t>
      </w:r>
    </w:p>
  </w:footnote>
  <w:footnote w:id="182">
    <w:p w14:paraId="0AA52C21" w14:textId="33F563C4"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Allan 2000: 45</w:t>
      </w:r>
    </w:p>
  </w:footnote>
  <w:footnote w:id="183">
    <w:p w14:paraId="75A2C190" w14:textId="14ECE615"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w:t>
      </w:r>
      <w:proofErr w:type="spellStart"/>
      <w:r w:rsidRPr="6E68C4B0">
        <w:rPr>
          <w:rFonts w:ascii="Times New Roman" w:eastAsia="Times New Roman" w:hAnsi="Times New Roman" w:cs="Times New Roman"/>
        </w:rPr>
        <w:t>Kitto</w:t>
      </w:r>
      <w:proofErr w:type="spellEnd"/>
      <w:r w:rsidRPr="6E68C4B0">
        <w:rPr>
          <w:rFonts w:ascii="Times New Roman" w:eastAsia="Times New Roman" w:hAnsi="Times New Roman" w:cs="Times New Roman"/>
        </w:rPr>
        <w:t xml:space="preserve"> 1939: 230-231</w:t>
      </w:r>
    </w:p>
  </w:footnote>
  <w:footnote w:id="184">
    <w:p w14:paraId="301304B0" w14:textId="4C899051" w:rsidR="1E668355" w:rsidRDefault="1E668355"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MacDowell 1995: 253</w:t>
      </w:r>
    </w:p>
  </w:footnote>
  <w:footnote w:id="185">
    <w:p w14:paraId="03A4CFE8" w14:textId="0E29C06D" w:rsidR="6E68C4B0" w:rsidRDefault="6E68C4B0" w:rsidP="6E68C4B0">
      <w:pPr>
        <w:pStyle w:val="FootnoteText"/>
      </w:pPr>
      <w:r w:rsidRPr="6E68C4B0">
        <w:rPr>
          <w:rStyle w:val="FootnoteReference"/>
          <w:rFonts w:ascii="Times New Roman" w:eastAsia="Times New Roman" w:hAnsi="Times New Roman" w:cs="Times New Roman"/>
        </w:rPr>
        <w:footnoteRef/>
      </w:r>
      <w:r w:rsidRPr="6E68C4B0">
        <w:rPr>
          <w:rFonts w:ascii="Times New Roman" w:eastAsia="Times New Roman" w:hAnsi="Times New Roman" w:cs="Times New Roman"/>
        </w:rPr>
        <w:t xml:space="preserve"> Stevens 1971: 127</w:t>
      </w:r>
    </w:p>
  </w:footnote>
  <w:footnote w:id="186">
    <w:p w14:paraId="37F72BF5" w14:textId="598A5B62" w:rsidR="4A9BA538" w:rsidRDefault="4A9BA538"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Allan 2000: 6-7</w:t>
      </w:r>
    </w:p>
  </w:footnote>
  <w:footnote w:id="187">
    <w:p w14:paraId="3C5A7F67" w14:textId="22120B5B" w:rsidR="741EABE1" w:rsidRDefault="741EABE1"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Allan 2000: 19</w:t>
      </w:r>
    </w:p>
  </w:footnote>
  <w:footnote w:id="188">
    <w:p w14:paraId="53C043A5" w14:textId="47A98F75"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12-14</w:t>
      </w:r>
    </w:p>
  </w:footnote>
  <w:footnote w:id="189">
    <w:p w14:paraId="7ACDD23B" w14:textId="3DC9BAD7"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w:t>
      </w:r>
      <w:proofErr w:type="spellStart"/>
      <w:r w:rsidRPr="4A9BA538">
        <w:rPr>
          <w:rFonts w:ascii="Times New Roman" w:eastAsia="Times New Roman" w:hAnsi="Times New Roman" w:cs="Times New Roman"/>
        </w:rPr>
        <w:t>Hom</w:t>
      </w:r>
      <w:proofErr w:type="spellEnd"/>
      <w:r w:rsidRPr="4A9BA538">
        <w:rPr>
          <w:rFonts w:ascii="Times New Roman" w:eastAsia="Times New Roman" w:hAnsi="Times New Roman" w:cs="Times New Roman"/>
        </w:rPr>
        <w:t xml:space="preserve">. </w:t>
      </w:r>
      <w:r w:rsidRPr="771DC6B5">
        <w:rPr>
          <w:rFonts w:ascii="Times New Roman" w:eastAsia="Times New Roman" w:hAnsi="Times New Roman" w:cs="Times New Roman"/>
          <w:i/>
          <w:iCs/>
        </w:rPr>
        <w:t>Il.</w:t>
      </w:r>
      <w:r w:rsidRPr="771DC6B5">
        <w:rPr>
          <w:rFonts w:ascii="Times New Roman" w:eastAsia="Times New Roman" w:hAnsi="Times New Roman" w:cs="Times New Roman"/>
        </w:rPr>
        <w:t xml:space="preserve"> 3.171-175</w:t>
      </w:r>
    </w:p>
  </w:footnote>
  <w:footnote w:id="190">
    <w:p w14:paraId="7F19D4CF" w14:textId="34FF995B"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103 and 273</w:t>
      </w:r>
    </w:p>
  </w:footnote>
  <w:footnote w:id="191">
    <w:p w14:paraId="753255B0" w14:textId="0FFCB021"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275</w:t>
      </w:r>
    </w:p>
  </w:footnote>
  <w:footnote w:id="192">
    <w:p w14:paraId="5BAEB040" w14:textId="677FC91C" w:rsidR="4A9BA538" w:rsidRDefault="4A9BA538" w:rsidP="771DC6B5">
      <w:pPr>
        <w:pStyle w:val="FootnoteText"/>
        <w:rPr>
          <w:rFonts w:ascii="Times New Roman" w:eastAsia="Times New Roman" w:hAnsi="Times New Roman" w:cs="Times New Roman"/>
        </w:rPr>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122</w:t>
      </w:r>
    </w:p>
  </w:footnote>
  <w:footnote w:id="193">
    <w:p w14:paraId="500DE578" w14:textId="4E1E424A" w:rsidR="4A9BA538" w:rsidRDefault="4A9BA538"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Lloyd 1994: 122</w:t>
      </w:r>
    </w:p>
  </w:footnote>
  <w:footnote w:id="194">
    <w:p w14:paraId="252874BD" w14:textId="347E4478"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w:t>
      </w:r>
      <w:proofErr w:type="spellStart"/>
      <w:r w:rsidRPr="4A9BA538">
        <w:rPr>
          <w:rFonts w:ascii="Times New Roman" w:eastAsia="Times New Roman" w:hAnsi="Times New Roman" w:cs="Times New Roman"/>
        </w:rPr>
        <w:t>Hom</w:t>
      </w:r>
      <w:proofErr w:type="spellEnd"/>
      <w:r w:rsidRPr="4A9BA538">
        <w:rPr>
          <w:rFonts w:ascii="Times New Roman" w:eastAsia="Times New Roman" w:hAnsi="Times New Roman" w:cs="Times New Roman"/>
        </w:rPr>
        <w:t xml:space="preserve">. </w:t>
      </w:r>
      <w:r w:rsidRPr="771DC6B5">
        <w:rPr>
          <w:rFonts w:ascii="Times New Roman" w:eastAsia="Times New Roman" w:hAnsi="Times New Roman" w:cs="Times New Roman"/>
          <w:i/>
          <w:iCs/>
        </w:rPr>
        <w:t>Il.</w:t>
      </w:r>
      <w:r w:rsidRPr="771DC6B5">
        <w:rPr>
          <w:rFonts w:ascii="Times New Roman" w:eastAsia="Times New Roman" w:hAnsi="Times New Roman" w:cs="Times New Roman"/>
        </w:rPr>
        <w:t xml:space="preserve"> 22.361</w:t>
      </w:r>
      <w:r w:rsidRPr="4A9BA538">
        <w:rPr>
          <w:rFonts w:ascii="Times New Roman" w:eastAsia="Times New Roman" w:hAnsi="Times New Roman" w:cs="Times New Roman"/>
        </w:rPr>
        <w:t xml:space="preserve"> </w:t>
      </w:r>
    </w:p>
  </w:footnote>
  <w:footnote w:id="195">
    <w:p w14:paraId="27D466E6" w14:textId="1E333B8A" w:rsidR="6ECAA4A4" w:rsidRDefault="6ECAA4A4" w:rsidP="771DC6B5">
      <w:pPr>
        <w:pStyle w:val="FootnoteText"/>
        <w:rPr>
          <w:rFonts w:ascii="Times New Roman" w:eastAsia="Times New Roman" w:hAnsi="Times New Roman" w:cs="Times New Roman"/>
        </w:rPr>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w:t>
      </w:r>
      <w:proofErr w:type="spellStart"/>
      <w:r w:rsidRPr="4A9BA538">
        <w:rPr>
          <w:rFonts w:ascii="Times New Roman" w:eastAsia="Times New Roman" w:hAnsi="Times New Roman" w:cs="Times New Roman"/>
        </w:rPr>
        <w:t>Hom</w:t>
      </w:r>
      <w:proofErr w:type="spellEnd"/>
      <w:r w:rsidRPr="4A9BA538">
        <w:rPr>
          <w:rFonts w:ascii="Times New Roman" w:eastAsia="Times New Roman" w:hAnsi="Times New Roman" w:cs="Times New Roman"/>
        </w:rPr>
        <w:t xml:space="preserve">. </w:t>
      </w:r>
      <w:r w:rsidRPr="771DC6B5">
        <w:rPr>
          <w:rFonts w:ascii="Times New Roman" w:eastAsia="Times New Roman" w:hAnsi="Times New Roman" w:cs="Times New Roman"/>
          <w:i/>
          <w:iCs/>
        </w:rPr>
        <w:t xml:space="preserve">Il. </w:t>
      </w:r>
      <w:r w:rsidRPr="771DC6B5">
        <w:rPr>
          <w:rFonts w:ascii="Times New Roman" w:eastAsia="Times New Roman" w:hAnsi="Times New Roman" w:cs="Times New Roman"/>
        </w:rPr>
        <w:t>11.486-491</w:t>
      </w:r>
    </w:p>
  </w:footnote>
  <w:footnote w:id="196">
    <w:p w14:paraId="2D495331" w14:textId="1F5A1FDA"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TW. </w:t>
      </w:r>
      <w:r w:rsidRPr="771DC6B5">
        <w:rPr>
          <w:rFonts w:ascii="Times New Roman" w:eastAsia="Times New Roman" w:hAnsi="Times New Roman" w:cs="Times New Roman"/>
        </w:rPr>
        <w:t>40-47</w:t>
      </w:r>
      <w:r w:rsidRPr="4A9BA538">
        <w:rPr>
          <w:rFonts w:ascii="Times New Roman" w:eastAsia="Times New Roman" w:hAnsi="Times New Roman" w:cs="Times New Roman"/>
        </w:rPr>
        <w:t xml:space="preserve"> </w:t>
      </w:r>
    </w:p>
  </w:footnote>
  <w:footnote w:id="197">
    <w:p w14:paraId="7BDAAFCC" w14:textId="006DFA22"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1074</w:t>
      </w:r>
    </w:p>
  </w:footnote>
  <w:footnote w:id="198">
    <w:p w14:paraId="340E7E10" w14:textId="0E3F3E64"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1149</w:t>
      </w:r>
    </w:p>
  </w:footnote>
  <w:footnote w:id="199">
    <w:p w14:paraId="7D8300B5" w14:textId="79522831" w:rsidR="6ECAA4A4" w:rsidRDefault="6ECAA4A4"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1173-1187</w:t>
      </w:r>
      <w:r w:rsidRPr="4A9BA538">
        <w:rPr>
          <w:rFonts w:ascii="Times New Roman" w:eastAsia="Times New Roman" w:hAnsi="Times New Roman" w:cs="Times New Roman"/>
        </w:rPr>
        <w:t xml:space="preserve"> </w:t>
      </w:r>
    </w:p>
  </w:footnote>
  <w:footnote w:id="200">
    <w:p w14:paraId="77F79D8D" w14:textId="66870B36" w:rsidR="4A9BA538" w:rsidRDefault="4A9BA538"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w:t>
      </w:r>
      <w:proofErr w:type="spellStart"/>
      <w:r w:rsidRPr="4A9BA538">
        <w:rPr>
          <w:rFonts w:ascii="Times New Roman" w:eastAsia="Times New Roman" w:hAnsi="Times New Roman" w:cs="Times New Roman"/>
        </w:rPr>
        <w:t>Padadimitropoulos</w:t>
      </w:r>
      <w:proofErr w:type="spellEnd"/>
      <w:r w:rsidRPr="4A9BA538">
        <w:rPr>
          <w:rFonts w:ascii="Times New Roman" w:eastAsia="Times New Roman" w:hAnsi="Times New Roman" w:cs="Times New Roman"/>
        </w:rPr>
        <w:t xml:space="preserve"> 2010: 149</w:t>
      </w:r>
    </w:p>
  </w:footnote>
  <w:footnote w:id="201">
    <w:p w14:paraId="2AB5BED4" w14:textId="529DEDD2" w:rsidR="4A9BA538" w:rsidRDefault="4A9BA538"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Eur. </w:t>
      </w:r>
      <w:r w:rsidRPr="771DC6B5">
        <w:rPr>
          <w:rFonts w:ascii="Times New Roman" w:eastAsia="Times New Roman" w:hAnsi="Times New Roman" w:cs="Times New Roman"/>
          <w:i/>
          <w:iCs/>
        </w:rPr>
        <w:t xml:space="preserve">And. </w:t>
      </w:r>
      <w:r w:rsidRPr="771DC6B5">
        <w:rPr>
          <w:rFonts w:ascii="Times New Roman" w:eastAsia="Times New Roman" w:hAnsi="Times New Roman" w:cs="Times New Roman"/>
        </w:rPr>
        <w:t>959-961</w:t>
      </w:r>
    </w:p>
  </w:footnote>
  <w:footnote w:id="202">
    <w:p w14:paraId="4418FA31" w14:textId="58FF8983" w:rsidR="4A9BA538" w:rsidRDefault="4A9BA538" w:rsidP="4A9BA538">
      <w:pPr>
        <w:pStyle w:val="FootnoteText"/>
      </w:pPr>
      <w:r w:rsidRPr="4A9BA538">
        <w:rPr>
          <w:rStyle w:val="FootnoteReference"/>
          <w:rFonts w:ascii="Times New Roman" w:eastAsia="Times New Roman" w:hAnsi="Times New Roman" w:cs="Times New Roman"/>
        </w:rPr>
        <w:footnoteRef/>
      </w:r>
      <w:r w:rsidRPr="4A9BA538">
        <w:rPr>
          <w:rFonts w:ascii="Times New Roman" w:eastAsia="Times New Roman" w:hAnsi="Times New Roman" w:cs="Times New Roman"/>
        </w:rPr>
        <w:t xml:space="preserve"> Allan 2000: 205</w:t>
      </w:r>
    </w:p>
  </w:footnote>
  <w:footnote w:id="203">
    <w:p w14:paraId="7BB41C38" w14:textId="3DD158FC"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McClure 1959: 162</w:t>
      </w:r>
    </w:p>
  </w:footnote>
  <w:footnote w:id="204">
    <w:p w14:paraId="7D09E367" w14:textId="2D4A4AC3"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Eur. </w:t>
      </w:r>
      <w:r w:rsidRPr="771DC6B5">
        <w:rPr>
          <w:rFonts w:ascii="Times New Roman" w:eastAsia="Times New Roman" w:hAnsi="Times New Roman" w:cs="Times New Roman"/>
          <w:i/>
          <w:iCs/>
        </w:rPr>
        <w:t>And.</w:t>
      </w:r>
      <w:r w:rsidRPr="771DC6B5">
        <w:rPr>
          <w:rFonts w:ascii="Times New Roman" w:eastAsia="Times New Roman" w:hAnsi="Times New Roman" w:cs="Times New Roman"/>
        </w:rPr>
        <w:t xml:space="preserve"> 471-477</w:t>
      </w:r>
    </w:p>
  </w:footnote>
  <w:footnote w:id="205">
    <w:p w14:paraId="1301C52E" w14:textId="300EE564"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McClure 1959: 164</w:t>
      </w:r>
    </w:p>
  </w:footnote>
  <w:footnote w:id="206">
    <w:p w14:paraId="7FF467F1" w14:textId="2553329A" w:rsidR="132AC45A" w:rsidRDefault="132AC45A" w:rsidP="132AC45A">
      <w:pPr>
        <w:pStyle w:val="FootnoteText"/>
      </w:pPr>
      <w:r w:rsidRPr="132AC45A">
        <w:rPr>
          <w:rStyle w:val="FootnoteReference"/>
        </w:rPr>
        <w:footnoteRef/>
      </w:r>
      <w:r>
        <w:t xml:space="preserve"> Soph. </w:t>
      </w:r>
      <w:r w:rsidRPr="132AC45A">
        <w:rPr>
          <w:i/>
          <w:iCs/>
        </w:rPr>
        <w:t xml:space="preserve">Ant. </w:t>
      </w:r>
      <w:r w:rsidRPr="132AC45A">
        <w:t>204</w:t>
      </w:r>
    </w:p>
  </w:footnote>
  <w:footnote w:id="207">
    <w:p w14:paraId="2153ECDA" w14:textId="4C2BD58E"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Rabinowitz 1993: 14</w:t>
      </w:r>
    </w:p>
  </w:footnote>
  <w:footnote w:id="208">
    <w:p w14:paraId="0B5821A8" w14:textId="61B616AF"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Osbourne 1997: 32</w:t>
      </w:r>
    </w:p>
  </w:footnote>
  <w:footnote w:id="209">
    <w:p w14:paraId="6E5509BA" w14:textId="6A3F57AD" w:rsidR="4A9BA538" w:rsidRDefault="4A9BA538" w:rsidP="65681B5A">
      <w:pPr>
        <w:pStyle w:val="FootnoteText"/>
      </w:pPr>
      <w:r w:rsidRPr="65681B5A">
        <w:rPr>
          <w:rStyle w:val="FootnoteReference"/>
          <w:rFonts w:ascii="Times New Roman" w:eastAsia="Times New Roman" w:hAnsi="Times New Roman" w:cs="Times New Roman"/>
        </w:rPr>
        <w:footnoteRef/>
      </w:r>
      <w:r w:rsidRPr="65681B5A">
        <w:rPr>
          <w:rFonts w:ascii="Times New Roman" w:eastAsia="Times New Roman" w:hAnsi="Times New Roman" w:cs="Times New Roman"/>
        </w:rPr>
        <w:t xml:space="preserve"> </w:t>
      </w:r>
      <w:proofErr w:type="spellStart"/>
      <w:r w:rsidRPr="65681B5A">
        <w:rPr>
          <w:rFonts w:ascii="Times New Roman" w:eastAsia="Times New Roman" w:hAnsi="Times New Roman" w:cs="Times New Roman"/>
        </w:rPr>
        <w:t>Vernant</w:t>
      </w:r>
      <w:proofErr w:type="spellEnd"/>
      <w:r w:rsidRPr="65681B5A">
        <w:rPr>
          <w:rFonts w:ascii="Times New Roman" w:eastAsia="Times New Roman" w:hAnsi="Times New Roman" w:cs="Times New Roman"/>
        </w:rPr>
        <w:t xml:space="preserve"> 1980: 50</w:t>
      </w:r>
    </w:p>
  </w:footnote>
  <w:footnote w:id="210">
    <w:p w14:paraId="21E18F68" w14:textId="61FCA494" w:rsidR="5773D33F" w:rsidRDefault="5773D33F" w:rsidP="771DC6B5">
      <w:pPr>
        <w:pStyle w:val="FootnoteText"/>
      </w:pPr>
      <w:r w:rsidRPr="771DC6B5">
        <w:rPr>
          <w:rStyle w:val="FootnoteReference"/>
          <w:rFonts w:ascii="Times New Roman" w:eastAsia="Times New Roman" w:hAnsi="Times New Roman" w:cs="Times New Roman"/>
        </w:rPr>
        <w:footnoteRef/>
      </w:r>
      <w:r w:rsidRPr="771DC6B5">
        <w:rPr>
          <w:rFonts w:ascii="Times New Roman" w:eastAsia="Times New Roman" w:hAnsi="Times New Roman" w:cs="Times New Roman"/>
        </w:rPr>
        <w:t xml:space="preserve"> Eur. </w:t>
      </w:r>
      <w:proofErr w:type="spellStart"/>
      <w:r w:rsidRPr="771DC6B5">
        <w:rPr>
          <w:rFonts w:ascii="Times New Roman" w:eastAsia="Times New Roman" w:hAnsi="Times New Roman" w:cs="Times New Roman"/>
          <w:i/>
          <w:iCs/>
        </w:rPr>
        <w:t>Alope</w:t>
      </w:r>
      <w:proofErr w:type="spellEnd"/>
      <w:r w:rsidRPr="771DC6B5">
        <w:rPr>
          <w:rFonts w:ascii="Times New Roman" w:eastAsia="Times New Roman" w:hAnsi="Times New Roman" w:cs="Times New Roman"/>
        </w:rPr>
        <w:t>. Fr.108</w:t>
      </w:r>
    </w:p>
  </w:footnote>
  <w:footnote w:id="211">
    <w:p w14:paraId="5BDB854F" w14:textId="5ADD180A" w:rsidR="5773D33F" w:rsidRDefault="5773D33F" w:rsidP="771DC6B5">
      <w:pPr>
        <w:pStyle w:val="FootnoteText"/>
      </w:pPr>
      <w:r w:rsidRPr="771DC6B5">
        <w:rPr>
          <w:rStyle w:val="FootnoteReference"/>
          <w:rFonts w:ascii="Times New Roman" w:eastAsia="Times New Roman" w:hAnsi="Times New Roman" w:cs="Times New Roman"/>
        </w:rPr>
        <w:footnoteRef/>
      </w:r>
      <w:r w:rsidRPr="771DC6B5">
        <w:rPr>
          <w:rFonts w:ascii="Times New Roman" w:eastAsia="Times New Roman" w:hAnsi="Times New Roman" w:cs="Times New Roman"/>
        </w:rPr>
        <w:t xml:space="preserve"> Eur. </w:t>
      </w:r>
      <w:r w:rsidRPr="771DC6B5">
        <w:rPr>
          <w:rFonts w:ascii="Times New Roman" w:eastAsia="Times New Roman" w:hAnsi="Times New Roman" w:cs="Times New Roman"/>
          <w:i/>
          <w:iCs/>
        </w:rPr>
        <w:t>IT</w:t>
      </w:r>
      <w:r w:rsidRPr="771DC6B5">
        <w:rPr>
          <w:rFonts w:ascii="Times New Roman" w:eastAsia="Times New Roman" w:hAnsi="Times New Roman" w:cs="Times New Roman"/>
        </w:rPr>
        <w:t>. 1061-1062</w:t>
      </w:r>
    </w:p>
  </w:footnote>
  <w:footnote w:id="212">
    <w:p w14:paraId="47908AC9" w14:textId="18851D12" w:rsidR="771DC6B5" w:rsidRDefault="771DC6B5" w:rsidP="771DC6B5">
      <w:pPr>
        <w:pStyle w:val="FootnoteText"/>
      </w:pPr>
      <w:r w:rsidRPr="771DC6B5">
        <w:rPr>
          <w:rStyle w:val="FootnoteReference"/>
          <w:rFonts w:ascii="Times New Roman" w:eastAsia="Times New Roman" w:hAnsi="Times New Roman" w:cs="Times New Roman"/>
        </w:rPr>
        <w:footnoteRef/>
      </w:r>
      <w:r w:rsidRPr="771DC6B5">
        <w:rPr>
          <w:rFonts w:ascii="Times New Roman" w:eastAsia="Times New Roman" w:hAnsi="Times New Roman" w:cs="Times New Roman"/>
        </w:rPr>
        <w:t xml:space="preserve"> Chong-</w:t>
      </w:r>
      <w:proofErr w:type="spellStart"/>
      <w:r w:rsidRPr="771DC6B5">
        <w:rPr>
          <w:rFonts w:ascii="Times New Roman" w:eastAsia="Times New Roman" w:hAnsi="Times New Roman" w:cs="Times New Roman"/>
        </w:rPr>
        <w:t>Gossard</w:t>
      </w:r>
      <w:proofErr w:type="spellEnd"/>
      <w:r w:rsidRPr="771DC6B5">
        <w:rPr>
          <w:rFonts w:ascii="Times New Roman" w:eastAsia="Times New Roman" w:hAnsi="Times New Roman" w:cs="Times New Roman"/>
        </w:rPr>
        <w:t xml:space="preserve"> 2008: 242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E68C4B0" w14:paraId="5630B770" w14:textId="77777777" w:rsidTr="6E68C4B0">
      <w:tc>
        <w:tcPr>
          <w:tcW w:w="3009" w:type="dxa"/>
        </w:tcPr>
        <w:p w14:paraId="7E36DEAC" w14:textId="43466CD6" w:rsidR="6E68C4B0" w:rsidRDefault="6E68C4B0" w:rsidP="6E68C4B0">
          <w:pPr>
            <w:pStyle w:val="Header"/>
            <w:ind w:left="-115"/>
          </w:pPr>
        </w:p>
      </w:tc>
      <w:tc>
        <w:tcPr>
          <w:tcW w:w="3009" w:type="dxa"/>
        </w:tcPr>
        <w:p w14:paraId="62F44BD7" w14:textId="346D41F7" w:rsidR="6E68C4B0" w:rsidRDefault="6E68C4B0" w:rsidP="6E68C4B0">
          <w:pPr>
            <w:pStyle w:val="Header"/>
            <w:jc w:val="center"/>
          </w:pPr>
        </w:p>
      </w:tc>
      <w:tc>
        <w:tcPr>
          <w:tcW w:w="3009" w:type="dxa"/>
        </w:tcPr>
        <w:p w14:paraId="286A1A9D" w14:textId="2C6990AD" w:rsidR="6E68C4B0" w:rsidRDefault="6E68C4B0" w:rsidP="6E68C4B0">
          <w:pPr>
            <w:pStyle w:val="Header"/>
            <w:ind w:right="-115"/>
            <w:jc w:val="right"/>
          </w:pPr>
        </w:p>
      </w:tc>
    </w:tr>
  </w:tbl>
  <w:p w14:paraId="1A73DCBA" w14:textId="5B4A5C58" w:rsidR="6E68C4B0" w:rsidRDefault="6E68C4B0" w:rsidP="6E68C4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7783"/>
    <w:multiLevelType w:val="hybridMultilevel"/>
    <w:tmpl w:val="81704C86"/>
    <w:lvl w:ilvl="0" w:tplc="35E872A6">
      <w:start w:val="1"/>
      <w:numFmt w:val="bullet"/>
      <w:lvlText w:val=""/>
      <w:lvlJc w:val="left"/>
      <w:pPr>
        <w:ind w:left="720" w:hanging="360"/>
      </w:pPr>
      <w:rPr>
        <w:rFonts w:ascii="Symbol" w:hAnsi="Symbol" w:hint="default"/>
      </w:rPr>
    </w:lvl>
    <w:lvl w:ilvl="1" w:tplc="D5DC153E">
      <w:start w:val="1"/>
      <w:numFmt w:val="bullet"/>
      <w:lvlText w:val="o"/>
      <w:lvlJc w:val="left"/>
      <w:pPr>
        <w:ind w:left="1440" w:hanging="360"/>
      </w:pPr>
      <w:rPr>
        <w:rFonts w:ascii="Courier New" w:hAnsi="Courier New" w:hint="default"/>
      </w:rPr>
    </w:lvl>
    <w:lvl w:ilvl="2" w:tplc="70C6CA44">
      <w:start w:val="1"/>
      <w:numFmt w:val="bullet"/>
      <w:lvlText w:val=""/>
      <w:lvlJc w:val="left"/>
      <w:pPr>
        <w:ind w:left="2160" w:hanging="360"/>
      </w:pPr>
      <w:rPr>
        <w:rFonts w:ascii="Wingdings" w:hAnsi="Wingdings" w:hint="default"/>
      </w:rPr>
    </w:lvl>
    <w:lvl w:ilvl="3" w:tplc="2BB63220">
      <w:start w:val="1"/>
      <w:numFmt w:val="bullet"/>
      <w:lvlText w:val=""/>
      <w:lvlJc w:val="left"/>
      <w:pPr>
        <w:ind w:left="2880" w:hanging="360"/>
      </w:pPr>
      <w:rPr>
        <w:rFonts w:ascii="Symbol" w:hAnsi="Symbol" w:hint="default"/>
      </w:rPr>
    </w:lvl>
    <w:lvl w:ilvl="4" w:tplc="6504D376">
      <w:start w:val="1"/>
      <w:numFmt w:val="bullet"/>
      <w:lvlText w:val="o"/>
      <w:lvlJc w:val="left"/>
      <w:pPr>
        <w:ind w:left="3600" w:hanging="360"/>
      </w:pPr>
      <w:rPr>
        <w:rFonts w:ascii="Courier New" w:hAnsi="Courier New" w:hint="default"/>
      </w:rPr>
    </w:lvl>
    <w:lvl w:ilvl="5" w:tplc="00E4A1C6">
      <w:start w:val="1"/>
      <w:numFmt w:val="bullet"/>
      <w:lvlText w:val=""/>
      <w:lvlJc w:val="left"/>
      <w:pPr>
        <w:ind w:left="4320" w:hanging="360"/>
      </w:pPr>
      <w:rPr>
        <w:rFonts w:ascii="Wingdings" w:hAnsi="Wingdings" w:hint="default"/>
      </w:rPr>
    </w:lvl>
    <w:lvl w:ilvl="6" w:tplc="B7E2C70A">
      <w:start w:val="1"/>
      <w:numFmt w:val="bullet"/>
      <w:lvlText w:val=""/>
      <w:lvlJc w:val="left"/>
      <w:pPr>
        <w:ind w:left="5040" w:hanging="360"/>
      </w:pPr>
      <w:rPr>
        <w:rFonts w:ascii="Symbol" w:hAnsi="Symbol" w:hint="default"/>
      </w:rPr>
    </w:lvl>
    <w:lvl w:ilvl="7" w:tplc="7FD69630">
      <w:start w:val="1"/>
      <w:numFmt w:val="bullet"/>
      <w:lvlText w:val="o"/>
      <w:lvlJc w:val="left"/>
      <w:pPr>
        <w:ind w:left="5760" w:hanging="360"/>
      </w:pPr>
      <w:rPr>
        <w:rFonts w:ascii="Courier New" w:hAnsi="Courier New" w:hint="default"/>
      </w:rPr>
    </w:lvl>
    <w:lvl w:ilvl="8" w:tplc="5C1024A6">
      <w:start w:val="1"/>
      <w:numFmt w:val="bullet"/>
      <w:lvlText w:val=""/>
      <w:lvlJc w:val="left"/>
      <w:pPr>
        <w:ind w:left="6480" w:hanging="360"/>
      </w:pPr>
      <w:rPr>
        <w:rFonts w:ascii="Wingdings" w:hAnsi="Wingdings" w:hint="default"/>
      </w:rPr>
    </w:lvl>
  </w:abstractNum>
  <w:abstractNum w:abstractNumId="1" w15:restartNumberingAfterBreak="0">
    <w:nsid w:val="16E61B6A"/>
    <w:multiLevelType w:val="hybridMultilevel"/>
    <w:tmpl w:val="E4926E6E"/>
    <w:lvl w:ilvl="0" w:tplc="E1563DC4">
      <w:start w:val="1"/>
      <w:numFmt w:val="bullet"/>
      <w:lvlText w:val=""/>
      <w:lvlJc w:val="left"/>
      <w:pPr>
        <w:ind w:left="720" w:hanging="360"/>
      </w:pPr>
      <w:rPr>
        <w:rFonts w:ascii="Symbol" w:hAnsi="Symbol" w:hint="default"/>
      </w:rPr>
    </w:lvl>
    <w:lvl w:ilvl="1" w:tplc="E5C8B602">
      <w:start w:val="1"/>
      <w:numFmt w:val="bullet"/>
      <w:lvlText w:val="o"/>
      <w:lvlJc w:val="left"/>
      <w:pPr>
        <w:ind w:left="1440" w:hanging="360"/>
      </w:pPr>
      <w:rPr>
        <w:rFonts w:ascii="Courier New" w:hAnsi="Courier New" w:hint="default"/>
      </w:rPr>
    </w:lvl>
    <w:lvl w:ilvl="2" w:tplc="FE489E50">
      <w:start w:val="1"/>
      <w:numFmt w:val="bullet"/>
      <w:lvlText w:val=""/>
      <w:lvlJc w:val="left"/>
      <w:pPr>
        <w:ind w:left="2160" w:hanging="360"/>
      </w:pPr>
      <w:rPr>
        <w:rFonts w:ascii="Wingdings" w:hAnsi="Wingdings" w:hint="default"/>
      </w:rPr>
    </w:lvl>
    <w:lvl w:ilvl="3" w:tplc="D4B01CEE">
      <w:start w:val="1"/>
      <w:numFmt w:val="bullet"/>
      <w:lvlText w:val=""/>
      <w:lvlJc w:val="left"/>
      <w:pPr>
        <w:ind w:left="2880" w:hanging="360"/>
      </w:pPr>
      <w:rPr>
        <w:rFonts w:ascii="Symbol" w:hAnsi="Symbol" w:hint="default"/>
      </w:rPr>
    </w:lvl>
    <w:lvl w:ilvl="4" w:tplc="245AE3BA">
      <w:start w:val="1"/>
      <w:numFmt w:val="bullet"/>
      <w:lvlText w:val="o"/>
      <w:lvlJc w:val="left"/>
      <w:pPr>
        <w:ind w:left="3600" w:hanging="360"/>
      </w:pPr>
      <w:rPr>
        <w:rFonts w:ascii="Courier New" w:hAnsi="Courier New" w:hint="default"/>
      </w:rPr>
    </w:lvl>
    <w:lvl w:ilvl="5" w:tplc="DDB2B630">
      <w:start w:val="1"/>
      <w:numFmt w:val="bullet"/>
      <w:lvlText w:val=""/>
      <w:lvlJc w:val="left"/>
      <w:pPr>
        <w:ind w:left="4320" w:hanging="360"/>
      </w:pPr>
      <w:rPr>
        <w:rFonts w:ascii="Wingdings" w:hAnsi="Wingdings" w:hint="default"/>
      </w:rPr>
    </w:lvl>
    <w:lvl w:ilvl="6" w:tplc="0818DC80">
      <w:start w:val="1"/>
      <w:numFmt w:val="bullet"/>
      <w:lvlText w:val=""/>
      <w:lvlJc w:val="left"/>
      <w:pPr>
        <w:ind w:left="5040" w:hanging="360"/>
      </w:pPr>
      <w:rPr>
        <w:rFonts w:ascii="Symbol" w:hAnsi="Symbol" w:hint="default"/>
      </w:rPr>
    </w:lvl>
    <w:lvl w:ilvl="7" w:tplc="A964F878">
      <w:start w:val="1"/>
      <w:numFmt w:val="bullet"/>
      <w:lvlText w:val="o"/>
      <w:lvlJc w:val="left"/>
      <w:pPr>
        <w:ind w:left="5760" w:hanging="360"/>
      </w:pPr>
      <w:rPr>
        <w:rFonts w:ascii="Courier New" w:hAnsi="Courier New" w:hint="default"/>
      </w:rPr>
    </w:lvl>
    <w:lvl w:ilvl="8" w:tplc="CF6E6C94">
      <w:start w:val="1"/>
      <w:numFmt w:val="bullet"/>
      <w:lvlText w:val=""/>
      <w:lvlJc w:val="left"/>
      <w:pPr>
        <w:ind w:left="6480" w:hanging="360"/>
      </w:pPr>
      <w:rPr>
        <w:rFonts w:ascii="Wingdings" w:hAnsi="Wingdings" w:hint="default"/>
      </w:rPr>
    </w:lvl>
  </w:abstractNum>
  <w:abstractNum w:abstractNumId="2" w15:restartNumberingAfterBreak="0">
    <w:nsid w:val="329A0266"/>
    <w:multiLevelType w:val="hybridMultilevel"/>
    <w:tmpl w:val="6534E144"/>
    <w:lvl w:ilvl="0" w:tplc="A09C21FC">
      <w:start w:val="1"/>
      <w:numFmt w:val="bullet"/>
      <w:lvlText w:val=""/>
      <w:lvlJc w:val="left"/>
      <w:pPr>
        <w:ind w:left="720" w:hanging="360"/>
      </w:pPr>
      <w:rPr>
        <w:rFonts w:ascii="Symbol" w:hAnsi="Symbol" w:hint="default"/>
      </w:rPr>
    </w:lvl>
    <w:lvl w:ilvl="1" w:tplc="042A2CFC">
      <w:start w:val="1"/>
      <w:numFmt w:val="bullet"/>
      <w:lvlText w:val="o"/>
      <w:lvlJc w:val="left"/>
      <w:pPr>
        <w:ind w:left="1440" w:hanging="360"/>
      </w:pPr>
      <w:rPr>
        <w:rFonts w:ascii="Courier New" w:hAnsi="Courier New" w:hint="default"/>
      </w:rPr>
    </w:lvl>
    <w:lvl w:ilvl="2" w:tplc="09F41112">
      <w:start w:val="1"/>
      <w:numFmt w:val="bullet"/>
      <w:lvlText w:val=""/>
      <w:lvlJc w:val="left"/>
      <w:pPr>
        <w:ind w:left="2160" w:hanging="360"/>
      </w:pPr>
      <w:rPr>
        <w:rFonts w:ascii="Wingdings" w:hAnsi="Wingdings" w:hint="default"/>
      </w:rPr>
    </w:lvl>
    <w:lvl w:ilvl="3" w:tplc="3030EB9E">
      <w:start w:val="1"/>
      <w:numFmt w:val="bullet"/>
      <w:lvlText w:val=""/>
      <w:lvlJc w:val="left"/>
      <w:pPr>
        <w:ind w:left="2880" w:hanging="360"/>
      </w:pPr>
      <w:rPr>
        <w:rFonts w:ascii="Symbol" w:hAnsi="Symbol" w:hint="default"/>
      </w:rPr>
    </w:lvl>
    <w:lvl w:ilvl="4" w:tplc="C7242EC2">
      <w:start w:val="1"/>
      <w:numFmt w:val="bullet"/>
      <w:lvlText w:val="o"/>
      <w:lvlJc w:val="left"/>
      <w:pPr>
        <w:ind w:left="3600" w:hanging="360"/>
      </w:pPr>
      <w:rPr>
        <w:rFonts w:ascii="Courier New" w:hAnsi="Courier New" w:hint="default"/>
      </w:rPr>
    </w:lvl>
    <w:lvl w:ilvl="5" w:tplc="1436AED8">
      <w:start w:val="1"/>
      <w:numFmt w:val="bullet"/>
      <w:lvlText w:val=""/>
      <w:lvlJc w:val="left"/>
      <w:pPr>
        <w:ind w:left="4320" w:hanging="360"/>
      </w:pPr>
      <w:rPr>
        <w:rFonts w:ascii="Wingdings" w:hAnsi="Wingdings" w:hint="default"/>
      </w:rPr>
    </w:lvl>
    <w:lvl w:ilvl="6" w:tplc="1B3E8C0A">
      <w:start w:val="1"/>
      <w:numFmt w:val="bullet"/>
      <w:lvlText w:val=""/>
      <w:lvlJc w:val="left"/>
      <w:pPr>
        <w:ind w:left="5040" w:hanging="360"/>
      </w:pPr>
      <w:rPr>
        <w:rFonts w:ascii="Symbol" w:hAnsi="Symbol" w:hint="default"/>
      </w:rPr>
    </w:lvl>
    <w:lvl w:ilvl="7" w:tplc="CB5AE0A2">
      <w:start w:val="1"/>
      <w:numFmt w:val="bullet"/>
      <w:lvlText w:val="o"/>
      <w:lvlJc w:val="left"/>
      <w:pPr>
        <w:ind w:left="5760" w:hanging="360"/>
      </w:pPr>
      <w:rPr>
        <w:rFonts w:ascii="Courier New" w:hAnsi="Courier New" w:hint="default"/>
      </w:rPr>
    </w:lvl>
    <w:lvl w:ilvl="8" w:tplc="656EA40C">
      <w:start w:val="1"/>
      <w:numFmt w:val="bullet"/>
      <w:lvlText w:val=""/>
      <w:lvlJc w:val="left"/>
      <w:pPr>
        <w:ind w:left="6480" w:hanging="360"/>
      </w:pPr>
      <w:rPr>
        <w:rFonts w:ascii="Wingdings" w:hAnsi="Wingdings" w:hint="default"/>
      </w:rPr>
    </w:lvl>
  </w:abstractNum>
  <w:abstractNum w:abstractNumId="3" w15:restartNumberingAfterBreak="0">
    <w:nsid w:val="7F8F7602"/>
    <w:multiLevelType w:val="hybridMultilevel"/>
    <w:tmpl w:val="D6564864"/>
    <w:lvl w:ilvl="0" w:tplc="87EA86DC">
      <w:start w:val="1"/>
      <w:numFmt w:val="bullet"/>
      <w:lvlText w:val=""/>
      <w:lvlJc w:val="left"/>
      <w:pPr>
        <w:ind w:left="720" w:hanging="360"/>
      </w:pPr>
      <w:rPr>
        <w:rFonts w:ascii="Symbol" w:hAnsi="Symbol" w:hint="default"/>
      </w:rPr>
    </w:lvl>
    <w:lvl w:ilvl="1" w:tplc="49D6FAA6">
      <w:start w:val="1"/>
      <w:numFmt w:val="bullet"/>
      <w:lvlText w:val="o"/>
      <w:lvlJc w:val="left"/>
      <w:pPr>
        <w:ind w:left="1440" w:hanging="360"/>
      </w:pPr>
      <w:rPr>
        <w:rFonts w:ascii="Courier New" w:hAnsi="Courier New" w:hint="default"/>
      </w:rPr>
    </w:lvl>
    <w:lvl w:ilvl="2" w:tplc="5AE2F838">
      <w:start w:val="1"/>
      <w:numFmt w:val="bullet"/>
      <w:lvlText w:val=""/>
      <w:lvlJc w:val="left"/>
      <w:pPr>
        <w:ind w:left="2160" w:hanging="360"/>
      </w:pPr>
      <w:rPr>
        <w:rFonts w:ascii="Wingdings" w:hAnsi="Wingdings" w:hint="default"/>
      </w:rPr>
    </w:lvl>
    <w:lvl w:ilvl="3" w:tplc="370E74F8">
      <w:start w:val="1"/>
      <w:numFmt w:val="bullet"/>
      <w:lvlText w:val=""/>
      <w:lvlJc w:val="left"/>
      <w:pPr>
        <w:ind w:left="2880" w:hanging="360"/>
      </w:pPr>
      <w:rPr>
        <w:rFonts w:ascii="Symbol" w:hAnsi="Symbol" w:hint="default"/>
      </w:rPr>
    </w:lvl>
    <w:lvl w:ilvl="4" w:tplc="CF72C13A">
      <w:start w:val="1"/>
      <w:numFmt w:val="bullet"/>
      <w:lvlText w:val="o"/>
      <w:lvlJc w:val="left"/>
      <w:pPr>
        <w:ind w:left="3600" w:hanging="360"/>
      </w:pPr>
      <w:rPr>
        <w:rFonts w:ascii="Courier New" w:hAnsi="Courier New" w:hint="default"/>
      </w:rPr>
    </w:lvl>
    <w:lvl w:ilvl="5" w:tplc="736C7FA8">
      <w:start w:val="1"/>
      <w:numFmt w:val="bullet"/>
      <w:lvlText w:val=""/>
      <w:lvlJc w:val="left"/>
      <w:pPr>
        <w:ind w:left="4320" w:hanging="360"/>
      </w:pPr>
      <w:rPr>
        <w:rFonts w:ascii="Wingdings" w:hAnsi="Wingdings" w:hint="default"/>
      </w:rPr>
    </w:lvl>
    <w:lvl w:ilvl="6" w:tplc="F49CA536">
      <w:start w:val="1"/>
      <w:numFmt w:val="bullet"/>
      <w:lvlText w:val=""/>
      <w:lvlJc w:val="left"/>
      <w:pPr>
        <w:ind w:left="5040" w:hanging="360"/>
      </w:pPr>
      <w:rPr>
        <w:rFonts w:ascii="Symbol" w:hAnsi="Symbol" w:hint="default"/>
      </w:rPr>
    </w:lvl>
    <w:lvl w:ilvl="7" w:tplc="B52494DE">
      <w:start w:val="1"/>
      <w:numFmt w:val="bullet"/>
      <w:lvlText w:val="o"/>
      <w:lvlJc w:val="left"/>
      <w:pPr>
        <w:ind w:left="5760" w:hanging="360"/>
      </w:pPr>
      <w:rPr>
        <w:rFonts w:ascii="Courier New" w:hAnsi="Courier New" w:hint="default"/>
      </w:rPr>
    </w:lvl>
    <w:lvl w:ilvl="8" w:tplc="87AC5640">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647DCC"/>
    <w:rsid w:val="00217742"/>
    <w:rsid w:val="00296D7D"/>
    <w:rsid w:val="00762282"/>
    <w:rsid w:val="008805C3"/>
    <w:rsid w:val="00B76F4D"/>
    <w:rsid w:val="00CC3A6B"/>
    <w:rsid w:val="0183CB8E"/>
    <w:rsid w:val="01C23E99"/>
    <w:rsid w:val="0579C69B"/>
    <w:rsid w:val="09F6F64B"/>
    <w:rsid w:val="0E9B7248"/>
    <w:rsid w:val="1091CF03"/>
    <w:rsid w:val="1130C7B7"/>
    <w:rsid w:val="1275C26A"/>
    <w:rsid w:val="132AC45A"/>
    <w:rsid w:val="18C04F21"/>
    <w:rsid w:val="18F503EB"/>
    <w:rsid w:val="1AE869D8"/>
    <w:rsid w:val="1E668355"/>
    <w:rsid w:val="1F83FE37"/>
    <w:rsid w:val="20E4B623"/>
    <w:rsid w:val="21C5731E"/>
    <w:rsid w:val="223ED02C"/>
    <w:rsid w:val="31205D37"/>
    <w:rsid w:val="34EB97B0"/>
    <w:rsid w:val="37DAA508"/>
    <w:rsid w:val="402762C4"/>
    <w:rsid w:val="425BF1E3"/>
    <w:rsid w:val="43FC1105"/>
    <w:rsid w:val="48246923"/>
    <w:rsid w:val="4A9BA538"/>
    <w:rsid w:val="4C647DCC"/>
    <w:rsid w:val="50A80B8B"/>
    <w:rsid w:val="55461449"/>
    <w:rsid w:val="570FCE2B"/>
    <w:rsid w:val="5773D33F"/>
    <w:rsid w:val="57E875F5"/>
    <w:rsid w:val="593754D4"/>
    <w:rsid w:val="596B1AD4"/>
    <w:rsid w:val="5E08A7B7"/>
    <w:rsid w:val="65681B5A"/>
    <w:rsid w:val="6659FEEF"/>
    <w:rsid w:val="6C2F0F7D"/>
    <w:rsid w:val="6C550CB3"/>
    <w:rsid w:val="6E68C4B0"/>
    <w:rsid w:val="6ECAA4A4"/>
    <w:rsid w:val="73B3D581"/>
    <w:rsid w:val="741EABE1"/>
    <w:rsid w:val="771DC6B5"/>
    <w:rsid w:val="779D9E75"/>
    <w:rsid w:val="7822D796"/>
    <w:rsid w:val="7AEEE5B4"/>
    <w:rsid w:val="7D514CA8"/>
    <w:rsid w:val="7E74C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47DCC"/>
  <w15:chartTrackingRefBased/>
  <w15:docId w15:val="{B0F5CA91-C4C6-4383-89AD-8726F00C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5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77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8805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774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7742"/>
    <w:pPr>
      <w:outlineLvl w:val="9"/>
    </w:pPr>
    <w:rPr>
      <w:lang w:val="en-US"/>
    </w:rPr>
  </w:style>
  <w:style w:type="paragraph" w:styleId="TOC1">
    <w:name w:val="toc 1"/>
    <w:basedOn w:val="Normal"/>
    <w:next w:val="Normal"/>
    <w:autoRedefine/>
    <w:uiPriority w:val="39"/>
    <w:unhideWhenUsed/>
    <w:rsid w:val="00217742"/>
    <w:pPr>
      <w:spacing w:after="100"/>
    </w:pPr>
  </w:style>
  <w:style w:type="character" w:styleId="Hyperlink">
    <w:name w:val="Hyperlink"/>
    <w:basedOn w:val="DefaultParagraphFont"/>
    <w:uiPriority w:val="99"/>
    <w:unhideWhenUsed/>
    <w:rsid w:val="00217742"/>
    <w:rPr>
      <w:color w:val="0563C1" w:themeColor="hyperlink"/>
      <w:u w:val="single"/>
    </w:rPr>
  </w:style>
  <w:style w:type="paragraph" w:styleId="IntenseQuote">
    <w:name w:val="Intense Quote"/>
    <w:basedOn w:val="Normal"/>
    <w:next w:val="Normal"/>
    <w:link w:val="IntenseQuoteChar"/>
    <w:uiPriority w:val="30"/>
    <w:qFormat/>
    <w:rsid w:val="00296D7D"/>
    <w:pPr>
      <w:pBdr>
        <w:top w:val="single" w:sz="4" w:space="10" w:color="4472C4" w:themeColor="accent1"/>
        <w:bottom w:val="single" w:sz="4" w:space="10" w:color="4472C4" w:themeColor="accent1"/>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296D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2D9AF-51A7-446E-B4E1-A83C4E6E0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9675</Words>
  <Characters>55153</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 (1500787)</dc:creator>
  <cp:keywords/>
  <dc:description/>
  <cp:lastModifiedBy>Bradley McGregor</cp:lastModifiedBy>
  <cp:revision>2</cp:revision>
  <dcterms:created xsi:type="dcterms:W3CDTF">2019-05-03T20:37:00Z</dcterms:created>
  <dcterms:modified xsi:type="dcterms:W3CDTF">2019-05-03T20:37:00Z</dcterms:modified>
</cp:coreProperties>
</file>