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right" w:tblpY="1010"/>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1"/>
        <w:gridCol w:w="3291"/>
        <w:gridCol w:w="4533"/>
      </w:tblGrid>
      <w:tr w:rsidR="000346A3" w:rsidRPr="000346A3" w14:paraId="746860A3" w14:textId="77777777" w:rsidTr="000346A3">
        <w:tc>
          <w:tcPr>
            <w:tcW w:w="2091" w:type="dxa"/>
            <w:tcBorders>
              <w:top w:val="single" w:sz="4" w:space="0" w:color="auto"/>
              <w:left w:val="single" w:sz="4" w:space="0" w:color="auto"/>
              <w:bottom w:val="single" w:sz="4" w:space="0" w:color="auto"/>
              <w:right w:val="single" w:sz="4" w:space="0" w:color="auto"/>
            </w:tcBorders>
            <w:shd w:val="pct15" w:color="auto" w:fill="auto"/>
            <w:hideMark/>
          </w:tcPr>
          <w:p w14:paraId="580D3708" w14:textId="77777777" w:rsidR="000346A3" w:rsidRPr="000346A3" w:rsidRDefault="000346A3" w:rsidP="000346A3">
            <w:pPr>
              <w:rPr>
                <w:b/>
              </w:rPr>
            </w:pPr>
            <w:r w:rsidRPr="000346A3">
              <w:rPr>
                <w:b/>
              </w:rPr>
              <w:t>Programme:</w:t>
            </w:r>
          </w:p>
        </w:tc>
        <w:tc>
          <w:tcPr>
            <w:tcW w:w="7824" w:type="dxa"/>
            <w:gridSpan w:val="2"/>
            <w:tcBorders>
              <w:top w:val="single" w:sz="4" w:space="0" w:color="auto"/>
              <w:left w:val="single" w:sz="4" w:space="0" w:color="auto"/>
              <w:bottom w:val="single" w:sz="4" w:space="0" w:color="auto"/>
              <w:right w:val="single" w:sz="4" w:space="0" w:color="auto"/>
            </w:tcBorders>
            <w:hideMark/>
          </w:tcPr>
          <w:p w14:paraId="0E0517A2" w14:textId="77777777" w:rsidR="000346A3" w:rsidRPr="000346A3" w:rsidRDefault="000346A3" w:rsidP="000346A3">
            <w:pPr>
              <w:rPr>
                <w:b/>
              </w:rPr>
            </w:pPr>
            <w:r w:rsidRPr="000346A3">
              <w:rPr>
                <w:b/>
              </w:rPr>
              <w:t>BSc Health and Social Care</w:t>
            </w:r>
          </w:p>
        </w:tc>
      </w:tr>
      <w:tr w:rsidR="000346A3" w:rsidRPr="000346A3" w14:paraId="4FCC0EB8" w14:textId="77777777" w:rsidTr="000346A3">
        <w:tc>
          <w:tcPr>
            <w:tcW w:w="2091" w:type="dxa"/>
            <w:tcBorders>
              <w:top w:val="single" w:sz="4" w:space="0" w:color="auto"/>
              <w:left w:val="single" w:sz="4" w:space="0" w:color="auto"/>
              <w:bottom w:val="single" w:sz="4" w:space="0" w:color="auto"/>
              <w:right w:val="single" w:sz="4" w:space="0" w:color="auto"/>
            </w:tcBorders>
            <w:shd w:val="pct15" w:color="auto" w:fill="auto"/>
          </w:tcPr>
          <w:p w14:paraId="11F36C05" w14:textId="1C67D937" w:rsidR="000346A3" w:rsidRPr="000346A3" w:rsidRDefault="000346A3" w:rsidP="000346A3">
            <w:pPr>
              <w:rPr>
                <w:b/>
              </w:rPr>
            </w:pPr>
            <w:r w:rsidRPr="000346A3">
              <w:rPr>
                <w:b/>
              </w:rPr>
              <w:t>Module:</w:t>
            </w:r>
          </w:p>
        </w:tc>
        <w:tc>
          <w:tcPr>
            <w:tcW w:w="7824" w:type="dxa"/>
            <w:gridSpan w:val="2"/>
            <w:tcBorders>
              <w:top w:val="single" w:sz="4" w:space="0" w:color="auto"/>
              <w:left w:val="single" w:sz="4" w:space="0" w:color="auto"/>
              <w:bottom w:val="single" w:sz="4" w:space="0" w:color="auto"/>
              <w:right w:val="single" w:sz="4" w:space="0" w:color="auto"/>
            </w:tcBorders>
          </w:tcPr>
          <w:p w14:paraId="4283A7E0" w14:textId="5704D225" w:rsidR="000346A3" w:rsidRPr="000346A3" w:rsidRDefault="000346A3" w:rsidP="000346A3">
            <w:pPr>
              <w:rPr>
                <w:b/>
              </w:rPr>
            </w:pPr>
            <w:r w:rsidRPr="000346A3">
              <w:rPr>
                <w:b/>
              </w:rPr>
              <w:t>Principles of Health and Social Care Practice</w:t>
            </w:r>
          </w:p>
        </w:tc>
      </w:tr>
      <w:tr w:rsidR="000346A3" w:rsidRPr="000346A3" w14:paraId="5522B4BA" w14:textId="77777777" w:rsidTr="000346A3">
        <w:tc>
          <w:tcPr>
            <w:tcW w:w="2091" w:type="dxa"/>
            <w:tcBorders>
              <w:top w:val="single" w:sz="4" w:space="0" w:color="auto"/>
              <w:left w:val="single" w:sz="4" w:space="0" w:color="auto"/>
              <w:bottom w:val="single" w:sz="4" w:space="0" w:color="auto"/>
              <w:right w:val="single" w:sz="4" w:space="0" w:color="auto"/>
            </w:tcBorders>
            <w:shd w:val="pct15" w:color="auto" w:fill="auto"/>
            <w:hideMark/>
          </w:tcPr>
          <w:p w14:paraId="635055A8" w14:textId="3E0582CB" w:rsidR="000346A3" w:rsidRPr="000346A3" w:rsidRDefault="000346A3" w:rsidP="000346A3">
            <w:pPr>
              <w:rPr>
                <w:b/>
              </w:rPr>
            </w:pPr>
            <w:r w:rsidRPr="000346A3">
              <w:rPr>
                <w:b/>
              </w:rPr>
              <w:t>Module code:</w:t>
            </w:r>
          </w:p>
        </w:tc>
        <w:tc>
          <w:tcPr>
            <w:tcW w:w="7824" w:type="dxa"/>
            <w:gridSpan w:val="2"/>
            <w:tcBorders>
              <w:top w:val="single" w:sz="4" w:space="0" w:color="auto"/>
              <w:left w:val="single" w:sz="4" w:space="0" w:color="auto"/>
              <w:bottom w:val="single" w:sz="4" w:space="0" w:color="auto"/>
              <w:right w:val="single" w:sz="4" w:space="0" w:color="auto"/>
            </w:tcBorders>
            <w:hideMark/>
          </w:tcPr>
          <w:p w14:paraId="255586F6" w14:textId="77777777" w:rsidR="000346A3" w:rsidRPr="000346A3" w:rsidRDefault="000346A3" w:rsidP="000346A3">
            <w:pPr>
              <w:rPr>
                <w:b/>
              </w:rPr>
            </w:pPr>
            <w:r w:rsidRPr="000346A3">
              <w:rPr>
                <w:b/>
              </w:rPr>
              <w:t>BMHP5016</w:t>
            </w:r>
          </w:p>
          <w:p w14:paraId="1BF30565" w14:textId="747771CC" w:rsidR="000346A3" w:rsidRPr="000346A3" w:rsidRDefault="000346A3" w:rsidP="000346A3">
            <w:pPr>
              <w:rPr>
                <w:b/>
              </w:rPr>
            </w:pPr>
          </w:p>
        </w:tc>
      </w:tr>
      <w:tr w:rsidR="000346A3" w:rsidRPr="000346A3" w14:paraId="45795B97" w14:textId="77777777" w:rsidTr="002F3144">
        <w:trPr>
          <w:gridAfter w:val="1"/>
          <w:wAfter w:w="4533" w:type="dxa"/>
        </w:trPr>
        <w:tc>
          <w:tcPr>
            <w:tcW w:w="2091" w:type="dxa"/>
            <w:tcBorders>
              <w:top w:val="single" w:sz="4" w:space="0" w:color="auto"/>
              <w:left w:val="single" w:sz="4" w:space="0" w:color="auto"/>
              <w:bottom w:val="single" w:sz="4" w:space="0" w:color="auto"/>
              <w:right w:val="single" w:sz="4" w:space="0" w:color="auto"/>
            </w:tcBorders>
            <w:shd w:val="pct15" w:color="auto" w:fill="auto"/>
          </w:tcPr>
          <w:p w14:paraId="2F7C36E3" w14:textId="36D92ACB" w:rsidR="000346A3" w:rsidRPr="000346A3" w:rsidRDefault="000346A3" w:rsidP="000346A3">
            <w:pPr>
              <w:rPr>
                <w:b/>
              </w:rPr>
            </w:pPr>
            <w:r>
              <w:rPr>
                <w:b/>
              </w:rPr>
              <w:t>Student name</w:t>
            </w:r>
          </w:p>
        </w:tc>
        <w:tc>
          <w:tcPr>
            <w:tcW w:w="3291" w:type="dxa"/>
            <w:tcBorders>
              <w:top w:val="single" w:sz="4" w:space="0" w:color="auto"/>
              <w:left w:val="single" w:sz="4" w:space="0" w:color="auto"/>
              <w:bottom w:val="single" w:sz="4" w:space="0" w:color="auto"/>
              <w:right w:val="single" w:sz="4" w:space="0" w:color="auto"/>
            </w:tcBorders>
          </w:tcPr>
          <w:p w14:paraId="33D9CC24" w14:textId="7390E08D" w:rsidR="000346A3" w:rsidRPr="000346A3" w:rsidRDefault="000346A3" w:rsidP="000346A3">
            <w:pPr>
              <w:rPr>
                <w:b/>
              </w:rPr>
            </w:pPr>
            <w:r w:rsidRPr="000346A3">
              <w:rPr>
                <w:b/>
              </w:rPr>
              <w:t>kate igbinigie</w:t>
            </w:r>
          </w:p>
        </w:tc>
      </w:tr>
      <w:tr w:rsidR="000346A3" w:rsidRPr="000346A3" w14:paraId="0A6DF037" w14:textId="77777777" w:rsidTr="002F3144">
        <w:trPr>
          <w:gridAfter w:val="1"/>
          <w:wAfter w:w="4533" w:type="dxa"/>
        </w:trPr>
        <w:tc>
          <w:tcPr>
            <w:tcW w:w="2091" w:type="dxa"/>
            <w:tcBorders>
              <w:top w:val="single" w:sz="4" w:space="0" w:color="auto"/>
              <w:left w:val="single" w:sz="4" w:space="0" w:color="auto"/>
              <w:bottom w:val="single" w:sz="4" w:space="0" w:color="auto"/>
              <w:right w:val="single" w:sz="4" w:space="0" w:color="auto"/>
            </w:tcBorders>
            <w:shd w:val="pct15" w:color="auto" w:fill="auto"/>
          </w:tcPr>
          <w:p w14:paraId="30EADA0C" w14:textId="5A34336C" w:rsidR="000346A3" w:rsidRPr="000346A3" w:rsidRDefault="000346A3" w:rsidP="000346A3">
            <w:pPr>
              <w:rPr>
                <w:b/>
              </w:rPr>
            </w:pPr>
            <w:r>
              <w:rPr>
                <w:b/>
              </w:rPr>
              <w:t>Student number</w:t>
            </w:r>
          </w:p>
        </w:tc>
        <w:tc>
          <w:tcPr>
            <w:tcW w:w="3291" w:type="dxa"/>
            <w:tcBorders>
              <w:top w:val="single" w:sz="4" w:space="0" w:color="auto"/>
              <w:left w:val="single" w:sz="4" w:space="0" w:color="auto"/>
              <w:bottom w:val="single" w:sz="4" w:space="0" w:color="auto"/>
              <w:right w:val="single" w:sz="4" w:space="0" w:color="auto"/>
            </w:tcBorders>
          </w:tcPr>
          <w:p w14:paraId="3CBBC47E" w14:textId="1212B5D8" w:rsidR="000346A3" w:rsidRPr="000346A3" w:rsidRDefault="000346A3" w:rsidP="000346A3">
            <w:pPr>
              <w:rPr>
                <w:b/>
              </w:rPr>
            </w:pPr>
            <w:r>
              <w:rPr>
                <w:b/>
              </w:rPr>
              <w:t>233466</w:t>
            </w:r>
          </w:p>
        </w:tc>
      </w:tr>
    </w:tbl>
    <w:p w14:paraId="107F5DF5" w14:textId="77777777" w:rsidR="009659F9" w:rsidRDefault="009659F9"/>
    <w:p w14:paraId="387B27A9" w14:textId="77777777" w:rsidR="000346A3" w:rsidRDefault="000346A3"/>
    <w:p w14:paraId="00CB3FB7" w14:textId="77777777" w:rsidR="000346A3" w:rsidRDefault="000346A3"/>
    <w:p w14:paraId="18D5A0F1" w14:textId="77777777" w:rsidR="000346A3" w:rsidRDefault="000346A3"/>
    <w:p w14:paraId="541B9F16" w14:textId="77777777" w:rsidR="000346A3" w:rsidRDefault="000346A3"/>
    <w:p w14:paraId="65501CE7" w14:textId="77777777" w:rsidR="000346A3" w:rsidRDefault="000346A3"/>
    <w:p w14:paraId="1CE8EC89" w14:textId="77777777" w:rsidR="000346A3" w:rsidRDefault="000346A3"/>
    <w:p w14:paraId="26EA654E" w14:textId="77777777" w:rsidR="000346A3" w:rsidRDefault="000346A3"/>
    <w:p w14:paraId="08D2900A" w14:textId="77777777" w:rsidR="000346A3" w:rsidRDefault="000346A3"/>
    <w:p w14:paraId="5AB6CEA1" w14:textId="77777777" w:rsidR="000346A3" w:rsidRDefault="000346A3"/>
    <w:p w14:paraId="58B1BC1F" w14:textId="77777777" w:rsidR="000346A3" w:rsidRDefault="000346A3"/>
    <w:p w14:paraId="2C83E93E" w14:textId="77777777" w:rsidR="000346A3" w:rsidRDefault="000346A3"/>
    <w:p w14:paraId="676E3977" w14:textId="77777777" w:rsidR="000346A3" w:rsidRDefault="000346A3"/>
    <w:p w14:paraId="2449C49D" w14:textId="77777777" w:rsidR="000346A3" w:rsidRDefault="000346A3"/>
    <w:p w14:paraId="083F40DC" w14:textId="77777777" w:rsidR="000346A3" w:rsidRDefault="000346A3"/>
    <w:p w14:paraId="2E071957" w14:textId="77777777" w:rsidR="000346A3" w:rsidRDefault="000346A3"/>
    <w:p w14:paraId="51565512" w14:textId="77777777" w:rsidR="000346A3" w:rsidRDefault="000346A3"/>
    <w:p w14:paraId="4482E35B" w14:textId="77777777" w:rsidR="000346A3" w:rsidRDefault="000346A3"/>
    <w:p w14:paraId="2CF60031" w14:textId="77777777" w:rsidR="000346A3" w:rsidRDefault="000346A3"/>
    <w:p w14:paraId="5A0447FA" w14:textId="77777777" w:rsidR="000346A3" w:rsidRDefault="000346A3"/>
    <w:p w14:paraId="434D717B" w14:textId="77777777" w:rsidR="000346A3" w:rsidRDefault="000346A3"/>
    <w:p w14:paraId="6C82D1B2" w14:textId="77777777" w:rsidR="000346A3" w:rsidRDefault="000346A3"/>
    <w:p w14:paraId="0FBB8713" w14:textId="77777777" w:rsidR="000346A3" w:rsidRDefault="000346A3"/>
    <w:p w14:paraId="455CEB4E" w14:textId="77777777" w:rsidR="000346A3" w:rsidRDefault="000346A3"/>
    <w:p w14:paraId="7CF5A91E" w14:textId="77777777" w:rsidR="000346A3" w:rsidRDefault="000346A3"/>
    <w:p w14:paraId="1B87C436" w14:textId="77777777" w:rsidR="000346A3" w:rsidRDefault="000346A3"/>
    <w:p w14:paraId="70D9E5E0" w14:textId="77777777" w:rsidR="000346A3" w:rsidRDefault="000346A3"/>
    <w:p w14:paraId="5CEDCF72" w14:textId="73CD7883" w:rsidR="000346A3" w:rsidRPr="00102595" w:rsidRDefault="000346A3" w:rsidP="000346A3">
      <w:pPr>
        <w:rPr>
          <w:sz w:val="32"/>
          <w:szCs w:val="32"/>
        </w:rPr>
      </w:pPr>
      <w:r w:rsidRPr="000346A3">
        <w:rPr>
          <w:sz w:val="32"/>
          <w:szCs w:val="32"/>
        </w:rPr>
        <w:lastRenderedPageBreak/>
        <w:t>Abstract</w:t>
      </w:r>
    </w:p>
    <w:p w14:paraId="361FCDCE" w14:textId="0D92A342" w:rsidR="000346A3" w:rsidRPr="00102595" w:rsidRDefault="000346A3" w:rsidP="000346A3">
      <w:r w:rsidRPr="000346A3">
        <w:t xml:space="preserve">This report explores the principles and application of </w:t>
      </w:r>
      <w:r w:rsidR="00257470" w:rsidRPr="000346A3">
        <w:t>Person centred</w:t>
      </w:r>
      <w:r w:rsidRPr="000346A3">
        <w:t xml:space="preserve"> Care (PCC) and Partnership Working (PW) within health and social care settings. PCC emphasises treating individuals with dignity, respect, and compassion, ensuring that care is tailored to their unique preferences, needs, and values.</w:t>
      </w:r>
      <w:r w:rsidR="0036411B" w:rsidRPr="0036411B">
        <w:t xml:space="preserve"> </w:t>
      </w:r>
      <w:r w:rsidR="0036411B" w:rsidRPr="0036411B">
        <w:t>(McCormack &amp; McCance, 2017).</w:t>
      </w:r>
      <w:r w:rsidRPr="000346A3">
        <w:t xml:space="preserve"> Partnership Working complements this approach by promoting collaboration among professionals, service users, families, and multidisciplinary teams to achieve holistic and coordinated care.</w:t>
      </w:r>
      <w:r w:rsidR="00C9261E">
        <w:t xml:space="preserve"> </w:t>
      </w:r>
      <w:r w:rsidR="00C9261E" w:rsidRPr="00C9261E">
        <w:t>(NHS England, 2023).</w:t>
      </w:r>
      <w:r w:rsidRPr="000346A3">
        <w:t xml:space="preserve"> The report highlights that effective communication, mutual trust, and shared </w:t>
      </w:r>
      <w:r w:rsidR="00102595" w:rsidRPr="000346A3">
        <w:t>decision making</w:t>
      </w:r>
      <w:r w:rsidRPr="000346A3">
        <w:t xml:space="preserve"> are central to delivering </w:t>
      </w:r>
      <w:r w:rsidR="00102595" w:rsidRPr="000346A3">
        <w:t>high quality</w:t>
      </w:r>
      <w:r w:rsidRPr="000346A3">
        <w:t xml:space="preserve">, </w:t>
      </w:r>
      <w:r w:rsidR="00102595" w:rsidRPr="000346A3">
        <w:t>person focused</w:t>
      </w:r>
      <w:r w:rsidRPr="000346A3">
        <w:t xml:space="preserve"> outcomes. It also identifies common barriers, including organisational silos, limited resources, and inconsistent staff training, which can hinder collaborative practice. Findings suggest that implementing structured communication frameworks, ongoing professional development, and inclusive care planning significantly enhance both PCC and PW. The report concludes with recommendations for fostering stronger interprofessional relationships, empowering service users through active participation, and embedding </w:t>
      </w:r>
      <w:r w:rsidR="00257470" w:rsidRPr="000346A3">
        <w:t>person centred</w:t>
      </w:r>
      <w:r w:rsidRPr="000346A3">
        <w:t xml:space="preserve"> principles into policy and daily practice to improve overall care quality and satisfaction.</w:t>
      </w:r>
    </w:p>
    <w:p w14:paraId="1618BC50" w14:textId="24C06733" w:rsidR="00F34976" w:rsidRPr="000346A3" w:rsidRDefault="00F34976" w:rsidP="000346A3">
      <w:pPr>
        <w:rPr>
          <w:sz w:val="32"/>
          <w:szCs w:val="32"/>
        </w:rPr>
      </w:pPr>
      <w:r w:rsidRPr="00102595">
        <w:rPr>
          <w:sz w:val="32"/>
          <w:szCs w:val="32"/>
        </w:rPr>
        <w:t>Introduction</w:t>
      </w:r>
    </w:p>
    <w:p w14:paraId="05914A7D" w14:textId="130E0863" w:rsidR="00540A8A" w:rsidRPr="00540A8A" w:rsidRDefault="00257470" w:rsidP="00540A8A">
      <w:r w:rsidRPr="00540A8A">
        <w:t>Person centred</w:t>
      </w:r>
      <w:r w:rsidR="00540A8A" w:rsidRPr="00540A8A">
        <w:t xml:space="preserve"> Care (PCC) and Partnership Working (PW) are fundamental principles within contemporary health and social care, particularly in hospital environments (McCormack &amp; McCance, 2017). PCC emphasises treating patients as individuals, respecting their preferences, values, and needs, and actively involving them in decisions about their care (Mitchell &amp; Agnelli, 2015). Partnership Working complements this by promoting collaboration and communication between healthcare professionals, patients, families, and multidisciplinary teams to deliver coordinated and holistic treatment (NHS England, 2023).</w:t>
      </w:r>
    </w:p>
    <w:p w14:paraId="31E359F4" w14:textId="77777777" w:rsidR="00540A8A" w:rsidRPr="00540A8A" w:rsidRDefault="00540A8A" w:rsidP="00540A8A">
      <w:r w:rsidRPr="00540A8A">
        <w:t>The purpose of this report is to explore how PCC and PW are implemented within hospital settings, examining their benefits, challenges, and the impact they have on the quality of care and patient outcomes. The report also aims to identify practical strategies that can strengthen both approaches in everyday clinical practice, in line with recommendations from national guidance (NICE, 2023).</w:t>
      </w:r>
    </w:p>
    <w:p w14:paraId="7BA877FD" w14:textId="198AD7A7" w:rsidR="00F34976" w:rsidRPr="00102595" w:rsidRDefault="00540A8A" w:rsidP="00F34976">
      <w:r w:rsidRPr="00540A8A">
        <w:t xml:space="preserve">Each section will discuss the core principles and importance of PCC and PW, analyse barriers that may hinder effective collaboration, and present recommendations for improving practice. By focusing on hospital care, the report highlights how </w:t>
      </w:r>
      <w:r w:rsidR="00257470" w:rsidRPr="00540A8A">
        <w:t>person centred</w:t>
      </w:r>
      <w:r w:rsidRPr="00540A8A">
        <w:t xml:space="preserve"> and </w:t>
      </w:r>
      <w:r w:rsidR="00090F3E" w:rsidRPr="00540A8A">
        <w:t>partnership based</w:t>
      </w:r>
      <w:r w:rsidRPr="00540A8A">
        <w:t xml:space="preserve"> approaches are essential for ensuring safe, compassionate, and effective healthcare delivery (Slater, McCance &amp; McCormack, 2017)</w:t>
      </w:r>
    </w:p>
    <w:p w14:paraId="1B66BB41" w14:textId="17370B4B" w:rsidR="00647224" w:rsidRPr="00647224" w:rsidRDefault="00647224" w:rsidP="00647224">
      <w:pPr>
        <w:rPr>
          <w:sz w:val="32"/>
          <w:szCs w:val="32"/>
        </w:rPr>
      </w:pPr>
      <w:r w:rsidRPr="00647224">
        <w:rPr>
          <w:sz w:val="32"/>
          <w:szCs w:val="32"/>
        </w:rPr>
        <w:t xml:space="preserve">Defining </w:t>
      </w:r>
      <w:r w:rsidR="00257470" w:rsidRPr="00647224">
        <w:rPr>
          <w:sz w:val="32"/>
          <w:szCs w:val="32"/>
        </w:rPr>
        <w:t>Person centred</w:t>
      </w:r>
      <w:r w:rsidRPr="00647224">
        <w:rPr>
          <w:sz w:val="32"/>
          <w:szCs w:val="32"/>
        </w:rPr>
        <w:t xml:space="preserve"> Care (PCC) in Hospitals</w:t>
      </w:r>
    </w:p>
    <w:p w14:paraId="4F2A6FC0" w14:textId="36036BBA" w:rsidR="00647224" w:rsidRPr="00647224" w:rsidRDefault="00257470" w:rsidP="00647224">
      <w:r w:rsidRPr="00647224">
        <w:t>Person centred</w:t>
      </w:r>
      <w:r w:rsidR="00647224" w:rsidRPr="00647224">
        <w:t xml:space="preserve"> Care (PCC) is an approach in healthcare that treats patients as active participants in their own care, rather than passive recipients of treatment. It emphasises recognising </w:t>
      </w:r>
      <w:r w:rsidR="00102595" w:rsidRPr="00647224">
        <w:t>everyone’s</w:t>
      </w:r>
      <w:r w:rsidR="00647224" w:rsidRPr="00647224">
        <w:t xml:space="preserve"> unique needs, preferences, values, and circumstances, and </w:t>
      </w:r>
      <w:r w:rsidR="00CA346D">
        <w:t>(</w:t>
      </w:r>
      <w:r w:rsidR="00647224" w:rsidRPr="00647224">
        <w:t xml:space="preserve">tailoring care accordingly. PCC promotes shared </w:t>
      </w:r>
      <w:r w:rsidR="00102595" w:rsidRPr="00647224">
        <w:t>decision making</w:t>
      </w:r>
      <w:r w:rsidR="00647224" w:rsidRPr="00647224">
        <w:t>, dignity, respect, and compassion, while fostering collaboration between patients, their families, and healthcare professionals to achieve optimal outcomes (McCormack &amp; McCance, 2017).</w:t>
      </w:r>
    </w:p>
    <w:p w14:paraId="2A0DE900" w14:textId="296AD2B3" w:rsidR="00647224" w:rsidRPr="00647224" w:rsidRDefault="00647224" w:rsidP="00647224">
      <w:r w:rsidRPr="00647224">
        <w:lastRenderedPageBreak/>
        <w:t xml:space="preserve">In a hospital setting, PCC involves more than addressing the clinical condition; it requires considering the patient’s emotional, social, and cultural context. For example, care planning includes understanding patient priorities, involving them in decisions about treatment options, and ensuring clear communication across multidisciplinary teams. PCC also encourages active engagement from patients and their families, enabling them to participate meaningfully in care delivery and </w:t>
      </w:r>
      <w:r w:rsidR="009A325C" w:rsidRPr="00647224">
        <w:t>evaluation.</w:t>
      </w:r>
      <w:r w:rsidR="009A325C">
        <w:t xml:space="preserve"> (</w:t>
      </w:r>
      <w:r w:rsidR="009A325C" w:rsidRPr="009A325C">
        <w:t>Slater</w:t>
      </w:r>
      <w:r w:rsidR="009A325C" w:rsidRPr="009A325C">
        <w:t>, McCance &amp; McCormack, 2017; NICE, 2023).</w:t>
      </w:r>
    </w:p>
    <w:p w14:paraId="72B06D14" w14:textId="7CC5ACEA" w:rsidR="00647224" w:rsidRPr="00102595" w:rsidRDefault="00647224" w:rsidP="00647224">
      <w:r w:rsidRPr="00647224">
        <w:t>The benefits of PCC in hospitals are significant. Patients experience improved satisfaction, enhanced trust, and better emotional wellbeing. It also supports adherence to treatment plans, reduces complications, and can lead to more efficient care by preventing unnecessary interventions or readmissions. However, implementing PCC in hospitals can be challenging due to time pressures, resource constraints, and organisational culture. Despite these barriers, PCC remains a fundamental principle for delivering compassionate, safe, and effective hospital care.</w:t>
      </w:r>
    </w:p>
    <w:p w14:paraId="7658DF0F" w14:textId="6C75A3F4" w:rsidR="00C740BC" w:rsidRPr="00647224" w:rsidRDefault="00C740BC" w:rsidP="00647224">
      <w:pPr>
        <w:rPr>
          <w:sz w:val="32"/>
          <w:szCs w:val="32"/>
        </w:rPr>
      </w:pPr>
      <w:r w:rsidRPr="00102595">
        <w:rPr>
          <w:sz w:val="32"/>
          <w:szCs w:val="32"/>
        </w:rPr>
        <w:t>Relevant Theories</w:t>
      </w:r>
    </w:p>
    <w:p w14:paraId="1EADE8B9" w14:textId="53D636CA" w:rsidR="00C740BC" w:rsidRPr="00C740BC" w:rsidRDefault="00C740BC" w:rsidP="00C740BC">
      <w:r w:rsidRPr="00C740BC">
        <w:t xml:space="preserve">Several theoretical frameworks underpin PCC, which help explain and guide its implementation. First, humanistic psychology (e.g., Carl Rogers’ </w:t>
      </w:r>
      <w:r w:rsidR="00257470" w:rsidRPr="00C740BC">
        <w:t>person centred</w:t>
      </w:r>
      <w:r w:rsidRPr="00C740BC">
        <w:t xml:space="preserve"> approach) emphasises empathy, unconditional positive regard and the individual’s potential for growth this aligns directly with PCC’s focus on treating patients as whole persons with unique values and preferences. </w:t>
      </w:r>
      <w:hyperlink r:id="rId4" w:tgtFrame="_blank" w:history="1">
        <w:r w:rsidRPr="00C740BC">
          <w:rPr>
            <w:rStyle w:val="Hyperlink"/>
          </w:rPr>
          <w:t>Online Learning College+2Care Learning+2</w:t>
        </w:r>
      </w:hyperlink>
      <w:r w:rsidRPr="00C740BC">
        <w:br/>
        <w:t xml:space="preserve">Second, the </w:t>
      </w:r>
      <w:r w:rsidR="00102595" w:rsidRPr="00C740BC">
        <w:t>Self Determination</w:t>
      </w:r>
      <w:r w:rsidRPr="00C740BC">
        <w:t xml:space="preserve"> Theory (Deci &amp; Ryan) posits that people thrive when autonomy, competence and relatedness are supported in healthcare, this translates to involving patients in decisions (autonomy), giving them skills/information (competence) and fostering supportive relationships (relatedness)again consistent with PCC. </w:t>
      </w:r>
      <w:hyperlink r:id="rId5" w:tgtFrame="_blank" w:history="1">
        <w:r w:rsidRPr="00C740BC">
          <w:rPr>
            <w:rStyle w:val="Hyperlink"/>
          </w:rPr>
          <w:t>Online Learning College</w:t>
        </w:r>
      </w:hyperlink>
      <w:r w:rsidRPr="00C740BC">
        <w:br/>
        <w:t xml:space="preserve">Third, the </w:t>
      </w:r>
      <w:r w:rsidR="00257470" w:rsidRPr="00C740BC">
        <w:t>Person centred</w:t>
      </w:r>
      <w:r w:rsidRPr="00C740BC">
        <w:t xml:space="preserve"> Nursing Framework (PCNF) is a </w:t>
      </w:r>
      <w:r w:rsidR="00102595" w:rsidRPr="00C740BC">
        <w:t>middle range</w:t>
      </w:r>
      <w:r w:rsidRPr="00C740BC">
        <w:t xml:space="preserve"> nursing theory specifically developed for PCC. It defines prerequisites (nurse attributes), care environment, </w:t>
      </w:r>
      <w:r w:rsidR="00257470" w:rsidRPr="00C740BC">
        <w:t>person centred</w:t>
      </w:r>
      <w:r w:rsidRPr="00C740BC">
        <w:t xml:space="preserve"> processes, and outcomes emphasising contextual, moral and attitudinal dimensions. </w:t>
      </w:r>
      <w:hyperlink r:id="rId6" w:tgtFrame="_blank" w:history="1">
        <w:r w:rsidRPr="00C740BC">
          <w:rPr>
            <w:rStyle w:val="Hyperlink"/>
          </w:rPr>
          <w:t>PMC+1</w:t>
        </w:r>
      </w:hyperlink>
    </w:p>
    <w:p w14:paraId="10C5CFE3" w14:textId="15891D4D" w:rsidR="00C740BC" w:rsidRPr="00C740BC" w:rsidRDefault="00C740BC" w:rsidP="00C740BC">
      <w:r w:rsidRPr="00C740BC">
        <w:t xml:space="preserve">In the hospital setting, these theories guide practice: humanistic and SDT theories support involving the patient in treatment discussions, respecting their narrative. The PCNF guides organisational </w:t>
      </w:r>
      <w:r w:rsidR="00102595" w:rsidRPr="00C740BC">
        <w:t>factors ensuring</w:t>
      </w:r>
      <w:r w:rsidRPr="00C740BC">
        <w:t xml:space="preserve"> the ward environment, staffing, team relationships enable PCC. For example, a nurse using PCNF would engage with the patient’s values, share </w:t>
      </w:r>
      <w:r w:rsidR="00102595" w:rsidRPr="00C740BC">
        <w:t>decision making</w:t>
      </w:r>
      <w:r w:rsidRPr="00C740BC">
        <w:t>, ensure a supportive ward culture thus integrating theory into practice. The critical analysis shows that theory helps to move PCC from rhetoric into structured action, though in hospitals the challenge lies in aligning environment, resources and staff attitudes with these theoretical ideals.</w:t>
      </w:r>
    </w:p>
    <w:p w14:paraId="6376A94C" w14:textId="77777777" w:rsidR="00C740BC" w:rsidRPr="00C740BC" w:rsidRDefault="00C740BC" w:rsidP="00C740BC">
      <w:pPr>
        <w:rPr>
          <w:sz w:val="32"/>
          <w:szCs w:val="32"/>
        </w:rPr>
      </w:pPr>
      <w:r w:rsidRPr="00C740BC">
        <w:rPr>
          <w:sz w:val="32"/>
          <w:szCs w:val="32"/>
        </w:rPr>
        <w:t>Ethical Fundamentals in Health and Social Care</w:t>
      </w:r>
    </w:p>
    <w:p w14:paraId="5A49A2BF" w14:textId="14C9C1D8" w:rsidR="00C740BC" w:rsidRPr="00C740BC" w:rsidRDefault="00C740BC" w:rsidP="00C740BC">
      <w:r w:rsidRPr="00C740BC">
        <w:t xml:space="preserve">Ethical principles are central to health and social care practice, guiding professional behaviour and </w:t>
      </w:r>
      <w:r w:rsidR="00102595" w:rsidRPr="00C740BC">
        <w:t>decision making</w:t>
      </w:r>
      <w:r w:rsidRPr="00C740BC">
        <w:t xml:space="preserve">. Key principles include autonomy (respecting a patient’s right to make their own decisions), beneficence (acting in the patient’s best interests), nonmaleficence (avoiding harm), and justice (fair and equitable treatment) (Beauchamp &amp; Childress, 2019). These principles underpin both </w:t>
      </w:r>
      <w:r w:rsidR="00257470" w:rsidRPr="00C740BC">
        <w:t>Person centred</w:t>
      </w:r>
      <w:r w:rsidRPr="00C740BC">
        <w:t xml:space="preserve"> Care (PCC) and Partnership Working (PW), providing a moral framework for engaging patients, families, and multidisciplinary teams.</w:t>
      </w:r>
    </w:p>
    <w:p w14:paraId="55F566EE" w14:textId="2A3014E7" w:rsidR="00C740BC" w:rsidRPr="00C740BC" w:rsidRDefault="00C740BC" w:rsidP="00C740BC">
      <w:r w:rsidRPr="00C740BC">
        <w:t xml:space="preserve">In hospital settings, autonomy is central to PCC, as patients should be informed and involved in decisions about their care. For example, a patient refusing a certain treatment must be </w:t>
      </w:r>
      <w:r w:rsidRPr="00C740BC">
        <w:lastRenderedPageBreak/>
        <w:t xml:space="preserve">respected, even if it conflicts with clinical advice. Beneficence and nonmaleficence guide clinicians to recommend interventions that maximise benefit while minimising harm, balancing </w:t>
      </w:r>
      <w:r w:rsidR="00102595" w:rsidRPr="00C740BC">
        <w:t>evidence based</w:t>
      </w:r>
      <w:r w:rsidRPr="00C740BC">
        <w:t xml:space="preserve"> practice with patient preferences. Justice ensures resources are allocated fairly and all patients receive equitable care, supporting partnership working across teams to coordinate care efficiently.</w:t>
      </w:r>
    </w:p>
    <w:p w14:paraId="427AA7BB" w14:textId="0D7F37EC" w:rsidR="00C740BC" w:rsidRPr="00C740BC" w:rsidRDefault="00C740BC" w:rsidP="00C740BC">
      <w:r w:rsidRPr="00C740BC">
        <w:t xml:space="preserve">Ethical dilemmas often arise when principles conflict. For instance, a patient may wish to leave against medical advice, prioritising autonomy over beneficence. Nurses and doctors must negotiate these situations through dialogue, shared </w:t>
      </w:r>
      <w:r w:rsidR="00102595" w:rsidRPr="00C740BC">
        <w:t>decision making</w:t>
      </w:r>
      <w:r w:rsidRPr="00C740BC">
        <w:t>, and involving family or ethics committees where appropriate. Another example involves limited ICU beds: teams must make just decisions that balance individual needs with wider patient population needs.</w:t>
      </w:r>
    </w:p>
    <w:p w14:paraId="768180A7" w14:textId="77777777" w:rsidR="00C740BC" w:rsidRPr="00102595" w:rsidRDefault="00C740BC" w:rsidP="00C740BC">
      <w:r w:rsidRPr="00C740BC">
        <w:t>PCC and PW help navigate these dilemmas by promoting communication, shared responsibility, and consideration of multiple perspectives. By embedding ethical principles into daily practice, hospital staff can ensure care is not only clinically effective but also morally sound, respectful, and responsive to the needs and rights of patients.</w:t>
      </w:r>
    </w:p>
    <w:p w14:paraId="09B0B79E" w14:textId="77777777" w:rsidR="004E577B" w:rsidRPr="004E577B" w:rsidRDefault="004E577B" w:rsidP="008938CC">
      <w:pPr>
        <w:pStyle w:val="Heading1"/>
      </w:pPr>
      <w:r w:rsidRPr="004E577B">
        <w:t>Evaluation of Partnership Working (PW)</w:t>
      </w:r>
    </w:p>
    <w:p w14:paraId="5B80DA00" w14:textId="3EB82E6C" w:rsidR="004E577B" w:rsidRPr="004E577B" w:rsidRDefault="004E577B" w:rsidP="004E577B">
      <w:r w:rsidRPr="004E577B">
        <w:t>Definition and Importance</w:t>
      </w:r>
      <w:r w:rsidRPr="004E577B">
        <w:br/>
        <w:t xml:space="preserve">Partnership Working (PW) in health and social care refers to the deliberate collaboration of multiple organisations and professions for example, hospitals, local authorities, community services and voluntary organisations to plan, deliver and improve services together (NHS England). </w:t>
      </w:r>
      <w:hyperlink r:id="rId7" w:tgtFrame="_blank" w:history="1">
        <w:r w:rsidRPr="004E577B">
          <w:rPr>
            <w:rStyle w:val="Hyperlink"/>
          </w:rPr>
          <w:t>NHS England+2Care Learning+2</w:t>
        </w:r>
      </w:hyperlink>
      <w:r w:rsidRPr="004E577B">
        <w:t xml:space="preserve"> The introduction of Integrated Care Systems (ICSs) in England exemplifies this: ICSs mandate statutory partners to work “as locally as possible” to plan and deliver services for populations. </w:t>
      </w:r>
      <w:hyperlink r:id="rId8" w:tgtFrame="_blank" w:history="1">
        <w:r w:rsidRPr="004E577B">
          <w:rPr>
            <w:rStyle w:val="Hyperlink"/>
          </w:rPr>
          <w:t>NHS England+1</w:t>
        </w:r>
      </w:hyperlink>
      <w:r w:rsidRPr="004E577B">
        <w:t xml:space="preserve"> In a hospital setting, PW is vital, because patient care often crosses multiple settings (acute, community, social care) and requires coordination beyond one institution.</w:t>
      </w:r>
    </w:p>
    <w:p w14:paraId="793822EF" w14:textId="3AD9BE8D" w:rsidR="004E577B" w:rsidRPr="004E577B" w:rsidRDefault="004E577B" w:rsidP="004E577B">
      <w:r w:rsidRPr="004E577B">
        <w:t>Benefits of PW</w:t>
      </w:r>
      <w:r w:rsidRPr="004E577B">
        <w:br/>
        <w:t xml:space="preserve">When done well, PW enhances service delivery and leads to improved outcomes. Benefits include improved communication and coordination of care, reduction in duplicated assessments, greater continuity of services and better patient experience (e.g., smoother transitions from hospital to home). </w:t>
      </w:r>
      <w:hyperlink r:id="rId9" w:tgtFrame="_blank" w:history="1">
        <w:r w:rsidRPr="004E577B">
          <w:rPr>
            <w:rStyle w:val="Hyperlink"/>
          </w:rPr>
          <w:t>bridgesupport+2International Journal of Integrated Care+2</w:t>
        </w:r>
      </w:hyperlink>
      <w:r w:rsidRPr="004E577B">
        <w:t xml:space="preserve"> For example, within a hospital discharge pathway, partnership between the hospital’s medical team, community care and social services can reduce delayed discharges and readmissions. PW also allows pooling of expertise and resources e.g., specialists, community teams, voluntary sector organisations working together to support a patient with complex needs.</w:t>
      </w:r>
    </w:p>
    <w:p w14:paraId="79A118E4" w14:textId="42340914" w:rsidR="004E577B" w:rsidRPr="004E577B" w:rsidRDefault="004E577B" w:rsidP="004E577B">
      <w:r w:rsidRPr="004E577B">
        <w:t>Challenges of PW</w:t>
      </w:r>
      <w:r w:rsidRPr="004E577B">
        <w:br/>
        <w:t xml:space="preserve">However, realising PW is not without obstacles. Coordination issues may emerge due to unclear roles, differing professional cultures, or incompatible information systems. </w:t>
      </w:r>
      <w:hyperlink r:id="rId10" w:tgtFrame="_blank" w:history="1">
        <w:r w:rsidRPr="004E577B">
          <w:rPr>
            <w:rStyle w:val="Hyperlink"/>
          </w:rPr>
          <w:t>International Journal of Integrated Care+1</w:t>
        </w:r>
      </w:hyperlink>
      <w:r w:rsidRPr="004E577B">
        <w:t xml:space="preserve"> Communication barriers also pose problems: agencies may have different priorities or governance structures, leading to misaligned objectives. </w:t>
      </w:r>
      <w:hyperlink r:id="rId11" w:tgtFrame="_blank" w:history="1">
        <w:r w:rsidRPr="004E577B">
          <w:rPr>
            <w:rStyle w:val="Hyperlink"/>
          </w:rPr>
          <w:t>Care Learning</w:t>
        </w:r>
      </w:hyperlink>
      <w:r w:rsidRPr="004E577B">
        <w:t xml:space="preserve"> In the hospital context, such challenges might mean that community services are unaware of discharge plans, leading to gaps in care. Moreover, </w:t>
      </w:r>
      <w:r w:rsidR="00102595" w:rsidRPr="004E577B">
        <w:t>short term</w:t>
      </w:r>
      <w:r w:rsidRPr="004E577B">
        <w:t xml:space="preserve"> funding, competing agendas, and siloed organisational identities hinder sustained partnerships. </w:t>
      </w:r>
      <w:hyperlink r:id="rId12" w:tgtFrame="_blank" w:history="1">
        <w:r w:rsidRPr="004E577B">
          <w:rPr>
            <w:rStyle w:val="Hyperlink"/>
          </w:rPr>
          <w:t>PMC</w:t>
        </w:r>
      </w:hyperlink>
    </w:p>
    <w:p w14:paraId="3444DC96" w14:textId="3DBDAD02" w:rsidR="004E577B" w:rsidRPr="004E577B" w:rsidRDefault="004E577B" w:rsidP="004E577B">
      <w:r w:rsidRPr="004E577B">
        <w:t>Impact on Health and Social Care Services</w:t>
      </w:r>
      <w:r w:rsidRPr="004E577B">
        <w:br/>
        <w:t xml:space="preserve">The impact of effective PW in hospital settings is significant: patients benefit from integrated </w:t>
      </w:r>
      <w:r w:rsidRPr="004E577B">
        <w:lastRenderedPageBreak/>
        <w:t xml:space="preserve">care pathways, reduced fragmentation, and improved safety and satisfaction. For instance, when hospital </w:t>
      </w:r>
      <w:r w:rsidR="00102595" w:rsidRPr="004E577B">
        <w:t>teams’</w:t>
      </w:r>
      <w:r w:rsidRPr="004E577B">
        <w:t xml:space="preserve"> partner with social care services to coordinate discharge planning, the result can be shorter hospital stays, fewer readmissions and better patient experience. Conversely, when partnerships fail, patients may face fragmented care, delayed services or even poorer outcomes. Evidence shows that while partnerships can lead to positive outcomes, they require time, trust, common purpose and robust governance to succeed (The King’s Fund emphasises actions to support partnership working across ICSs). </w:t>
      </w:r>
      <w:hyperlink r:id="rId13" w:tgtFrame="_blank" w:history="1">
        <w:r w:rsidRPr="004E577B">
          <w:rPr>
            <w:rStyle w:val="Hyperlink"/>
          </w:rPr>
          <w:t>The King's Fund</w:t>
        </w:r>
      </w:hyperlink>
    </w:p>
    <w:p w14:paraId="57208995" w14:textId="3CB62BCA" w:rsidR="004E577B" w:rsidRPr="00C740BC" w:rsidRDefault="004E577B" w:rsidP="00C740BC">
      <w:r w:rsidRPr="00102595">
        <w:t xml:space="preserve">In summary, in a hospital setting PW is fundamental for delivering coordinated, </w:t>
      </w:r>
      <w:r w:rsidR="00090F3E" w:rsidRPr="00102595">
        <w:t>person centred</w:t>
      </w:r>
      <w:r w:rsidRPr="00102595">
        <w:t xml:space="preserve"> care. Its benefits are clear but must be balanced against the operational and cultural challenges of joining disparate organisations into working alliances.</w:t>
      </w:r>
    </w:p>
    <w:p w14:paraId="04F5424D" w14:textId="77777777" w:rsidR="004E577B" w:rsidRPr="004E577B" w:rsidRDefault="004E577B" w:rsidP="004E577B">
      <w:pPr>
        <w:rPr>
          <w:sz w:val="32"/>
          <w:szCs w:val="32"/>
        </w:rPr>
      </w:pPr>
      <w:r w:rsidRPr="004E577B">
        <w:rPr>
          <w:sz w:val="32"/>
          <w:szCs w:val="32"/>
        </w:rPr>
        <w:t>Policy and Legislation in Health and Social Care</w:t>
      </w:r>
    </w:p>
    <w:p w14:paraId="4FFD41F0" w14:textId="47ABC089" w:rsidR="004E577B" w:rsidRPr="004E577B" w:rsidRDefault="004E577B" w:rsidP="004E577B">
      <w:r w:rsidRPr="004E577B">
        <w:t xml:space="preserve">Policies and legislation provide the framework that shapes health and social care practice. Key legislation includes the Health and Care Act 2022, which introduced Integrated Care Systems (ICSs) to promote collaborative working across health and social care, supporting Partnership Working (PW) by formalising joint planning and accountability. The Health and Social Care Act 2012 </w:t>
      </w:r>
      <w:r w:rsidR="00102595" w:rsidRPr="004E577B">
        <w:t>emphasise</w:t>
      </w:r>
      <w:r w:rsidRPr="004E577B">
        <w:t xml:space="preserve"> patient involvement in </w:t>
      </w:r>
      <w:r w:rsidR="00102595" w:rsidRPr="004E577B">
        <w:t>decision making</w:t>
      </w:r>
      <w:r w:rsidRPr="004E577B">
        <w:t xml:space="preserve">, commissioning, and service improvement, aligning with </w:t>
      </w:r>
      <w:r w:rsidR="00090F3E" w:rsidRPr="004E577B">
        <w:t>Person centred</w:t>
      </w:r>
      <w:r w:rsidRPr="004E577B">
        <w:t xml:space="preserve"> Care (PCC). The Care Act 2014 places duties on local authorities to promote wellbeing, prevent care needs, and involve individuals in care planning. The Human Rights Act 1998 underpins PCC by protecting fundamental rights such as privacy, dignity, and autonomy, while the Equality Act 2010 ensures services are equitable and </w:t>
      </w:r>
      <w:r w:rsidR="00090F3E" w:rsidRPr="004E577B">
        <w:t>non-discriminatory</w:t>
      </w:r>
      <w:r w:rsidRPr="004E577B">
        <w:t>.</w:t>
      </w:r>
    </w:p>
    <w:p w14:paraId="41D77658" w14:textId="19048FD1" w:rsidR="004E577B" w:rsidRPr="004E577B" w:rsidRDefault="004E577B" w:rsidP="004E577B">
      <w:r w:rsidRPr="004E577B">
        <w:t xml:space="preserve">These policies support PCC and PW through the 6 Cs: Care and Compassion ensure patient wellbeing and dignity; Competence ensures safe and effective practice; Communication enables collaboration between staff, patients, and families; Courage empowers staff to advocate for patient needs; and Commitment ensures sustained </w:t>
      </w:r>
      <w:r w:rsidR="00090F3E" w:rsidRPr="004E577B">
        <w:t>person centred</w:t>
      </w:r>
      <w:r w:rsidRPr="004E577B">
        <w:t xml:space="preserve"> practice (NHS England, 2012).</w:t>
      </w:r>
    </w:p>
    <w:p w14:paraId="01E3E5DD" w14:textId="1C3EE1F1" w:rsidR="004E577B" w:rsidRPr="004E577B" w:rsidRDefault="004E577B" w:rsidP="004E577B">
      <w:r w:rsidRPr="004E577B">
        <w:t xml:space="preserve">In hospitals, legislation influences practice through structured discharge planning, holistic assessment, and inclusive </w:t>
      </w:r>
      <w:r w:rsidR="00102595" w:rsidRPr="004E577B">
        <w:t>decision making</w:t>
      </w:r>
      <w:r w:rsidRPr="004E577B">
        <w:t>. For example, ICS guidance encourages hospital teams to coordinate with community services to prevent delayed discharges. While supportive, legal compliance can create administrative burdens, requiring staff to balance regulatory duties with PCC principles.</w:t>
      </w:r>
    </w:p>
    <w:p w14:paraId="22FB0291" w14:textId="77777777" w:rsidR="004E577B" w:rsidRPr="004E577B" w:rsidRDefault="004E577B" w:rsidP="004E577B">
      <w:pPr>
        <w:rPr>
          <w:sz w:val="32"/>
          <w:szCs w:val="32"/>
        </w:rPr>
      </w:pPr>
      <w:r w:rsidRPr="004E577B">
        <w:rPr>
          <w:sz w:val="32"/>
          <w:szCs w:val="32"/>
        </w:rPr>
        <w:t>Recommendations for Improving PCC and PW in Hospital Settings</w:t>
      </w:r>
    </w:p>
    <w:p w14:paraId="129E40CE" w14:textId="7F7C9A96" w:rsidR="004E577B" w:rsidRPr="004E577B" w:rsidRDefault="004E577B" w:rsidP="004E577B">
      <w:r w:rsidRPr="004E577B">
        <w:t xml:space="preserve">Although hospitals in the UK have made progress in </w:t>
      </w:r>
      <w:r w:rsidR="00090F3E" w:rsidRPr="004E577B">
        <w:t>Person centred</w:t>
      </w:r>
      <w:r w:rsidRPr="004E577B">
        <w:t xml:space="preserve"> Care (PCC) and Partnership Working (PW), gaps remain in consistent practice. Key areas for improvement include limited staff training, underutilisation of technology, fragmented interprofessional collaboration, and insufficient integration of patient feedback (McCormack &amp; McCance, 2017; NHS England, 2023).</w:t>
      </w:r>
    </w:p>
    <w:p w14:paraId="5C28E74A" w14:textId="7E94B0AB" w:rsidR="004E577B" w:rsidRPr="004E577B" w:rsidRDefault="004E577B" w:rsidP="004E577B">
      <w:r w:rsidRPr="004E577B">
        <w:t xml:space="preserve">Staff Training: Ongoing professional development should focus on PCC principles, ethical practice, communication skills, and shared </w:t>
      </w:r>
      <w:r w:rsidR="00102595" w:rsidRPr="004E577B">
        <w:t>decision making</w:t>
      </w:r>
      <w:r w:rsidRPr="004E577B">
        <w:t>. Interprofessional training can strengthen collaboration and reinforce the 6 Cs of care (NHS England, 2012).</w:t>
      </w:r>
    </w:p>
    <w:p w14:paraId="283DF486" w14:textId="77777777" w:rsidR="004E577B" w:rsidRPr="004E577B" w:rsidRDefault="004E577B" w:rsidP="004E577B">
      <w:r w:rsidRPr="004E577B">
        <w:lastRenderedPageBreak/>
        <w:t>Use of Technology: Digital tools such as electronic health records, patient portals, and telehealth can improve information sharing, enhance patient engagement, and streamline discharge planning, supporting coordinated care and reducing errors (Bates et al., 2018).</w:t>
      </w:r>
    </w:p>
    <w:p w14:paraId="6BDA8F12" w14:textId="77777777" w:rsidR="004E577B" w:rsidRPr="004E577B" w:rsidRDefault="004E577B" w:rsidP="004E577B">
      <w:r w:rsidRPr="004E577B">
        <w:t>Collaborative Partnerships: Hospitals should formalise partnerships with community health, social care, and voluntary sector organisations. Integrated Care Systems (ICSs) provide a framework to enhance coordination, accountability, and continuity of care (NHS England, 2023).</w:t>
      </w:r>
    </w:p>
    <w:p w14:paraId="3AAF8FF0" w14:textId="26BA1E86" w:rsidR="004E577B" w:rsidRPr="004E577B" w:rsidRDefault="004E577B" w:rsidP="004E577B">
      <w:r w:rsidRPr="004E577B">
        <w:t xml:space="preserve">Research and Policy Development: </w:t>
      </w:r>
      <w:r w:rsidR="00102595" w:rsidRPr="004E577B">
        <w:t>Evidence based</w:t>
      </w:r>
      <w:r w:rsidRPr="004E577B">
        <w:t xml:space="preserve"> evaluation of PCC and PW interventions should inform policy and practice improvements.</w:t>
      </w:r>
    </w:p>
    <w:p w14:paraId="7C31C153" w14:textId="77777777" w:rsidR="004E577B" w:rsidRPr="004E577B" w:rsidRDefault="004E577B" w:rsidP="004E577B">
      <w:r w:rsidRPr="004E577B">
        <w:t>Potential Barriers: Resource constraints, staff shortages, and organisational culture may hinder implementation, requiring leadership commitment, phased adoption, and adequate funding.</w:t>
      </w:r>
    </w:p>
    <w:p w14:paraId="1BD296E0" w14:textId="77777777" w:rsidR="004E577B" w:rsidRPr="004E577B" w:rsidRDefault="004E577B" w:rsidP="004E577B">
      <w:r w:rsidRPr="004E577B">
        <w:t>By addressing these areas, UK hospitals can enhance PCC and PW, improving patient outcomes, satisfaction, and overall quality of care.</w:t>
      </w:r>
    </w:p>
    <w:p w14:paraId="52B54513" w14:textId="77777777" w:rsidR="00102595" w:rsidRPr="00102595" w:rsidRDefault="00102595" w:rsidP="00102595">
      <w:pPr>
        <w:rPr>
          <w:sz w:val="32"/>
          <w:szCs w:val="32"/>
        </w:rPr>
      </w:pPr>
      <w:r w:rsidRPr="00102595">
        <w:rPr>
          <w:sz w:val="32"/>
          <w:szCs w:val="32"/>
        </w:rPr>
        <w:t>Conclusion</w:t>
      </w:r>
    </w:p>
    <w:p w14:paraId="0F27C9E4" w14:textId="5A6EFBD3" w:rsidR="00102595" w:rsidRPr="00102595" w:rsidRDefault="00102595" w:rsidP="00102595">
      <w:r w:rsidRPr="00102595">
        <w:t xml:space="preserve">This report has explored the implementation of </w:t>
      </w:r>
      <w:r w:rsidR="00090F3E" w:rsidRPr="00102595">
        <w:t>Person centred</w:t>
      </w:r>
      <w:r w:rsidRPr="00102595">
        <w:t xml:space="preserve"> Care (PCC) and Partnership Working (PW) in hospital settings, highlighting their significance in delivering safe, ethical, and effective healthcare. PCC prioritises individual needs, values, and preferences, encouraging patients to participate actively in decisions about their care. PW enables collaboration between multidisciplinary teams, patients, families, and community services, ensuring coordinated and holistic support.</w:t>
      </w:r>
    </w:p>
    <w:p w14:paraId="0478D718" w14:textId="77777777" w:rsidR="00102595" w:rsidRPr="00102595" w:rsidRDefault="00102595" w:rsidP="00102595">
      <w:r w:rsidRPr="00102595">
        <w:t>The analysis shows that these approaches enhance patient satisfaction, improve treatment adherence, and contribute to better overall outcomes. Challenges such as limited resources, time pressures, communication barriers, and organisational culture can hinder progress. Relevant legislation, including the Health and Care Act 2022, Care Act 2014, Human Rights Act 1998, and Equality Act 2010, establishes a framework to guide practice.</w:t>
      </w:r>
    </w:p>
    <w:p w14:paraId="2AE06E17" w14:textId="7BA32576" w:rsidR="00102595" w:rsidRPr="00102595" w:rsidRDefault="00102595" w:rsidP="00102595">
      <w:r w:rsidRPr="00102595">
        <w:t>Key recommendations include strengthening staff training, integrating technology for care coordination, fostering partnerships, and supporting evidence based policy development. Adopting these strategies enables hospitals to provide care that is ethical, efficient, and responsive to patient needs.</w:t>
      </w:r>
    </w:p>
    <w:p w14:paraId="66036719" w14:textId="77777777" w:rsidR="00102595" w:rsidRDefault="00102595">
      <w:pPr>
        <w:rPr>
          <w:b/>
          <w:bCs/>
          <w:sz w:val="44"/>
          <w:szCs w:val="44"/>
          <w:u w:val="single"/>
        </w:rPr>
      </w:pPr>
    </w:p>
    <w:p w14:paraId="5E4A0634" w14:textId="77777777" w:rsidR="00102595" w:rsidRDefault="00102595">
      <w:pPr>
        <w:rPr>
          <w:b/>
          <w:bCs/>
          <w:sz w:val="44"/>
          <w:szCs w:val="44"/>
          <w:u w:val="single"/>
        </w:rPr>
      </w:pPr>
    </w:p>
    <w:p w14:paraId="2BEEB1B3" w14:textId="77777777" w:rsidR="00102595" w:rsidRDefault="00102595">
      <w:pPr>
        <w:rPr>
          <w:b/>
          <w:bCs/>
          <w:sz w:val="44"/>
          <w:szCs w:val="44"/>
          <w:u w:val="single"/>
        </w:rPr>
      </w:pPr>
    </w:p>
    <w:p w14:paraId="20EAFA32" w14:textId="77777777" w:rsidR="00102595" w:rsidRDefault="00102595">
      <w:pPr>
        <w:rPr>
          <w:b/>
          <w:bCs/>
          <w:sz w:val="44"/>
          <w:szCs w:val="44"/>
          <w:u w:val="single"/>
        </w:rPr>
      </w:pPr>
    </w:p>
    <w:p w14:paraId="4BCB657D" w14:textId="77777777" w:rsidR="00102595" w:rsidRDefault="00102595">
      <w:pPr>
        <w:rPr>
          <w:b/>
          <w:bCs/>
          <w:sz w:val="44"/>
          <w:szCs w:val="44"/>
          <w:u w:val="single"/>
        </w:rPr>
      </w:pPr>
    </w:p>
    <w:p w14:paraId="2D6F513C" w14:textId="77777777" w:rsidR="00102595" w:rsidRDefault="00102595">
      <w:pPr>
        <w:rPr>
          <w:b/>
          <w:bCs/>
          <w:sz w:val="44"/>
          <w:szCs w:val="44"/>
          <w:u w:val="single"/>
        </w:rPr>
      </w:pPr>
    </w:p>
    <w:p w14:paraId="34D6E643" w14:textId="228C2851" w:rsidR="000346A3" w:rsidRDefault="00102595">
      <w:pPr>
        <w:rPr>
          <w:b/>
          <w:bCs/>
          <w:sz w:val="44"/>
          <w:szCs w:val="44"/>
          <w:u w:val="single"/>
        </w:rPr>
      </w:pPr>
      <w:r w:rsidRPr="00102595">
        <w:rPr>
          <w:b/>
          <w:bCs/>
          <w:sz w:val="44"/>
          <w:szCs w:val="44"/>
          <w:u w:val="single"/>
        </w:rPr>
        <w:t>Reference</w:t>
      </w:r>
    </w:p>
    <w:p w14:paraId="51C9BDD7" w14:textId="77777777" w:rsidR="00102595" w:rsidRPr="00102595" w:rsidRDefault="00102595" w:rsidP="00102595">
      <w:r w:rsidRPr="00102595">
        <w:t xml:space="preserve">Beauchamp, T.L. &amp; Childress, J.F., 2019. </w:t>
      </w:r>
      <w:r w:rsidRPr="00102595">
        <w:rPr>
          <w:i/>
          <w:iCs/>
        </w:rPr>
        <w:t>Principles of Biomedical Ethics.</w:t>
      </w:r>
      <w:r w:rsidRPr="00102595">
        <w:t xml:space="preserve"> 8th ed. Oxford: Oxford University Press.</w:t>
      </w:r>
    </w:p>
    <w:p w14:paraId="4384B626" w14:textId="77777777" w:rsidR="00102595" w:rsidRPr="00102595" w:rsidRDefault="00102595" w:rsidP="00102595">
      <w:r w:rsidRPr="00102595">
        <w:t xml:space="preserve">Department of Health &amp; Social Care, 2012. </w:t>
      </w:r>
      <w:r w:rsidRPr="00102595">
        <w:rPr>
          <w:i/>
          <w:iCs/>
        </w:rPr>
        <w:t>Health and Social Care Act 2012.</w:t>
      </w:r>
      <w:r w:rsidRPr="00102595">
        <w:t xml:space="preserve"> London: HMSO.</w:t>
      </w:r>
    </w:p>
    <w:p w14:paraId="554CAFDD" w14:textId="77777777" w:rsidR="00102595" w:rsidRPr="00102595" w:rsidRDefault="00102595" w:rsidP="00102595">
      <w:r w:rsidRPr="00102595">
        <w:t xml:space="preserve">Department of Health &amp; Social Care, 2014. </w:t>
      </w:r>
      <w:r w:rsidRPr="00102595">
        <w:rPr>
          <w:i/>
          <w:iCs/>
        </w:rPr>
        <w:t>Care Act 2014.</w:t>
      </w:r>
      <w:r w:rsidRPr="00102595">
        <w:t xml:space="preserve"> London: HMSO.</w:t>
      </w:r>
    </w:p>
    <w:p w14:paraId="7A0385E0" w14:textId="77777777" w:rsidR="00102595" w:rsidRPr="00102595" w:rsidRDefault="00102595" w:rsidP="00102595">
      <w:r w:rsidRPr="00102595">
        <w:t xml:space="preserve">Department of Health &amp; Social Care, 2022. </w:t>
      </w:r>
      <w:r w:rsidRPr="00102595">
        <w:rPr>
          <w:i/>
          <w:iCs/>
        </w:rPr>
        <w:t>Health and Care Act 2022.</w:t>
      </w:r>
      <w:r w:rsidRPr="00102595">
        <w:t xml:space="preserve"> London: HMSO.</w:t>
      </w:r>
    </w:p>
    <w:p w14:paraId="7433E559" w14:textId="3C36CE07" w:rsidR="00102595" w:rsidRPr="00102595" w:rsidRDefault="00102595" w:rsidP="00102595">
      <w:r w:rsidRPr="00102595">
        <w:t xml:space="preserve">McCormack, B. &amp; McCance, T., 2010. The Person Centred Nursing Framework: A midrange theory for nursing practice. </w:t>
      </w:r>
      <w:r w:rsidRPr="00102595">
        <w:rPr>
          <w:i/>
          <w:iCs/>
        </w:rPr>
        <w:t>Journal of Advanced Nursing,</w:t>
      </w:r>
      <w:r w:rsidRPr="00102595">
        <w:t xml:space="preserve"> 56(5), pp.472–479.</w:t>
      </w:r>
    </w:p>
    <w:p w14:paraId="05F274A8" w14:textId="1D8AC1B4" w:rsidR="00102595" w:rsidRPr="00102595" w:rsidRDefault="00102595" w:rsidP="00102595">
      <w:r w:rsidRPr="00102595">
        <w:t xml:space="preserve">McCormack, B. &amp; McCance, T., 2010. The Person Centred Nursing Framework: A midrange theory for nursing practice. </w:t>
      </w:r>
      <w:r w:rsidRPr="00102595">
        <w:rPr>
          <w:i/>
          <w:iCs/>
        </w:rPr>
        <w:t>Journal of Research in Nursing.</w:t>
      </w:r>
    </w:p>
    <w:p w14:paraId="4172051B" w14:textId="4D965AFA" w:rsidR="00102595" w:rsidRPr="00102595" w:rsidRDefault="00102595" w:rsidP="00102595">
      <w:r w:rsidRPr="00102595">
        <w:t xml:space="preserve">McCormack, B., Dewing, J., Breslin, L., Tobin, C. et al., 2010. ‘We define person centred care as an approach to practice ....’ </w:t>
      </w:r>
      <w:r w:rsidRPr="00102595">
        <w:rPr>
          <w:i/>
          <w:iCs/>
        </w:rPr>
        <w:t>Developing Person Centred Care: Addressing Contextual Factors and Practice Development.</w:t>
      </w:r>
      <w:r w:rsidRPr="00102595">
        <w:t xml:space="preserve"> OJIN.</w:t>
      </w:r>
    </w:p>
    <w:p w14:paraId="4E3ABFDD" w14:textId="5A82E391" w:rsidR="00102595" w:rsidRPr="00102595" w:rsidRDefault="00102595" w:rsidP="00102595">
      <w:r w:rsidRPr="00102595">
        <w:t xml:space="preserve">McCormack, B. &amp; McCance, T., 2017. </w:t>
      </w:r>
      <w:r w:rsidR="00090F3E" w:rsidRPr="00102595">
        <w:rPr>
          <w:i/>
          <w:iCs/>
        </w:rPr>
        <w:t>Person centred</w:t>
      </w:r>
      <w:r w:rsidRPr="00102595">
        <w:rPr>
          <w:i/>
          <w:iCs/>
        </w:rPr>
        <w:t xml:space="preserve"> Nursing: Theory and Practice.</w:t>
      </w:r>
      <w:r w:rsidRPr="00102595">
        <w:t xml:space="preserve"> Chichester: Wiley Blackwell.</w:t>
      </w:r>
    </w:p>
    <w:p w14:paraId="3EDF6012" w14:textId="77777777" w:rsidR="00102595" w:rsidRPr="00102595" w:rsidRDefault="00102595" w:rsidP="00102595">
      <w:r w:rsidRPr="00102595">
        <w:t xml:space="preserve">Mitchell, G. &amp; Agnelli, J., 2015. Person centred care for people with dementia: Kitwood reconsidered. </w:t>
      </w:r>
      <w:r w:rsidRPr="00102595">
        <w:rPr>
          <w:i/>
          <w:iCs/>
        </w:rPr>
        <w:t>Nursing Standard,</w:t>
      </w:r>
      <w:r w:rsidRPr="00102595">
        <w:t xml:space="preserve"> 30(7), pp.46–50.</w:t>
      </w:r>
    </w:p>
    <w:p w14:paraId="1A7563C4" w14:textId="77777777" w:rsidR="00102595" w:rsidRPr="00102595" w:rsidRDefault="00102595" w:rsidP="00102595">
      <w:r w:rsidRPr="00102595">
        <w:t xml:space="preserve">National Center for Biotechnology Information (NCBI), 2005. Challenges in partnership working in health and social care. Available at: </w:t>
      </w:r>
      <w:hyperlink r:id="rId14" w:tgtFrame="_new" w:history="1">
        <w:r w:rsidRPr="00102595">
          <w:rPr>
            <w:rStyle w:val="Hyperlink"/>
          </w:rPr>
          <w:t>https://www.ncbi.nlm.nih.gov/pmc/articles/PMC11223342/</w:t>
        </w:r>
      </w:hyperlink>
      <w:r w:rsidRPr="00102595">
        <w:t xml:space="preserve"> [Accessed 8 Nov 2025].</w:t>
      </w:r>
    </w:p>
    <w:p w14:paraId="248105C9" w14:textId="77777777" w:rsidR="00102595" w:rsidRPr="00102595" w:rsidRDefault="00102595" w:rsidP="00102595">
      <w:r w:rsidRPr="00102595">
        <w:t xml:space="preserve">National Institute for Health and Care Excellence (NICE), n.d. Policy discussion referencing Tom Kitwood’s personhood theory in dementia care. Available at: </w:t>
      </w:r>
      <w:hyperlink r:id="rId15" w:tgtFrame="_new" w:history="1">
        <w:r w:rsidRPr="00102595">
          <w:rPr>
            <w:rStyle w:val="Hyperlink"/>
          </w:rPr>
          <w:t>https://www.ncbi.nlm.nih.gov/books/NBK508095/</w:t>
        </w:r>
      </w:hyperlink>
      <w:r w:rsidRPr="00102595">
        <w:t xml:space="preserve"> [Accessed 8 Nov 2025].</w:t>
      </w:r>
    </w:p>
    <w:p w14:paraId="04C7B09D" w14:textId="77777777" w:rsidR="00102595" w:rsidRPr="00102595" w:rsidRDefault="00102595" w:rsidP="00102595">
      <w:r w:rsidRPr="00102595">
        <w:t xml:space="preserve">NHS England, 2012. </w:t>
      </w:r>
      <w:r w:rsidRPr="00102595">
        <w:rPr>
          <w:i/>
          <w:iCs/>
        </w:rPr>
        <w:t>Compassion in Practice: The 6 Cs.</w:t>
      </w:r>
      <w:r w:rsidRPr="00102595">
        <w:t xml:space="preserve"> London: NHS England.</w:t>
      </w:r>
    </w:p>
    <w:p w14:paraId="7BCF1A2C" w14:textId="62D394F7" w:rsidR="00102595" w:rsidRPr="00102595" w:rsidRDefault="00102595" w:rsidP="00102595">
      <w:r w:rsidRPr="00102595">
        <w:t xml:space="preserve">NHS England, 2023. What is integrated care? Working in partnership. Available at: </w:t>
      </w:r>
      <w:hyperlink r:id="rId16" w:tgtFrame="_new" w:history="1">
        <w:r w:rsidRPr="00102595">
          <w:rPr>
            <w:rStyle w:val="Hyperlink"/>
          </w:rPr>
          <w:t>https://www.england.nhs.uk/integratedcare/whatisintegratedcare/workinginpartnership/</w:t>
        </w:r>
      </w:hyperlink>
      <w:r w:rsidRPr="00102595">
        <w:t xml:space="preserve"> [Accessed 8 Nov 2025].</w:t>
      </w:r>
    </w:p>
    <w:p w14:paraId="532C1174" w14:textId="0E9138AD" w:rsidR="00102595" w:rsidRPr="00102595" w:rsidRDefault="00102595" w:rsidP="00102595">
      <w:r w:rsidRPr="00102595">
        <w:t xml:space="preserve">NHS England, 2023. Guidance on working in partnership with people and communities. Available at: </w:t>
      </w:r>
      <w:hyperlink r:id="rId17" w:tgtFrame="_new" w:history="1">
        <w:r w:rsidRPr="00102595">
          <w:rPr>
            <w:rStyle w:val="Hyperlink"/>
          </w:rPr>
          <w:t>https://www.england.nhs.uk/wpcontent/uploads/2023/05/B1762guidanceonworkinginpartnershipwithpeopleandcommunities2.pdf</w:t>
        </w:r>
      </w:hyperlink>
      <w:r w:rsidRPr="00102595">
        <w:t xml:space="preserve"> [Accessed 8 Nov 2025].</w:t>
      </w:r>
    </w:p>
    <w:p w14:paraId="5CA67890" w14:textId="743808F4" w:rsidR="00102595" w:rsidRPr="00102595" w:rsidRDefault="00102595" w:rsidP="00102595">
      <w:r w:rsidRPr="00102595">
        <w:t xml:space="preserve">Slater, P., McCance, T. &amp; McCormack, B., 2017. The development and testing of the Person centred Practice Inventory – Staff (PCPIS). </w:t>
      </w:r>
      <w:r w:rsidRPr="00102595">
        <w:rPr>
          <w:i/>
          <w:iCs/>
        </w:rPr>
        <w:t>International Journal for Quality in Health Care.</w:t>
      </w:r>
    </w:p>
    <w:p w14:paraId="796C1BF4" w14:textId="77777777" w:rsidR="00102595" w:rsidRPr="00102595" w:rsidRDefault="00102595" w:rsidP="00102595">
      <w:r w:rsidRPr="00102595">
        <w:t xml:space="preserve">UK Government, 1998. </w:t>
      </w:r>
      <w:r w:rsidRPr="00102595">
        <w:rPr>
          <w:i/>
          <w:iCs/>
        </w:rPr>
        <w:t>Human Rights Act 1998.</w:t>
      </w:r>
      <w:r w:rsidRPr="00102595">
        <w:t xml:space="preserve"> London: HMSO.</w:t>
      </w:r>
    </w:p>
    <w:p w14:paraId="43795235" w14:textId="77777777" w:rsidR="00102595" w:rsidRPr="00102595" w:rsidRDefault="00102595" w:rsidP="00102595">
      <w:r w:rsidRPr="00102595">
        <w:t xml:space="preserve">UK Government, 2010. </w:t>
      </w:r>
      <w:r w:rsidRPr="00102595">
        <w:rPr>
          <w:i/>
          <w:iCs/>
        </w:rPr>
        <w:t>Equality Act 2010.</w:t>
      </w:r>
      <w:r w:rsidRPr="00102595">
        <w:t xml:space="preserve"> London: HMSO</w:t>
      </w:r>
    </w:p>
    <w:p w14:paraId="2B43AE7E" w14:textId="3E10EB19" w:rsidR="00102595" w:rsidRPr="00102595" w:rsidRDefault="00102595"/>
    <w:sectPr w:rsidR="00102595" w:rsidRPr="001025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6A3"/>
    <w:rsid w:val="000346A3"/>
    <w:rsid w:val="00090F3E"/>
    <w:rsid w:val="00102595"/>
    <w:rsid w:val="0020724E"/>
    <w:rsid w:val="002147EB"/>
    <w:rsid w:val="00257470"/>
    <w:rsid w:val="0036411B"/>
    <w:rsid w:val="00370D91"/>
    <w:rsid w:val="004C1138"/>
    <w:rsid w:val="004E577B"/>
    <w:rsid w:val="0050526B"/>
    <w:rsid w:val="00540A8A"/>
    <w:rsid w:val="005D2AE2"/>
    <w:rsid w:val="00647224"/>
    <w:rsid w:val="006F0D8B"/>
    <w:rsid w:val="007273CF"/>
    <w:rsid w:val="00850A13"/>
    <w:rsid w:val="008938CC"/>
    <w:rsid w:val="009659F9"/>
    <w:rsid w:val="009A325C"/>
    <w:rsid w:val="00A7523B"/>
    <w:rsid w:val="00AB7827"/>
    <w:rsid w:val="00B27842"/>
    <w:rsid w:val="00C740BC"/>
    <w:rsid w:val="00C81213"/>
    <w:rsid w:val="00C9261E"/>
    <w:rsid w:val="00CA346D"/>
    <w:rsid w:val="00D82E08"/>
    <w:rsid w:val="00ED2347"/>
    <w:rsid w:val="00F34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4BB46"/>
  <w15:chartTrackingRefBased/>
  <w15:docId w15:val="{B49A1BD4-BD17-4624-9275-0FF705F36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4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4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4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4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6A3"/>
    <w:rPr>
      <w:rFonts w:eastAsiaTheme="majorEastAsia" w:cstheme="majorBidi"/>
      <w:color w:val="272727" w:themeColor="text1" w:themeTint="D8"/>
    </w:rPr>
  </w:style>
  <w:style w:type="paragraph" w:styleId="Title">
    <w:name w:val="Title"/>
    <w:basedOn w:val="Normal"/>
    <w:next w:val="Normal"/>
    <w:link w:val="TitleChar"/>
    <w:uiPriority w:val="10"/>
    <w:qFormat/>
    <w:rsid w:val="00034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6A3"/>
    <w:pPr>
      <w:spacing w:before="160"/>
      <w:jc w:val="center"/>
    </w:pPr>
    <w:rPr>
      <w:i/>
      <w:iCs/>
      <w:color w:val="404040" w:themeColor="text1" w:themeTint="BF"/>
    </w:rPr>
  </w:style>
  <w:style w:type="character" w:customStyle="1" w:styleId="QuoteChar">
    <w:name w:val="Quote Char"/>
    <w:basedOn w:val="DefaultParagraphFont"/>
    <w:link w:val="Quote"/>
    <w:uiPriority w:val="29"/>
    <w:rsid w:val="000346A3"/>
    <w:rPr>
      <w:i/>
      <w:iCs/>
      <w:color w:val="404040" w:themeColor="text1" w:themeTint="BF"/>
    </w:rPr>
  </w:style>
  <w:style w:type="paragraph" w:styleId="ListParagraph">
    <w:name w:val="List Paragraph"/>
    <w:basedOn w:val="Normal"/>
    <w:uiPriority w:val="34"/>
    <w:qFormat/>
    <w:rsid w:val="000346A3"/>
    <w:pPr>
      <w:ind w:left="720"/>
      <w:contextualSpacing/>
    </w:pPr>
  </w:style>
  <w:style w:type="character" w:styleId="IntenseEmphasis">
    <w:name w:val="Intense Emphasis"/>
    <w:basedOn w:val="DefaultParagraphFont"/>
    <w:uiPriority w:val="21"/>
    <w:qFormat/>
    <w:rsid w:val="000346A3"/>
    <w:rPr>
      <w:i/>
      <w:iCs/>
      <w:color w:val="0F4761" w:themeColor="accent1" w:themeShade="BF"/>
    </w:rPr>
  </w:style>
  <w:style w:type="paragraph" w:styleId="IntenseQuote">
    <w:name w:val="Intense Quote"/>
    <w:basedOn w:val="Normal"/>
    <w:next w:val="Normal"/>
    <w:link w:val="IntenseQuoteChar"/>
    <w:uiPriority w:val="30"/>
    <w:qFormat/>
    <w:rsid w:val="00034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6A3"/>
    <w:rPr>
      <w:i/>
      <w:iCs/>
      <w:color w:val="0F4761" w:themeColor="accent1" w:themeShade="BF"/>
    </w:rPr>
  </w:style>
  <w:style w:type="character" w:styleId="IntenseReference">
    <w:name w:val="Intense Reference"/>
    <w:basedOn w:val="DefaultParagraphFont"/>
    <w:uiPriority w:val="32"/>
    <w:qFormat/>
    <w:rsid w:val="000346A3"/>
    <w:rPr>
      <w:b/>
      <w:bCs/>
      <w:smallCaps/>
      <w:color w:val="0F4761" w:themeColor="accent1" w:themeShade="BF"/>
      <w:spacing w:val="5"/>
    </w:rPr>
  </w:style>
  <w:style w:type="table" w:styleId="TableGrid">
    <w:name w:val="Table Grid"/>
    <w:basedOn w:val="TableNormal"/>
    <w:uiPriority w:val="39"/>
    <w:rsid w:val="000346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740BC"/>
    <w:rPr>
      <w:color w:val="467886" w:themeColor="hyperlink"/>
      <w:u w:val="single"/>
    </w:rPr>
  </w:style>
  <w:style w:type="character" w:styleId="UnresolvedMention">
    <w:name w:val="Unresolved Mention"/>
    <w:basedOn w:val="DefaultParagraphFont"/>
    <w:uiPriority w:val="99"/>
    <w:semiHidden/>
    <w:unhideWhenUsed/>
    <w:rsid w:val="00C740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23/05/B1762-guidance-on-working-in-partnership-with-people-and-communities-2.pdf?utm_source=chatgpt.com" TargetMode="External"/><Relationship Id="rId13" Type="http://schemas.openxmlformats.org/officeDocument/2006/relationships/hyperlink" Target="https://www.kingsfund.org.uk/insight-and-analysis/reports/actions-to-support-partnership?utm_source=chatgpt.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ngland.nhs.uk/integratedcare/what-is-integrated-care/working-in-partnership/?utm_source=chatgpt.com" TargetMode="External"/><Relationship Id="rId12" Type="http://schemas.openxmlformats.org/officeDocument/2006/relationships/hyperlink" Target="https://pmc.ncbi.nlm.nih.gov/articles/PMC11223342/?utm_source=chatgpt.com" TargetMode="External"/><Relationship Id="rId17" Type="http://schemas.openxmlformats.org/officeDocument/2006/relationships/hyperlink" Target="https://www.england.nhs.uk/wp-content/uploads/2023/05/B1762-guidance-on-working-in-partnership-with-people-and-communities-2.pdf?utm_source=chatgpt.com" TargetMode="External"/><Relationship Id="rId2" Type="http://schemas.openxmlformats.org/officeDocument/2006/relationships/settings" Target="settings.xml"/><Relationship Id="rId16" Type="http://schemas.openxmlformats.org/officeDocument/2006/relationships/hyperlink" Target="https://www.england.nhs.uk/integratedcare/what-is-integrated-care/working-in-partnership/?utm_source=chatgpt.com" TargetMode="External"/><Relationship Id="rId1" Type="http://schemas.openxmlformats.org/officeDocument/2006/relationships/styles" Target="styles.xml"/><Relationship Id="rId6" Type="http://schemas.openxmlformats.org/officeDocument/2006/relationships/hyperlink" Target="https://pmc.ncbi.nlm.nih.gov/articles/PMC11907491/?utm_source=chatgpt.com" TargetMode="External"/><Relationship Id="rId11" Type="http://schemas.openxmlformats.org/officeDocument/2006/relationships/hyperlink" Target="https://carelearning.org.uk/blog/settings/what-is-partnership-working-in-health-and-social-care/?utm_source=chatgpt.com" TargetMode="External"/><Relationship Id="rId5" Type="http://schemas.openxmlformats.org/officeDocument/2006/relationships/hyperlink" Target="https://online-learning-college.com/knowledge-hub/care/person-centred-care-explained/?utm_source=chatgpt.com" TargetMode="External"/><Relationship Id="rId15" Type="http://schemas.openxmlformats.org/officeDocument/2006/relationships/hyperlink" Target="https://www.ncbi.nlm.nih.gov/books/NBK508095/?utm_source=chatgpt.com" TargetMode="External"/><Relationship Id="rId10" Type="http://schemas.openxmlformats.org/officeDocument/2006/relationships/hyperlink" Target="https://ijic.org/articles/10.5334/ijic.529?utm_source=chatgpt.com" TargetMode="External"/><Relationship Id="rId19" Type="http://schemas.openxmlformats.org/officeDocument/2006/relationships/theme" Target="theme/theme1.xml"/><Relationship Id="rId4" Type="http://schemas.openxmlformats.org/officeDocument/2006/relationships/hyperlink" Target="https://online-learning-college.com/knowledge-hub/care/person-centred-care-explained/?utm_source=chatgpt.com" TargetMode="External"/><Relationship Id="rId9" Type="http://schemas.openxmlformats.org/officeDocument/2006/relationships/hyperlink" Target="https://bridgesupport.org/partnership-working-in-health-and-social-care-the-bridge-perspective-2/?utm_source=chatgpt.com" TargetMode="External"/><Relationship Id="rId14" Type="http://schemas.openxmlformats.org/officeDocument/2006/relationships/hyperlink" Target="https://www.ncbi.nlm.nih.gov/pmc/articles/PMC112233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3413</TotalTime>
  <Pages>8</Pages>
  <Words>2659</Words>
  <Characters>17556</Characters>
  <Application>Microsoft Office Word</Application>
  <DocSecurity>0</DocSecurity>
  <Lines>308</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Igbinigie (2334466)</dc:creator>
  <cp:keywords/>
  <dc:description/>
  <cp:lastModifiedBy>Kate Igbinigie (2334466)</cp:lastModifiedBy>
  <cp:revision>18</cp:revision>
  <dcterms:created xsi:type="dcterms:W3CDTF">2025-11-08T21:00:00Z</dcterms:created>
  <dcterms:modified xsi:type="dcterms:W3CDTF">2025-11-16T20:02:00Z</dcterms:modified>
</cp:coreProperties>
</file>