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B7007" w:rsidRDefault="00651292">
      <w:pPr>
        <w:ind w:left="0"/>
        <w:rPr>
          <w:b/>
          <w:sz w:val="32"/>
          <w:szCs w:val="32"/>
          <w:u w:val="single"/>
        </w:rPr>
      </w:pPr>
      <w:r>
        <w:rPr>
          <w:b/>
          <w:sz w:val="32"/>
          <w:szCs w:val="32"/>
          <w:u w:val="single"/>
        </w:rPr>
        <w:t>Christian Thomas 2117857</w:t>
      </w:r>
    </w:p>
    <w:p w14:paraId="00000002" w14:textId="77777777" w:rsidR="003B7007" w:rsidRDefault="00651292">
      <w:pPr>
        <w:ind w:left="0"/>
        <w:rPr>
          <w:b/>
          <w:sz w:val="32"/>
          <w:szCs w:val="32"/>
          <w:u w:val="single"/>
        </w:rPr>
      </w:pPr>
      <w:r>
        <w:rPr>
          <w:b/>
          <w:sz w:val="32"/>
          <w:szCs w:val="32"/>
          <w:u w:val="single"/>
        </w:rPr>
        <w:t>Essay 1</w:t>
      </w:r>
    </w:p>
    <w:p w14:paraId="00000003" w14:textId="77777777" w:rsidR="003B7007" w:rsidRDefault="00651292">
      <w:pPr>
        <w:ind w:left="0"/>
        <w:rPr>
          <w:sz w:val="28"/>
          <w:szCs w:val="28"/>
        </w:rPr>
      </w:pPr>
      <w:r>
        <w:rPr>
          <w:sz w:val="28"/>
          <w:szCs w:val="28"/>
        </w:rPr>
        <w:t>On April 22, 1993, Stephen Lawrence was fatally stabbed by an unprovoked racial attacker in Eltham, South London. The late Sir William Macphereson’s murder inquiry exposed serious flaws in the Police investigation, the way Stephen Lawrence’s family and com</w:t>
      </w:r>
      <w:r>
        <w:rPr>
          <w:sz w:val="28"/>
          <w:szCs w:val="28"/>
        </w:rPr>
        <w:t>panion Duwayne Brooks were treated. The study, which was released in February 1999, was genuinely revolutionary (Bridges, 1999).</w:t>
      </w:r>
    </w:p>
    <w:p w14:paraId="00000004" w14:textId="354C1967" w:rsidR="003B7007" w:rsidRDefault="00651292">
      <w:pPr>
        <w:ind w:left="0"/>
        <w:rPr>
          <w:sz w:val="28"/>
          <w:szCs w:val="28"/>
        </w:rPr>
      </w:pPr>
      <w:r>
        <w:rPr>
          <w:sz w:val="28"/>
          <w:szCs w:val="28"/>
        </w:rPr>
        <w:t xml:space="preserve">The study lists several instances of Police negligence and “institutional racism” and makes </w:t>
      </w:r>
      <w:r w:rsidR="008F12F9">
        <w:rPr>
          <w:sz w:val="28"/>
          <w:szCs w:val="28"/>
        </w:rPr>
        <w:t>several</w:t>
      </w:r>
      <w:r>
        <w:rPr>
          <w:sz w:val="28"/>
          <w:szCs w:val="28"/>
        </w:rPr>
        <w:t xml:space="preserve"> comprehensive suggestio</w:t>
      </w:r>
      <w:r>
        <w:rPr>
          <w:sz w:val="28"/>
          <w:szCs w:val="28"/>
        </w:rPr>
        <w:t>ns, reflecting the long-standing demands by the black community for Policing reform in Britain. As a result, many of its main suggestions- in areas like stop and search and the Policing of racial crime, may prove ineffective (Bridges, 1999).</w:t>
      </w:r>
    </w:p>
    <w:p w14:paraId="00000005" w14:textId="77777777" w:rsidR="003B7007" w:rsidRDefault="00651292">
      <w:pPr>
        <w:ind w:left="0"/>
        <w:rPr>
          <w:sz w:val="28"/>
          <w:szCs w:val="28"/>
        </w:rPr>
      </w:pPr>
      <w:r>
        <w:rPr>
          <w:sz w:val="28"/>
          <w:szCs w:val="28"/>
        </w:rPr>
        <w:t>The report’s m</w:t>
      </w:r>
      <w:r>
        <w:rPr>
          <w:sz w:val="28"/>
          <w:szCs w:val="28"/>
        </w:rPr>
        <w:t>ost striking feature, although not claiming to be the final word on exactly what institutional racism is, does establish a definition of sorts when it states that it consists of: The collective inability of an organisation to provide an adequate and profes</w:t>
      </w:r>
      <w:r>
        <w:rPr>
          <w:sz w:val="28"/>
          <w:szCs w:val="28"/>
        </w:rPr>
        <w:t>sional service to people due to their skin colour, culture, or ethnic background. It can be observed or discovered in processes, attitudes and behaviour that equate to discrimination through inadvertent bias, ignorance, thoughtlessness, and racist stereoty</w:t>
      </w:r>
      <w:r>
        <w:rPr>
          <w:sz w:val="28"/>
          <w:szCs w:val="28"/>
        </w:rPr>
        <w:t>ping that disadvantage minority ethnic populations (Solomos, 1999).</w:t>
      </w:r>
    </w:p>
    <w:p w14:paraId="00000006" w14:textId="77777777" w:rsidR="003B7007" w:rsidRDefault="00651292">
      <w:pPr>
        <w:ind w:left="0"/>
        <w:rPr>
          <w:sz w:val="28"/>
          <w:szCs w:val="28"/>
        </w:rPr>
      </w:pPr>
      <w:r>
        <w:rPr>
          <w:sz w:val="28"/>
          <w:szCs w:val="28"/>
        </w:rPr>
        <w:t>The experiences of the Lawrence family, as well as the shortcomings of the murder investigation and some of the more widespread issues with racism in Policing, all seemed to “make sense” i</w:t>
      </w:r>
      <w:r>
        <w:rPr>
          <w:sz w:val="28"/>
          <w:szCs w:val="28"/>
        </w:rPr>
        <w:t>n light of this characterization. Among the problems Macphereson pointed out were the Lawrence family's and Brookes' callous reaction, the officers' failure to recognise that the murder was racially motivated, the ongoing disparities in stop and search dat</w:t>
      </w:r>
      <w:r>
        <w:rPr>
          <w:sz w:val="28"/>
          <w:szCs w:val="28"/>
        </w:rPr>
        <w:t>a, the ineffectiveness of racial awareness training, and the lack of trust and confidence in the police that causes racist incidents to go unreported (Delsol, 2006).</w:t>
      </w:r>
    </w:p>
    <w:p w14:paraId="00000007" w14:textId="77777777" w:rsidR="003B7007" w:rsidRDefault="00651292">
      <w:pPr>
        <w:ind w:left="0"/>
        <w:rPr>
          <w:sz w:val="28"/>
          <w:szCs w:val="28"/>
        </w:rPr>
      </w:pPr>
      <w:r>
        <w:rPr>
          <w:sz w:val="28"/>
          <w:szCs w:val="28"/>
        </w:rPr>
        <w:t xml:space="preserve">Depending on the circumstances, the Police can use a variety of statutory stop and search </w:t>
      </w:r>
      <w:r>
        <w:rPr>
          <w:sz w:val="28"/>
          <w:szCs w:val="28"/>
        </w:rPr>
        <w:t>powers. The majority, but not all, of these powers require an officer to have a credible suspicion that a prohibited object is being carried. The powers are governed by Code A of the Police and Criminal Evidence Act (College of Policing, 2016).</w:t>
      </w:r>
    </w:p>
    <w:p w14:paraId="00000008" w14:textId="77777777" w:rsidR="003B7007" w:rsidRDefault="00651292">
      <w:pPr>
        <w:ind w:left="0"/>
        <w:rPr>
          <w:sz w:val="28"/>
          <w:szCs w:val="28"/>
        </w:rPr>
      </w:pPr>
      <w:r>
        <w:rPr>
          <w:sz w:val="28"/>
          <w:szCs w:val="28"/>
        </w:rPr>
        <w:lastRenderedPageBreak/>
        <w:t>Code A (par</w:t>
      </w:r>
      <w:r>
        <w:rPr>
          <w:sz w:val="28"/>
          <w:szCs w:val="28"/>
        </w:rPr>
        <w:t>agraph 1.4) states: “the primary purpose of stop and search powers is to enable officers to confirm suspicions about individuals without exercising their power of arrest” (College of Policing, 2016).</w:t>
      </w:r>
    </w:p>
    <w:p w14:paraId="00000009" w14:textId="77777777" w:rsidR="003B7007" w:rsidRDefault="00651292">
      <w:pPr>
        <w:ind w:left="0"/>
        <w:rPr>
          <w:sz w:val="28"/>
          <w:szCs w:val="28"/>
        </w:rPr>
      </w:pPr>
      <w:r>
        <w:rPr>
          <w:sz w:val="28"/>
          <w:szCs w:val="28"/>
        </w:rPr>
        <w:t>Stop and search remains one of the most contentious powe</w:t>
      </w:r>
      <w:r>
        <w:rPr>
          <w:sz w:val="28"/>
          <w:szCs w:val="28"/>
        </w:rPr>
        <w:t xml:space="preserve">rs granted to police in England and Wales. According to recent research, the overall impact of stop and search on crime is likely to be minimal at best (Bradford and Tiratelli, 2019). </w:t>
      </w:r>
    </w:p>
    <w:p w14:paraId="0000000A" w14:textId="65EF035F" w:rsidR="003B7007" w:rsidRDefault="00651292">
      <w:pPr>
        <w:ind w:left="0"/>
        <w:rPr>
          <w:color w:val="333333"/>
          <w:sz w:val="28"/>
          <w:szCs w:val="28"/>
        </w:rPr>
      </w:pPr>
      <w:r>
        <w:rPr>
          <w:sz w:val="28"/>
          <w:szCs w:val="28"/>
        </w:rPr>
        <w:t>Bradford and Tiratelli (2019), stated it has repeatedly been demonstrat</w:t>
      </w:r>
      <w:r>
        <w:rPr>
          <w:sz w:val="28"/>
          <w:szCs w:val="28"/>
        </w:rPr>
        <w:t>ed that members of particular minority groups are more prone than others to be stop and searched, with frequently significant consequences for both them and those around them. Bradford outlines a procedural justice model of Police legitimacy in which the r</w:t>
      </w:r>
      <w:r>
        <w:rPr>
          <w:sz w:val="28"/>
          <w:szCs w:val="28"/>
        </w:rPr>
        <w:t xml:space="preserve">elationship between legitimacy and Police is seen as being tied more to views of fair treatment than to the effectiveness of the Police. This approach is essential in the context of stop and search in England and Wales, where it has been demonstrated that </w:t>
      </w:r>
      <w:r>
        <w:rPr>
          <w:sz w:val="28"/>
          <w:szCs w:val="28"/>
        </w:rPr>
        <w:t xml:space="preserve">its implementation is unjust to, and is seen as unfair by, certain minorities and young black </w:t>
      </w:r>
      <w:r w:rsidR="008F12F9">
        <w:rPr>
          <w:sz w:val="28"/>
          <w:szCs w:val="28"/>
        </w:rPr>
        <w:t>males</w:t>
      </w:r>
      <w:r>
        <w:rPr>
          <w:color w:val="333333"/>
          <w:sz w:val="28"/>
          <w:szCs w:val="28"/>
        </w:rPr>
        <w:t>.</w:t>
      </w:r>
    </w:p>
    <w:p w14:paraId="0000000B" w14:textId="0385C7D2" w:rsidR="003B7007" w:rsidRDefault="00651292">
      <w:pPr>
        <w:ind w:left="0"/>
        <w:rPr>
          <w:sz w:val="28"/>
          <w:szCs w:val="28"/>
        </w:rPr>
      </w:pPr>
      <w:r>
        <w:rPr>
          <w:color w:val="333333"/>
          <w:sz w:val="28"/>
          <w:szCs w:val="28"/>
        </w:rPr>
        <w:t>Home office (2022) Stop and Search figures published 27</w:t>
      </w:r>
      <w:r>
        <w:rPr>
          <w:color w:val="333333"/>
          <w:sz w:val="28"/>
          <w:szCs w:val="28"/>
          <w:vertAlign w:val="superscript"/>
        </w:rPr>
        <w:t>th</w:t>
      </w:r>
      <w:r>
        <w:rPr>
          <w:color w:val="333333"/>
          <w:sz w:val="28"/>
          <w:szCs w:val="28"/>
        </w:rPr>
        <w:t xml:space="preserve"> May 2022 show in England and Wales between April 2020 and March 2021, there were 69</w:t>
      </w:r>
      <w:r>
        <w:rPr>
          <w:color w:val="333333"/>
          <w:sz w:val="28"/>
          <w:szCs w:val="28"/>
        </w:rPr>
        <w:t xml:space="preserve">7,405 stop and searches in England and Wales (excluding vehicle searches). There were 7.5 stop and searches for every 1,000-white </w:t>
      </w:r>
      <w:r w:rsidR="008F12F9">
        <w:rPr>
          <w:color w:val="333333"/>
          <w:sz w:val="28"/>
          <w:szCs w:val="28"/>
        </w:rPr>
        <w:t>person</w:t>
      </w:r>
      <w:r>
        <w:rPr>
          <w:color w:val="333333"/>
          <w:sz w:val="28"/>
          <w:szCs w:val="28"/>
        </w:rPr>
        <w:t xml:space="preserve">, compared with 52.6 for every 1,000 black persons. </w:t>
      </w:r>
    </w:p>
    <w:p w14:paraId="0000000C" w14:textId="51EB6A7F" w:rsidR="003B7007" w:rsidRDefault="00651292">
      <w:pPr>
        <w:ind w:left="0"/>
        <w:rPr>
          <w:sz w:val="28"/>
          <w:szCs w:val="28"/>
        </w:rPr>
      </w:pPr>
      <w:r>
        <w:rPr>
          <w:sz w:val="28"/>
          <w:szCs w:val="28"/>
        </w:rPr>
        <w:t>The disproportionate application of stop and search powers against</w:t>
      </w:r>
      <w:r>
        <w:rPr>
          <w:sz w:val="28"/>
          <w:szCs w:val="28"/>
        </w:rPr>
        <w:t xml:space="preserve"> persons of Black, Asian, or other minority ethnic backgrounds, particularly young black males, has been acknowledged by the Independent Office for Police Conduct (IOPC). The IOPC initiated a work on racial discrimination in 2020, allowing them to independ</w:t>
      </w:r>
      <w:r>
        <w:rPr>
          <w:sz w:val="28"/>
          <w:szCs w:val="28"/>
        </w:rPr>
        <w:t>ently investigate incidents that would often not fulfil the criteria for inquiry. By highlighting both excellent practice and systematic problems, a thematic approach aids the IOPC in driving meaningful reforms in Police practice. The Metropolitan Police S</w:t>
      </w:r>
      <w:r>
        <w:rPr>
          <w:sz w:val="28"/>
          <w:szCs w:val="28"/>
        </w:rPr>
        <w:t xml:space="preserve">ervice received 11 official learning recommendations in 2020 </w:t>
      </w:r>
      <w:r w:rsidR="008F12F9">
        <w:rPr>
          <w:sz w:val="28"/>
          <w:szCs w:val="28"/>
        </w:rPr>
        <w:t>because of</w:t>
      </w:r>
      <w:r>
        <w:rPr>
          <w:sz w:val="28"/>
          <w:szCs w:val="28"/>
        </w:rPr>
        <w:t xml:space="preserve"> the IOPC’s usage of this strategy. Implementing those suggestions on a Nationwide scale is the next step of this learning process (</w:t>
      </w:r>
      <w:hyperlink r:id="rId7">
        <w:r>
          <w:rPr>
            <w:color w:val="1155CC"/>
            <w:sz w:val="28"/>
            <w:szCs w:val="28"/>
            <w:u w:val="single"/>
          </w:rPr>
          <w:t>www.policeconduct.gov.uk</w:t>
        </w:r>
      </w:hyperlink>
      <w:r>
        <w:rPr>
          <w:sz w:val="28"/>
          <w:szCs w:val="28"/>
        </w:rPr>
        <w:t>, 2022).</w:t>
      </w:r>
    </w:p>
    <w:p w14:paraId="0000000D" w14:textId="77777777" w:rsidR="003B7007" w:rsidRDefault="00651292">
      <w:pPr>
        <w:ind w:left="0"/>
        <w:rPr>
          <w:sz w:val="28"/>
          <w:szCs w:val="28"/>
        </w:rPr>
      </w:pPr>
      <w:r>
        <w:rPr>
          <w:sz w:val="28"/>
          <w:szCs w:val="28"/>
        </w:rPr>
        <w:t>By having a diverse Police force across England and Wales, we can better identify with and understand our communities, reducing crime and preventing minority populations from being exploit</w:t>
      </w:r>
      <w:r>
        <w:rPr>
          <w:sz w:val="28"/>
          <w:szCs w:val="28"/>
        </w:rPr>
        <w:t xml:space="preserve">ed. </w:t>
      </w:r>
    </w:p>
    <w:p w14:paraId="0000000E" w14:textId="77777777" w:rsidR="003B7007" w:rsidRDefault="00651292">
      <w:pPr>
        <w:ind w:left="0"/>
        <w:rPr>
          <w:sz w:val="28"/>
          <w:szCs w:val="28"/>
        </w:rPr>
      </w:pPr>
      <w:r>
        <w:rPr>
          <w:sz w:val="28"/>
          <w:szCs w:val="28"/>
        </w:rPr>
        <w:lastRenderedPageBreak/>
        <w:t>In 1981, Lord Scarman remarked “vigorous action is required if the Police are to become more representative of all the communities they serve”. The proportion of black officers has increased by 0.9 percent during the last 40 years. Scarman’s worries w</w:t>
      </w:r>
      <w:r>
        <w:rPr>
          <w:sz w:val="28"/>
          <w:szCs w:val="28"/>
        </w:rPr>
        <w:t>ere mirrored by Macphereson in 1999, and none of his targets for the following decade were met. Walcott (2021) suggests radical action is required in order to increase the proportion of black and ethnic minority officers within the UK’s Police Forces (Walc</w:t>
      </w:r>
      <w:r>
        <w:rPr>
          <w:sz w:val="28"/>
          <w:szCs w:val="28"/>
        </w:rPr>
        <w:t xml:space="preserve">ott, 2021). </w:t>
      </w:r>
    </w:p>
    <w:p w14:paraId="0000000F" w14:textId="0686D1AB" w:rsidR="003B7007" w:rsidRDefault="00651292">
      <w:pPr>
        <w:ind w:left="0"/>
        <w:rPr>
          <w:sz w:val="28"/>
          <w:szCs w:val="28"/>
        </w:rPr>
      </w:pPr>
      <w:r>
        <w:rPr>
          <w:sz w:val="28"/>
          <w:szCs w:val="28"/>
        </w:rPr>
        <w:t xml:space="preserve">In 1999, a national target of 7% </w:t>
      </w:r>
      <w:r>
        <w:rPr>
          <w:sz w:val="28"/>
          <w:szCs w:val="28"/>
        </w:rPr>
        <w:t>was set by the Government for Officers to be of ethnic minority by 2009. This was to reflect the national average of 7%. According to D. Clark (2021), in 2022, approximately 8.1percent of police officers in En</w:t>
      </w:r>
      <w:r>
        <w:rPr>
          <w:sz w:val="28"/>
          <w:szCs w:val="28"/>
        </w:rPr>
        <w:t xml:space="preserve">gland and Wales will be from ethnic minority backgrounds, up from 7.6percent the previous year, and only 3.5 percent in 2005. </w:t>
      </w:r>
    </w:p>
    <w:p w14:paraId="00000010" w14:textId="77777777" w:rsidR="003B7007" w:rsidRDefault="00651292">
      <w:pPr>
        <w:ind w:left="0"/>
        <w:rPr>
          <w:sz w:val="28"/>
          <w:szCs w:val="28"/>
        </w:rPr>
      </w:pPr>
      <w:r>
        <w:rPr>
          <w:sz w:val="28"/>
          <w:szCs w:val="28"/>
        </w:rPr>
        <w:t>Walcott (2021) goes on to explain, as of December 2020, the current BAME population is projected at 17.2%. Police Officers recrui</w:t>
      </w:r>
      <w:r>
        <w:rPr>
          <w:sz w:val="28"/>
          <w:szCs w:val="28"/>
        </w:rPr>
        <w:t xml:space="preserve">ted in England and Wales who are BAME are currently at 7.5 percent. </w:t>
      </w:r>
    </w:p>
    <w:p w14:paraId="00000011" w14:textId="3EDF66E2" w:rsidR="003B7007" w:rsidRDefault="00651292">
      <w:pPr>
        <w:ind w:left="0"/>
        <w:rPr>
          <w:sz w:val="28"/>
          <w:szCs w:val="28"/>
        </w:rPr>
      </w:pPr>
      <w:r>
        <w:rPr>
          <w:sz w:val="28"/>
          <w:szCs w:val="28"/>
        </w:rPr>
        <w:t>On October 9</w:t>
      </w:r>
      <w:r>
        <w:rPr>
          <w:sz w:val="28"/>
          <w:szCs w:val="28"/>
          <w:vertAlign w:val="superscript"/>
        </w:rPr>
        <w:t>th</w:t>
      </w:r>
      <w:r>
        <w:rPr>
          <w:sz w:val="28"/>
          <w:szCs w:val="28"/>
        </w:rPr>
        <w:t>, 2019, the Government announced force by force recruitment objectives for an uplift in police officer numbers, as part of a three-year effort to raise officer numbers by 20</w:t>
      </w:r>
      <w:r>
        <w:rPr>
          <w:sz w:val="28"/>
          <w:szCs w:val="28"/>
        </w:rPr>
        <w:t xml:space="preserve">,000. </w:t>
      </w:r>
      <w:r w:rsidR="008F12F9">
        <w:rPr>
          <w:sz w:val="28"/>
          <w:szCs w:val="28"/>
        </w:rPr>
        <w:t>The Home Secretary Priti Patel</w:t>
      </w:r>
      <w:r>
        <w:rPr>
          <w:sz w:val="28"/>
          <w:szCs w:val="28"/>
        </w:rPr>
        <w:t xml:space="preserve"> explicitly linked this recruitment drive to the importance of increasing force diversity when she told the 2020 Policing summit that the uplift created an “unprecedented opportunity to create a truly representative pol</w:t>
      </w:r>
      <w:r>
        <w:rPr>
          <w:sz w:val="28"/>
          <w:szCs w:val="28"/>
        </w:rPr>
        <w:t>ice force that reflects the society we serve” (Home Office, 2019).</w:t>
      </w:r>
    </w:p>
    <w:p w14:paraId="00000012" w14:textId="073F2616" w:rsidR="003B7007" w:rsidRDefault="00651292">
      <w:pPr>
        <w:ind w:left="0"/>
        <w:rPr>
          <w:sz w:val="28"/>
          <w:szCs w:val="28"/>
        </w:rPr>
      </w:pPr>
      <w:r>
        <w:rPr>
          <w:sz w:val="28"/>
          <w:szCs w:val="28"/>
        </w:rPr>
        <w:t xml:space="preserve">The Home Office went on to state, </w:t>
      </w:r>
      <w:r w:rsidR="008F12F9">
        <w:rPr>
          <w:sz w:val="28"/>
          <w:szCs w:val="28"/>
        </w:rPr>
        <w:t>it</w:t>
      </w:r>
      <w:r>
        <w:rPr>
          <w:sz w:val="28"/>
          <w:szCs w:val="28"/>
        </w:rPr>
        <w:t xml:space="preserve"> is in the best interests of the Police and the community to be able to meet these objectives with the </w:t>
      </w:r>
      <w:r w:rsidR="008F12F9">
        <w:rPr>
          <w:sz w:val="28"/>
          <w:szCs w:val="28"/>
        </w:rPr>
        <w:t>uplift</w:t>
      </w:r>
      <w:r>
        <w:rPr>
          <w:sz w:val="28"/>
          <w:szCs w:val="28"/>
        </w:rPr>
        <w:t xml:space="preserve"> plan and specific force by f</w:t>
      </w:r>
      <w:r>
        <w:rPr>
          <w:sz w:val="28"/>
          <w:szCs w:val="28"/>
        </w:rPr>
        <w:t>orce targets on ethnic minority recruiting. To be effective, all people of the community must believe that the Police are there to serve them and</w:t>
      </w:r>
      <w:r w:rsidR="008F12F9">
        <w:rPr>
          <w:sz w:val="28"/>
          <w:szCs w:val="28"/>
        </w:rPr>
        <w:t xml:space="preserve"> </w:t>
      </w:r>
      <w:r>
        <w:rPr>
          <w:sz w:val="28"/>
          <w:szCs w:val="28"/>
        </w:rPr>
        <w:t>treat them fairly</w:t>
      </w:r>
      <w:r>
        <w:rPr>
          <w:sz w:val="28"/>
          <w:szCs w:val="28"/>
        </w:rPr>
        <w:t xml:space="preserve"> </w:t>
      </w:r>
      <w:r w:rsidR="008F12F9">
        <w:rPr>
          <w:sz w:val="28"/>
          <w:szCs w:val="28"/>
        </w:rPr>
        <w:t xml:space="preserve">and </w:t>
      </w:r>
      <w:r>
        <w:rPr>
          <w:sz w:val="28"/>
          <w:szCs w:val="28"/>
        </w:rPr>
        <w:t>respect</w:t>
      </w:r>
      <w:r w:rsidR="008F12F9">
        <w:rPr>
          <w:sz w:val="28"/>
          <w:szCs w:val="28"/>
        </w:rPr>
        <w:t>fully</w:t>
      </w:r>
      <w:r>
        <w:rPr>
          <w:sz w:val="28"/>
          <w:szCs w:val="28"/>
        </w:rPr>
        <w:t>. Black and mixed- race groups have far lower levels of trust in the Po</w:t>
      </w:r>
      <w:r>
        <w:rPr>
          <w:sz w:val="28"/>
          <w:szCs w:val="28"/>
        </w:rPr>
        <w:t>lice than white British citizens.</w:t>
      </w:r>
    </w:p>
    <w:p w14:paraId="00000013" w14:textId="431F4CE5" w:rsidR="003B7007" w:rsidRDefault="00651292">
      <w:pPr>
        <w:ind w:left="0"/>
        <w:rPr>
          <w:sz w:val="28"/>
          <w:szCs w:val="28"/>
        </w:rPr>
      </w:pPr>
      <w:r>
        <w:rPr>
          <w:sz w:val="28"/>
          <w:szCs w:val="28"/>
        </w:rPr>
        <w:t>One significant way that Police forces in England and Wales are tackling</w:t>
      </w:r>
      <w:r>
        <w:rPr>
          <w:sz w:val="28"/>
          <w:szCs w:val="28"/>
        </w:rPr>
        <w:t xml:space="preserve"> lack of trust and confidence in communities is by having a Police force that is more reflective of the communities it serves.</w:t>
      </w:r>
    </w:p>
    <w:p w14:paraId="00000014" w14:textId="784A68B7" w:rsidR="003B7007" w:rsidRDefault="00651292">
      <w:pPr>
        <w:ind w:left="0"/>
        <w:rPr>
          <w:sz w:val="32"/>
          <w:szCs w:val="32"/>
        </w:rPr>
      </w:pPr>
      <w:r>
        <w:rPr>
          <w:b/>
          <w:sz w:val="32"/>
          <w:szCs w:val="32"/>
        </w:rPr>
        <w:t xml:space="preserve">Total Word Count: </w:t>
      </w:r>
      <w:r>
        <w:rPr>
          <w:b/>
          <w:sz w:val="32"/>
          <w:szCs w:val="32"/>
        </w:rPr>
        <w:t>1</w:t>
      </w:r>
      <w:r w:rsidR="008F12F9">
        <w:rPr>
          <w:b/>
          <w:sz w:val="32"/>
          <w:szCs w:val="32"/>
        </w:rPr>
        <w:t>100</w:t>
      </w:r>
    </w:p>
    <w:p w14:paraId="00000015" w14:textId="77777777" w:rsidR="003B7007" w:rsidRDefault="003B7007">
      <w:pPr>
        <w:ind w:left="0"/>
        <w:rPr>
          <w:b/>
          <w:sz w:val="28"/>
          <w:szCs w:val="28"/>
          <w:u w:val="single"/>
        </w:rPr>
      </w:pPr>
    </w:p>
    <w:p w14:paraId="00000016" w14:textId="77777777" w:rsidR="003B7007" w:rsidRDefault="003B7007">
      <w:pPr>
        <w:ind w:left="0"/>
        <w:rPr>
          <w:b/>
          <w:sz w:val="28"/>
          <w:szCs w:val="28"/>
          <w:u w:val="single"/>
        </w:rPr>
      </w:pPr>
    </w:p>
    <w:p w14:paraId="00000017" w14:textId="77777777" w:rsidR="003B7007" w:rsidRDefault="00651292">
      <w:pPr>
        <w:spacing w:after="240" w:line="360" w:lineRule="auto"/>
        <w:ind w:left="0"/>
        <w:rPr>
          <w:b/>
          <w:sz w:val="32"/>
          <w:szCs w:val="32"/>
          <w:u w:val="single"/>
        </w:rPr>
      </w:pPr>
      <w:r>
        <w:rPr>
          <w:b/>
          <w:sz w:val="32"/>
          <w:szCs w:val="32"/>
          <w:u w:val="single"/>
        </w:rPr>
        <w:lastRenderedPageBreak/>
        <w:t>Reference List</w:t>
      </w:r>
    </w:p>
    <w:p w14:paraId="00000018" w14:textId="77777777" w:rsidR="003B7007" w:rsidRDefault="00651292">
      <w:pPr>
        <w:spacing w:after="240" w:line="360" w:lineRule="auto"/>
        <w:ind w:left="0"/>
        <w:rPr>
          <w:sz w:val="24"/>
          <w:szCs w:val="24"/>
        </w:rPr>
      </w:pPr>
      <w:r>
        <w:rPr>
          <w:sz w:val="24"/>
          <w:szCs w:val="24"/>
        </w:rPr>
        <w:t xml:space="preserve">Bradford, B. and Tiratelli, M. (2019). </w:t>
      </w:r>
      <w:r>
        <w:rPr>
          <w:i/>
          <w:sz w:val="24"/>
          <w:szCs w:val="24"/>
        </w:rPr>
        <w:t>UK Justice Policy Review FOCUS Issue 4 Does stop and search reduce crime?</w:t>
      </w:r>
      <w:r>
        <w:rPr>
          <w:sz w:val="24"/>
          <w:szCs w:val="24"/>
        </w:rPr>
        <w:t xml:space="preserve"> [online] Available at: https://www.crimeandjustice.org.uk/sites/crimeandjustice.org.uk/files/Does%20stop%20and%20search%20reduce%20crime.pdf.</w:t>
      </w:r>
    </w:p>
    <w:p w14:paraId="00000019" w14:textId="77777777" w:rsidR="003B7007" w:rsidRDefault="00651292">
      <w:pPr>
        <w:spacing w:after="240" w:line="360" w:lineRule="auto"/>
        <w:ind w:left="0"/>
        <w:rPr>
          <w:sz w:val="24"/>
          <w:szCs w:val="24"/>
        </w:rPr>
      </w:pPr>
      <w:r>
        <w:rPr>
          <w:sz w:val="24"/>
          <w:szCs w:val="24"/>
        </w:rPr>
        <w:t xml:space="preserve">Bridges, L. (1999). The Lawrence Inquiry. Incompetence, Corruption, and Institutional Racism. </w:t>
      </w:r>
      <w:r>
        <w:rPr>
          <w:i/>
          <w:sz w:val="24"/>
          <w:szCs w:val="24"/>
        </w:rPr>
        <w:t xml:space="preserve">Journal of Law and </w:t>
      </w:r>
      <w:r>
        <w:rPr>
          <w:i/>
          <w:sz w:val="24"/>
          <w:szCs w:val="24"/>
        </w:rPr>
        <w:t>Society</w:t>
      </w:r>
      <w:r>
        <w:rPr>
          <w:sz w:val="24"/>
          <w:szCs w:val="24"/>
        </w:rPr>
        <w:t>, [online] 26(3), pp.298–322. Available at: https://www.jstor.org/stable/1410747.</w:t>
      </w:r>
    </w:p>
    <w:p w14:paraId="0000001A" w14:textId="77777777" w:rsidR="003B7007" w:rsidRDefault="00651292">
      <w:pPr>
        <w:spacing w:after="240" w:line="360" w:lineRule="auto"/>
        <w:ind w:left="0"/>
        <w:rPr>
          <w:sz w:val="24"/>
          <w:szCs w:val="24"/>
        </w:rPr>
      </w:pPr>
      <w:r>
        <w:rPr>
          <w:sz w:val="24"/>
          <w:szCs w:val="24"/>
        </w:rPr>
        <w:t xml:space="preserve">Clark, D. (2021). </w:t>
      </w:r>
      <w:r>
        <w:rPr>
          <w:i/>
          <w:sz w:val="24"/>
          <w:szCs w:val="24"/>
        </w:rPr>
        <w:t>Ethnic minority police officers England and Wales 2021</w:t>
      </w:r>
      <w:r>
        <w:rPr>
          <w:sz w:val="24"/>
          <w:szCs w:val="24"/>
        </w:rPr>
        <w:t>. [online] Statista. Available at: https://www.statista.com/statistics/378147/ethnic-minorities</w:t>
      </w:r>
      <w:r>
        <w:rPr>
          <w:sz w:val="24"/>
          <w:szCs w:val="24"/>
        </w:rPr>
        <w:t>-in-the-police-force-of-england-and-wales-uk/.</w:t>
      </w:r>
    </w:p>
    <w:p w14:paraId="0000001B" w14:textId="77777777" w:rsidR="003B7007" w:rsidRDefault="00651292">
      <w:pPr>
        <w:spacing w:after="240" w:line="360" w:lineRule="auto"/>
        <w:ind w:left="0"/>
        <w:rPr>
          <w:sz w:val="24"/>
          <w:szCs w:val="24"/>
        </w:rPr>
      </w:pPr>
      <w:r>
        <w:rPr>
          <w:sz w:val="24"/>
          <w:szCs w:val="24"/>
        </w:rPr>
        <w:t xml:space="preserve">College of Policing (2016). </w:t>
      </w:r>
      <w:r>
        <w:rPr>
          <w:i/>
          <w:sz w:val="24"/>
          <w:szCs w:val="24"/>
        </w:rPr>
        <w:t>Stop and search</w:t>
      </w:r>
      <w:r>
        <w:rPr>
          <w:sz w:val="24"/>
          <w:szCs w:val="24"/>
        </w:rPr>
        <w:t>. [online] College of Policing. Available at: https://www.college.police.uk/app/stop-and-search/stop-and-search.</w:t>
      </w:r>
    </w:p>
    <w:p w14:paraId="0000001C" w14:textId="77777777" w:rsidR="003B7007" w:rsidRDefault="00651292">
      <w:pPr>
        <w:spacing w:after="240" w:line="360" w:lineRule="auto"/>
        <w:ind w:left="0"/>
        <w:rPr>
          <w:sz w:val="24"/>
          <w:szCs w:val="24"/>
        </w:rPr>
      </w:pPr>
      <w:r>
        <w:rPr>
          <w:sz w:val="24"/>
          <w:szCs w:val="24"/>
        </w:rPr>
        <w:t xml:space="preserve">Delsol, R. (2006). </w:t>
      </w:r>
      <w:r>
        <w:rPr>
          <w:i/>
          <w:sz w:val="24"/>
          <w:szCs w:val="24"/>
        </w:rPr>
        <w:t>Institutional racism, the police and stop and search: a comparative study of stop and search in the UK and USA</w:t>
      </w:r>
      <w:r>
        <w:rPr>
          <w:sz w:val="24"/>
          <w:szCs w:val="24"/>
        </w:rPr>
        <w:t>. [online] wrap.warwick.ac.uk. Available at: http://wrap.warwick.ac.uk/1170/.</w:t>
      </w:r>
    </w:p>
    <w:p w14:paraId="0000001D" w14:textId="77777777" w:rsidR="003B7007" w:rsidRDefault="00651292">
      <w:pPr>
        <w:spacing w:after="240" w:line="360" w:lineRule="auto"/>
        <w:ind w:left="0"/>
        <w:rPr>
          <w:sz w:val="24"/>
          <w:szCs w:val="24"/>
        </w:rPr>
      </w:pPr>
      <w:r>
        <w:rPr>
          <w:sz w:val="24"/>
          <w:szCs w:val="24"/>
        </w:rPr>
        <w:t xml:space="preserve">Home Office (2019). </w:t>
      </w:r>
      <w:r>
        <w:rPr>
          <w:i/>
          <w:sz w:val="24"/>
          <w:szCs w:val="24"/>
        </w:rPr>
        <w:t>Home Office announces first wave of 20,000 polic</w:t>
      </w:r>
      <w:r>
        <w:rPr>
          <w:i/>
          <w:sz w:val="24"/>
          <w:szCs w:val="24"/>
        </w:rPr>
        <w:t>e officer uplift</w:t>
      </w:r>
      <w:r>
        <w:rPr>
          <w:sz w:val="24"/>
          <w:szCs w:val="24"/>
        </w:rPr>
        <w:t>. [online] GOV.UK. Available at: https://www.gov.uk/government/news/home-office-announces-first-wave-of-20000-police-officer-uplift.</w:t>
      </w:r>
    </w:p>
    <w:p w14:paraId="0000001E" w14:textId="77777777" w:rsidR="003B7007" w:rsidRDefault="00651292">
      <w:pPr>
        <w:spacing w:after="240" w:line="360" w:lineRule="auto"/>
        <w:ind w:left="0"/>
        <w:rPr>
          <w:sz w:val="24"/>
          <w:szCs w:val="24"/>
        </w:rPr>
      </w:pPr>
      <w:r>
        <w:rPr>
          <w:sz w:val="24"/>
          <w:szCs w:val="24"/>
        </w:rPr>
        <w:t xml:space="preserve">Home Office (2022). </w:t>
      </w:r>
      <w:r>
        <w:rPr>
          <w:i/>
          <w:sz w:val="24"/>
          <w:szCs w:val="24"/>
        </w:rPr>
        <w:t>Stop and Search</w:t>
      </w:r>
      <w:r>
        <w:rPr>
          <w:sz w:val="24"/>
          <w:szCs w:val="24"/>
        </w:rPr>
        <w:t>. [online] Gov.uk. Available at: https://www.ethnicity-facts-figures.ser</w:t>
      </w:r>
      <w:r>
        <w:rPr>
          <w:sz w:val="24"/>
          <w:szCs w:val="24"/>
        </w:rPr>
        <w:t>vice.gov.uk/crime-justice-and-the-law/policing/stop-and-search/latest.</w:t>
      </w:r>
    </w:p>
    <w:p w14:paraId="0000001F" w14:textId="77777777" w:rsidR="003B7007" w:rsidRDefault="00651292">
      <w:pPr>
        <w:spacing w:after="240" w:line="360" w:lineRule="auto"/>
        <w:ind w:left="0"/>
        <w:rPr>
          <w:sz w:val="24"/>
          <w:szCs w:val="24"/>
        </w:rPr>
      </w:pPr>
      <w:r>
        <w:rPr>
          <w:sz w:val="24"/>
          <w:szCs w:val="24"/>
        </w:rPr>
        <w:t xml:space="preserve">Solomos, J. (1999). </w:t>
      </w:r>
      <w:r>
        <w:rPr>
          <w:i/>
          <w:sz w:val="24"/>
          <w:szCs w:val="24"/>
        </w:rPr>
        <w:t>Social Research and the Stephen Lawrence Inquiry</w:t>
      </w:r>
      <w:r>
        <w:rPr>
          <w:sz w:val="24"/>
          <w:szCs w:val="24"/>
        </w:rPr>
        <w:t>. [online] www.socresonline.org.uk. Available at: https://www.socresonline.org.uk/4/lawrence/solomos.html.</w:t>
      </w:r>
    </w:p>
    <w:p w14:paraId="00000020" w14:textId="77777777" w:rsidR="003B7007" w:rsidRDefault="00651292">
      <w:pPr>
        <w:spacing w:after="240" w:line="360" w:lineRule="auto"/>
        <w:ind w:left="0"/>
        <w:rPr>
          <w:sz w:val="24"/>
          <w:szCs w:val="24"/>
        </w:rPr>
      </w:pPr>
      <w:r>
        <w:rPr>
          <w:sz w:val="24"/>
          <w:szCs w:val="24"/>
        </w:rPr>
        <w:t>Walcott, S</w:t>
      </w:r>
      <w:r>
        <w:rPr>
          <w:sz w:val="24"/>
          <w:szCs w:val="24"/>
        </w:rPr>
        <w:t xml:space="preserve">. (2021). </w:t>
      </w:r>
      <w:r>
        <w:rPr>
          <w:i/>
          <w:sz w:val="24"/>
          <w:szCs w:val="24"/>
        </w:rPr>
        <w:t>Radical reform is required if the police service is to look like the society it serves</w:t>
      </w:r>
      <w:r>
        <w:rPr>
          <w:sz w:val="24"/>
          <w:szCs w:val="24"/>
        </w:rPr>
        <w:t>. [online] The Police Foundation. Available at: https://www.police-</w:t>
      </w:r>
      <w:r>
        <w:rPr>
          <w:sz w:val="24"/>
          <w:szCs w:val="24"/>
        </w:rPr>
        <w:lastRenderedPageBreak/>
        <w:t>foundation.org.uk/2021/02/radical-reform-is-required-if-the-police-service-is-to-look-like-th</w:t>
      </w:r>
      <w:r>
        <w:rPr>
          <w:sz w:val="24"/>
          <w:szCs w:val="24"/>
        </w:rPr>
        <w:t>e-society-it-serves/.</w:t>
      </w:r>
    </w:p>
    <w:p w14:paraId="00000021" w14:textId="77777777" w:rsidR="003B7007" w:rsidRDefault="00651292">
      <w:pPr>
        <w:spacing w:after="240" w:line="360" w:lineRule="auto"/>
        <w:ind w:left="0"/>
        <w:rPr>
          <w:sz w:val="24"/>
          <w:szCs w:val="24"/>
        </w:rPr>
      </w:pPr>
      <w:r>
        <w:rPr>
          <w:sz w:val="24"/>
          <w:szCs w:val="24"/>
        </w:rPr>
        <w:t xml:space="preserve">www.policeconduct.gov.uk. (2022). </w:t>
      </w:r>
      <w:r>
        <w:rPr>
          <w:i/>
          <w:sz w:val="24"/>
          <w:szCs w:val="24"/>
        </w:rPr>
        <w:t>National Stop and Search learning report, April 2022 | Independent Office for Police Conduct</w:t>
      </w:r>
      <w:r>
        <w:rPr>
          <w:sz w:val="24"/>
          <w:szCs w:val="24"/>
        </w:rPr>
        <w:t>. [online] Available at: https://www.policeconduct.gov.uk/national-stop-and-search-learning-report-april-202</w:t>
      </w:r>
      <w:r>
        <w:rPr>
          <w:sz w:val="24"/>
          <w:szCs w:val="24"/>
        </w:rPr>
        <w:t>2.</w:t>
      </w:r>
    </w:p>
    <w:p w14:paraId="00000022" w14:textId="77777777" w:rsidR="003B7007" w:rsidRDefault="003B7007">
      <w:pPr>
        <w:ind w:left="0"/>
        <w:rPr>
          <w:b/>
          <w:sz w:val="28"/>
          <w:szCs w:val="28"/>
          <w:u w:val="single"/>
        </w:rPr>
      </w:pPr>
    </w:p>
    <w:p w14:paraId="00000023" w14:textId="77777777" w:rsidR="003B7007" w:rsidRDefault="003B7007">
      <w:pPr>
        <w:ind w:left="0"/>
        <w:rPr>
          <w:b/>
          <w:sz w:val="28"/>
          <w:szCs w:val="28"/>
          <w:u w:val="single"/>
        </w:rPr>
      </w:pPr>
    </w:p>
    <w:p w14:paraId="00000024" w14:textId="77777777" w:rsidR="003B7007" w:rsidRDefault="003B7007">
      <w:pPr>
        <w:ind w:left="0"/>
        <w:rPr>
          <w:b/>
          <w:sz w:val="28"/>
          <w:szCs w:val="28"/>
          <w:u w:val="single"/>
        </w:rPr>
      </w:pPr>
    </w:p>
    <w:p w14:paraId="00000025" w14:textId="77777777" w:rsidR="003B7007" w:rsidRDefault="003B7007">
      <w:pPr>
        <w:ind w:left="0"/>
        <w:rPr>
          <w:b/>
          <w:sz w:val="28"/>
          <w:szCs w:val="28"/>
          <w:u w:val="single"/>
        </w:rPr>
      </w:pPr>
    </w:p>
    <w:p w14:paraId="00000026" w14:textId="77777777" w:rsidR="003B7007" w:rsidRDefault="003B7007">
      <w:pPr>
        <w:ind w:left="0"/>
        <w:rPr>
          <w:b/>
          <w:sz w:val="28"/>
          <w:szCs w:val="28"/>
          <w:u w:val="single"/>
        </w:rPr>
      </w:pPr>
    </w:p>
    <w:p w14:paraId="00000027" w14:textId="77777777" w:rsidR="003B7007" w:rsidRDefault="003B7007">
      <w:pPr>
        <w:ind w:left="0"/>
        <w:rPr>
          <w:b/>
          <w:sz w:val="28"/>
          <w:szCs w:val="28"/>
          <w:u w:val="single"/>
        </w:rPr>
      </w:pPr>
    </w:p>
    <w:p w14:paraId="00000028" w14:textId="77777777" w:rsidR="003B7007" w:rsidRDefault="003B7007">
      <w:pPr>
        <w:ind w:left="0"/>
        <w:rPr>
          <w:b/>
          <w:sz w:val="28"/>
          <w:szCs w:val="28"/>
          <w:u w:val="single"/>
        </w:rPr>
      </w:pPr>
    </w:p>
    <w:p w14:paraId="00000029" w14:textId="77777777" w:rsidR="003B7007" w:rsidRDefault="003B7007">
      <w:pPr>
        <w:ind w:left="0"/>
        <w:rPr>
          <w:b/>
          <w:sz w:val="28"/>
          <w:szCs w:val="28"/>
          <w:u w:val="single"/>
        </w:rPr>
      </w:pPr>
    </w:p>
    <w:p w14:paraId="0000002A" w14:textId="77777777" w:rsidR="003B7007" w:rsidRDefault="003B7007">
      <w:pPr>
        <w:ind w:left="0"/>
        <w:rPr>
          <w:b/>
          <w:sz w:val="28"/>
          <w:szCs w:val="28"/>
          <w:u w:val="single"/>
        </w:rPr>
      </w:pPr>
    </w:p>
    <w:p w14:paraId="0000002B" w14:textId="77777777" w:rsidR="003B7007" w:rsidRDefault="003B7007">
      <w:pPr>
        <w:ind w:left="0"/>
        <w:rPr>
          <w:b/>
          <w:sz w:val="28"/>
          <w:szCs w:val="28"/>
          <w:u w:val="single"/>
        </w:rPr>
      </w:pPr>
    </w:p>
    <w:p w14:paraId="0000002C" w14:textId="77777777" w:rsidR="003B7007" w:rsidRDefault="003B7007">
      <w:pPr>
        <w:ind w:left="0"/>
        <w:rPr>
          <w:b/>
          <w:sz w:val="28"/>
          <w:szCs w:val="28"/>
          <w:u w:val="single"/>
        </w:rPr>
      </w:pPr>
    </w:p>
    <w:p w14:paraId="0000002D" w14:textId="77777777" w:rsidR="003B7007" w:rsidRDefault="003B7007">
      <w:pPr>
        <w:ind w:left="0"/>
        <w:rPr>
          <w:b/>
          <w:sz w:val="28"/>
          <w:szCs w:val="28"/>
          <w:u w:val="single"/>
        </w:rPr>
      </w:pPr>
    </w:p>
    <w:p w14:paraId="0000002E" w14:textId="77777777" w:rsidR="003B7007" w:rsidRDefault="003B7007">
      <w:pPr>
        <w:ind w:left="0"/>
        <w:rPr>
          <w:b/>
          <w:sz w:val="28"/>
          <w:szCs w:val="28"/>
          <w:u w:val="single"/>
        </w:rPr>
      </w:pPr>
    </w:p>
    <w:p w14:paraId="0000002F" w14:textId="77777777" w:rsidR="003B7007" w:rsidRDefault="003B7007">
      <w:pPr>
        <w:ind w:left="0"/>
        <w:rPr>
          <w:b/>
          <w:sz w:val="28"/>
          <w:szCs w:val="28"/>
          <w:u w:val="single"/>
        </w:rPr>
      </w:pPr>
    </w:p>
    <w:p w14:paraId="00000030" w14:textId="77777777" w:rsidR="003B7007" w:rsidRDefault="003B7007">
      <w:pPr>
        <w:ind w:left="0"/>
        <w:rPr>
          <w:b/>
          <w:sz w:val="28"/>
          <w:szCs w:val="28"/>
          <w:u w:val="single"/>
        </w:rPr>
      </w:pPr>
    </w:p>
    <w:p w14:paraId="00000031" w14:textId="77777777" w:rsidR="003B7007" w:rsidRDefault="003B7007">
      <w:pPr>
        <w:ind w:left="0"/>
        <w:rPr>
          <w:b/>
          <w:sz w:val="28"/>
          <w:szCs w:val="28"/>
          <w:u w:val="single"/>
        </w:rPr>
      </w:pPr>
    </w:p>
    <w:p w14:paraId="00000032" w14:textId="77777777" w:rsidR="003B7007" w:rsidRDefault="003B7007">
      <w:pPr>
        <w:ind w:left="0"/>
        <w:rPr>
          <w:b/>
          <w:sz w:val="28"/>
          <w:szCs w:val="28"/>
          <w:u w:val="single"/>
        </w:rPr>
      </w:pPr>
    </w:p>
    <w:p w14:paraId="00000033" w14:textId="77777777" w:rsidR="003B7007" w:rsidRDefault="003B7007">
      <w:pPr>
        <w:ind w:left="0"/>
        <w:rPr>
          <w:b/>
          <w:sz w:val="28"/>
          <w:szCs w:val="28"/>
          <w:u w:val="single"/>
        </w:rPr>
      </w:pPr>
    </w:p>
    <w:p w14:paraId="00000034" w14:textId="77777777" w:rsidR="003B7007" w:rsidRDefault="003B7007">
      <w:pPr>
        <w:ind w:left="0"/>
        <w:rPr>
          <w:b/>
          <w:sz w:val="28"/>
          <w:szCs w:val="28"/>
          <w:u w:val="single"/>
        </w:rPr>
      </w:pPr>
    </w:p>
    <w:p w14:paraId="77885BFD" w14:textId="77777777" w:rsidR="008F12F9" w:rsidRDefault="008F12F9">
      <w:pPr>
        <w:ind w:left="0"/>
        <w:rPr>
          <w:b/>
          <w:sz w:val="32"/>
          <w:szCs w:val="32"/>
          <w:u w:val="single"/>
        </w:rPr>
      </w:pPr>
    </w:p>
    <w:p w14:paraId="75BE5CF3" w14:textId="77777777" w:rsidR="008F12F9" w:rsidRDefault="008F12F9">
      <w:pPr>
        <w:ind w:left="0"/>
        <w:rPr>
          <w:b/>
          <w:sz w:val="32"/>
          <w:szCs w:val="32"/>
          <w:u w:val="single"/>
        </w:rPr>
      </w:pPr>
    </w:p>
    <w:p w14:paraId="00000035" w14:textId="453DFA76" w:rsidR="003B7007" w:rsidRDefault="00651292">
      <w:pPr>
        <w:ind w:left="0"/>
        <w:rPr>
          <w:b/>
          <w:sz w:val="32"/>
          <w:szCs w:val="32"/>
          <w:u w:val="single"/>
        </w:rPr>
      </w:pPr>
      <w:r>
        <w:rPr>
          <w:b/>
          <w:sz w:val="32"/>
          <w:szCs w:val="32"/>
          <w:u w:val="single"/>
        </w:rPr>
        <w:lastRenderedPageBreak/>
        <w:t>ESSAY 2</w:t>
      </w:r>
    </w:p>
    <w:p w14:paraId="00000036" w14:textId="77777777" w:rsidR="003B7007" w:rsidRDefault="00651292">
      <w:pPr>
        <w:ind w:left="0"/>
        <w:rPr>
          <w:sz w:val="28"/>
          <w:szCs w:val="28"/>
        </w:rPr>
      </w:pPr>
      <w:r>
        <w:rPr>
          <w:sz w:val="28"/>
          <w:szCs w:val="28"/>
        </w:rPr>
        <w:t>Children spend a large proportion of their daily relationships with friends once they begin primary school. Throughout their early years of schooling and into their adolescence, children form bonds and unbound friendships with</w:t>
      </w:r>
      <w:r>
        <w:rPr>
          <w:sz w:val="28"/>
          <w:szCs w:val="28"/>
        </w:rPr>
        <w:t xml:space="preserve"> others who are of similar stature within the classroom. They form relationships reflecting on their own individual circumstances which include sexuality, race, culture, interests, and wealth. Being part of a friendship group is normal to growing up. It ca</w:t>
      </w:r>
      <w:r>
        <w:rPr>
          <w:sz w:val="28"/>
          <w:szCs w:val="28"/>
        </w:rPr>
        <w:t>n be normal for groups of children or young people to gather in public places to socialise. These gatherings of friendship groups can lead to instances of anti-social behaviour or lower-level criminal activity but should not be confused with the serious vi</w:t>
      </w:r>
      <w:r>
        <w:rPr>
          <w:sz w:val="28"/>
          <w:szCs w:val="28"/>
        </w:rPr>
        <w:t xml:space="preserve">olence that gangs or Organised Criminal Gangs accomplish within the community.    </w:t>
      </w:r>
    </w:p>
    <w:p w14:paraId="00000037" w14:textId="77777777" w:rsidR="003B7007" w:rsidRDefault="00651292">
      <w:pPr>
        <w:ind w:left="0"/>
        <w:rPr>
          <w:sz w:val="28"/>
          <w:szCs w:val="28"/>
        </w:rPr>
      </w:pPr>
      <w:r>
        <w:rPr>
          <w:sz w:val="28"/>
          <w:szCs w:val="28"/>
        </w:rPr>
        <w:t xml:space="preserve">Within the gang environment, there are several types of criminal exploitation, with many preying on young vulnerable individuals and adults. Criminal exploitation involves the manipulation and coercion of vulnerable and young adults into committing crimes </w:t>
      </w:r>
      <w:r>
        <w:rPr>
          <w:sz w:val="28"/>
          <w:szCs w:val="28"/>
        </w:rPr>
        <w:t>(NSPCC, 2019). The NSPCC outlines how vulnerable young people and adults are targeted and groomed by Organised Crime Gangs (OCG’s) because they are less suspicious to local law enforcement and, if suspected of committing the crime, receive lower, less hars</w:t>
      </w:r>
      <w:r>
        <w:rPr>
          <w:sz w:val="28"/>
          <w:szCs w:val="28"/>
        </w:rPr>
        <w:t xml:space="preserve">h, punishments than adults. </w:t>
      </w:r>
    </w:p>
    <w:p w14:paraId="00000038" w14:textId="77777777" w:rsidR="003B7007" w:rsidRDefault="00651292">
      <w:pPr>
        <w:ind w:left="0"/>
        <w:rPr>
          <w:sz w:val="28"/>
          <w:szCs w:val="28"/>
        </w:rPr>
      </w:pPr>
      <w:r>
        <w:rPr>
          <w:sz w:val="28"/>
          <w:szCs w:val="28"/>
        </w:rPr>
        <w:t>A young person may be more prone to becoming a victim of Child Criminal Exploitation due to them experiencing emotional, sexual, or psychological abuse from within the family home or a place of relative safety from which they r</w:t>
      </w:r>
      <w:r>
        <w:rPr>
          <w:sz w:val="28"/>
          <w:szCs w:val="28"/>
        </w:rPr>
        <w:t>eside. This may not have an instant bearing on the child, however regular occurrences over time, may lead to the child seeking to live elsewhere and flee from the home resulting in them becoming a missing person or runaway. Exploitation in this instance ca</w:t>
      </w:r>
      <w:r>
        <w:rPr>
          <w:sz w:val="28"/>
          <w:szCs w:val="28"/>
        </w:rPr>
        <w:t>n often be referred to as Adverse Childhood Experiences (ACEs). According to research conducted by Bangor et al. (2019) which reviewed male offender inmates within a prison environment, they identified high levels of childhood adversity with 84% of inmates</w:t>
      </w:r>
      <w:r>
        <w:rPr>
          <w:sz w:val="28"/>
          <w:szCs w:val="28"/>
        </w:rPr>
        <w:t xml:space="preserve"> having suffered at least 1 ACE whilst growing up and almost half reporting being exposed to four or more during childhood. This suggests that whilst children are growing up, adverse childhood experiences can have a negative impact on the child's life oppo</w:t>
      </w:r>
      <w:r>
        <w:rPr>
          <w:sz w:val="28"/>
          <w:szCs w:val="28"/>
        </w:rPr>
        <w:t xml:space="preserve">rtunities and increase the risk of them becoming involved in criminal activity. </w:t>
      </w:r>
    </w:p>
    <w:p w14:paraId="00000039" w14:textId="77777777" w:rsidR="003B7007" w:rsidRDefault="003B7007">
      <w:pPr>
        <w:ind w:left="0"/>
        <w:rPr>
          <w:sz w:val="28"/>
          <w:szCs w:val="28"/>
        </w:rPr>
      </w:pPr>
    </w:p>
    <w:p w14:paraId="0000003A" w14:textId="77777777" w:rsidR="003B7007" w:rsidRDefault="003B7007">
      <w:pPr>
        <w:ind w:left="0"/>
        <w:rPr>
          <w:sz w:val="28"/>
          <w:szCs w:val="28"/>
        </w:rPr>
      </w:pPr>
    </w:p>
    <w:p w14:paraId="0000003B" w14:textId="77777777" w:rsidR="003B7007" w:rsidRDefault="00651292">
      <w:pPr>
        <w:ind w:left="0"/>
        <w:rPr>
          <w:sz w:val="28"/>
          <w:szCs w:val="28"/>
        </w:rPr>
      </w:pPr>
      <w:r>
        <w:rPr>
          <w:sz w:val="28"/>
          <w:szCs w:val="28"/>
        </w:rPr>
        <w:lastRenderedPageBreak/>
        <w:t>Organised Crime Gangs are groups of people who plan, organise, and commit significant crimes on a regular basis to make a substantial profit. Violence or the threat of viole</w:t>
      </w:r>
      <w:r>
        <w:rPr>
          <w:sz w:val="28"/>
          <w:szCs w:val="28"/>
        </w:rPr>
        <w:t xml:space="preserve">nce is often used, however, the main aim is always financial gain. The organisation of an OCG often comprises a core of significant persons surrounded by deputies and other lower ranked members, as well as an extensive network of acquaintances. Many OCG’s </w:t>
      </w:r>
      <w:r>
        <w:rPr>
          <w:sz w:val="28"/>
          <w:szCs w:val="28"/>
        </w:rPr>
        <w:t>are informal groups of criminals that combine for a specific illegal operation, playing various roles based on their abilities and expertise. Family or cultural ties, common experiences such as imprisonment, and associations created in schools, youth insti</w:t>
      </w:r>
      <w:r>
        <w:rPr>
          <w:sz w:val="28"/>
          <w:szCs w:val="28"/>
        </w:rPr>
        <w:t xml:space="preserve">tutions, children’s homes, can all help to encourage collaboration. OCG’s frequently function in communities by utilising structure, violence, and intimidation (CPS, 2021). </w:t>
      </w:r>
    </w:p>
    <w:p w14:paraId="0000003C" w14:textId="77777777" w:rsidR="003B7007" w:rsidRDefault="00651292">
      <w:pPr>
        <w:ind w:left="0"/>
        <w:rPr>
          <w:sz w:val="28"/>
          <w:szCs w:val="28"/>
        </w:rPr>
      </w:pPr>
      <w:r>
        <w:rPr>
          <w:sz w:val="28"/>
          <w:szCs w:val="28"/>
        </w:rPr>
        <w:t>‘Recruiters’ within the OCG will seek to target the child and offer a place of saf</w:t>
      </w:r>
      <w:r>
        <w:rPr>
          <w:sz w:val="28"/>
          <w:szCs w:val="28"/>
        </w:rPr>
        <w:t>ety. According to The Children’s Society (2018) Child Exploitation frequently occurs without the child’s initial understanding, with the child assuming he or she is in control of the situation. Those who exploit the child always have some type of control o</w:t>
      </w:r>
      <w:r>
        <w:rPr>
          <w:sz w:val="28"/>
          <w:szCs w:val="28"/>
        </w:rPr>
        <w:t>ver them, whether it be due to their age, gender, intellect, physical strength, or financial control. The National Crime Agency (2016) explains “It is not clear how gangs recruit children, however, one Police Force highlighted a gang that targeted young ma</w:t>
      </w:r>
      <w:r>
        <w:rPr>
          <w:sz w:val="28"/>
          <w:szCs w:val="28"/>
        </w:rPr>
        <w:t>les from homeless hostels”. Although this comment is exclusive to males, females, some as young as 14 years of age are at risk of sexual exploitation, resulting in some entering relationships with older gang members. These girls may be passed around or sha</w:t>
      </w:r>
      <w:r>
        <w:rPr>
          <w:sz w:val="28"/>
          <w:szCs w:val="28"/>
        </w:rPr>
        <w:t xml:space="preserve">red with other gang members who wish to target them for sexual pleasure.  </w:t>
      </w:r>
    </w:p>
    <w:p w14:paraId="0000003D" w14:textId="77777777" w:rsidR="003B7007" w:rsidRDefault="00651292">
      <w:pPr>
        <w:ind w:left="0"/>
        <w:rPr>
          <w:sz w:val="28"/>
          <w:szCs w:val="28"/>
        </w:rPr>
      </w:pPr>
      <w:r>
        <w:rPr>
          <w:sz w:val="28"/>
          <w:szCs w:val="28"/>
        </w:rPr>
        <w:t>County Lines drug dealing is a quickly expanding drug supply strategy in which urban drug gangs cross Police force borders to sell to rural or coastal areas. Child Criminal Exploita</w:t>
      </w:r>
      <w:r>
        <w:rPr>
          <w:sz w:val="28"/>
          <w:szCs w:val="28"/>
        </w:rPr>
        <w:t>tion is intimately linked to County Lines where gangs use children as young as 12 years of age as drug runners to carry and distribute drugs to sell and avoid suspicion from local law enforcement. Children may go missing for brief periods of time while car</w:t>
      </w:r>
      <w:r>
        <w:rPr>
          <w:sz w:val="28"/>
          <w:szCs w:val="28"/>
        </w:rPr>
        <w:t xml:space="preserve">rying out drug deliveries (Robinson, McLean and Densley, 2018).   </w:t>
      </w:r>
    </w:p>
    <w:p w14:paraId="0000003E" w14:textId="77777777" w:rsidR="003B7007" w:rsidRDefault="003B7007">
      <w:pPr>
        <w:ind w:left="0"/>
        <w:rPr>
          <w:sz w:val="28"/>
          <w:szCs w:val="28"/>
        </w:rPr>
      </w:pPr>
    </w:p>
    <w:p w14:paraId="0000003F" w14:textId="77777777" w:rsidR="003B7007" w:rsidRDefault="003B7007">
      <w:pPr>
        <w:ind w:left="0"/>
        <w:rPr>
          <w:sz w:val="28"/>
          <w:szCs w:val="28"/>
        </w:rPr>
      </w:pPr>
    </w:p>
    <w:p w14:paraId="00000040" w14:textId="77777777" w:rsidR="003B7007" w:rsidRDefault="003B7007">
      <w:pPr>
        <w:ind w:left="0"/>
        <w:rPr>
          <w:sz w:val="28"/>
          <w:szCs w:val="28"/>
        </w:rPr>
      </w:pPr>
    </w:p>
    <w:p w14:paraId="00000041" w14:textId="77777777" w:rsidR="003B7007" w:rsidRDefault="003B7007">
      <w:pPr>
        <w:ind w:left="0"/>
        <w:rPr>
          <w:sz w:val="28"/>
          <w:szCs w:val="28"/>
        </w:rPr>
      </w:pPr>
    </w:p>
    <w:p w14:paraId="00000042" w14:textId="77777777" w:rsidR="003B7007" w:rsidRDefault="00651292">
      <w:pPr>
        <w:ind w:left="0"/>
        <w:rPr>
          <w:sz w:val="28"/>
          <w:szCs w:val="28"/>
        </w:rPr>
      </w:pPr>
      <w:r>
        <w:rPr>
          <w:sz w:val="28"/>
          <w:szCs w:val="28"/>
        </w:rPr>
        <w:lastRenderedPageBreak/>
        <w:t>County line drug trafficking is strongly associated with a type of crime, termed by Police as Cuckooing. Cuckooing is where an OCG member, who has the responsibility within the gang, be</w:t>
      </w:r>
      <w:r>
        <w:rPr>
          <w:sz w:val="28"/>
          <w:szCs w:val="28"/>
        </w:rPr>
        <w:t>friends a vulnerable adult, enters their home, and uses it as a safehouse for County Lines Drug operations. Within the UK vulnerabilities are often linked to the UK’s social and benefit scheme, where vulnerable adults are sometimes unable to work requiring</w:t>
      </w:r>
      <w:r>
        <w:rPr>
          <w:sz w:val="28"/>
          <w:szCs w:val="28"/>
        </w:rPr>
        <w:t xml:space="preserve"> social help and benefits from local authorities. These vulnerable adults are subsidised and are often housed in council accommodation. </w:t>
      </w:r>
    </w:p>
    <w:p w14:paraId="00000043" w14:textId="77777777" w:rsidR="003B7007" w:rsidRDefault="00651292">
      <w:pPr>
        <w:ind w:left="0"/>
        <w:rPr>
          <w:sz w:val="28"/>
          <w:szCs w:val="28"/>
        </w:rPr>
      </w:pPr>
      <w:r>
        <w:rPr>
          <w:sz w:val="28"/>
          <w:szCs w:val="28"/>
        </w:rPr>
        <w:t>Vulnerable adults may be suffering from mental or physical health issues, be elderly or socially isolated, have cogniti</w:t>
      </w:r>
      <w:r>
        <w:rPr>
          <w:sz w:val="28"/>
          <w:szCs w:val="28"/>
        </w:rPr>
        <w:t>ve or learning disabilities, have a history of drug use or be single mothers. (Lee,2022). OCG’s typically target those who are unable to defend themselves against exploitation and consequently are easy targets. The victim is often at home throughout the li</w:t>
      </w:r>
      <w:r>
        <w:rPr>
          <w:sz w:val="28"/>
          <w:szCs w:val="28"/>
        </w:rPr>
        <w:t>fespan of the operation. Unfortunately, due to fear of violence and being unable to defend themselves, the victim cannot reach out to family members, friends, or the Police. According to Spicer (2021), drug dealers take over a vulnerable person’s home to t</w:t>
      </w:r>
      <w:r>
        <w:rPr>
          <w:sz w:val="28"/>
          <w:szCs w:val="28"/>
        </w:rPr>
        <w:t xml:space="preserve">rade, store, or take drugs, or to facilitate sex work. </w:t>
      </w:r>
    </w:p>
    <w:p w14:paraId="00000044" w14:textId="77777777" w:rsidR="003B7007" w:rsidRDefault="00651292">
      <w:pPr>
        <w:ind w:left="0"/>
        <w:rPr>
          <w:sz w:val="28"/>
          <w:szCs w:val="28"/>
        </w:rPr>
      </w:pPr>
      <w:r>
        <w:rPr>
          <w:sz w:val="28"/>
          <w:szCs w:val="28"/>
        </w:rPr>
        <w:t>In conclusion, OCG’s exploit vulnerable young people and adults due to their vulnerable circumstances, to sell on their behalf to increase profits and further their illegal activities. The clever evol</w:t>
      </w:r>
      <w:r>
        <w:rPr>
          <w:sz w:val="28"/>
          <w:szCs w:val="28"/>
        </w:rPr>
        <w:t xml:space="preserve">ution of a criminal gang’s mindset has enabled them to spot these vulnerabilities within the community and larger society, recruiting the most vulnerable to ensure the continuing growth of their illicit operations.    </w:t>
      </w:r>
    </w:p>
    <w:p w14:paraId="00000045" w14:textId="77777777" w:rsidR="003B7007" w:rsidRDefault="00651292">
      <w:pPr>
        <w:ind w:left="0"/>
        <w:rPr>
          <w:b/>
          <w:sz w:val="32"/>
          <w:szCs w:val="32"/>
        </w:rPr>
      </w:pPr>
      <w:r>
        <w:rPr>
          <w:b/>
          <w:sz w:val="32"/>
          <w:szCs w:val="32"/>
        </w:rPr>
        <w:t>Total word count: 994</w:t>
      </w:r>
    </w:p>
    <w:p w14:paraId="00000046" w14:textId="77777777" w:rsidR="003B7007" w:rsidRDefault="003B7007">
      <w:pPr>
        <w:ind w:left="0"/>
        <w:rPr>
          <w:b/>
          <w:sz w:val="28"/>
          <w:szCs w:val="28"/>
          <w:u w:val="single"/>
        </w:rPr>
      </w:pPr>
    </w:p>
    <w:p w14:paraId="00000047" w14:textId="77777777" w:rsidR="003B7007" w:rsidRDefault="003B7007">
      <w:pPr>
        <w:ind w:left="0"/>
        <w:rPr>
          <w:b/>
          <w:sz w:val="28"/>
          <w:szCs w:val="28"/>
          <w:u w:val="single"/>
        </w:rPr>
      </w:pPr>
    </w:p>
    <w:p w14:paraId="00000048" w14:textId="77777777" w:rsidR="003B7007" w:rsidRDefault="003B7007">
      <w:pPr>
        <w:ind w:left="0"/>
        <w:rPr>
          <w:b/>
          <w:sz w:val="28"/>
          <w:szCs w:val="28"/>
          <w:u w:val="single"/>
        </w:rPr>
      </w:pPr>
    </w:p>
    <w:p w14:paraId="00000049" w14:textId="77777777" w:rsidR="003B7007" w:rsidRDefault="003B7007">
      <w:pPr>
        <w:ind w:left="0"/>
        <w:rPr>
          <w:b/>
          <w:sz w:val="28"/>
          <w:szCs w:val="28"/>
          <w:u w:val="single"/>
        </w:rPr>
      </w:pPr>
    </w:p>
    <w:p w14:paraId="0000004A" w14:textId="77777777" w:rsidR="003B7007" w:rsidRDefault="003B7007">
      <w:pPr>
        <w:ind w:left="0"/>
        <w:rPr>
          <w:b/>
          <w:sz w:val="28"/>
          <w:szCs w:val="28"/>
          <w:u w:val="single"/>
        </w:rPr>
      </w:pPr>
    </w:p>
    <w:p w14:paraId="0000004B" w14:textId="77777777" w:rsidR="003B7007" w:rsidRDefault="003B7007">
      <w:pPr>
        <w:ind w:left="0"/>
        <w:rPr>
          <w:b/>
          <w:sz w:val="28"/>
          <w:szCs w:val="28"/>
          <w:u w:val="single"/>
        </w:rPr>
      </w:pPr>
    </w:p>
    <w:p w14:paraId="0000004C" w14:textId="77777777" w:rsidR="003B7007" w:rsidRDefault="003B7007">
      <w:pPr>
        <w:ind w:left="0"/>
        <w:rPr>
          <w:b/>
          <w:sz w:val="28"/>
          <w:szCs w:val="28"/>
          <w:u w:val="single"/>
        </w:rPr>
      </w:pPr>
    </w:p>
    <w:p w14:paraId="0000004D" w14:textId="77777777" w:rsidR="003B7007" w:rsidRDefault="003B7007">
      <w:pPr>
        <w:spacing w:after="240" w:line="360" w:lineRule="auto"/>
        <w:ind w:left="0"/>
        <w:rPr>
          <w:b/>
          <w:sz w:val="28"/>
          <w:szCs w:val="28"/>
          <w:u w:val="single"/>
        </w:rPr>
      </w:pPr>
    </w:p>
    <w:p w14:paraId="0000004E" w14:textId="77777777" w:rsidR="003B7007" w:rsidRDefault="00651292">
      <w:pPr>
        <w:spacing w:after="240" w:line="360" w:lineRule="auto"/>
        <w:ind w:left="0"/>
        <w:rPr>
          <w:b/>
          <w:sz w:val="32"/>
          <w:szCs w:val="32"/>
          <w:u w:val="single"/>
        </w:rPr>
      </w:pPr>
      <w:r>
        <w:rPr>
          <w:b/>
          <w:sz w:val="32"/>
          <w:szCs w:val="32"/>
          <w:u w:val="single"/>
        </w:rPr>
        <w:lastRenderedPageBreak/>
        <w:t>Referen</w:t>
      </w:r>
      <w:r>
        <w:rPr>
          <w:b/>
          <w:sz w:val="32"/>
          <w:szCs w:val="32"/>
          <w:u w:val="single"/>
        </w:rPr>
        <w:t>ce List</w:t>
      </w:r>
    </w:p>
    <w:p w14:paraId="0000004F" w14:textId="77777777" w:rsidR="003B7007" w:rsidRDefault="00651292">
      <w:pPr>
        <w:spacing w:after="240" w:line="360" w:lineRule="auto"/>
        <w:ind w:left="0"/>
        <w:rPr>
          <w:sz w:val="24"/>
          <w:szCs w:val="24"/>
        </w:rPr>
      </w:pPr>
      <w:r>
        <w:rPr>
          <w:sz w:val="24"/>
          <w:szCs w:val="24"/>
        </w:rPr>
        <w:t xml:space="preserve">Bangor, P., Ford, K., Barton, E., Newbury, A., Hughes, K., Bezeczky, Z., Roderick, J., Bellis, M., Ford, K., Barton, E., Hughes, A., Bezeczky, K. and Bellis, amp; (2019). </w:t>
      </w:r>
      <w:r>
        <w:rPr>
          <w:i/>
          <w:sz w:val="24"/>
          <w:szCs w:val="24"/>
        </w:rPr>
        <w:t>Understanding the prevalence of adverse childhood experiences (ACEs) in a male offend</w:t>
      </w:r>
      <w:r>
        <w:rPr>
          <w:i/>
          <w:sz w:val="24"/>
          <w:szCs w:val="24"/>
        </w:rPr>
        <w:t>er population in Wales: The Prisoner ACE Survey</w:t>
      </w:r>
      <w:r>
        <w:rPr>
          <w:sz w:val="24"/>
          <w:szCs w:val="24"/>
        </w:rPr>
        <w:t>. [online] Available at: https://research.bangor.ac.uk/portal/files/23356885/PHW_Prisoner_ACE_Survey_Report_E.pdf.</w:t>
      </w:r>
    </w:p>
    <w:p w14:paraId="00000050" w14:textId="77777777" w:rsidR="003B7007" w:rsidRDefault="00651292">
      <w:pPr>
        <w:spacing w:after="240" w:line="360" w:lineRule="auto"/>
        <w:ind w:left="0"/>
        <w:rPr>
          <w:sz w:val="24"/>
          <w:szCs w:val="24"/>
        </w:rPr>
      </w:pPr>
      <w:r>
        <w:rPr>
          <w:sz w:val="24"/>
          <w:szCs w:val="24"/>
        </w:rPr>
        <w:t xml:space="preserve">CPS (2021). </w:t>
      </w:r>
      <w:r>
        <w:rPr>
          <w:i/>
          <w:sz w:val="24"/>
          <w:szCs w:val="24"/>
        </w:rPr>
        <w:t>Gang related offences - Decision making in | The Crown Prosecution Service</w:t>
      </w:r>
      <w:r>
        <w:rPr>
          <w:sz w:val="24"/>
          <w:szCs w:val="24"/>
        </w:rPr>
        <w:t>. [onlin</w:t>
      </w:r>
      <w:r>
        <w:rPr>
          <w:sz w:val="24"/>
          <w:szCs w:val="24"/>
        </w:rPr>
        <w:t>e] www.cps.gov.uk. Available at: https://www.cps.gov.uk/legal-guidance/gang-related-offences-decision-making.</w:t>
      </w:r>
    </w:p>
    <w:p w14:paraId="00000051" w14:textId="77777777" w:rsidR="003B7007" w:rsidRDefault="00651292">
      <w:pPr>
        <w:spacing w:after="240" w:line="360" w:lineRule="auto"/>
        <w:ind w:left="0"/>
        <w:rPr>
          <w:sz w:val="24"/>
          <w:szCs w:val="24"/>
        </w:rPr>
      </w:pPr>
      <w:r>
        <w:rPr>
          <w:sz w:val="24"/>
          <w:szCs w:val="24"/>
        </w:rPr>
        <w:t xml:space="preserve">Lee, E. (2022). </w:t>
      </w:r>
      <w:r>
        <w:rPr>
          <w:i/>
          <w:sz w:val="24"/>
          <w:szCs w:val="24"/>
        </w:rPr>
        <w:t>What is Cuckooing?</w:t>
      </w:r>
      <w:r>
        <w:rPr>
          <w:sz w:val="24"/>
          <w:szCs w:val="24"/>
        </w:rPr>
        <w:t xml:space="preserve"> [online] CPD Online College. Available at: https://cpdonline.co.uk/knowledge-base/safeguarding/cuckooing/.</w:t>
      </w:r>
    </w:p>
    <w:p w14:paraId="00000052" w14:textId="77777777" w:rsidR="003B7007" w:rsidRDefault="00651292">
      <w:pPr>
        <w:spacing w:after="240" w:line="360" w:lineRule="auto"/>
        <w:ind w:left="0"/>
        <w:rPr>
          <w:sz w:val="24"/>
          <w:szCs w:val="24"/>
        </w:rPr>
      </w:pPr>
      <w:r>
        <w:rPr>
          <w:sz w:val="24"/>
          <w:szCs w:val="24"/>
        </w:rPr>
        <w:t xml:space="preserve">National Crime Agency (2016). </w:t>
      </w:r>
      <w:r>
        <w:rPr>
          <w:i/>
          <w:sz w:val="24"/>
          <w:szCs w:val="24"/>
        </w:rPr>
        <w:t>County Lines Gang Violence, Exploitation &amp; Drug Supply 2016 0346-CAD National Briefing Report Authoring department/team: Drug Threat Team, Organised Crime Command Date</w:t>
      </w:r>
      <w:r>
        <w:rPr>
          <w:sz w:val="24"/>
          <w:szCs w:val="24"/>
        </w:rPr>
        <w:t>. [online] Available at: https://www.nationalcrimeagency.go</w:t>
      </w:r>
      <w:r>
        <w:rPr>
          <w:sz w:val="24"/>
          <w:szCs w:val="24"/>
        </w:rPr>
        <w:t>v.uk/who-we-are/publications/15-county-lines-gang-violence-exploitation-and-drug-supply-2016/file.</w:t>
      </w:r>
    </w:p>
    <w:p w14:paraId="00000053" w14:textId="77777777" w:rsidR="003B7007" w:rsidRDefault="00651292">
      <w:pPr>
        <w:spacing w:after="240" w:line="360" w:lineRule="auto"/>
        <w:ind w:left="0"/>
        <w:rPr>
          <w:sz w:val="24"/>
          <w:szCs w:val="24"/>
        </w:rPr>
      </w:pPr>
      <w:r>
        <w:rPr>
          <w:sz w:val="24"/>
          <w:szCs w:val="24"/>
        </w:rPr>
        <w:t xml:space="preserve">NSPCC (2019). </w:t>
      </w:r>
      <w:r>
        <w:rPr>
          <w:i/>
          <w:sz w:val="24"/>
          <w:szCs w:val="24"/>
        </w:rPr>
        <w:t>Criminal exploitation and gangs</w:t>
      </w:r>
      <w:r>
        <w:rPr>
          <w:sz w:val="24"/>
          <w:szCs w:val="24"/>
        </w:rPr>
        <w:t>. [online] NSPCC. Available at: https://www.nspcc.org.uk/what-is-child-abuse/types-of-abuse/gangs-criminal-explo</w:t>
      </w:r>
      <w:r>
        <w:rPr>
          <w:sz w:val="24"/>
          <w:szCs w:val="24"/>
        </w:rPr>
        <w:t>itation/.</w:t>
      </w:r>
    </w:p>
    <w:p w14:paraId="00000054" w14:textId="77777777" w:rsidR="003B7007" w:rsidRDefault="00651292">
      <w:pPr>
        <w:spacing w:after="240" w:line="360" w:lineRule="auto"/>
        <w:ind w:left="0"/>
        <w:rPr>
          <w:sz w:val="24"/>
          <w:szCs w:val="24"/>
        </w:rPr>
      </w:pPr>
      <w:r>
        <w:rPr>
          <w:sz w:val="24"/>
          <w:szCs w:val="24"/>
        </w:rPr>
        <w:t xml:space="preserve">Robinson, G., McLean, R. and Densley, J. (2018). Working County Lines: Child Criminal Exploitation and Illicit Drug Dealing in Glasgow and Merseyside. </w:t>
      </w:r>
      <w:r>
        <w:rPr>
          <w:i/>
          <w:sz w:val="24"/>
          <w:szCs w:val="24"/>
        </w:rPr>
        <w:t>International Journal of Offender Therapy and Comparative Criminology</w:t>
      </w:r>
      <w:r>
        <w:rPr>
          <w:sz w:val="24"/>
          <w:szCs w:val="24"/>
        </w:rPr>
        <w:t>, 63(5). doi:https://doi.o</w:t>
      </w:r>
      <w:r>
        <w:rPr>
          <w:sz w:val="24"/>
          <w:szCs w:val="24"/>
        </w:rPr>
        <w:t>rg/10.1177/0306624x18806742.</w:t>
      </w:r>
    </w:p>
    <w:p w14:paraId="00000055" w14:textId="77777777" w:rsidR="003B7007" w:rsidRDefault="00651292">
      <w:pPr>
        <w:spacing w:after="240" w:line="360" w:lineRule="auto"/>
        <w:ind w:left="0"/>
        <w:rPr>
          <w:sz w:val="24"/>
          <w:szCs w:val="24"/>
        </w:rPr>
      </w:pPr>
      <w:r>
        <w:rPr>
          <w:sz w:val="24"/>
          <w:szCs w:val="24"/>
        </w:rPr>
        <w:t xml:space="preserve">Spicer, J. (2021). OUP accepted manuscript. </w:t>
      </w:r>
      <w:r>
        <w:rPr>
          <w:i/>
          <w:sz w:val="24"/>
          <w:szCs w:val="24"/>
        </w:rPr>
        <w:t>British Journal Of Criminology</w:t>
      </w:r>
      <w:r>
        <w:rPr>
          <w:sz w:val="24"/>
          <w:szCs w:val="24"/>
        </w:rPr>
        <w:t>, 61(5). doi:https://doi.org/10.1093/bjc/azab027.</w:t>
      </w:r>
    </w:p>
    <w:p w14:paraId="00000056" w14:textId="77777777" w:rsidR="003B7007" w:rsidRDefault="00651292">
      <w:pPr>
        <w:spacing w:after="240" w:line="360" w:lineRule="auto"/>
        <w:ind w:left="0"/>
        <w:rPr>
          <w:sz w:val="24"/>
          <w:szCs w:val="24"/>
        </w:rPr>
      </w:pPr>
      <w:r>
        <w:rPr>
          <w:sz w:val="24"/>
          <w:szCs w:val="24"/>
        </w:rPr>
        <w:t xml:space="preserve">The children's society (2018). </w:t>
      </w:r>
      <w:r>
        <w:rPr>
          <w:i/>
          <w:sz w:val="24"/>
          <w:szCs w:val="24"/>
        </w:rPr>
        <w:t>Criminal Exploitation: Stages of Recruitment Children At Risk of Exploit</w:t>
      </w:r>
      <w:r>
        <w:rPr>
          <w:i/>
          <w:sz w:val="24"/>
          <w:szCs w:val="24"/>
        </w:rPr>
        <w:t>ation (CARE) childrenssocietyeast.org.uk/care No child should feel alone</w:t>
      </w:r>
      <w:r>
        <w:rPr>
          <w:sz w:val="24"/>
          <w:szCs w:val="24"/>
        </w:rPr>
        <w:t xml:space="preserve">. [online] Available at: </w:t>
      </w:r>
      <w:hyperlink r:id="rId8">
        <w:r>
          <w:rPr>
            <w:color w:val="0000FF"/>
            <w:sz w:val="24"/>
            <w:szCs w:val="24"/>
            <w:u w:val="single"/>
          </w:rPr>
          <w:t>https://www.northlincscmars.co.uk/wp-content/uploads/2021/0</w:t>
        </w:r>
        <w:r>
          <w:rPr>
            <w:color w:val="0000FF"/>
            <w:sz w:val="24"/>
            <w:szCs w:val="24"/>
            <w:u w:val="single"/>
          </w:rPr>
          <w:t>2/Childrens-society.pdf</w:t>
        </w:r>
      </w:hyperlink>
      <w:r>
        <w:rPr>
          <w:sz w:val="24"/>
          <w:szCs w:val="24"/>
        </w:rPr>
        <w:t>.</w:t>
      </w:r>
    </w:p>
    <w:p w14:paraId="7A242C34" w14:textId="77777777" w:rsidR="00E14733" w:rsidRDefault="00E14733">
      <w:pPr>
        <w:spacing w:after="240" w:line="360" w:lineRule="auto"/>
        <w:ind w:left="0"/>
        <w:rPr>
          <w:b/>
          <w:sz w:val="32"/>
          <w:szCs w:val="32"/>
          <w:u w:val="single"/>
        </w:rPr>
      </w:pPr>
    </w:p>
    <w:p w14:paraId="00000057" w14:textId="413A7195" w:rsidR="003B7007" w:rsidRDefault="00651292">
      <w:pPr>
        <w:spacing w:after="240" w:line="360" w:lineRule="auto"/>
        <w:ind w:left="0"/>
        <w:rPr>
          <w:b/>
          <w:sz w:val="32"/>
          <w:szCs w:val="32"/>
          <w:u w:val="single"/>
        </w:rPr>
      </w:pPr>
      <w:r>
        <w:rPr>
          <w:b/>
          <w:sz w:val="32"/>
          <w:szCs w:val="32"/>
          <w:u w:val="single"/>
        </w:rPr>
        <w:lastRenderedPageBreak/>
        <w:t>Essay 3</w:t>
      </w:r>
    </w:p>
    <w:p w14:paraId="00000058" w14:textId="77777777" w:rsidR="003B7007" w:rsidRDefault="00651292">
      <w:pPr>
        <w:ind w:left="0"/>
        <w:rPr>
          <w:sz w:val="28"/>
          <w:szCs w:val="28"/>
        </w:rPr>
      </w:pPr>
      <w:r>
        <w:rPr>
          <w:sz w:val="28"/>
          <w:szCs w:val="28"/>
        </w:rPr>
        <w:t>In order to discuss the effectiveness of MAPPA it is firstly advantageous to understand what MAPPA is. MAPPA stands for Multi-Agency Public Protection Arrangements. It is a set of arrange</w:t>
      </w:r>
      <w:r>
        <w:rPr>
          <w:sz w:val="28"/>
          <w:szCs w:val="28"/>
        </w:rPr>
        <w:t>ments established by Police, Probation, and Prison Services to manage the risk posed by violent or sexual offenders residing within the community after their release from custodial or hospital settings. As the statutory framework for handling sexual and vi</w:t>
      </w:r>
      <w:r>
        <w:rPr>
          <w:sz w:val="28"/>
          <w:szCs w:val="28"/>
        </w:rPr>
        <w:t>olent offenders, MAPPA was first implemented in 2001 under the Criminal Justice and Court Services Act 2003. It provides a mechanism whereby the agencies involved can better perform their responsibilities and provide coordinated public protection.</w:t>
      </w:r>
    </w:p>
    <w:p w14:paraId="00000059" w14:textId="77777777" w:rsidR="003B7007" w:rsidRDefault="00651292">
      <w:pPr>
        <w:ind w:left="0"/>
        <w:rPr>
          <w:sz w:val="28"/>
          <w:szCs w:val="28"/>
        </w:rPr>
      </w:pPr>
      <w:r>
        <w:rPr>
          <w:sz w:val="28"/>
          <w:szCs w:val="28"/>
        </w:rPr>
        <w:t>Accordin</w:t>
      </w:r>
      <w:r>
        <w:rPr>
          <w:sz w:val="28"/>
          <w:szCs w:val="28"/>
        </w:rPr>
        <w:t xml:space="preserve">g to College of Policing (2017) the responsible authorities for MAPPA are the Police, Probation, and Prison Services and are often referred to as the ‘lead agency,’ since they oversee the management of offenders. To accurately detect risk, this management </w:t>
      </w:r>
      <w:r>
        <w:rPr>
          <w:sz w:val="28"/>
          <w:szCs w:val="28"/>
        </w:rPr>
        <w:t>will require adequate information sharing.</w:t>
      </w:r>
    </w:p>
    <w:p w14:paraId="0000005A" w14:textId="77777777" w:rsidR="003B7007" w:rsidRDefault="00651292">
      <w:pPr>
        <w:ind w:left="0"/>
        <w:rPr>
          <w:sz w:val="28"/>
          <w:szCs w:val="28"/>
        </w:rPr>
      </w:pPr>
      <w:r>
        <w:rPr>
          <w:sz w:val="28"/>
          <w:szCs w:val="28"/>
        </w:rPr>
        <w:t>Offenders are assessed, categorised, and managed through three tiers or levels. Level 1 is used where the risk is lower and can be managed by one lead agency. Offenders managed through this level are of low to med</w:t>
      </w:r>
      <w:r>
        <w:rPr>
          <w:sz w:val="28"/>
          <w:szCs w:val="28"/>
        </w:rPr>
        <w:t>ium risk. Level 2 and 3 will require the multi lead approach as the risk posed by the offender is categorised as high or very high. There will also be a high likelihood of public and media scrutiny, therefore public confidence in the criminal justice syste</w:t>
      </w:r>
      <w:r>
        <w:rPr>
          <w:sz w:val="28"/>
          <w:szCs w:val="28"/>
        </w:rPr>
        <w:t xml:space="preserve">m needs to be maintained (Taylor and Yakeley, 2019).  </w:t>
      </w:r>
    </w:p>
    <w:p w14:paraId="0000005B" w14:textId="77777777" w:rsidR="003B7007" w:rsidRDefault="00651292">
      <w:pPr>
        <w:ind w:left="0"/>
        <w:rPr>
          <w:sz w:val="28"/>
          <w:szCs w:val="28"/>
        </w:rPr>
      </w:pPr>
      <w:r>
        <w:rPr>
          <w:sz w:val="28"/>
          <w:szCs w:val="28"/>
        </w:rPr>
        <w:t>A risk management plan is agreed upon by pertinent authorities once the MAPPA panel has determined the level at which the offender should be handled. Restrictive interventions or orders for the prevent</w:t>
      </w:r>
      <w:r>
        <w:rPr>
          <w:sz w:val="28"/>
          <w:szCs w:val="28"/>
        </w:rPr>
        <w:t>ion of sexual offences (SOPOs) may be used. These are demands made of the person with the intention of restricting them by forbidding them from going to specific locations, such as schools, parks, or recreation centres, contacting specific persons, or even</w:t>
      </w:r>
      <w:r>
        <w:rPr>
          <w:sz w:val="28"/>
          <w:szCs w:val="28"/>
        </w:rPr>
        <w:t xml:space="preserve"> accessing the internet or owning equipment that can take pictures of children. </w:t>
      </w:r>
    </w:p>
    <w:p w14:paraId="0000005C" w14:textId="77777777" w:rsidR="003B7007" w:rsidRDefault="00651292">
      <w:pPr>
        <w:spacing w:after="0"/>
        <w:ind w:left="0"/>
        <w:rPr>
          <w:sz w:val="28"/>
          <w:szCs w:val="28"/>
        </w:rPr>
      </w:pPr>
      <w:r>
        <w:rPr>
          <w:sz w:val="28"/>
          <w:szCs w:val="28"/>
        </w:rPr>
        <w:t>Notification orders requiring international sexual offenders to register with the Police upon returning to the UK. Foreign travel orders, which restrict sexual offenders trave</w:t>
      </w:r>
      <w:r>
        <w:rPr>
          <w:sz w:val="28"/>
          <w:szCs w:val="28"/>
        </w:rPr>
        <w:t xml:space="preserve">lling abroad. </w:t>
      </w:r>
    </w:p>
    <w:p w14:paraId="0000005D" w14:textId="77777777" w:rsidR="003B7007" w:rsidRDefault="00651292">
      <w:pPr>
        <w:spacing w:after="0"/>
        <w:ind w:left="0"/>
        <w:rPr>
          <w:color w:val="333333"/>
          <w:sz w:val="28"/>
          <w:szCs w:val="28"/>
        </w:rPr>
      </w:pPr>
      <w:r>
        <w:rPr>
          <w:color w:val="333333"/>
          <w:sz w:val="28"/>
          <w:szCs w:val="28"/>
        </w:rPr>
        <w:t>Orders limiting the actions of those suspected of grooming children for sexual activity but who have never been convicted of or warned for a sexual offence are known as risk of sexual harm orders (Taylor and Yakeley, 2023).</w:t>
      </w:r>
    </w:p>
    <w:p w14:paraId="0000005E" w14:textId="77777777" w:rsidR="003B7007" w:rsidRDefault="003B7007">
      <w:pPr>
        <w:spacing w:after="0"/>
        <w:ind w:left="0"/>
        <w:rPr>
          <w:color w:val="333333"/>
          <w:sz w:val="28"/>
          <w:szCs w:val="28"/>
        </w:rPr>
      </w:pPr>
    </w:p>
    <w:p w14:paraId="0000005F" w14:textId="77777777" w:rsidR="003B7007" w:rsidRDefault="00651292">
      <w:pPr>
        <w:spacing w:after="0"/>
        <w:ind w:left="0"/>
        <w:rPr>
          <w:color w:val="333333"/>
          <w:sz w:val="28"/>
          <w:szCs w:val="28"/>
        </w:rPr>
      </w:pPr>
      <w:r>
        <w:rPr>
          <w:color w:val="333333"/>
          <w:sz w:val="28"/>
          <w:szCs w:val="28"/>
        </w:rPr>
        <w:t>The effectivenes</w:t>
      </w:r>
      <w:r>
        <w:rPr>
          <w:color w:val="333333"/>
          <w:sz w:val="28"/>
          <w:szCs w:val="28"/>
        </w:rPr>
        <w:t xml:space="preserve">s of conditions or programs that are placed on an offender is analysed through rates at which the offenders re-offend. According to a study conducted by Peck (2011), the first study to examine reconviction among offenders before and after the introduction </w:t>
      </w:r>
      <w:r>
        <w:rPr>
          <w:color w:val="333333"/>
          <w:sz w:val="28"/>
          <w:szCs w:val="28"/>
        </w:rPr>
        <w:t xml:space="preserve">of MAPPA in 2001, results indicate a reduction in reconviction rates among sexual and violent offenders released between 2001 and 2004 compared to 1998-2000, which coincided with the introduction of MAPPA in 2001. </w:t>
      </w:r>
    </w:p>
    <w:p w14:paraId="00000060" w14:textId="77777777" w:rsidR="003B7007" w:rsidRDefault="00651292">
      <w:pPr>
        <w:spacing w:after="0"/>
        <w:ind w:left="0"/>
        <w:rPr>
          <w:color w:val="333333"/>
          <w:sz w:val="28"/>
          <w:szCs w:val="28"/>
        </w:rPr>
      </w:pPr>
      <w:r>
        <w:rPr>
          <w:color w:val="333333"/>
          <w:sz w:val="28"/>
          <w:szCs w:val="28"/>
        </w:rPr>
        <w:t>As many offenders managed under MAPPA rep</w:t>
      </w:r>
      <w:r>
        <w:rPr>
          <w:color w:val="333333"/>
          <w:sz w:val="28"/>
          <w:szCs w:val="28"/>
        </w:rPr>
        <w:t xml:space="preserve">resent the most serious offenders released into the community from custody, this is an encouraging finding for those involved in their management.   </w:t>
      </w:r>
    </w:p>
    <w:p w14:paraId="00000061" w14:textId="77777777" w:rsidR="003B7007" w:rsidRDefault="00651292">
      <w:pPr>
        <w:spacing w:after="0"/>
        <w:ind w:left="0"/>
        <w:rPr>
          <w:color w:val="1A1C20"/>
          <w:sz w:val="28"/>
          <w:szCs w:val="28"/>
          <w:highlight w:val="white"/>
        </w:rPr>
      </w:pPr>
      <w:r>
        <w:rPr>
          <w:color w:val="1A1C20"/>
          <w:sz w:val="28"/>
          <w:szCs w:val="28"/>
          <w:highlight w:val="white"/>
        </w:rPr>
        <w:t xml:space="preserve">More recently, according to research released in 2015 by GOV.UK (2015), the proportion of newly eligible criminals for MAPPA who reoffend within a year of their release from prison decreased gradually between 2000 and 2010, from 30% in 2000 (pre-MAPPA) to </w:t>
      </w:r>
      <w:r>
        <w:rPr>
          <w:color w:val="1A1C20"/>
          <w:sz w:val="28"/>
          <w:szCs w:val="28"/>
          <w:highlight w:val="white"/>
        </w:rPr>
        <w:t>26% in 2010.</w:t>
      </w:r>
    </w:p>
    <w:p w14:paraId="00000062" w14:textId="77777777" w:rsidR="003B7007" w:rsidRDefault="00651292">
      <w:pPr>
        <w:spacing w:after="0"/>
        <w:ind w:left="0"/>
        <w:rPr>
          <w:color w:val="1A1C20"/>
          <w:sz w:val="28"/>
          <w:szCs w:val="28"/>
          <w:highlight w:val="white"/>
        </w:rPr>
      </w:pPr>
      <w:r>
        <w:rPr>
          <w:color w:val="1A1C20"/>
          <w:sz w:val="28"/>
          <w:szCs w:val="28"/>
          <w:highlight w:val="white"/>
        </w:rPr>
        <w:t>According to this analysis of one-year reoffending statistics, MAPPA may have helped lower the reoffending rates among newly eligible offenders for the programme.</w:t>
      </w:r>
    </w:p>
    <w:p w14:paraId="00000063" w14:textId="77777777" w:rsidR="003B7007" w:rsidRDefault="00651292">
      <w:pPr>
        <w:spacing w:after="0"/>
        <w:ind w:left="0"/>
        <w:rPr>
          <w:color w:val="1A1C20"/>
          <w:sz w:val="28"/>
          <w:szCs w:val="28"/>
          <w:highlight w:val="white"/>
        </w:rPr>
      </w:pPr>
      <w:r>
        <w:rPr>
          <w:color w:val="1A1C20"/>
          <w:sz w:val="28"/>
          <w:szCs w:val="28"/>
          <w:highlight w:val="white"/>
        </w:rPr>
        <w:t xml:space="preserve"> </w:t>
      </w:r>
    </w:p>
    <w:p w14:paraId="00000064" w14:textId="77777777" w:rsidR="003B7007" w:rsidRDefault="00651292">
      <w:pPr>
        <w:spacing w:after="0"/>
        <w:ind w:left="0"/>
        <w:rPr>
          <w:color w:val="1A1C20"/>
          <w:sz w:val="28"/>
          <w:szCs w:val="28"/>
          <w:highlight w:val="white"/>
        </w:rPr>
      </w:pPr>
      <w:r>
        <w:rPr>
          <w:color w:val="1A1C20"/>
          <w:sz w:val="28"/>
          <w:szCs w:val="28"/>
          <w:highlight w:val="white"/>
        </w:rPr>
        <w:t>In addition to the positive outcomes highlighted, there are flaws in the MAPPA</w:t>
      </w:r>
      <w:r>
        <w:rPr>
          <w:color w:val="1A1C20"/>
          <w:sz w:val="28"/>
          <w:szCs w:val="28"/>
          <w:highlight w:val="white"/>
        </w:rPr>
        <w:t xml:space="preserve"> process, some of which have devastating consequences. On November 29th, 2019, five people were stabbed in Central London, 2 of whom died. After serving a sentence for terrorist offences, the attacker was released from prison in 2018, on licence (Wikipedia</w:t>
      </w:r>
      <w:r>
        <w:rPr>
          <w:color w:val="1A1C20"/>
          <w:sz w:val="28"/>
          <w:szCs w:val="28"/>
          <w:highlight w:val="white"/>
        </w:rPr>
        <w:t xml:space="preserve"> Contributors, 2019). Following the attack, an inquest into the deaths of the victims was held. On May 28th, 2012, a jury determined that the victims were unlawfully killed and that there was insufficient monitoring of the terrorist, unreasonable belief in</w:t>
      </w:r>
      <w:r>
        <w:rPr>
          <w:color w:val="1A1C20"/>
          <w:sz w:val="28"/>
          <w:szCs w:val="28"/>
          <w:highlight w:val="white"/>
        </w:rPr>
        <w:t xml:space="preserve"> his rehabilitation, a lack of information sharing between agencies, and inadequate scrutiny planning at the event were all contributing factors in their deaths (Wikipedia Contributors, 2019).</w:t>
      </w:r>
    </w:p>
    <w:p w14:paraId="00000065" w14:textId="77777777" w:rsidR="003B7007" w:rsidRDefault="003B7007">
      <w:pPr>
        <w:spacing w:after="0"/>
        <w:ind w:left="0"/>
        <w:rPr>
          <w:color w:val="1A1C20"/>
          <w:sz w:val="28"/>
          <w:szCs w:val="28"/>
          <w:highlight w:val="white"/>
        </w:rPr>
      </w:pPr>
    </w:p>
    <w:p w14:paraId="00000066" w14:textId="77777777" w:rsidR="003B7007" w:rsidRDefault="00651292">
      <w:pPr>
        <w:spacing w:after="0"/>
        <w:ind w:left="0"/>
        <w:rPr>
          <w:color w:val="1A1C20"/>
          <w:sz w:val="28"/>
          <w:szCs w:val="28"/>
          <w:highlight w:val="white"/>
        </w:rPr>
      </w:pPr>
      <w:r>
        <w:rPr>
          <w:color w:val="1A1C20"/>
          <w:sz w:val="28"/>
          <w:szCs w:val="28"/>
          <w:highlight w:val="white"/>
        </w:rPr>
        <w:t>The Ministry of Justice publishes a report annually to analyse</w:t>
      </w:r>
      <w:r>
        <w:rPr>
          <w:color w:val="1A1C20"/>
          <w:sz w:val="28"/>
          <w:szCs w:val="28"/>
          <w:highlight w:val="white"/>
        </w:rPr>
        <w:t xml:space="preserve"> the effectiveness of MAPPA. The most recent report published 2021/2022 highlights the number of offenders placed onto the MAPPA program is 89,438. This is an increase of 3% from the previous year’s analysis, and an increase of 61% since 2012 (Ministry of </w:t>
      </w:r>
      <w:r>
        <w:rPr>
          <w:color w:val="1A1C20"/>
          <w:sz w:val="28"/>
          <w:szCs w:val="28"/>
          <w:highlight w:val="white"/>
        </w:rPr>
        <w:t xml:space="preserve">Justice (MAPPA) Annual Report 2021/22, 2022). This report highlights there is linear growth in offenders being placed onto MAPPA and a question must be asked whether MAPPA can support the growing level of offenders seen year on year.    </w:t>
      </w:r>
    </w:p>
    <w:p w14:paraId="00000067" w14:textId="77777777" w:rsidR="003B7007" w:rsidRDefault="00651292">
      <w:pPr>
        <w:spacing w:after="0"/>
        <w:ind w:left="0"/>
        <w:rPr>
          <w:color w:val="1A1C20"/>
          <w:sz w:val="28"/>
          <w:szCs w:val="28"/>
          <w:highlight w:val="white"/>
        </w:rPr>
      </w:pPr>
      <w:r>
        <w:rPr>
          <w:color w:val="1A1C20"/>
          <w:sz w:val="28"/>
          <w:szCs w:val="28"/>
          <w:highlight w:val="white"/>
        </w:rPr>
        <w:lastRenderedPageBreak/>
        <w:t>In 2012, the law w</w:t>
      </w:r>
      <w:r>
        <w:rPr>
          <w:color w:val="1A1C20"/>
          <w:sz w:val="28"/>
          <w:szCs w:val="28"/>
          <w:highlight w:val="white"/>
        </w:rPr>
        <w:t>as changed to require that every sex offender who served a custodial sentence for more than 30 months be registered as a sex offender for life. The Violent Sexual Offenders Register (ViSOR) is a national database created to support MAPPA by assisting the t</w:t>
      </w:r>
      <w:r>
        <w:rPr>
          <w:color w:val="1A1C20"/>
          <w:sz w:val="28"/>
          <w:szCs w:val="28"/>
          <w:highlight w:val="white"/>
        </w:rPr>
        <w:t>hree agencies that comprise the Responsible Authority. It is a digital platform which can expedite up the process and is accessible almost anywhere in the UK. ViSOR provides public safety officers with a confidential communication tool through which they c</w:t>
      </w:r>
      <w:r>
        <w:rPr>
          <w:color w:val="1A1C20"/>
          <w:sz w:val="28"/>
          <w:szCs w:val="28"/>
          <w:highlight w:val="white"/>
        </w:rPr>
        <w:t>an exchange information with others involved in multi-agency offender management (norfolkmappa.org.uk, 2018).</w:t>
      </w:r>
    </w:p>
    <w:p w14:paraId="00000068" w14:textId="77777777" w:rsidR="003B7007" w:rsidRDefault="00651292">
      <w:pPr>
        <w:spacing w:after="0"/>
        <w:ind w:left="0"/>
        <w:rPr>
          <w:color w:val="1A1C20"/>
          <w:sz w:val="28"/>
          <w:szCs w:val="28"/>
          <w:highlight w:val="white"/>
        </w:rPr>
      </w:pPr>
      <w:r>
        <w:rPr>
          <w:color w:val="1A1C20"/>
          <w:sz w:val="28"/>
          <w:szCs w:val="28"/>
          <w:highlight w:val="white"/>
        </w:rPr>
        <w:t>To assess the effectiveness of MAPPA, the reoffending figures must be highlighted. MAPPA is still in its relative infancy however data spanning 15</w:t>
      </w:r>
      <w:r>
        <w:rPr>
          <w:color w:val="1A1C20"/>
          <w:sz w:val="28"/>
          <w:szCs w:val="28"/>
          <w:highlight w:val="white"/>
        </w:rPr>
        <w:t xml:space="preserve"> years show a 4% reduction in reoffending following its implementation. These findings are encouraging, and as time passes, more comparative analysis of data can be performed, which may reveal additional evidence of decreased offending, allowing us to reac</w:t>
      </w:r>
      <w:r>
        <w:rPr>
          <w:color w:val="1A1C20"/>
          <w:sz w:val="28"/>
          <w:szCs w:val="28"/>
          <w:highlight w:val="white"/>
        </w:rPr>
        <w:t xml:space="preserve">h a more accurate conclusion. </w:t>
      </w:r>
    </w:p>
    <w:p w14:paraId="00000069" w14:textId="77777777" w:rsidR="003B7007" w:rsidRDefault="003B7007">
      <w:pPr>
        <w:spacing w:after="0"/>
        <w:ind w:left="0"/>
        <w:rPr>
          <w:color w:val="1A1C20"/>
          <w:sz w:val="28"/>
          <w:szCs w:val="28"/>
          <w:highlight w:val="white"/>
        </w:rPr>
      </w:pPr>
    </w:p>
    <w:p w14:paraId="0000006A" w14:textId="77777777" w:rsidR="003B7007" w:rsidRDefault="00651292">
      <w:pPr>
        <w:spacing w:after="0"/>
        <w:ind w:left="0"/>
        <w:rPr>
          <w:b/>
          <w:color w:val="1A1C20"/>
          <w:sz w:val="32"/>
          <w:szCs w:val="32"/>
          <w:highlight w:val="white"/>
        </w:rPr>
      </w:pPr>
      <w:r>
        <w:rPr>
          <w:b/>
          <w:color w:val="1A1C20"/>
          <w:sz w:val="32"/>
          <w:szCs w:val="32"/>
          <w:highlight w:val="white"/>
        </w:rPr>
        <w:t>Total word count: 927</w:t>
      </w:r>
    </w:p>
    <w:p w14:paraId="0000006B" w14:textId="77777777" w:rsidR="003B7007" w:rsidRDefault="003B7007">
      <w:pPr>
        <w:ind w:left="0"/>
        <w:rPr>
          <w:sz w:val="28"/>
          <w:szCs w:val="28"/>
        </w:rPr>
      </w:pPr>
    </w:p>
    <w:p w14:paraId="0000006C" w14:textId="77777777" w:rsidR="003B7007" w:rsidRDefault="003B7007">
      <w:pPr>
        <w:ind w:left="0"/>
        <w:rPr>
          <w:sz w:val="28"/>
          <w:szCs w:val="28"/>
        </w:rPr>
      </w:pPr>
    </w:p>
    <w:p w14:paraId="0000006D" w14:textId="77777777" w:rsidR="003B7007" w:rsidRDefault="003B7007">
      <w:pPr>
        <w:ind w:left="0"/>
        <w:rPr>
          <w:sz w:val="28"/>
          <w:szCs w:val="28"/>
        </w:rPr>
      </w:pPr>
    </w:p>
    <w:p w14:paraId="0000006E" w14:textId="77777777" w:rsidR="003B7007" w:rsidRDefault="003B7007">
      <w:pPr>
        <w:ind w:left="0"/>
        <w:rPr>
          <w:sz w:val="28"/>
          <w:szCs w:val="28"/>
        </w:rPr>
      </w:pPr>
    </w:p>
    <w:p w14:paraId="0000006F" w14:textId="77777777" w:rsidR="003B7007" w:rsidRDefault="003B7007">
      <w:pPr>
        <w:ind w:left="0"/>
        <w:rPr>
          <w:sz w:val="28"/>
          <w:szCs w:val="28"/>
        </w:rPr>
      </w:pPr>
    </w:p>
    <w:p w14:paraId="00000070" w14:textId="77777777" w:rsidR="003B7007" w:rsidRDefault="003B7007">
      <w:pPr>
        <w:ind w:left="0"/>
        <w:rPr>
          <w:sz w:val="28"/>
          <w:szCs w:val="28"/>
        </w:rPr>
      </w:pPr>
    </w:p>
    <w:p w14:paraId="00000071" w14:textId="77777777" w:rsidR="003B7007" w:rsidRDefault="003B7007">
      <w:pPr>
        <w:ind w:left="0"/>
        <w:rPr>
          <w:sz w:val="28"/>
          <w:szCs w:val="28"/>
        </w:rPr>
      </w:pPr>
    </w:p>
    <w:p w14:paraId="00000072" w14:textId="77777777" w:rsidR="003B7007" w:rsidRDefault="003B7007">
      <w:pPr>
        <w:ind w:left="0"/>
        <w:rPr>
          <w:sz w:val="28"/>
          <w:szCs w:val="28"/>
        </w:rPr>
      </w:pPr>
    </w:p>
    <w:p w14:paraId="00000073" w14:textId="77777777" w:rsidR="003B7007" w:rsidRDefault="003B7007">
      <w:pPr>
        <w:ind w:left="0"/>
        <w:rPr>
          <w:sz w:val="28"/>
          <w:szCs w:val="28"/>
        </w:rPr>
      </w:pPr>
    </w:p>
    <w:p w14:paraId="00000074" w14:textId="77777777" w:rsidR="003B7007" w:rsidRDefault="003B7007">
      <w:pPr>
        <w:pBdr>
          <w:top w:val="nil"/>
          <w:left w:val="nil"/>
          <w:bottom w:val="nil"/>
          <w:right w:val="nil"/>
          <w:between w:val="nil"/>
        </w:pBdr>
        <w:spacing w:after="240" w:line="360" w:lineRule="auto"/>
        <w:ind w:left="0"/>
        <w:rPr>
          <w:rFonts w:ascii="Times New Roman" w:eastAsia="Times New Roman" w:hAnsi="Times New Roman" w:cs="Times New Roman"/>
          <w:color w:val="000000"/>
          <w:sz w:val="24"/>
          <w:szCs w:val="24"/>
        </w:rPr>
      </w:pPr>
    </w:p>
    <w:p w14:paraId="00000075" w14:textId="77777777" w:rsidR="003B7007" w:rsidRDefault="003B7007">
      <w:pPr>
        <w:pBdr>
          <w:top w:val="nil"/>
          <w:left w:val="nil"/>
          <w:bottom w:val="nil"/>
          <w:right w:val="nil"/>
          <w:between w:val="nil"/>
        </w:pBdr>
        <w:spacing w:after="240" w:line="360" w:lineRule="auto"/>
        <w:ind w:left="0"/>
        <w:rPr>
          <w:rFonts w:ascii="Times New Roman" w:eastAsia="Times New Roman" w:hAnsi="Times New Roman" w:cs="Times New Roman"/>
          <w:color w:val="000000"/>
          <w:sz w:val="24"/>
          <w:szCs w:val="24"/>
        </w:rPr>
      </w:pPr>
    </w:p>
    <w:p w14:paraId="00000076" w14:textId="77777777" w:rsidR="003B7007" w:rsidRDefault="003B7007">
      <w:pPr>
        <w:pBdr>
          <w:top w:val="nil"/>
          <w:left w:val="nil"/>
          <w:bottom w:val="nil"/>
          <w:right w:val="nil"/>
          <w:between w:val="nil"/>
        </w:pBdr>
        <w:spacing w:after="240" w:line="360" w:lineRule="auto"/>
        <w:ind w:left="0"/>
        <w:rPr>
          <w:sz w:val="28"/>
          <w:szCs w:val="28"/>
          <w:u w:val="single"/>
        </w:rPr>
      </w:pPr>
    </w:p>
    <w:p w14:paraId="00000077" w14:textId="77777777" w:rsidR="003B7007" w:rsidRDefault="003B7007">
      <w:pPr>
        <w:pBdr>
          <w:top w:val="nil"/>
          <w:left w:val="nil"/>
          <w:bottom w:val="nil"/>
          <w:right w:val="nil"/>
          <w:between w:val="nil"/>
        </w:pBdr>
        <w:spacing w:after="240" w:line="360" w:lineRule="auto"/>
        <w:ind w:left="0"/>
        <w:rPr>
          <w:sz w:val="28"/>
          <w:szCs w:val="28"/>
          <w:u w:val="single"/>
        </w:rPr>
      </w:pPr>
    </w:p>
    <w:p w14:paraId="00000078" w14:textId="77777777" w:rsidR="003B7007" w:rsidRDefault="00651292">
      <w:pPr>
        <w:pBdr>
          <w:top w:val="nil"/>
          <w:left w:val="nil"/>
          <w:bottom w:val="nil"/>
          <w:right w:val="nil"/>
          <w:between w:val="nil"/>
        </w:pBdr>
        <w:spacing w:after="240" w:line="360" w:lineRule="auto"/>
        <w:ind w:left="0"/>
        <w:rPr>
          <w:b/>
          <w:color w:val="000000"/>
          <w:sz w:val="32"/>
          <w:szCs w:val="32"/>
          <w:u w:val="single"/>
        </w:rPr>
      </w:pPr>
      <w:r>
        <w:rPr>
          <w:b/>
          <w:color w:val="000000"/>
          <w:sz w:val="32"/>
          <w:szCs w:val="32"/>
          <w:u w:val="single"/>
        </w:rPr>
        <w:lastRenderedPageBreak/>
        <w:t>Reference List</w:t>
      </w:r>
    </w:p>
    <w:p w14:paraId="00000079" w14:textId="77777777" w:rsidR="003B7007" w:rsidRDefault="00651292">
      <w:pPr>
        <w:pBdr>
          <w:top w:val="nil"/>
          <w:left w:val="nil"/>
          <w:bottom w:val="nil"/>
          <w:right w:val="nil"/>
          <w:between w:val="nil"/>
        </w:pBdr>
        <w:spacing w:after="240" w:line="360" w:lineRule="auto"/>
        <w:ind w:left="0"/>
        <w:rPr>
          <w:color w:val="000000"/>
          <w:sz w:val="24"/>
          <w:szCs w:val="24"/>
        </w:rPr>
      </w:pPr>
      <w:r>
        <w:rPr>
          <w:color w:val="000000"/>
          <w:sz w:val="24"/>
          <w:szCs w:val="24"/>
        </w:rPr>
        <w:t xml:space="preserve">College of Policing (2017). </w:t>
      </w:r>
      <w:r>
        <w:rPr>
          <w:i/>
          <w:color w:val="000000"/>
          <w:sz w:val="24"/>
          <w:szCs w:val="24"/>
        </w:rPr>
        <w:t>Multi-agency public protection arrangements (MAPPA)</w:t>
      </w:r>
      <w:r>
        <w:rPr>
          <w:color w:val="000000"/>
          <w:sz w:val="24"/>
          <w:szCs w:val="24"/>
        </w:rPr>
        <w:t>. [online] College of Policing. Available at: https://www.college.police.uk/app/major-investigation-and-public-protection/managing-sexual-offenders-and-violent-offenders/multi-agency-public-protection-arrangements-mappa.</w:t>
      </w:r>
    </w:p>
    <w:p w14:paraId="0000007A" w14:textId="77777777" w:rsidR="003B7007" w:rsidRDefault="00651292">
      <w:pPr>
        <w:pBdr>
          <w:top w:val="nil"/>
          <w:left w:val="nil"/>
          <w:bottom w:val="nil"/>
          <w:right w:val="nil"/>
          <w:between w:val="nil"/>
        </w:pBdr>
        <w:spacing w:after="240" w:line="360" w:lineRule="auto"/>
        <w:ind w:left="0"/>
        <w:rPr>
          <w:color w:val="000000"/>
          <w:sz w:val="24"/>
          <w:szCs w:val="24"/>
        </w:rPr>
      </w:pPr>
      <w:r>
        <w:rPr>
          <w:color w:val="000000"/>
          <w:sz w:val="24"/>
          <w:szCs w:val="24"/>
        </w:rPr>
        <w:t xml:space="preserve">College of Policing (2021). </w:t>
      </w:r>
      <w:r>
        <w:rPr>
          <w:i/>
          <w:color w:val="000000"/>
          <w:sz w:val="24"/>
          <w:szCs w:val="24"/>
        </w:rPr>
        <w:t>Investi</w:t>
      </w:r>
      <w:r>
        <w:rPr>
          <w:i/>
          <w:color w:val="000000"/>
          <w:sz w:val="24"/>
          <w:szCs w:val="24"/>
        </w:rPr>
        <w:t>gation process</w:t>
      </w:r>
      <w:r>
        <w:rPr>
          <w:color w:val="000000"/>
          <w:sz w:val="24"/>
          <w:szCs w:val="24"/>
        </w:rPr>
        <w:t>. [online] College of Policing. Available at: https://www.college.police.uk/app/investigation/investigation-process.</w:t>
      </w:r>
    </w:p>
    <w:p w14:paraId="0000007B" w14:textId="77777777" w:rsidR="003B7007" w:rsidRDefault="00651292">
      <w:pPr>
        <w:pBdr>
          <w:top w:val="nil"/>
          <w:left w:val="nil"/>
          <w:bottom w:val="nil"/>
          <w:right w:val="nil"/>
          <w:between w:val="nil"/>
        </w:pBdr>
        <w:spacing w:after="240" w:line="360" w:lineRule="auto"/>
        <w:ind w:left="0"/>
        <w:rPr>
          <w:color w:val="000000"/>
          <w:sz w:val="24"/>
          <w:szCs w:val="24"/>
        </w:rPr>
      </w:pPr>
      <w:r>
        <w:rPr>
          <w:color w:val="000000"/>
          <w:sz w:val="24"/>
          <w:szCs w:val="24"/>
        </w:rPr>
        <w:t>Multi-Agency Public Protection Arrangements (MAPPA) Annual Report 2021/22. (2022). Available at: https://assets.publishing.se</w:t>
      </w:r>
      <w:r>
        <w:rPr>
          <w:color w:val="000000"/>
          <w:sz w:val="24"/>
          <w:szCs w:val="24"/>
        </w:rPr>
        <w:t>rvice.gov.uk/government/uploads/system/uploads/attachment_data/file/1113769/MAPPA_Annual_Report_2022.pdf.</w:t>
      </w:r>
    </w:p>
    <w:p w14:paraId="0000007C" w14:textId="77777777" w:rsidR="003B7007" w:rsidRDefault="00651292">
      <w:pPr>
        <w:pBdr>
          <w:top w:val="nil"/>
          <w:left w:val="nil"/>
          <w:bottom w:val="nil"/>
          <w:right w:val="nil"/>
          <w:between w:val="nil"/>
        </w:pBdr>
        <w:spacing w:after="240" w:line="360" w:lineRule="auto"/>
        <w:ind w:left="0"/>
        <w:rPr>
          <w:color w:val="000000"/>
          <w:sz w:val="24"/>
          <w:szCs w:val="24"/>
        </w:rPr>
      </w:pPr>
      <w:r>
        <w:rPr>
          <w:color w:val="000000"/>
          <w:sz w:val="24"/>
          <w:szCs w:val="24"/>
        </w:rPr>
        <w:t xml:space="preserve">norfolkmappa.org.uk. (2018). </w:t>
      </w:r>
      <w:r>
        <w:rPr>
          <w:i/>
          <w:color w:val="000000"/>
          <w:sz w:val="24"/>
          <w:szCs w:val="24"/>
        </w:rPr>
        <w:t>Visor and Risk Management – Norfolk MAPPA</w:t>
      </w:r>
      <w:r>
        <w:rPr>
          <w:color w:val="000000"/>
          <w:sz w:val="24"/>
          <w:szCs w:val="24"/>
        </w:rPr>
        <w:t>. [online] Available at: https://norfolkmappa.org.uk/visor-and-risk-management/.</w:t>
      </w:r>
    </w:p>
    <w:p w14:paraId="0000007D" w14:textId="77777777" w:rsidR="003B7007" w:rsidRDefault="00651292">
      <w:pPr>
        <w:pBdr>
          <w:top w:val="nil"/>
          <w:left w:val="nil"/>
          <w:bottom w:val="nil"/>
          <w:right w:val="nil"/>
          <w:between w:val="nil"/>
        </w:pBdr>
        <w:spacing w:after="240" w:line="360" w:lineRule="auto"/>
        <w:ind w:left="0"/>
        <w:rPr>
          <w:color w:val="000000"/>
          <w:sz w:val="24"/>
          <w:szCs w:val="24"/>
        </w:rPr>
      </w:pPr>
      <w:r>
        <w:rPr>
          <w:color w:val="000000"/>
          <w:sz w:val="24"/>
          <w:szCs w:val="24"/>
        </w:rPr>
        <w:t xml:space="preserve">Peck, M. (2011). </w:t>
      </w:r>
      <w:r>
        <w:rPr>
          <w:i/>
          <w:color w:val="000000"/>
          <w:sz w:val="24"/>
          <w:szCs w:val="24"/>
        </w:rPr>
        <w:t>Patterns of reconviction among offenders eligible for Multi-Agency Public Protection Arrangements (MAPPA)</w:t>
      </w:r>
      <w:r>
        <w:rPr>
          <w:color w:val="000000"/>
          <w:sz w:val="24"/>
          <w:szCs w:val="24"/>
        </w:rPr>
        <w:t>.</w:t>
      </w:r>
    </w:p>
    <w:p w14:paraId="0000007E" w14:textId="77777777" w:rsidR="003B7007" w:rsidRDefault="00651292">
      <w:pPr>
        <w:pBdr>
          <w:top w:val="nil"/>
          <w:left w:val="nil"/>
          <w:bottom w:val="nil"/>
          <w:right w:val="nil"/>
          <w:between w:val="nil"/>
        </w:pBdr>
        <w:spacing w:after="240" w:line="360" w:lineRule="auto"/>
        <w:ind w:left="0"/>
        <w:rPr>
          <w:color w:val="000000"/>
          <w:sz w:val="24"/>
          <w:szCs w:val="24"/>
        </w:rPr>
      </w:pPr>
      <w:r>
        <w:rPr>
          <w:color w:val="000000"/>
          <w:sz w:val="24"/>
          <w:szCs w:val="24"/>
        </w:rPr>
        <w:t xml:space="preserve">Taylor, R. and Yakeley, J. (2019). </w:t>
      </w:r>
      <w:r>
        <w:rPr>
          <w:i/>
          <w:color w:val="000000"/>
          <w:sz w:val="24"/>
          <w:szCs w:val="24"/>
        </w:rPr>
        <w:t>Working with MAPPA: ethics and pragmatics - ProQuest</w:t>
      </w:r>
      <w:r>
        <w:rPr>
          <w:color w:val="000000"/>
          <w:sz w:val="24"/>
          <w:szCs w:val="24"/>
        </w:rPr>
        <w:t>. [online] www.proquest.com. Available at: https://www.proquest.com/docview/2210034626?accountid=130472&amp;parentSessionId=0OzpECd6yIK7FlI3qMewsCzdLLOZpGLLWAtt9Rdcdsw%3D&amp;pq-origsite=primo [Accessed 2 Mar. 20</w:t>
      </w:r>
      <w:r>
        <w:rPr>
          <w:color w:val="000000"/>
          <w:sz w:val="24"/>
          <w:szCs w:val="24"/>
        </w:rPr>
        <w:t>23].</w:t>
      </w:r>
    </w:p>
    <w:p w14:paraId="0000007F" w14:textId="77777777" w:rsidR="003B7007" w:rsidRDefault="00651292">
      <w:pPr>
        <w:pBdr>
          <w:top w:val="nil"/>
          <w:left w:val="nil"/>
          <w:bottom w:val="nil"/>
          <w:right w:val="nil"/>
          <w:between w:val="nil"/>
        </w:pBdr>
        <w:spacing w:after="240" w:line="360" w:lineRule="auto"/>
        <w:ind w:left="0"/>
        <w:rPr>
          <w:color w:val="000000"/>
          <w:sz w:val="24"/>
          <w:szCs w:val="24"/>
        </w:rPr>
      </w:pPr>
      <w:r>
        <w:rPr>
          <w:color w:val="000000"/>
          <w:sz w:val="24"/>
          <w:szCs w:val="24"/>
        </w:rPr>
        <w:t xml:space="preserve">Taylor, R. and Yakeley, J. (2023). </w:t>
      </w:r>
      <w:r>
        <w:rPr>
          <w:i/>
          <w:color w:val="000000"/>
          <w:sz w:val="24"/>
          <w:szCs w:val="24"/>
        </w:rPr>
        <w:t>Working with MAPPA: ethics and pragmatics</w:t>
      </w:r>
      <w:r>
        <w:rPr>
          <w:color w:val="000000"/>
          <w:sz w:val="24"/>
          <w:szCs w:val="24"/>
        </w:rPr>
        <w:t>. [online] Uwtsd.ac.uk. Available at: https://www-cambridge-org.ezproxy.uwtsd.ac.uk/core/journals/bjpsych-advances/article/working-with-mappa-ethics-and-pragmatics/FA1162204A4</w:t>
      </w:r>
      <w:r>
        <w:rPr>
          <w:color w:val="000000"/>
          <w:sz w:val="24"/>
          <w:szCs w:val="24"/>
        </w:rPr>
        <w:t>CA86802AD50E03B39744E# [Accessed 10 Jan. 2023].</w:t>
      </w:r>
    </w:p>
    <w:p w14:paraId="00000080" w14:textId="77777777" w:rsidR="003B7007" w:rsidRDefault="00651292">
      <w:pPr>
        <w:pBdr>
          <w:top w:val="nil"/>
          <w:left w:val="nil"/>
          <w:bottom w:val="nil"/>
          <w:right w:val="nil"/>
          <w:between w:val="nil"/>
        </w:pBdr>
        <w:spacing w:after="240" w:line="360" w:lineRule="auto"/>
        <w:ind w:left="0"/>
        <w:rPr>
          <w:sz w:val="24"/>
          <w:szCs w:val="24"/>
        </w:rPr>
      </w:pPr>
      <w:r>
        <w:rPr>
          <w:color w:val="000000"/>
          <w:sz w:val="24"/>
          <w:szCs w:val="24"/>
        </w:rPr>
        <w:t xml:space="preserve">Wikipedia Contributors (2019). </w:t>
      </w:r>
      <w:r>
        <w:rPr>
          <w:i/>
          <w:color w:val="000000"/>
          <w:sz w:val="24"/>
          <w:szCs w:val="24"/>
        </w:rPr>
        <w:t>2019 London Bridge stabbing</w:t>
      </w:r>
      <w:r>
        <w:rPr>
          <w:color w:val="000000"/>
          <w:sz w:val="24"/>
          <w:szCs w:val="24"/>
        </w:rPr>
        <w:t xml:space="preserve">. [online] Wikipedia. Available at: </w:t>
      </w:r>
      <w:hyperlink r:id="rId9">
        <w:r>
          <w:rPr>
            <w:color w:val="1155CC"/>
            <w:sz w:val="24"/>
            <w:szCs w:val="24"/>
            <w:u w:val="single"/>
          </w:rPr>
          <w:t>https://en.wikipedia.org/wiki/2019_Lond</w:t>
        </w:r>
        <w:r>
          <w:rPr>
            <w:color w:val="1155CC"/>
            <w:sz w:val="24"/>
            <w:szCs w:val="24"/>
            <w:u w:val="single"/>
          </w:rPr>
          <w:t>on_Bridge_stabbing</w:t>
        </w:r>
      </w:hyperlink>
      <w:r>
        <w:rPr>
          <w:color w:val="000000"/>
          <w:sz w:val="24"/>
          <w:szCs w:val="24"/>
        </w:rPr>
        <w:t>.</w:t>
      </w:r>
    </w:p>
    <w:p w14:paraId="76A87534" w14:textId="77777777" w:rsidR="00E14733" w:rsidRDefault="00E14733">
      <w:pPr>
        <w:pBdr>
          <w:top w:val="nil"/>
          <w:left w:val="nil"/>
          <w:bottom w:val="nil"/>
          <w:right w:val="nil"/>
          <w:between w:val="nil"/>
        </w:pBdr>
        <w:spacing w:after="240" w:line="360" w:lineRule="auto"/>
        <w:ind w:left="0"/>
        <w:rPr>
          <w:b/>
          <w:sz w:val="28"/>
          <w:szCs w:val="28"/>
          <w:u w:val="single"/>
        </w:rPr>
      </w:pPr>
    </w:p>
    <w:p w14:paraId="00000081" w14:textId="58C0C73E" w:rsidR="003B7007" w:rsidRDefault="00651292">
      <w:pPr>
        <w:pBdr>
          <w:top w:val="nil"/>
          <w:left w:val="nil"/>
          <w:bottom w:val="nil"/>
          <w:right w:val="nil"/>
          <w:between w:val="nil"/>
        </w:pBdr>
        <w:spacing w:after="240" w:line="360" w:lineRule="auto"/>
        <w:ind w:left="0"/>
        <w:rPr>
          <w:b/>
          <w:sz w:val="28"/>
          <w:szCs w:val="28"/>
          <w:u w:val="single"/>
        </w:rPr>
      </w:pPr>
      <w:r>
        <w:rPr>
          <w:b/>
          <w:sz w:val="28"/>
          <w:szCs w:val="28"/>
          <w:u w:val="single"/>
        </w:rPr>
        <w:lastRenderedPageBreak/>
        <w:t>Essay 4</w:t>
      </w:r>
    </w:p>
    <w:p w14:paraId="00000082" w14:textId="77777777" w:rsidR="003B7007" w:rsidRDefault="00651292">
      <w:pPr>
        <w:ind w:left="0"/>
        <w:rPr>
          <w:sz w:val="28"/>
          <w:szCs w:val="28"/>
        </w:rPr>
      </w:pPr>
      <w:r>
        <w:rPr>
          <w:sz w:val="28"/>
          <w:szCs w:val="28"/>
        </w:rPr>
        <w:t>British policing is based on consent and transparency, which means that the Police's ability to carry-out its functions is dependent on "public support of their presence, activities, and behaviour." Accountability is essential to ensure the Polices’ respon</w:t>
      </w:r>
      <w:r>
        <w:rPr>
          <w:sz w:val="28"/>
          <w:szCs w:val="28"/>
        </w:rPr>
        <w:t>siveness to the public (Richards, 2022a).</w:t>
      </w:r>
    </w:p>
    <w:p w14:paraId="00000083" w14:textId="77777777" w:rsidR="003B7007" w:rsidRDefault="00651292">
      <w:pPr>
        <w:ind w:left="0"/>
        <w:jc w:val="both"/>
        <w:rPr>
          <w:sz w:val="28"/>
          <w:szCs w:val="28"/>
        </w:rPr>
      </w:pPr>
      <w:r>
        <w:rPr>
          <w:sz w:val="28"/>
          <w:szCs w:val="28"/>
        </w:rPr>
        <w:t>According to research by Mynenko and Ditcham, (2022) the policing model in the UK is based on public acceptance and confidence. This trust is built on the public's perception of how the Police treat them, as well a</w:t>
      </w:r>
      <w:r>
        <w:rPr>
          <w:sz w:val="28"/>
          <w:szCs w:val="28"/>
        </w:rPr>
        <w:t xml:space="preserve">s the Police's effectiveness and competence in preventing various crimes and upholding the law. Because of incidents like the kidnapping, rape, and murder of Sarah Everard by Police Officer Wayne Couzens and the Stephen Port case, in which Police mistakes </w:t>
      </w:r>
      <w:r>
        <w:rPr>
          <w:sz w:val="28"/>
          <w:szCs w:val="28"/>
        </w:rPr>
        <w:t>led to the deaths of some of the victims, trust in the Police has been severely damaged. According to the 2020 Crime Survey of England and Wales, public trust in the Police has declined over the last two years, falling from 62% in 2017 to 55% in 2020. Poli</w:t>
      </w:r>
      <w:r>
        <w:rPr>
          <w:sz w:val="28"/>
          <w:szCs w:val="28"/>
        </w:rPr>
        <w:t xml:space="preserve">ce performance in tackling violence against women and girls (VAWG) has also contributed to the decline in the public’s trust. </w:t>
      </w:r>
    </w:p>
    <w:p w14:paraId="00000084" w14:textId="77777777" w:rsidR="003B7007" w:rsidRDefault="00651292">
      <w:pPr>
        <w:ind w:left="0"/>
        <w:jc w:val="both"/>
        <w:rPr>
          <w:color w:val="202122"/>
          <w:sz w:val="28"/>
          <w:szCs w:val="28"/>
          <w:highlight w:val="white"/>
        </w:rPr>
      </w:pPr>
      <w:r>
        <w:rPr>
          <w:sz w:val="28"/>
          <w:szCs w:val="28"/>
        </w:rPr>
        <w:t>Complaints against the Police from members of the Public are resolved by being processed through the complaints system. The syste</w:t>
      </w:r>
      <w:r>
        <w:rPr>
          <w:sz w:val="28"/>
          <w:szCs w:val="28"/>
        </w:rPr>
        <w:t>m is essential for holding Police Officers accountable. By ensuring that misconduct is addressed, the system aims to boost public confidence in the Police by increasing their legitimacy. Forces must decide whether to refer a complaint to the IOPC or to its</w:t>
      </w:r>
      <w:r>
        <w:rPr>
          <w:sz w:val="28"/>
          <w:szCs w:val="28"/>
        </w:rPr>
        <w:t xml:space="preserve"> own Professional Standards Department. The role of the Independent Office for Police Conduct (IOPC) is to monitor the police complaint system. They investigate the most serious cases, including deaths caused by police contact, and establish the standards </w:t>
      </w:r>
      <w:r>
        <w:rPr>
          <w:sz w:val="28"/>
          <w:szCs w:val="28"/>
        </w:rPr>
        <w:t>for how complaints should be handled by the police. The IOPC uses lessons learned from previous work to influence changes in policing (Independent Office for Police Conduct, 2019). The IOPC consists of non-police and non-government employees which remain i</w:t>
      </w:r>
      <w:r>
        <w:rPr>
          <w:sz w:val="28"/>
          <w:szCs w:val="28"/>
        </w:rPr>
        <w:t>mpartial. They will</w:t>
      </w:r>
      <w:r>
        <w:rPr>
          <w:color w:val="202122"/>
          <w:sz w:val="28"/>
          <w:szCs w:val="28"/>
          <w:highlight w:val="white"/>
        </w:rPr>
        <w:t xml:space="preserve"> investigate allegations of corruption, conduct independent investigations into the most serious cases, and refer cases for prosecution should enough evidence be found to form a case.</w:t>
      </w:r>
    </w:p>
    <w:p w14:paraId="00000085" w14:textId="77777777" w:rsidR="003B7007" w:rsidRDefault="003B7007">
      <w:pPr>
        <w:ind w:left="0"/>
        <w:jc w:val="both"/>
        <w:rPr>
          <w:color w:val="333333"/>
          <w:sz w:val="28"/>
          <w:szCs w:val="28"/>
        </w:rPr>
      </w:pPr>
    </w:p>
    <w:p w14:paraId="00000086" w14:textId="77777777" w:rsidR="003B7007" w:rsidRDefault="00651292">
      <w:pPr>
        <w:ind w:left="0"/>
        <w:jc w:val="both"/>
        <w:rPr>
          <w:color w:val="333333"/>
          <w:sz w:val="28"/>
          <w:szCs w:val="28"/>
        </w:rPr>
      </w:pPr>
      <w:r>
        <w:rPr>
          <w:color w:val="333333"/>
          <w:sz w:val="28"/>
          <w:szCs w:val="28"/>
        </w:rPr>
        <w:t>Each Police Force has a Professional Standards Depar</w:t>
      </w:r>
      <w:r>
        <w:rPr>
          <w:color w:val="333333"/>
          <w:sz w:val="28"/>
          <w:szCs w:val="28"/>
        </w:rPr>
        <w:t xml:space="preserve">tment (PSD) that handles complaints. More serious complaints are referred and investigated by the IOPC. A complaint involves anything that members of the public are unhappy with the </w:t>
      </w:r>
      <w:r>
        <w:rPr>
          <w:color w:val="333333"/>
          <w:sz w:val="28"/>
          <w:szCs w:val="28"/>
        </w:rPr>
        <w:lastRenderedPageBreak/>
        <w:t>Police. There are three ways the Professional Standards Department can dea</w:t>
      </w:r>
      <w:r>
        <w:rPr>
          <w:color w:val="333333"/>
          <w:sz w:val="28"/>
          <w:szCs w:val="28"/>
        </w:rPr>
        <w:t xml:space="preserve">l with complaints; local resolution, local investigation, and direct referral to the IOPC. </w:t>
      </w:r>
    </w:p>
    <w:p w14:paraId="00000087" w14:textId="77777777" w:rsidR="003B7007" w:rsidRDefault="00651292">
      <w:pPr>
        <w:ind w:left="0"/>
        <w:jc w:val="both"/>
        <w:rPr>
          <w:color w:val="333333"/>
          <w:sz w:val="28"/>
          <w:szCs w:val="28"/>
        </w:rPr>
      </w:pPr>
      <w:r>
        <w:rPr>
          <w:color w:val="333333"/>
          <w:sz w:val="28"/>
          <w:szCs w:val="28"/>
        </w:rPr>
        <w:t>With the IOPC being an impartial investigating body, disciplinary processes are used when an officer is found to have engaged in behaviour which is damaging to publ</w:t>
      </w:r>
      <w:r>
        <w:rPr>
          <w:color w:val="333333"/>
          <w:sz w:val="28"/>
          <w:szCs w:val="28"/>
        </w:rPr>
        <w:t xml:space="preserve">ic confidence in Policing. Sanctions may include warnings, demotion, or dismissals. </w:t>
      </w:r>
    </w:p>
    <w:p w14:paraId="00000088" w14:textId="77777777" w:rsidR="003B7007" w:rsidRDefault="00651292">
      <w:pPr>
        <w:ind w:left="0"/>
        <w:jc w:val="both"/>
        <w:rPr>
          <w:color w:val="333333"/>
          <w:sz w:val="28"/>
          <w:szCs w:val="28"/>
        </w:rPr>
      </w:pPr>
      <w:r>
        <w:rPr>
          <w:color w:val="333333"/>
          <w:sz w:val="28"/>
          <w:szCs w:val="28"/>
        </w:rPr>
        <w:t>The Policing and Crime Act 2017 (PACA) aims to strengthen Policing integrity through a revamped Police complaints and punishment process that emphasises lesson learning. I</w:t>
      </w:r>
      <w:r>
        <w:rPr>
          <w:color w:val="333333"/>
          <w:sz w:val="28"/>
          <w:szCs w:val="28"/>
        </w:rPr>
        <w:t>ts goal is to strengthen the democratic accountability of Police Forces and Fire and Rescue Services, increase the efficiency and effectiveness of Emergency Services via tighter coordination and increase public trust in Policing (local government associati</w:t>
      </w:r>
      <w:r>
        <w:rPr>
          <w:color w:val="333333"/>
          <w:sz w:val="28"/>
          <w:szCs w:val="28"/>
        </w:rPr>
        <w:t>on, 2017). Prior to PACA, complaints about recording, categorisation, and investigation were handled by forces subject to independent monitoring by appeal to the IPCC (now the IOPC). The rationale of independence under the pre-PACA system was not restricte</w:t>
      </w:r>
      <w:r>
        <w:rPr>
          <w:color w:val="333333"/>
          <w:sz w:val="28"/>
          <w:szCs w:val="28"/>
        </w:rPr>
        <w:t>d to holding street-level Officers accountable for their actions. Instead, it emphasised the force’s Professional Standards Department’s accountability for how it handles claims of Officer misconduct.</w:t>
      </w:r>
    </w:p>
    <w:p w14:paraId="00000089" w14:textId="77777777" w:rsidR="003B7007" w:rsidRDefault="00651292">
      <w:pPr>
        <w:ind w:left="0"/>
        <w:jc w:val="both"/>
        <w:rPr>
          <w:color w:val="333333"/>
          <w:sz w:val="28"/>
          <w:szCs w:val="28"/>
        </w:rPr>
      </w:pPr>
      <w:r>
        <w:rPr>
          <w:color w:val="333333"/>
          <w:sz w:val="28"/>
          <w:szCs w:val="28"/>
        </w:rPr>
        <w:t xml:space="preserve">Richards (2022b) explains the resolution of complaints </w:t>
      </w:r>
      <w:r>
        <w:rPr>
          <w:color w:val="333333"/>
          <w:sz w:val="28"/>
          <w:szCs w:val="28"/>
        </w:rPr>
        <w:t>can take time. According to a recent investigation into the Met Police, decisions on misconduct complaints are made on average after 400 days, and few complaints result in dismissals. 0.7% of Officers facing multiple allegations of misconduct have been dis</w:t>
      </w:r>
      <w:r>
        <w:rPr>
          <w:color w:val="333333"/>
          <w:sz w:val="28"/>
          <w:szCs w:val="28"/>
        </w:rPr>
        <w:t>missed since 2013.</w:t>
      </w:r>
    </w:p>
    <w:p w14:paraId="0000008A" w14:textId="77777777" w:rsidR="003B7007" w:rsidRDefault="00651292">
      <w:pPr>
        <w:ind w:left="0"/>
        <w:jc w:val="both"/>
        <w:rPr>
          <w:sz w:val="28"/>
          <w:szCs w:val="28"/>
        </w:rPr>
      </w:pPr>
      <w:r>
        <w:rPr>
          <w:sz w:val="28"/>
          <w:szCs w:val="28"/>
        </w:rPr>
        <w:t>The recruitment process is an essential part of a Police Officer’s career, and Officers are sworn on the Oath to the Crown at the training stage, this does not guarantee officers always remain professional during their tours of duty. Oft</w:t>
      </w:r>
      <w:r>
        <w:rPr>
          <w:sz w:val="28"/>
          <w:szCs w:val="28"/>
        </w:rPr>
        <w:t xml:space="preserve">en there are reports of ‘bad apples’ within the Police which are regularly highlighted through media sources. These reports severely damage the public’s perception and confidence of the Police in general. </w:t>
      </w:r>
    </w:p>
    <w:p w14:paraId="0000008B" w14:textId="77777777" w:rsidR="003B7007" w:rsidRDefault="00651292">
      <w:pPr>
        <w:ind w:left="0"/>
        <w:jc w:val="both"/>
        <w:rPr>
          <w:sz w:val="28"/>
          <w:szCs w:val="28"/>
        </w:rPr>
      </w:pPr>
      <w:r>
        <w:rPr>
          <w:sz w:val="28"/>
          <w:szCs w:val="28"/>
        </w:rPr>
        <w:t>The Code of Ethics is heavily emphasised throughou</w:t>
      </w:r>
      <w:r>
        <w:rPr>
          <w:sz w:val="28"/>
          <w:szCs w:val="28"/>
        </w:rPr>
        <w:t>t the recruitment process for Officers. It adheres to nine Policing principles based on the Nolan Principles for public life. These nine principles support and reinforce current processes and Laws for guaranteeing professional standards of behaviour for bo</w:t>
      </w:r>
      <w:r>
        <w:rPr>
          <w:sz w:val="28"/>
          <w:szCs w:val="28"/>
        </w:rPr>
        <w:t>th Police Officers and Police workers. This offers the public confidence that a system is in place (College of Policing, 2014).</w:t>
      </w:r>
    </w:p>
    <w:p w14:paraId="0000008C" w14:textId="77777777" w:rsidR="003B7007" w:rsidRDefault="00651292">
      <w:pPr>
        <w:ind w:left="0"/>
        <w:jc w:val="both"/>
        <w:rPr>
          <w:sz w:val="28"/>
          <w:szCs w:val="28"/>
        </w:rPr>
      </w:pPr>
      <w:r>
        <w:rPr>
          <w:sz w:val="28"/>
          <w:szCs w:val="28"/>
        </w:rPr>
        <w:t xml:space="preserve">Globally, there is little question that relations with the public, particularly minority groups, have been tense; complaints of </w:t>
      </w:r>
      <w:r>
        <w:rPr>
          <w:sz w:val="28"/>
          <w:szCs w:val="28"/>
        </w:rPr>
        <w:t xml:space="preserve">excessive use of force, biased treatment, </w:t>
      </w:r>
      <w:r>
        <w:rPr>
          <w:sz w:val="28"/>
          <w:szCs w:val="28"/>
        </w:rPr>
        <w:lastRenderedPageBreak/>
        <w:t>and abuse of power are common. Conversely, false accusations are often levelled against Police Officers. The introduction of Body Worn Video has demonstrated to reduce incidents of misconduct and excessive force am</w:t>
      </w:r>
      <w:r>
        <w:rPr>
          <w:sz w:val="28"/>
          <w:szCs w:val="28"/>
        </w:rPr>
        <w:t>ong Police Officers who wear them whilst on duty. In addition, Taylor (2016) explains the use of Body Worn footage, it appears, is responsible for a decline in complaints against Police Officers.</w:t>
      </w:r>
    </w:p>
    <w:p w14:paraId="0000008D" w14:textId="77777777" w:rsidR="003B7007" w:rsidRDefault="00651292">
      <w:pPr>
        <w:ind w:left="0"/>
        <w:jc w:val="both"/>
        <w:rPr>
          <w:sz w:val="28"/>
          <w:szCs w:val="28"/>
        </w:rPr>
      </w:pPr>
      <w:r>
        <w:rPr>
          <w:sz w:val="28"/>
          <w:szCs w:val="28"/>
        </w:rPr>
        <w:t>Discretion is an important aspect of Police work since it requires a constant exercise of decision making. Finnane (1990) explains ‘every level of Police work, especially at micro level, includes decisions on the side of the Police Officer’. As a result, i</w:t>
      </w:r>
      <w:r>
        <w:rPr>
          <w:sz w:val="28"/>
          <w:szCs w:val="28"/>
        </w:rPr>
        <w:t>n the heat of the moment, even with a trivial/minor incident, an Officer’s judgement may be skewed, resulting in a bad decision. This may lead to the Officer being reprimanded or even suspended for the acts he or she has taken.</w:t>
      </w:r>
    </w:p>
    <w:p w14:paraId="0000008E" w14:textId="77777777" w:rsidR="003B7007" w:rsidRDefault="00651292">
      <w:pPr>
        <w:ind w:left="0"/>
        <w:jc w:val="both"/>
        <w:rPr>
          <w:sz w:val="28"/>
          <w:szCs w:val="28"/>
        </w:rPr>
      </w:pPr>
      <w:r>
        <w:rPr>
          <w:sz w:val="28"/>
          <w:szCs w:val="28"/>
        </w:rPr>
        <w:t>In conclusion, The College o</w:t>
      </w:r>
      <w:r>
        <w:rPr>
          <w:sz w:val="28"/>
          <w:szCs w:val="28"/>
        </w:rPr>
        <w:t xml:space="preserve">f Policing gives recommendations to promote justice and proportionality in cases, which is critical for Officers and public trust in the hearings. Police Regulations were revised in May 2015 to enable Police officer gross misconduct hearings to be held in </w:t>
      </w:r>
      <w:r>
        <w:rPr>
          <w:sz w:val="28"/>
          <w:szCs w:val="28"/>
        </w:rPr>
        <w:t>public. Forces publish the outcomes on their websites and media outlets. These are available for at least 28 days following the hearing. The aim is to be open and transparent enhancing public confidence in the force and perception of the Police in general.</w:t>
      </w:r>
      <w:r>
        <w:rPr>
          <w:sz w:val="28"/>
          <w:szCs w:val="28"/>
        </w:rPr>
        <w:t xml:space="preserve">   </w:t>
      </w:r>
    </w:p>
    <w:p w14:paraId="0000008F" w14:textId="77777777" w:rsidR="003B7007" w:rsidRDefault="00651292">
      <w:pPr>
        <w:ind w:left="0"/>
        <w:jc w:val="both"/>
        <w:rPr>
          <w:sz w:val="28"/>
          <w:szCs w:val="28"/>
        </w:rPr>
      </w:pPr>
      <w:r>
        <w:rPr>
          <w:sz w:val="28"/>
          <w:szCs w:val="28"/>
        </w:rPr>
        <w:t>Police Officers are currently scrutinised at every incident they attend. The IOPC and in-force Professional Standards Departments exist to safeguard both the Police Officer and the public, as well as to investigate cases where an Officer has breached t</w:t>
      </w:r>
      <w:r>
        <w:rPr>
          <w:sz w:val="28"/>
          <w:szCs w:val="28"/>
        </w:rPr>
        <w:t xml:space="preserve">he Code of Ethics. </w:t>
      </w:r>
    </w:p>
    <w:p w14:paraId="00000090" w14:textId="77777777" w:rsidR="003B7007" w:rsidRDefault="00651292">
      <w:pPr>
        <w:ind w:left="0"/>
        <w:jc w:val="both"/>
        <w:rPr>
          <w:sz w:val="28"/>
          <w:szCs w:val="28"/>
        </w:rPr>
      </w:pPr>
      <w:r>
        <w:rPr>
          <w:sz w:val="28"/>
          <w:szCs w:val="28"/>
        </w:rPr>
        <w:t>Evidently, there is a clear need for Police Officers to be held accountable for their actions, if they choose to break their oath, or veer from the expected high professional standards of a Police Officer. Those who misuse their authori</w:t>
      </w:r>
      <w:r>
        <w:rPr>
          <w:sz w:val="28"/>
          <w:szCs w:val="28"/>
        </w:rPr>
        <w:t>ty have no place in society.</w:t>
      </w:r>
    </w:p>
    <w:p w14:paraId="00000091" w14:textId="77777777" w:rsidR="003B7007" w:rsidRDefault="00651292">
      <w:pPr>
        <w:ind w:left="0"/>
        <w:jc w:val="both"/>
        <w:rPr>
          <w:b/>
          <w:sz w:val="32"/>
          <w:szCs w:val="32"/>
        </w:rPr>
      </w:pPr>
      <w:r>
        <w:rPr>
          <w:b/>
          <w:sz w:val="32"/>
          <w:szCs w:val="32"/>
        </w:rPr>
        <w:t>Total Word Count: 1096</w:t>
      </w:r>
    </w:p>
    <w:p w14:paraId="00000092" w14:textId="77777777" w:rsidR="003B7007" w:rsidRDefault="003B7007">
      <w:pPr>
        <w:ind w:left="0"/>
        <w:jc w:val="both"/>
        <w:rPr>
          <w:b/>
          <w:sz w:val="32"/>
          <w:szCs w:val="32"/>
        </w:rPr>
      </w:pPr>
    </w:p>
    <w:p w14:paraId="00000093" w14:textId="77777777" w:rsidR="003B7007" w:rsidRDefault="003B7007">
      <w:pPr>
        <w:ind w:left="0"/>
        <w:jc w:val="both"/>
        <w:rPr>
          <w:b/>
          <w:sz w:val="32"/>
          <w:szCs w:val="32"/>
        </w:rPr>
      </w:pPr>
    </w:p>
    <w:p w14:paraId="00000094" w14:textId="77777777" w:rsidR="003B7007" w:rsidRDefault="003B7007">
      <w:pPr>
        <w:ind w:left="0"/>
        <w:jc w:val="both"/>
        <w:rPr>
          <w:b/>
          <w:sz w:val="32"/>
          <w:szCs w:val="32"/>
        </w:rPr>
      </w:pPr>
    </w:p>
    <w:p w14:paraId="00000095" w14:textId="77777777" w:rsidR="003B7007" w:rsidRDefault="003B7007">
      <w:pPr>
        <w:spacing w:before="600" w:line="360" w:lineRule="auto"/>
        <w:ind w:left="0"/>
        <w:rPr>
          <w:b/>
          <w:sz w:val="32"/>
          <w:szCs w:val="32"/>
        </w:rPr>
      </w:pPr>
    </w:p>
    <w:p w14:paraId="00000096" w14:textId="655F803B" w:rsidR="003B7007" w:rsidRDefault="00651292">
      <w:pPr>
        <w:spacing w:before="600" w:line="360" w:lineRule="auto"/>
        <w:ind w:left="0"/>
        <w:rPr>
          <w:b/>
          <w:sz w:val="32"/>
          <w:szCs w:val="32"/>
          <w:u w:val="single"/>
        </w:rPr>
      </w:pPr>
      <w:r>
        <w:rPr>
          <w:b/>
          <w:sz w:val="32"/>
          <w:szCs w:val="32"/>
          <w:u w:val="single"/>
        </w:rPr>
        <w:lastRenderedPageBreak/>
        <w:t xml:space="preserve">Reference </w:t>
      </w:r>
      <w:r w:rsidR="00E14733">
        <w:rPr>
          <w:b/>
          <w:sz w:val="32"/>
          <w:szCs w:val="32"/>
          <w:u w:val="single"/>
        </w:rPr>
        <w:t>L</w:t>
      </w:r>
      <w:r>
        <w:rPr>
          <w:b/>
          <w:sz w:val="32"/>
          <w:szCs w:val="32"/>
          <w:u w:val="single"/>
        </w:rPr>
        <w:t>ist</w:t>
      </w:r>
    </w:p>
    <w:p w14:paraId="00000097" w14:textId="77777777" w:rsidR="003B7007" w:rsidRDefault="00651292">
      <w:pPr>
        <w:spacing w:after="280" w:line="360" w:lineRule="auto"/>
        <w:ind w:left="0"/>
        <w:rPr>
          <w:sz w:val="24"/>
          <w:szCs w:val="24"/>
        </w:rPr>
      </w:pPr>
      <w:r>
        <w:rPr>
          <w:sz w:val="24"/>
          <w:szCs w:val="24"/>
        </w:rPr>
        <w:t xml:space="preserve">College of Policing (2014). </w:t>
      </w:r>
      <w:r>
        <w:rPr>
          <w:i/>
          <w:sz w:val="24"/>
          <w:szCs w:val="24"/>
        </w:rPr>
        <w:t>CODE OF ETHICS</w:t>
      </w:r>
      <w:r>
        <w:rPr>
          <w:sz w:val="24"/>
          <w:szCs w:val="24"/>
        </w:rPr>
        <w:t xml:space="preserve">. [online] </w:t>
      </w:r>
      <w:r>
        <w:rPr>
          <w:i/>
          <w:sz w:val="24"/>
          <w:szCs w:val="24"/>
        </w:rPr>
        <w:t>College Of Policing</w:t>
      </w:r>
      <w:r>
        <w:rPr>
          <w:sz w:val="24"/>
          <w:szCs w:val="24"/>
        </w:rPr>
        <w:t>. College of Policing. Available at: https://assets.college.police.uk/s3fs-public/2021-02/code_of_ethics.pdf.</w:t>
      </w:r>
    </w:p>
    <w:p w14:paraId="00000098" w14:textId="77777777" w:rsidR="003B7007" w:rsidRDefault="00651292">
      <w:pPr>
        <w:spacing w:after="280" w:line="360" w:lineRule="auto"/>
        <w:ind w:left="0"/>
        <w:rPr>
          <w:sz w:val="24"/>
          <w:szCs w:val="24"/>
        </w:rPr>
      </w:pPr>
      <w:r>
        <w:rPr>
          <w:sz w:val="24"/>
          <w:szCs w:val="24"/>
        </w:rPr>
        <w:t>Fin</w:t>
      </w:r>
      <w:r>
        <w:rPr>
          <w:sz w:val="24"/>
          <w:szCs w:val="24"/>
        </w:rPr>
        <w:t xml:space="preserve">nane, M. (1990). Police and Politics in Australia — The Case for Historical Revision. </w:t>
      </w:r>
      <w:r>
        <w:rPr>
          <w:i/>
          <w:sz w:val="24"/>
          <w:szCs w:val="24"/>
        </w:rPr>
        <w:t>Australian &amp; New Zealand Journal of Criminology</w:t>
      </w:r>
      <w:r>
        <w:rPr>
          <w:sz w:val="24"/>
          <w:szCs w:val="24"/>
        </w:rPr>
        <w:t>, 23(4), pp.218–228. doi:https://doi.org/10.1177/000486589002300402.</w:t>
      </w:r>
    </w:p>
    <w:p w14:paraId="00000099" w14:textId="77777777" w:rsidR="003B7007" w:rsidRDefault="00651292">
      <w:pPr>
        <w:spacing w:after="280" w:line="360" w:lineRule="auto"/>
        <w:ind w:left="0"/>
        <w:rPr>
          <w:sz w:val="24"/>
          <w:szCs w:val="24"/>
        </w:rPr>
      </w:pPr>
      <w:r>
        <w:rPr>
          <w:sz w:val="24"/>
          <w:szCs w:val="24"/>
        </w:rPr>
        <w:t xml:space="preserve">Independent Office for Police Conduct (2019). </w:t>
      </w:r>
      <w:r>
        <w:rPr>
          <w:i/>
          <w:sz w:val="24"/>
          <w:szCs w:val="24"/>
        </w:rPr>
        <w:t>Who we a</w:t>
      </w:r>
      <w:r>
        <w:rPr>
          <w:i/>
          <w:sz w:val="24"/>
          <w:szCs w:val="24"/>
        </w:rPr>
        <w:t>re</w:t>
      </w:r>
      <w:r>
        <w:rPr>
          <w:sz w:val="24"/>
          <w:szCs w:val="24"/>
        </w:rPr>
        <w:t>. [online] Policeconduct.gov.uk. Available at: https://www.policeconduct.gov.uk/who-we-are.</w:t>
      </w:r>
    </w:p>
    <w:p w14:paraId="0000009A" w14:textId="77777777" w:rsidR="003B7007" w:rsidRDefault="00651292">
      <w:pPr>
        <w:spacing w:after="280" w:line="360" w:lineRule="auto"/>
        <w:ind w:left="0"/>
        <w:rPr>
          <w:sz w:val="24"/>
          <w:szCs w:val="24"/>
        </w:rPr>
      </w:pPr>
      <w:r>
        <w:rPr>
          <w:sz w:val="24"/>
          <w:szCs w:val="24"/>
        </w:rPr>
        <w:t xml:space="preserve">local government association (2017). </w:t>
      </w:r>
      <w:r>
        <w:rPr>
          <w:i/>
          <w:sz w:val="24"/>
          <w:szCs w:val="24"/>
        </w:rPr>
        <w:t>Get in on the Act Policing and Crime Act 2017 Corporate Get in on the Act Policing and Crime Act 2017 Background</w:t>
      </w:r>
      <w:r>
        <w:rPr>
          <w:sz w:val="24"/>
          <w:szCs w:val="24"/>
        </w:rPr>
        <w:t>. [online] Av</w:t>
      </w:r>
      <w:r>
        <w:rPr>
          <w:sz w:val="24"/>
          <w:szCs w:val="24"/>
        </w:rPr>
        <w:t>ailable at: https://www.local.gov.uk/sites/default/files/documents/10.7%20Get%20in%20on%20the%20Act%20-%20Policing%20and%20Crime%20Act_6pp_V04_WEB.pdf [Accessed 11 Jan. 2023].</w:t>
      </w:r>
    </w:p>
    <w:p w14:paraId="0000009B" w14:textId="77777777" w:rsidR="003B7007" w:rsidRDefault="00651292">
      <w:pPr>
        <w:spacing w:after="280" w:line="360" w:lineRule="auto"/>
        <w:ind w:left="0"/>
        <w:rPr>
          <w:sz w:val="24"/>
          <w:szCs w:val="24"/>
        </w:rPr>
      </w:pPr>
      <w:r>
        <w:rPr>
          <w:sz w:val="24"/>
          <w:szCs w:val="24"/>
        </w:rPr>
        <w:t xml:space="preserve">Mynenko, K.D. and Ditcham, K. (2022). </w:t>
      </w:r>
      <w:r>
        <w:rPr>
          <w:i/>
          <w:sz w:val="24"/>
          <w:szCs w:val="24"/>
        </w:rPr>
        <w:t>Public Confidence in the Police: A New Low for the Service</w:t>
      </w:r>
      <w:r>
        <w:rPr>
          <w:sz w:val="24"/>
          <w:szCs w:val="24"/>
        </w:rPr>
        <w:t>. [online] rusi.org. Available at: https://rusi.org/explore-our-research/publications/commentary/public-confidence-police-new-low-service.</w:t>
      </w:r>
    </w:p>
    <w:p w14:paraId="0000009C" w14:textId="77777777" w:rsidR="003B7007" w:rsidRDefault="00651292">
      <w:pPr>
        <w:spacing w:after="280" w:line="360" w:lineRule="auto"/>
        <w:ind w:left="0"/>
        <w:rPr>
          <w:sz w:val="24"/>
          <w:szCs w:val="24"/>
        </w:rPr>
      </w:pPr>
      <w:r>
        <w:rPr>
          <w:sz w:val="24"/>
          <w:szCs w:val="24"/>
        </w:rPr>
        <w:t xml:space="preserve">Richards, G. (2022a). </w:t>
      </w:r>
      <w:r>
        <w:rPr>
          <w:i/>
          <w:sz w:val="24"/>
          <w:szCs w:val="24"/>
        </w:rPr>
        <w:t>Police accountability</w:t>
      </w:r>
      <w:r>
        <w:rPr>
          <w:sz w:val="24"/>
          <w:szCs w:val="24"/>
        </w:rPr>
        <w:t>. [online] Insti</w:t>
      </w:r>
      <w:r>
        <w:rPr>
          <w:sz w:val="24"/>
          <w:szCs w:val="24"/>
        </w:rPr>
        <w:t>tute for Government. Available at: https://www.instituteforgovernment.org.uk/article/explainer/police-accountability#:~:text=Why%20is%20police%20accountability%20important [Accessed 11 Jan. 2023].</w:t>
      </w:r>
    </w:p>
    <w:p w14:paraId="0000009D" w14:textId="77777777" w:rsidR="003B7007" w:rsidRDefault="00651292">
      <w:pPr>
        <w:spacing w:after="280" w:line="360" w:lineRule="auto"/>
        <w:ind w:left="0"/>
        <w:rPr>
          <w:sz w:val="24"/>
          <w:szCs w:val="24"/>
        </w:rPr>
      </w:pPr>
      <w:r>
        <w:rPr>
          <w:sz w:val="24"/>
          <w:szCs w:val="24"/>
        </w:rPr>
        <w:t xml:space="preserve">Richards, G. (2022b). </w:t>
      </w:r>
      <w:r>
        <w:rPr>
          <w:i/>
          <w:sz w:val="24"/>
          <w:szCs w:val="24"/>
        </w:rPr>
        <w:t>Police accountability</w:t>
      </w:r>
      <w:r>
        <w:rPr>
          <w:sz w:val="24"/>
          <w:szCs w:val="24"/>
        </w:rPr>
        <w:t>. [online] Insti</w:t>
      </w:r>
      <w:r>
        <w:rPr>
          <w:sz w:val="24"/>
          <w:szCs w:val="24"/>
        </w:rPr>
        <w:t>tute for Government. Available at: https://www.instituteforgovernment.org.uk/article/explainer/police-accountability#:~:text=The%20IOPC%20investigates%20serious%20complaints [Accessed 8 Mar. 2023].</w:t>
      </w:r>
    </w:p>
    <w:p w14:paraId="0000009F" w14:textId="37A54A5F" w:rsidR="003B7007" w:rsidRPr="00E14733" w:rsidRDefault="00651292" w:rsidP="00E14733">
      <w:pPr>
        <w:spacing w:after="280" w:line="360" w:lineRule="auto"/>
        <w:ind w:left="0"/>
        <w:rPr>
          <w:sz w:val="24"/>
          <w:szCs w:val="24"/>
        </w:rPr>
      </w:pPr>
      <w:r>
        <w:rPr>
          <w:sz w:val="24"/>
          <w:szCs w:val="24"/>
        </w:rPr>
        <w:t>Taylor, E. (2016). Lights, Camera, Redaction… Police Body-</w:t>
      </w:r>
      <w:r>
        <w:rPr>
          <w:sz w:val="24"/>
          <w:szCs w:val="24"/>
        </w:rPr>
        <w:t xml:space="preserve">Worn Cameras; Autonomy, Discretion and Accountability. </w:t>
      </w:r>
      <w:r>
        <w:rPr>
          <w:i/>
          <w:sz w:val="24"/>
          <w:szCs w:val="24"/>
        </w:rPr>
        <w:t>Surveillance &amp; Society</w:t>
      </w:r>
      <w:r>
        <w:rPr>
          <w:sz w:val="24"/>
          <w:szCs w:val="24"/>
        </w:rPr>
        <w:t>, 14(1), pp.128–132. doi:https://doi.org/10.24908/ss.v14i1.6285.</w:t>
      </w:r>
    </w:p>
    <w:sectPr w:rsidR="003B7007" w:rsidRPr="00E14733">
      <w:pgSz w:w="11906" w:h="16838"/>
      <w:pgMar w:top="1440" w:right="1440" w:bottom="1440" w:left="992"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444EA" w14:textId="77777777" w:rsidR="00651292" w:rsidRDefault="00651292" w:rsidP="00651292">
      <w:pPr>
        <w:spacing w:after="0" w:line="240" w:lineRule="auto"/>
      </w:pPr>
      <w:r>
        <w:separator/>
      </w:r>
    </w:p>
  </w:endnote>
  <w:endnote w:type="continuationSeparator" w:id="0">
    <w:p w14:paraId="5E621DF7" w14:textId="77777777" w:rsidR="00651292" w:rsidRDefault="00651292" w:rsidP="00651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C0908" w14:textId="77777777" w:rsidR="00651292" w:rsidRDefault="00651292" w:rsidP="00651292">
      <w:pPr>
        <w:spacing w:after="0" w:line="240" w:lineRule="auto"/>
      </w:pPr>
      <w:r>
        <w:separator/>
      </w:r>
    </w:p>
  </w:footnote>
  <w:footnote w:type="continuationSeparator" w:id="0">
    <w:p w14:paraId="12F04F8F" w14:textId="77777777" w:rsidR="00651292" w:rsidRDefault="00651292" w:rsidP="006512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007"/>
    <w:rsid w:val="003B7007"/>
    <w:rsid w:val="00651292"/>
    <w:rsid w:val="008F12F9"/>
    <w:rsid w:val="00E14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4F629C"/>
  <w15:docId w15:val="{2221CA65-530D-45E6-BE08-D33C6B6B9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ind w:left="-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LineNumber">
    <w:name w:val="line number"/>
    <w:basedOn w:val="DefaultParagraphFont"/>
    <w:uiPriority w:val="99"/>
    <w:semiHidden/>
    <w:unhideWhenUsed/>
    <w:rsid w:val="00E0375D"/>
  </w:style>
  <w:style w:type="character" w:styleId="Strong">
    <w:name w:val="Strong"/>
    <w:basedOn w:val="DefaultParagraphFont"/>
    <w:uiPriority w:val="22"/>
    <w:qFormat/>
    <w:rsid w:val="00C3105C"/>
    <w:rPr>
      <w:b/>
      <w:bCs/>
    </w:rPr>
  </w:style>
  <w:style w:type="paragraph" w:customStyle="1" w:styleId="p">
    <w:name w:val="p"/>
    <w:basedOn w:val="Normal"/>
    <w:rsid w:val="00BC052A"/>
    <w:pPr>
      <w:spacing w:before="100" w:beforeAutospacing="1" w:after="100" w:afterAutospacing="1" w:line="240" w:lineRule="auto"/>
      <w:ind w:left="0"/>
    </w:pPr>
    <w:rPr>
      <w:rFonts w:ascii="Times New Roman" w:eastAsia="Times New Roman" w:hAnsi="Times New Roman" w:cs="Times New Roman"/>
      <w:sz w:val="24"/>
      <w:szCs w:val="24"/>
    </w:rPr>
  </w:style>
  <w:style w:type="paragraph" w:styleId="ListParagraph">
    <w:name w:val="List Paragraph"/>
    <w:basedOn w:val="Normal"/>
    <w:uiPriority w:val="34"/>
    <w:qFormat/>
    <w:rsid w:val="00A26F39"/>
    <w:pPr>
      <w:ind w:left="720"/>
      <w:contextualSpacing/>
    </w:pPr>
  </w:style>
  <w:style w:type="character" w:customStyle="1" w:styleId="ref-lnk">
    <w:name w:val="ref-lnk"/>
    <w:basedOn w:val="DefaultParagraphFont"/>
    <w:rsid w:val="008166FB"/>
  </w:style>
  <w:style w:type="character" w:styleId="Hyperlink">
    <w:name w:val="Hyperlink"/>
    <w:basedOn w:val="DefaultParagraphFont"/>
    <w:uiPriority w:val="99"/>
    <w:unhideWhenUsed/>
    <w:rsid w:val="008166FB"/>
    <w:rPr>
      <w:color w:val="0000FF"/>
      <w:u w:val="single"/>
    </w:rPr>
  </w:style>
  <w:style w:type="paragraph" w:styleId="NormalWeb">
    <w:name w:val="Normal (Web)"/>
    <w:basedOn w:val="Normal"/>
    <w:uiPriority w:val="99"/>
    <w:semiHidden/>
    <w:unhideWhenUsed/>
    <w:rsid w:val="00CF4E99"/>
    <w:pPr>
      <w:spacing w:before="100" w:beforeAutospacing="1" w:after="100" w:afterAutospacing="1" w:line="240" w:lineRule="auto"/>
      <w:ind w:left="0"/>
    </w:pPr>
    <w:rPr>
      <w:rFonts w:ascii="Times New Roman" w:eastAsia="Times New Roman" w:hAnsi="Times New Roman" w:cs="Times New Roman"/>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6144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orthlincscmars.co.uk/wp-content/uploads/2021/02/Childrens-society.pdf" TargetMode="External"/><Relationship Id="rId3" Type="http://schemas.openxmlformats.org/officeDocument/2006/relationships/settings" Target="settings.xml"/><Relationship Id="rId7" Type="http://schemas.openxmlformats.org/officeDocument/2006/relationships/hyperlink" Target="http://www.policeconduct.gov.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2019_London_Bridge_stabb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oCl2j4FlF4SD5rVLAG9LNZsIEog==">AMUW2mXSM4bSOcAVbQNFOeycED8VMPVngqminnfTnz1Wu422daEZo2NMkL4i1gaHXxJUM5PQ8yf6qMaZxfJqR+ZSKs3e/LWFJgfOwMElptPXiW4XOh2OPvQ=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5178</Words>
  <Characters>29515</Characters>
  <Application>Microsoft Office Word</Application>
  <DocSecurity>4</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Thomas,Christian swp8108</dc:creator>
  <cp:lastModifiedBy>Thomas,Christian swp8108</cp:lastModifiedBy>
  <cp:revision>2</cp:revision>
  <dcterms:created xsi:type="dcterms:W3CDTF">2023-03-09T12:16:00Z</dcterms:created>
  <dcterms:modified xsi:type="dcterms:W3CDTF">2023-03-09T12:16:00Z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2022-11-16T17:04:59Z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9989480c-44ec-4e4c-b750-f24e369ce3ec</vt:lpwstr>
  </property>
  <property fmtid="{D5CDD505-2E9C-101B-9397-08002B2CF9AE}" pid="8" name="MSIP_Label_66cf8fe5-b7b7-4df7-b38d-1c61ac2f6639_ContentBits">
    <vt:lpwstr>0</vt:lpwstr>
  </property>
</Properties>
</file>