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32CFE" w:rsidRPr="00D44997" w:rsidRDefault="00D44997">
      <w:pPr>
        <w:rPr>
          <w:b/>
        </w:rPr>
      </w:pPr>
      <w:r>
        <w:rPr>
          <w:b/>
        </w:rPr>
        <w:t xml:space="preserve">Q1. </w:t>
      </w:r>
      <w:r w:rsidR="00452098" w:rsidRPr="00D44997">
        <w:rPr>
          <w:b/>
        </w:rPr>
        <w:t>How might the concerns of animal liberationists and ethical holists conflict and or converge?</w:t>
      </w:r>
    </w:p>
    <w:p w:rsidR="004065DA" w:rsidRDefault="004065DA"/>
    <w:p w:rsidR="004065DA" w:rsidRDefault="004065DA">
      <w:r>
        <w:t>This topic</w:t>
      </w:r>
      <w:r w:rsidR="00B96832">
        <w:t xml:space="preserve"> of environmental ethics</w:t>
      </w:r>
      <w:r>
        <w:t xml:space="preserve"> is relatively new to Western philosophy and </w:t>
      </w:r>
      <w:r w:rsidR="00B96832">
        <w:t xml:space="preserve">the term itself </w:t>
      </w:r>
      <w:r>
        <w:t>has no precise definition. It was however, Aldo Leopold who is regarded as being the “father” of recent environmental ethics. His “Land ethic”</w:t>
      </w:r>
      <w:r w:rsidR="00116027">
        <w:rPr>
          <w:rStyle w:val="FootnoteReference"/>
        </w:rPr>
        <w:footnoteReference w:id="1"/>
      </w:r>
      <w:r>
        <w:t xml:space="preserve"> is a standardised example of environmental ethics and holistic approach to </w:t>
      </w:r>
      <w:r w:rsidR="00B96832">
        <w:t>bridging the gap between our environment and the relationship between it, ourselves and ethics</w:t>
      </w:r>
      <w:r>
        <w:t xml:space="preserve">. </w:t>
      </w:r>
      <w:r>
        <w:rPr>
          <w:rStyle w:val="FootnoteReference"/>
        </w:rPr>
        <w:footnoteReference w:id="2"/>
      </w:r>
    </w:p>
    <w:p w:rsidR="00B96832" w:rsidRDefault="00B96832" w:rsidP="00B96832">
      <w:r>
        <w:t>I am going to begin by looking at the possible converge between animal liberationist and ethical holists.</w:t>
      </w:r>
    </w:p>
    <w:p w:rsidR="001F7C35" w:rsidRDefault="00B96832" w:rsidP="00B96832">
      <w:r>
        <w:t>The first link I can see between the two is a reflection of Kant’s Categorical Imperative.  Kant argues that it is morally correct that things, people, situations must be seen and used as ends in themselves and not a means to an end. This idea links in very closely to an ethical holists</w:t>
      </w:r>
      <w:r w:rsidR="001F7C35">
        <w:t xml:space="preserve"> concept </w:t>
      </w:r>
      <w:r>
        <w:t>of the whole of-a-thing having significance,</w:t>
      </w:r>
      <w:r w:rsidR="001F7C35">
        <w:t xml:space="preserve"> not just its parts, meaning</w:t>
      </w:r>
      <w:r>
        <w:t xml:space="preserve"> that we are unable to give value to isolated parts, but we must see the workings of the parts as a whole, as its own system of functioning and therefore importance.</w:t>
      </w:r>
    </w:p>
    <w:p w:rsidR="00B96832" w:rsidRDefault="00B96832" w:rsidP="00B96832">
      <w:r>
        <w:t xml:space="preserve"> Example, we should not be looking at the minerals in the earth and how its individual function may have more or less importance to another function or aspect of the soil, but we must look at how this interacts with its environment to understand and see its true worth, value and importance and only then when we view things as a whole do we have a greater and more in depth understanding of it. Example, how the nutrients in the soil nourishes the fish in the stream down the way, or how the plants and berry yield is highly benefited from these nutrients. It is impossible and incorrect for us to try to isolate the parts and view them as whole in itself. </w:t>
      </w:r>
    </w:p>
    <w:p w:rsidR="00B96832" w:rsidRDefault="00B96832" w:rsidP="00B96832">
      <w:r>
        <w:t xml:space="preserve">I think that what concerns ethical holists can be directly linked to what concerns animal liberationists, not only in the sense that we must look at animals as a whole, and not </w:t>
      </w:r>
      <w:r w:rsidR="00D836A1">
        <w:t>their use or function</w:t>
      </w:r>
      <w:r>
        <w:t>, in relation to Kant’s Categorical Imperative or sentient individuals, but in the sense that what ethical holists are concerned with would directly affect that which animal liberationists are concerned with, the rights, natural life, importance and environment of animals, and how decisions on “the land” would, could, may have a direct effect on the rights and lives of animals.</w:t>
      </w:r>
      <w:r>
        <w:rPr>
          <w:rStyle w:val="FootnoteReference"/>
        </w:rPr>
        <w:footnoteReference w:id="3"/>
      </w:r>
      <w:r w:rsidR="001F7C35" w:rsidRPr="001F7C35">
        <w:t xml:space="preserve"> </w:t>
      </w:r>
      <w:r w:rsidR="001F7C35">
        <w:t>Also impacting socio-political spheres, and how we humans interact with the world we li</w:t>
      </w:r>
      <w:r w:rsidR="00116027">
        <w:t>ve in, its human and non-</w:t>
      </w:r>
      <w:r w:rsidR="001F7C35">
        <w:t xml:space="preserve">human lives, both sentient and non-sentient. I would say this </w:t>
      </w:r>
      <w:r w:rsidR="00D30D03">
        <w:t>echoes</w:t>
      </w:r>
      <w:r w:rsidR="001F7C35">
        <w:t xml:space="preserve"> itself, when we start to see things as a whole and not the individual workings of parts, we see a much wider, interconnected network intrinsically linked with all other functioning parts and wholes of other networks (mycelium, </w:t>
      </w:r>
      <w:r w:rsidR="005C797E">
        <w:t>trees,) we begin to see the mutualism of ecological interaction</w:t>
      </w:r>
      <w:r w:rsidR="005C797E">
        <w:rPr>
          <w:rStyle w:val="FootnoteReference"/>
        </w:rPr>
        <w:footnoteReference w:id="4"/>
      </w:r>
      <w:r w:rsidR="005C797E">
        <w:t xml:space="preserve">. </w:t>
      </w:r>
    </w:p>
    <w:p w:rsidR="00B96832" w:rsidRDefault="00B96832"/>
    <w:p w:rsidR="00B96832" w:rsidRDefault="00B96832"/>
    <w:p w:rsidR="00B96832" w:rsidRDefault="00B96832"/>
    <w:p w:rsidR="00B96832" w:rsidRDefault="00B96832"/>
    <w:p w:rsidR="00452098" w:rsidRDefault="00452098">
      <w:r>
        <w:t>Animal liberationist view animals as having significance/importance in themselves, as living, sentient beings which deserve rights and have intrinsic value.</w:t>
      </w:r>
    </w:p>
    <w:p w:rsidR="00116027" w:rsidRDefault="00452098">
      <w:r>
        <w:t>Ethical holists would view things are wholes in themselves and not by its parts, taking the whole as having ethical priority. This can be used to talk about, ecosystems, “The Land” nature, our environment.</w:t>
      </w:r>
    </w:p>
    <w:p w:rsidR="00116027" w:rsidRDefault="00116027">
      <w:r>
        <w:t>Mark Sagoff states his claim “environmentalists cannot be animal liberation</w:t>
      </w:r>
      <w:r w:rsidR="00D30D03">
        <w:t>ists. Animal liberationists can</w:t>
      </w:r>
      <w:r>
        <w:t>not be environmentalists”</w:t>
      </w:r>
      <w:r>
        <w:rPr>
          <w:rStyle w:val="FootnoteReference"/>
        </w:rPr>
        <w:footnoteReference w:id="5"/>
      </w:r>
      <w:r>
        <w:t xml:space="preserve"> This statements shows apparent conflict between the concerns of animal liberationists and ethical holists</w:t>
      </w:r>
      <w:r w:rsidR="00D30D03">
        <w:t>. Example:  culling of species. Animal liberations would argue, that it an anthropocentric view of animals that, the lesser value of life they commonly are regarded as having, lesser sentence, or intelligence and talk of animal rights, liberation and freedoms would arise. Whereas on the other hand, the ethical holists would argue it may be necessary as the over population has led to depletion of vital natural resources, other life is dependent on, thus affecting at large a wider bio-diverse environment and that the culling, despite ethical concerns for animal welfare being brought into question. This is one of the concerns in which animal liberationists and ethical holists conflict with one another.</w:t>
      </w:r>
    </w:p>
    <w:p w:rsidR="00970A98" w:rsidRDefault="00970A98">
      <w:r>
        <w:t>Sagoff</w:t>
      </w:r>
      <w:r w:rsidR="00D836A1">
        <w:t>’</w:t>
      </w:r>
      <w:r>
        <w:t>s argument involves two particular accounts, one of Aldo Leopards “The Land Ethic”</w:t>
      </w:r>
      <w:r>
        <w:rPr>
          <w:rStyle w:val="FootnoteReference"/>
        </w:rPr>
        <w:footnoteReference w:id="6"/>
      </w:r>
      <w:r>
        <w:t xml:space="preserve"> the other being Peter Singers “All Animals Are Equal” these text are considered corner stones for animal liberation and ethical holists (environmentalists) </w:t>
      </w:r>
    </w:p>
    <w:p w:rsidR="00970A98" w:rsidRDefault="00970A98">
      <w:r>
        <w:t>Between these two texts, many conflicts between environmentalists and animal liberationists arise.</w:t>
      </w:r>
    </w:p>
    <w:p w:rsidR="00970A98" w:rsidRDefault="00970A98">
      <w:r>
        <w:t>Leopold attempts to extend moral considerations all every part of the non-human world “enlarge boundaries of the [moral] community to involve soil, water, plants, and animals, or collectively: the land”</w:t>
      </w:r>
      <w:r>
        <w:rPr>
          <w:rStyle w:val="FootnoteReference"/>
        </w:rPr>
        <w:footnoteReference w:id="7"/>
      </w:r>
      <w:r w:rsidR="004A472A">
        <w:t xml:space="preserve"> a Singerian animal liberationist would argue we are to interfere with this to prevent and diminish suffering. Sagoff explains this is the very processes that </w:t>
      </w:r>
      <w:r w:rsidR="00D836A1">
        <w:t>Leopold’s</w:t>
      </w:r>
      <w:r w:rsidR="004A472A">
        <w:t xml:space="preserve"> land ethic admirers and attempts to protect.</w:t>
      </w:r>
      <w:r w:rsidR="004A472A">
        <w:rPr>
          <w:rStyle w:val="FootnoteReference"/>
        </w:rPr>
        <w:footnoteReference w:id="8"/>
      </w:r>
      <w:r w:rsidR="004A472A">
        <w:t xml:space="preserve"> </w:t>
      </w:r>
    </w:p>
    <w:p w:rsidR="004A067F" w:rsidRDefault="004A067F" w:rsidP="00B96832"/>
    <w:p w:rsidR="004A067F" w:rsidRDefault="004A067F" w:rsidP="004065DA"/>
    <w:p w:rsidR="004065DA" w:rsidRDefault="004065DA"/>
    <w:p w:rsidR="00D836A1" w:rsidRDefault="00D836A1"/>
    <w:p w:rsidR="00D836A1" w:rsidRDefault="00D836A1"/>
    <w:p w:rsidR="00116027" w:rsidRDefault="00116027">
      <w:pPr>
        <w:rPr>
          <w:rFonts w:cstheme="minorHAnsi"/>
        </w:rPr>
      </w:pPr>
    </w:p>
    <w:p w:rsidR="004A472A" w:rsidRDefault="004A472A">
      <w:pPr>
        <w:rPr>
          <w:rFonts w:cstheme="minorHAnsi"/>
        </w:rPr>
      </w:pPr>
    </w:p>
    <w:p w:rsidR="005C797E" w:rsidRPr="00116027" w:rsidRDefault="005C797E">
      <w:pPr>
        <w:rPr>
          <w:rFonts w:cstheme="minorHAnsi"/>
        </w:rPr>
      </w:pPr>
      <w:r w:rsidRPr="00116027">
        <w:rPr>
          <w:rFonts w:cstheme="minorHAnsi"/>
        </w:rPr>
        <w:lastRenderedPageBreak/>
        <w:t>Bibliography</w:t>
      </w:r>
    </w:p>
    <w:p w:rsidR="00AC24C7" w:rsidRPr="00116027" w:rsidRDefault="005C797E">
      <w:pPr>
        <w:rPr>
          <w:rFonts w:cstheme="minorHAnsi"/>
        </w:rPr>
      </w:pPr>
      <w:r w:rsidRPr="00116027">
        <w:rPr>
          <w:rFonts w:cstheme="minorHAnsi"/>
          <w:color w:val="333333"/>
          <w:shd w:val="clear" w:color="auto" w:fill="FFFFFF"/>
        </w:rPr>
        <w:t>Boucher, Douglas H., et al. “The Ecology of Mutualism.” </w:t>
      </w:r>
      <w:r w:rsidRPr="00116027">
        <w:rPr>
          <w:rFonts w:cstheme="minorHAnsi"/>
          <w:i/>
          <w:iCs/>
          <w:color w:val="333333"/>
          <w:shd w:val="clear" w:color="auto" w:fill="FFFFFF"/>
        </w:rPr>
        <w:t>Annual Review of Ecology and Systematics</w:t>
      </w:r>
      <w:r w:rsidRPr="00116027">
        <w:rPr>
          <w:rFonts w:cstheme="minorHAnsi"/>
          <w:color w:val="333333"/>
          <w:shd w:val="clear" w:color="auto" w:fill="FFFFFF"/>
        </w:rPr>
        <w:t>, vol. 13, 1982, pp. 315–347. </w:t>
      </w:r>
      <w:r w:rsidRPr="00116027">
        <w:rPr>
          <w:rFonts w:cstheme="minorHAnsi"/>
          <w:i/>
          <w:iCs/>
          <w:color w:val="333333"/>
          <w:shd w:val="clear" w:color="auto" w:fill="FFFFFF"/>
        </w:rPr>
        <w:t>JSTOR</w:t>
      </w:r>
      <w:r w:rsidRPr="00116027">
        <w:rPr>
          <w:rFonts w:cstheme="minorHAnsi"/>
          <w:color w:val="333333"/>
          <w:shd w:val="clear" w:color="auto" w:fill="FFFFFF"/>
        </w:rPr>
        <w:t>, www.jstor.org/stable/2097071.</w:t>
      </w:r>
      <w:r w:rsidR="004065DA" w:rsidRPr="00116027">
        <w:rPr>
          <w:rFonts w:cstheme="minorHAnsi"/>
        </w:rPr>
        <w:t xml:space="preserve"> </w:t>
      </w:r>
    </w:p>
    <w:p w:rsidR="005C797E" w:rsidRPr="00116027" w:rsidRDefault="005C797E" w:rsidP="005C797E">
      <w:pPr>
        <w:pStyle w:val="FootnoteText"/>
        <w:rPr>
          <w:rFonts w:cstheme="minorHAnsi"/>
          <w:sz w:val="22"/>
          <w:szCs w:val="22"/>
        </w:rPr>
      </w:pPr>
      <w:proofErr w:type="spellStart"/>
      <w:r w:rsidRPr="00116027">
        <w:rPr>
          <w:rFonts w:cstheme="minorHAnsi"/>
          <w:sz w:val="22"/>
          <w:szCs w:val="22"/>
        </w:rPr>
        <w:t>J.Baird</w:t>
      </w:r>
      <w:proofErr w:type="spellEnd"/>
      <w:r w:rsidRPr="00116027">
        <w:rPr>
          <w:rFonts w:cstheme="minorHAnsi"/>
          <w:sz w:val="22"/>
          <w:szCs w:val="22"/>
        </w:rPr>
        <w:t xml:space="preserve"> </w:t>
      </w:r>
      <w:proofErr w:type="spellStart"/>
      <w:r w:rsidRPr="00116027">
        <w:rPr>
          <w:rFonts w:cstheme="minorHAnsi"/>
          <w:sz w:val="22"/>
          <w:szCs w:val="22"/>
        </w:rPr>
        <w:t>Cllicott</w:t>
      </w:r>
      <w:proofErr w:type="spellEnd"/>
      <w:r w:rsidRPr="00116027">
        <w:rPr>
          <w:rFonts w:cstheme="minorHAnsi"/>
          <w:sz w:val="22"/>
          <w:szCs w:val="22"/>
        </w:rPr>
        <w:t xml:space="preserve">, ‘Animal Liberation: A Triangular Affair’ </w:t>
      </w:r>
      <w:proofErr w:type="spellStart"/>
      <w:r w:rsidRPr="00116027">
        <w:rPr>
          <w:rFonts w:cstheme="minorHAnsi"/>
          <w:sz w:val="22"/>
          <w:szCs w:val="22"/>
        </w:rPr>
        <w:t>pg</w:t>
      </w:r>
      <w:proofErr w:type="spellEnd"/>
      <w:r w:rsidRPr="00116027">
        <w:rPr>
          <w:rFonts w:cstheme="minorHAnsi"/>
          <w:sz w:val="22"/>
          <w:szCs w:val="22"/>
        </w:rPr>
        <w:t xml:space="preserve"> 312-313</w:t>
      </w:r>
    </w:p>
    <w:p w:rsidR="005C797E" w:rsidRPr="00116027" w:rsidRDefault="005C797E" w:rsidP="005C797E">
      <w:pPr>
        <w:rPr>
          <w:rFonts w:cstheme="minorHAnsi"/>
        </w:rPr>
      </w:pPr>
      <w:r w:rsidRPr="00116027">
        <w:rPr>
          <w:rFonts w:cstheme="minorHAnsi"/>
        </w:rPr>
        <w:t xml:space="preserve">S.P. James, ‘Environmental Philosophy, An Introduction’ Polity Press, 2015 </w:t>
      </w:r>
      <w:proofErr w:type="spellStart"/>
      <w:r w:rsidRPr="00116027">
        <w:rPr>
          <w:rFonts w:cstheme="minorHAnsi"/>
        </w:rPr>
        <w:t>pgs</w:t>
      </w:r>
      <w:proofErr w:type="spellEnd"/>
      <w:r w:rsidRPr="00116027">
        <w:rPr>
          <w:rFonts w:cstheme="minorHAnsi"/>
        </w:rPr>
        <w:t xml:space="preserve"> 40-43</w:t>
      </w:r>
    </w:p>
    <w:p w:rsidR="005C797E" w:rsidRDefault="00116027" w:rsidP="005C797E">
      <w:pPr>
        <w:rPr>
          <w:rFonts w:cstheme="minorHAnsi"/>
        </w:rPr>
      </w:pPr>
      <w:r w:rsidRPr="00116027">
        <w:rPr>
          <w:rFonts w:cstheme="minorHAnsi"/>
        </w:rPr>
        <w:t xml:space="preserve">S. </w:t>
      </w:r>
      <w:proofErr w:type="spellStart"/>
      <w:r w:rsidRPr="00116027">
        <w:rPr>
          <w:rFonts w:cstheme="minorHAnsi"/>
        </w:rPr>
        <w:t>Faught</w:t>
      </w:r>
      <w:proofErr w:type="spellEnd"/>
      <w:r w:rsidRPr="00116027">
        <w:rPr>
          <w:rFonts w:cstheme="minorHAnsi"/>
        </w:rPr>
        <w:t>, ’A Second Honeymoon: Animal Liberation and Environmental Ethics’ Journal of Animal Ethics, Vol 9, No 1 (Spring 2019)</w:t>
      </w:r>
      <w:r>
        <w:rPr>
          <w:rFonts w:cstheme="minorHAnsi"/>
        </w:rPr>
        <w:t xml:space="preserve"> </w:t>
      </w:r>
      <w:r w:rsidRPr="00116027">
        <w:rPr>
          <w:rFonts w:cstheme="minorHAnsi"/>
        </w:rPr>
        <w:t>pp39-46</w:t>
      </w:r>
    </w:p>
    <w:p w:rsidR="00116027" w:rsidRDefault="00116027" w:rsidP="005C797E">
      <w:pPr>
        <w:rPr>
          <w:rFonts w:cstheme="minorHAnsi"/>
        </w:rPr>
      </w:pPr>
      <w:r>
        <w:rPr>
          <w:rFonts w:cstheme="minorHAnsi"/>
        </w:rPr>
        <w:t>Mark Sagoff ‘Animal Liberation and Environmental Ethics: Bad Marriage, Quick Divorce’</w:t>
      </w:r>
    </w:p>
    <w:p w:rsidR="00116027" w:rsidRDefault="00116027" w:rsidP="005C797E">
      <w:r>
        <w:t xml:space="preserve">Leopold, A Sand County Almanac (1949) </w:t>
      </w:r>
    </w:p>
    <w:p w:rsidR="00D836A1" w:rsidRDefault="00D836A1" w:rsidP="005C797E"/>
    <w:p w:rsidR="00D836A1" w:rsidRDefault="00D836A1" w:rsidP="005C797E"/>
    <w:p w:rsidR="00D836A1" w:rsidRDefault="00D836A1" w:rsidP="005C797E"/>
    <w:p w:rsidR="00D836A1" w:rsidRDefault="00D836A1" w:rsidP="005C797E"/>
    <w:p w:rsidR="00D836A1" w:rsidRDefault="00D836A1" w:rsidP="005C797E"/>
    <w:p w:rsidR="00D836A1" w:rsidRDefault="00D836A1" w:rsidP="005C797E"/>
    <w:p w:rsidR="00D836A1" w:rsidRDefault="00D836A1" w:rsidP="005C797E"/>
    <w:p w:rsidR="00D836A1" w:rsidRDefault="00D836A1" w:rsidP="005C797E"/>
    <w:p w:rsidR="00D836A1" w:rsidRDefault="00D836A1" w:rsidP="005C797E"/>
    <w:p w:rsidR="00D836A1" w:rsidRDefault="00D836A1" w:rsidP="005C797E"/>
    <w:p w:rsidR="00D836A1" w:rsidRDefault="00D836A1" w:rsidP="005C797E"/>
    <w:p w:rsidR="00D836A1" w:rsidRDefault="00D836A1" w:rsidP="005C797E"/>
    <w:p w:rsidR="00D836A1" w:rsidRDefault="00D836A1" w:rsidP="005C797E"/>
    <w:p w:rsidR="00D836A1" w:rsidRDefault="00D836A1" w:rsidP="005C797E"/>
    <w:p w:rsidR="00D836A1" w:rsidRDefault="00D836A1" w:rsidP="005C797E"/>
    <w:p w:rsidR="00D836A1" w:rsidRDefault="00D836A1" w:rsidP="005C797E"/>
    <w:p w:rsidR="00D836A1" w:rsidRDefault="00D836A1" w:rsidP="005C797E"/>
    <w:p w:rsidR="00D836A1" w:rsidRDefault="00D836A1" w:rsidP="005C797E"/>
    <w:p w:rsidR="00D836A1" w:rsidRDefault="00D836A1" w:rsidP="005C797E"/>
    <w:p w:rsidR="00D836A1" w:rsidRDefault="00D836A1" w:rsidP="005C797E"/>
    <w:p w:rsidR="00D836A1" w:rsidRDefault="00D836A1" w:rsidP="005C797E"/>
    <w:p w:rsidR="00D836A1" w:rsidRDefault="00D836A1" w:rsidP="005C797E"/>
    <w:p w:rsidR="00D836A1" w:rsidRDefault="00D836A1" w:rsidP="005C797E"/>
    <w:p w:rsidR="00D44997" w:rsidRDefault="00D44997" w:rsidP="005C797E">
      <w:pPr>
        <w:rPr>
          <w:b/>
        </w:rPr>
      </w:pPr>
      <w:r>
        <w:rPr>
          <w:b/>
        </w:rPr>
        <w:t xml:space="preserve">Q2. </w:t>
      </w:r>
      <w:r w:rsidR="00D836A1" w:rsidRPr="00D44997">
        <w:rPr>
          <w:b/>
        </w:rPr>
        <w:t xml:space="preserve">What are the requirements </w:t>
      </w:r>
      <w:r w:rsidRPr="00D44997">
        <w:rPr>
          <w:b/>
        </w:rPr>
        <w:t>for ‘having moral standing’</w:t>
      </w:r>
      <w:r w:rsidR="00F6210F">
        <w:rPr>
          <w:b/>
        </w:rPr>
        <w:t xml:space="preserve"> and which begins to qualify?</w:t>
      </w:r>
    </w:p>
    <w:p w:rsidR="00F6210F" w:rsidRPr="00F6210F" w:rsidRDefault="00F6210F" w:rsidP="005C797E">
      <w:pPr>
        <w:rPr>
          <w:b/>
        </w:rPr>
      </w:pPr>
    </w:p>
    <w:p w:rsidR="00D44997" w:rsidRDefault="00426C84" w:rsidP="005C797E">
      <w:pPr>
        <w:rPr>
          <w:rFonts w:cstheme="minorHAnsi"/>
        </w:rPr>
      </w:pPr>
      <w:r>
        <w:rPr>
          <w:rFonts w:cstheme="minorHAnsi"/>
        </w:rPr>
        <w:t xml:space="preserve">Moral standing in ethics is the status by which an entity, person, creature, thing can be attributed virtue in which it is deserving of consideration in moral decision making. Moral standing is often a key topic in debates about animal rights, in environmental and bio-ethics. </w:t>
      </w:r>
      <w:r>
        <w:rPr>
          <w:rStyle w:val="FootnoteReference"/>
          <w:rFonts w:cstheme="minorHAnsi"/>
        </w:rPr>
        <w:footnoteReference w:id="9"/>
      </w:r>
    </w:p>
    <w:p w:rsidR="00426C84" w:rsidRDefault="00426C84" w:rsidP="005C797E">
      <w:pPr>
        <w:rPr>
          <w:rFonts w:cstheme="minorHAnsi"/>
        </w:rPr>
      </w:pPr>
      <w:r>
        <w:rPr>
          <w:rFonts w:cstheme="minorHAnsi"/>
        </w:rPr>
        <w:t xml:space="preserve">Moral standing is given as a status, there is Full Moral Status. Anything falling into this category is in receipt of full ethical consideration, which is applied to healthy, cognitively able adults. Other </w:t>
      </w:r>
      <w:r w:rsidR="00300C82">
        <w:rPr>
          <w:rFonts w:cstheme="minorHAnsi"/>
        </w:rPr>
        <w:t>organisms</w:t>
      </w:r>
      <w:r>
        <w:rPr>
          <w:rFonts w:cstheme="minorHAnsi"/>
        </w:rPr>
        <w:t xml:space="preserve"> may be considered to have a degree of moral standing but not full moral status. </w:t>
      </w:r>
    </w:p>
    <w:p w:rsidR="00300C82" w:rsidRDefault="00300C82" w:rsidP="005C797E">
      <w:pPr>
        <w:rPr>
          <w:rFonts w:cstheme="minorHAnsi"/>
        </w:rPr>
      </w:pPr>
      <w:r>
        <w:rPr>
          <w:rFonts w:cstheme="minorHAnsi"/>
        </w:rPr>
        <w:t>Most people agree on what deserves ‘having moral standing’ as afore mentioned; ‘</w:t>
      </w:r>
      <w:r w:rsidR="00F6210F">
        <w:rPr>
          <w:rFonts w:cstheme="minorHAnsi"/>
        </w:rPr>
        <w:t>normal ‘adults</w:t>
      </w:r>
      <w:r>
        <w:rPr>
          <w:rFonts w:cstheme="minorHAnsi"/>
        </w:rPr>
        <w:t xml:space="preserve"> do, but we can also imagine with ease transferring and extending these “‘rights’, duty, respect, and obligation to our children</w:t>
      </w:r>
      <w:r w:rsidR="00F6210F">
        <w:rPr>
          <w:rFonts w:cstheme="minorHAnsi"/>
        </w:rPr>
        <w:t xml:space="preserve">, the senile. The deranged, foetuses, the comatose, higher animals, human and animal corpses and – perhaps less easily- also to other animals, trees, shrubs, vegetables, bacteria, cells, forests, valleys and even minerals” </w:t>
      </w:r>
      <w:r w:rsidR="00F6210F">
        <w:rPr>
          <w:rStyle w:val="FootnoteReference"/>
          <w:rFonts w:cstheme="minorHAnsi"/>
        </w:rPr>
        <w:footnoteReference w:id="10"/>
      </w:r>
      <w:r w:rsidR="00F6210F">
        <w:rPr>
          <w:rFonts w:cstheme="minorHAnsi"/>
        </w:rPr>
        <w:t xml:space="preserve"> As you can see, although we can imagine and are may be able to accept varying degrees of moral standing for varying degrees of life, the length and subject of this list and whether all listed should be considered as having moral standing could cause considerable disagreement.</w:t>
      </w:r>
    </w:p>
    <w:p w:rsidR="00F6210F" w:rsidRPr="00EA65B5" w:rsidRDefault="00EA65B5" w:rsidP="00EA65B5">
      <w:pPr>
        <w:pStyle w:val="ListParagraph"/>
        <w:numPr>
          <w:ilvl w:val="0"/>
          <w:numId w:val="1"/>
        </w:numPr>
        <w:rPr>
          <w:rFonts w:cstheme="minorHAnsi"/>
        </w:rPr>
      </w:pPr>
      <w:r w:rsidRPr="00EA65B5">
        <w:rPr>
          <w:rFonts w:cstheme="minorHAnsi"/>
        </w:rPr>
        <w:t>An anthropocentric view is one that humans have intrinsic value and therefore deemed having moral standing.</w:t>
      </w:r>
      <w:r>
        <w:rPr>
          <w:rFonts w:cstheme="minorHAnsi"/>
        </w:rPr>
        <w:t xml:space="preserve"> (sentient beings whose psychological states are models of our own)</w:t>
      </w:r>
    </w:p>
    <w:p w:rsidR="00EA65B5" w:rsidRPr="00EA65B5" w:rsidRDefault="00EA65B5" w:rsidP="00EA65B5">
      <w:pPr>
        <w:pStyle w:val="ListParagraph"/>
        <w:numPr>
          <w:ilvl w:val="0"/>
          <w:numId w:val="1"/>
        </w:numPr>
        <w:rPr>
          <w:rFonts w:cstheme="minorHAnsi"/>
        </w:rPr>
      </w:pPr>
      <w:proofErr w:type="spellStart"/>
      <w:r w:rsidRPr="00EA65B5">
        <w:rPr>
          <w:rFonts w:cstheme="minorHAnsi"/>
        </w:rPr>
        <w:t>Sentientism</w:t>
      </w:r>
      <w:proofErr w:type="spellEnd"/>
      <w:r w:rsidRPr="00EA65B5">
        <w:rPr>
          <w:rFonts w:cstheme="minorHAnsi"/>
        </w:rPr>
        <w:t>, (Peter Singer) animals have sentience, intrinsic value and therefore deemed as having moral standing.</w:t>
      </w:r>
      <w:r>
        <w:rPr>
          <w:rFonts w:cstheme="minorHAnsi"/>
        </w:rPr>
        <w:t xml:space="preserve"> (sentient beings of any kind)</w:t>
      </w:r>
    </w:p>
    <w:p w:rsidR="00EA65B5" w:rsidRPr="00EA65B5" w:rsidRDefault="00EA65B5" w:rsidP="00EA65B5">
      <w:pPr>
        <w:pStyle w:val="ListParagraph"/>
        <w:numPr>
          <w:ilvl w:val="0"/>
          <w:numId w:val="1"/>
        </w:numPr>
        <w:rPr>
          <w:rFonts w:cstheme="minorHAnsi"/>
        </w:rPr>
      </w:pPr>
      <w:proofErr w:type="spellStart"/>
      <w:r w:rsidRPr="00EA65B5">
        <w:rPr>
          <w:rFonts w:cstheme="minorHAnsi"/>
        </w:rPr>
        <w:t>Biocentrists</w:t>
      </w:r>
      <w:proofErr w:type="spellEnd"/>
      <w:r w:rsidRPr="00EA65B5">
        <w:rPr>
          <w:rFonts w:cstheme="minorHAnsi"/>
        </w:rPr>
        <w:t>: all living things and plants have intrinsic value and are therefore given some moral standing</w:t>
      </w:r>
      <w:r>
        <w:rPr>
          <w:rFonts w:cstheme="minorHAnsi"/>
        </w:rPr>
        <w:t xml:space="preserve"> (living things)</w:t>
      </w:r>
    </w:p>
    <w:p w:rsidR="00EA65B5" w:rsidRPr="00EA65B5" w:rsidRDefault="00EA65B5" w:rsidP="00EA65B5">
      <w:pPr>
        <w:pStyle w:val="ListParagraph"/>
        <w:numPr>
          <w:ilvl w:val="0"/>
          <w:numId w:val="1"/>
        </w:numPr>
        <w:rPr>
          <w:rFonts w:cstheme="minorHAnsi"/>
        </w:rPr>
      </w:pPr>
      <w:r w:rsidRPr="00EA65B5">
        <w:rPr>
          <w:rFonts w:cstheme="minorHAnsi"/>
        </w:rPr>
        <w:t>Eco-centrists – the ecosystem has intrinsic value and therefore needs be given some moral standing.</w:t>
      </w:r>
      <w:r>
        <w:rPr>
          <w:rFonts w:cstheme="minorHAnsi"/>
        </w:rPr>
        <w:t xml:space="preserve"> (natural objects of any sort)</w:t>
      </w:r>
    </w:p>
    <w:p w:rsidR="0025677C" w:rsidRPr="00D41AD8" w:rsidRDefault="00EA65B5" w:rsidP="0025677C">
      <w:pPr>
        <w:rPr>
          <w:rFonts w:ascii="Garamond" w:hAnsi="Garamond"/>
          <w:sz w:val="20"/>
          <w:szCs w:val="20"/>
          <w:lang w:val="en"/>
        </w:rPr>
      </w:pPr>
      <w:r>
        <w:rPr>
          <w:rFonts w:cstheme="minorHAnsi"/>
        </w:rPr>
        <w:t xml:space="preserve">From what I gather the link between moral standing and what gets considered to have it, it whether or not the thing, life form, in itself hold intrinsic value. </w:t>
      </w:r>
      <w:r w:rsidR="0025677C" w:rsidRPr="0025677C">
        <w:rPr>
          <w:rFonts w:cstheme="minorHAnsi"/>
          <w:lang w:val="en"/>
        </w:rPr>
        <w:t>‘In current philosophical usage, what is of intrinsic value is what is good or of value in itself, rather than of value extrinsically, or through its relations to other things… Some things must be of value in themselves and for no reason beyond themselves; and thus their value is non</w:t>
      </w:r>
      <w:r w:rsidR="0025677C">
        <w:rPr>
          <w:rFonts w:cstheme="minorHAnsi"/>
          <w:lang w:val="en"/>
        </w:rPr>
        <w:t>-</w:t>
      </w:r>
      <w:bookmarkStart w:id="0" w:name="_GoBack"/>
      <w:bookmarkEnd w:id="0"/>
      <w:r w:rsidR="0025677C" w:rsidRPr="0025677C">
        <w:rPr>
          <w:rFonts w:cstheme="minorHAnsi"/>
          <w:lang w:val="en"/>
        </w:rPr>
        <w:t xml:space="preserve">derivative and independent, and may be called ‘intrinsic’. And whenever this is so the state of affairs in question will supply a reason for action…’ (Robin </w:t>
      </w:r>
      <w:proofErr w:type="spellStart"/>
      <w:r w:rsidR="0025677C" w:rsidRPr="0025677C">
        <w:rPr>
          <w:rFonts w:cstheme="minorHAnsi"/>
          <w:lang w:val="en"/>
        </w:rPr>
        <w:t>Attfield</w:t>
      </w:r>
      <w:proofErr w:type="spellEnd"/>
      <w:r w:rsidR="0025677C" w:rsidRPr="0025677C">
        <w:rPr>
          <w:rFonts w:cstheme="minorHAnsi"/>
          <w:lang w:val="en"/>
        </w:rPr>
        <w:t xml:space="preserve">, 1995, p.29). </w:t>
      </w:r>
    </w:p>
    <w:p w:rsidR="00EA65B5" w:rsidRDefault="00EA65B5" w:rsidP="005C797E">
      <w:pPr>
        <w:rPr>
          <w:rFonts w:cstheme="minorHAnsi"/>
        </w:rPr>
      </w:pPr>
    </w:p>
    <w:p w:rsidR="00EA65B5" w:rsidRDefault="00EA65B5" w:rsidP="005C797E">
      <w:pPr>
        <w:rPr>
          <w:rFonts w:cstheme="minorHAnsi"/>
        </w:rPr>
      </w:pPr>
    </w:p>
    <w:p w:rsidR="00EA65B5" w:rsidRDefault="00EA65B5"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p>
    <w:p w:rsidR="00D44997" w:rsidRDefault="00D44997" w:rsidP="005C797E">
      <w:pPr>
        <w:rPr>
          <w:rFonts w:cstheme="minorHAnsi"/>
        </w:rPr>
      </w:pPr>
      <w:r>
        <w:rPr>
          <w:rFonts w:cstheme="minorHAnsi"/>
        </w:rPr>
        <w:t>Bibliography</w:t>
      </w:r>
    </w:p>
    <w:p w:rsidR="00D44997" w:rsidRDefault="00D44997" w:rsidP="005C797E">
      <w:hyperlink r:id="rId8" w:history="1">
        <w:r>
          <w:rPr>
            <w:rStyle w:val="Hyperlink"/>
          </w:rPr>
          <w:t>https://plato.stanford.edu/entries/grounds-moral-status/</w:t>
        </w:r>
      </w:hyperlink>
      <w:r>
        <w:t xml:space="preserve"> last accessed 06/06/19</w:t>
      </w:r>
    </w:p>
    <w:p w:rsidR="00300C82" w:rsidRDefault="00300C82" w:rsidP="005C797E">
      <w:r>
        <w:t xml:space="preserve">Kenneth E </w:t>
      </w:r>
      <w:proofErr w:type="spellStart"/>
      <w:r>
        <w:t>Goodpaster</w:t>
      </w:r>
      <w:proofErr w:type="spellEnd"/>
      <w:r>
        <w:t xml:space="preserve"> ‘On Being Morally Considerable’ </w:t>
      </w:r>
      <w:proofErr w:type="gramStart"/>
      <w:r>
        <w:t>The</w:t>
      </w:r>
      <w:proofErr w:type="gramEnd"/>
      <w:r>
        <w:t xml:space="preserve"> Journal of </w:t>
      </w:r>
      <w:proofErr w:type="spellStart"/>
      <w:r>
        <w:t>Philsophy</w:t>
      </w:r>
      <w:proofErr w:type="spellEnd"/>
      <w:r>
        <w:t>, Vol 75, No6 (June, 1978) pp 308-325</w:t>
      </w:r>
    </w:p>
    <w:p w:rsidR="00300C82" w:rsidRDefault="00300C82" w:rsidP="005C797E">
      <w:r>
        <w:t>George Sher ‘What Is Moral Standing?’ 2017</w:t>
      </w:r>
    </w:p>
    <w:p w:rsidR="00300C82" w:rsidRPr="00300C82" w:rsidRDefault="00300C82" w:rsidP="005C797E">
      <w:r>
        <w:t xml:space="preserve">Andrew Brennan ‘The Moral Standing of Natural Objects’ </w:t>
      </w:r>
    </w:p>
    <w:p w:rsidR="00D44997" w:rsidRPr="00116027" w:rsidRDefault="00D44997" w:rsidP="005C797E">
      <w:pPr>
        <w:rPr>
          <w:rFonts w:cstheme="minorHAnsi"/>
        </w:rPr>
      </w:pPr>
    </w:p>
    <w:sectPr w:rsidR="00D44997" w:rsidRPr="0011602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4B3D" w:rsidRDefault="00A84B3D" w:rsidP="004065DA">
      <w:pPr>
        <w:spacing w:after="0" w:line="240" w:lineRule="auto"/>
      </w:pPr>
      <w:r>
        <w:separator/>
      </w:r>
    </w:p>
  </w:endnote>
  <w:endnote w:type="continuationSeparator" w:id="0">
    <w:p w:rsidR="00A84B3D" w:rsidRDefault="00A84B3D" w:rsidP="00406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4B3D" w:rsidRDefault="00A84B3D" w:rsidP="004065DA">
      <w:pPr>
        <w:spacing w:after="0" w:line="240" w:lineRule="auto"/>
      </w:pPr>
      <w:r>
        <w:separator/>
      </w:r>
    </w:p>
  </w:footnote>
  <w:footnote w:type="continuationSeparator" w:id="0">
    <w:p w:rsidR="00A84B3D" w:rsidRDefault="00A84B3D" w:rsidP="004065DA">
      <w:pPr>
        <w:spacing w:after="0" w:line="240" w:lineRule="auto"/>
      </w:pPr>
      <w:r>
        <w:continuationSeparator/>
      </w:r>
    </w:p>
  </w:footnote>
  <w:footnote w:id="1">
    <w:p w:rsidR="00116027" w:rsidRDefault="00116027">
      <w:pPr>
        <w:pStyle w:val="FootnoteText"/>
      </w:pPr>
      <w:r>
        <w:rPr>
          <w:rStyle w:val="FootnoteReference"/>
        </w:rPr>
        <w:footnoteRef/>
      </w:r>
      <w:r>
        <w:t xml:space="preserve"> Leopold, ‘A Sand County Almanac’ (1949) </w:t>
      </w:r>
    </w:p>
  </w:footnote>
  <w:footnote w:id="2">
    <w:p w:rsidR="004065DA" w:rsidRDefault="004065DA">
      <w:pPr>
        <w:pStyle w:val="FootnoteText"/>
      </w:pPr>
      <w:r>
        <w:rPr>
          <w:rStyle w:val="FootnoteReference"/>
        </w:rPr>
        <w:footnoteRef/>
      </w:r>
      <w:r w:rsidR="002A427C">
        <w:t xml:space="preserve"> </w:t>
      </w:r>
      <w:proofErr w:type="spellStart"/>
      <w:r w:rsidR="002A427C">
        <w:t>J.Baird</w:t>
      </w:r>
      <w:proofErr w:type="spellEnd"/>
      <w:r w:rsidR="002A427C">
        <w:t xml:space="preserve"> </w:t>
      </w:r>
      <w:proofErr w:type="spellStart"/>
      <w:r w:rsidR="002A427C">
        <w:t>Col</w:t>
      </w:r>
      <w:r>
        <w:t>licott</w:t>
      </w:r>
      <w:proofErr w:type="spellEnd"/>
      <w:r>
        <w:t xml:space="preserve">, ‘Animal Liberation: A Triangular Affair’ </w:t>
      </w:r>
      <w:proofErr w:type="spellStart"/>
      <w:r>
        <w:t>pg</w:t>
      </w:r>
      <w:proofErr w:type="spellEnd"/>
      <w:r>
        <w:t xml:space="preserve"> 312-313</w:t>
      </w:r>
    </w:p>
  </w:footnote>
  <w:footnote w:id="3">
    <w:p w:rsidR="00B96832" w:rsidRDefault="00B96832" w:rsidP="00B96832">
      <w:pPr>
        <w:pStyle w:val="FootnoteText"/>
      </w:pPr>
      <w:r>
        <w:rPr>
          <w:rStyle w:val="FootnoteReference"/>
        </w:rPr>
        <w:footnoteRef/>
      </w:r>
      <w:r>
        <w:t xml:space="preserve"> S.P. James, ‘Environmental Philosophy, An Introduction’ Polity Press, 2015</w:t>
      </w:r>
      <w:r w:rsidR="005C797E">
        <w:t xml:space="preserve"> </w:t>
      </w:r>
      <w:proofErr w:type="spellStart"/>
      <w:r w:rsidR="005C797E">
        <w:t>pgs</w:t>
      </w:r>
      <w:proofErr w:type="spellEnd"/>
      <w:r w:rsidR="005C797E">
        <w:t xml:space="preserve"> 40-43</w:t>
      </w:r>
    </w:p>
  </w:footnote>
  <w:footnote w:id="4">
    <w:p w:rsidR="005C797E" w:rsidRPr="005C797E" w:rsidRDefault="005C797E">
      <w:pPr>
        <w:pStyle w:val="FootnoteText"/>
        <w:rPr>
          <w:rFonts w:ascii="Calibri" w:hAnsi="Calibri" w:cs="Calibri"/>
        </w:rPr>
      </w:pPr>
      <w:r w:rsidRPr="005C797E">
        <w:rPr>
          <w:rStyle w:val="FootnoteReference"/>
          <w:rFonts w:ascii="Calibri" w:hAnsi="Calibri" w:cs="Calibri"/>
        </w:rPr>
        <w:footnoteRef/>
      </w:r>
      <w:r w:rsidRPr="005C797E">
        <w:rPr>
          <w:rFonts w:ascii="Calibri" w:hAnsi="Calibri" w:cs="Calibri"/>
        </w:rPr>
        <w:t xml:space="preserve"> </w:t>
      </w:r>
      <w:r w:rsidRPr="005C797E">
        <w:rPr>
          <w:rFonts w:ascii="Calibri" w:hAnsi="Calibri" w:cs="Calibri"/>
          <w:color w:val="333333"/>
          <w:shd w:val="clear" w:color="auto" w:fill="FFFFFF"/>
        </w:rPr>
        <w:t>Boucher, Douglas H., et al. “The Ecology of Mutualism.” </w:t>
      </w:r>
      <w:r w:rsidRPr="005C797E">
        <w:rPr>
          <w:rFonts w:ascii="Calibri" w:hAnsi="Calibri" w:cs="Calibri"/>
          <w:i/>
          <w:iCs/>
          <w:color w:val="333333"/>
          <w:shd w:val="clear" w:color="auto" w:fill="FFFFFF"/>
        </w:rPr>
        <w:t>Annual Review of Ecology and Systematics</w:t>
      </w:r>
      <w:r w:rsidRPr="005C797E">
        <w:rPr>
          <w:rFonts w:ascii="Calibri" w:hAnsi="Calibri" w:cs="Calibri"/>
          <w:color w:val="333333"/>
          <w:shd w:val="clear" w:color="auto" w:fill="FFFFFF"/>
        </w:rPr>
        <w:t>, vol. 13, 1982, pp. 315–347. </w:t>
      </w:r>
      <w:r w:rsidRPr="005C797E">
        <w:rPr>
          <w:rFonts w:ascii="Calibri" w:hAnsi="Calibri" w:cs="Calibri"/>
          <w:i/>
          <w:iCs/>
          <w:color w:val="333333"/>
          <w:shd w:val="clear" w:color="auto" w:fill="FFFFFF"/>
        </w:rPr>
        <w:t>JSTOR</w:t>
      </w:r>
      <w:r w:rsidRPr="005C797E">
        <w:rPr>
          <w:rFonts w:ascii="Calibri" w:hAnsi="Calibri" w:cs="Calibri"/>
          <w:color w:val="333333"/>
          <w:shd w:val="clear" w:color="auto" w:fill="FFFFFF"/>
        </w:rPr>
        <w:t>, www.jstor.org/stable/2097071.</w:t>
      </w:r>
    </w:p>
  </w:footnote>
  <w:footnote w:id="5">
    <w:p w:rsidR="00116027" w:rsidRPr="00970A98" w:rsidRDefault="00116027" w:rsidP="00970A98">
      <w:pPr>
        <w:rPr>
          <w:rFonts w:cstheme="minorHAnsi"/>
        </w:rPr>
      </w:pPr>
      <w:r>
        <w:rPr>
          <w:rStyle w:val="FootnoteReference"/>
        </w:rPr>
        <w:footnoteRef/>
      </w:r>
      <w:r w:rsidR="00970A98">
        <w:t xml:space="preserve"> </w:t>
      </w:r>
      <w:r>
        <w:rPr>
          <w:rFonts w:cstheme="minorHAnsi"/>
        </w:rPr>
        <w:t>Mark Sagoff ‘Animal Liberation and Environmental Ethics: Bad Marriage, Quick Divorce’ pg42</w:t>
      </w:r>
    </w:p>
  </w:footnote>
  <w:footnote w:id="6">
    <w:p w:rsidR="00970A98" w:rsidRDefault="00970A98" w:rsidP="00970A98">
      <w:pPr>
        <w:pStyle w:val="FootnoteText"/>
      </w:pPr>
      <w:r>
        <w:rPr>
          <w:rStyle w:val="FootnoteReference"/>
        </w:rPr>
        <w:footnoteRef/>
      </w:r>
      <w:r>
        <w:t xml:space="preserve"> Leopold, ‘A Sand County Almanac’ (1949)</w:t>
      </w:r>
    </w:p>
  </w:footnote>
  <w:footnote w:id="7">
    <w:p w:rsidR="00970A98" w:rsidRDefault="00970A98">
      <w:pPr>
        <w:pStyle w:val="FootnoteText"/>
      </w:pPr>
      <w:r>
        <w:rPr>
          <w:rStyle w:val="FootnoteReference"/>
        </w:rPr>
        <w:footnoteRef/>
      </w:r>
      <w:r>
        <w:t xml:space="preserve"> Leopold, ‘A Sand County Almanac’ (1949) pg194</w:t>
      </w:r>
    </w:p>
  </w:footnote>
  <w:footnote w:id="8">
    <w:p w:rsidR="004A472A" w:rsidRDefault="004A472A" w:rsidP="004A472A">
      <w:pPr>
        <w:rPr>
          <w:rFonts w:cstheme="minorHAnsi"/>
        </w:rPr>
      </w:pPr>
      <w:r>
        <w:rPr>
          <w:rStyle w:val="FootnoteReference"/>
        </w:rPr>
        <w:footnoteRef/>
      </w:r>
      <w:r>
        <w:t xml:space="preserve"> </w:t>
      </w:r>
      <w:r w:rsidRPr="00116027">
        <w:rPr>
          <w:rFonts w:cstheme="minorHAnsi"/>
        </w:rPr>
        <w:t xml:space="preserve">S. </w:t>
      </w:r>
      <w:proofErr w:type="spellStart"/>
      <w:r w:rsidRPr="00116027">
        <w:rPr>
          <w:rFonts w:cstheme="minorHAnsi"/>
        </w:rPr>
        <w:t>Faught</w:t>
      </w:r>
      <w:proofErr w:type="spellEnd"/>
      <w:r w:rsidRPr="00116027">
        <w:rPr>
          <w:rFonts w:cstheme="minorHAnsi"/>
        </w:rPr>
        <w:t>, ’A Second Honeymoon: Animal Liberation and Environmental Ethics’ Journal of Animal Ethics, Vol 9, No 1 (Spring 2019)</w:t>
      </w:r>
      <w:r>
        <w:rPr>
          <w:rFonts w:cstheme="minorHAnsi"/>
        </w:rPr>
        <w:t xml:space="preserve"> p40</w:t>
      </w:r>
    </w:p>
    <w:p w:rsidR="004A472A" w:rsidRDefault="004A472A">
      <w:pPr>
        <w:pStyle w:val="FootnoteText"/>
      </w:pPr>
    </w:p>
  </w:footnote>
  <w:footnote w:id="9">
    <w:p w:rsidR="00426C84" w:rsidRDefault="00426C84">
      <w:pPr>
        <w:pStyle w:val="FootnoteText"/>
      </w:pPr>
      <w:r>
        <w:rPr>
          <w:rStyle w:val="FootnoteReference"/>
        </w:rPr>
        <w:footnoteRef/>
      </w:r>
      <w:r>
        <w:t xml:space="preserve"> </w:t>
      </w:r>
      <w:hyperlink r:id="rId1" w:history="1">
        <w:r>
          <w:rPr>
            <w:rStyle w:val="Hyperlink"/>
          </w:rPr>
          <w:t>https://plato.stanford.edu/entries/grounds-moral-status/</w:t>
        </w:r>
      </w:hyperlink>
      <w:r>
        <w:t xml:space="preserve"> last accessed 06/06/19</w:t>
      </w:r>
    </w:p>
  </w:footnote>
  <w:footnote w:id="10">
    <w:p w:rsidR="00F6210F" w:rsidRPr="00300C82" w:rsidRDefault="00F6210F" w:rsidP="00F6210F">
      <w:r>
        <w:rPr>
          <w:rStyle w:val="FootnoteReference"/>
        </w:rPr>
        <w:footnoteRef/>
      </w:r>
      <w:r>
        <w:t xml:space="preserve"> </w:t>
      </w:r>
      <w:r>
        <w:t xml:space="preserve">Andrew Brennan ‘The Moral Standing of Natural Objects’ </w:t>
      </w:r>
      <w:r>
        <w:t>pg35</w:t>
      </w:r>
    </w:p>
    <w:p w:rsidR="00F6210F" w:rsidRDefault="00F6210F">
      <w:pPr>
        <w:pStyle w:val="FootnoteText"/>
      </w:pP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472A" w:rsidRDefault="004A472A">
    <w:pPr>
      <w:pStyle w:val="Header"/>
    </w:pPr>
    <w:r>
      <w:t>1200883</w:t>
    </w:r>
    <w:r>
      <w:ptab w:relativeTo="margin" w:alignment="center" w:leader="none"/>
    </w:r>
    <w:r>
      <w:t>HPPH5016</w:t>
    </w:r>
    <w:r>
      <w:ptab w:relativeTo="margin" w:alignment="right" w:leader="none"/>
    </w:r>
    <w:r>
      <w:t>Willow Kehily</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661FB9"/>
    <w:multiLevelType w:val="hybridMultilevel"/>
    <w:tmpl w:val="919CA944"/>
    <w:lvl w:ilvl="0" w:tplc="34365B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2098"/>
    <w:rsid w:val="00031597"/>
    <w:rsid w:val="00032CFE"/>
    <w:rsid w:val="00041463"/>
    <w:rsid w:val="000C412A"/>
    <w:rsid w:val="00116027"/>
    <w:rsid w:val="00150715"/>
    <w:rsid w:val="00183269"/>
    <w:rsid w:val="00184525"/>
    <w:rsid w:val="001C3F39"/>
    <w:rsid w:val="001D19B6"/>
    <w:rsid w:val="001F7C35"/>
    <w:rsid w:val="0025677C"/>
    <w:rsid w:val="00284C6B"/>
    <w:rsid w:val="00291E3F"/>
    <w:rsid w:val="002A427C"/>
    <w:rsid w:val="00300C82"/>
    <w:rsid w:val="00300DBA"/>
    <w:rsid w:val="00311927"/>
    <w:rsid w:val="003229B3"/>
    <w:rsid w:val="003319D8"/>
    <w:rsid w:val="003A1644"/>
    <w:rsid w:val="003D78D2"/>
    <w:rsid w:val="004065DA"/>
    <w:rsid w:val="00426C84"/>
    <w:rsid w:val="00450AB1"/>
    <w:rsid w:val="00452098"/>
    <w:rsid w:val="00453992"/>
    <w:rsid w:val="00493788"/>
    <w:rsid w:val="004A067F"/>
    <w:rsid w:val="004A472A"/>
    <w:rsid w:val="004B6479"/>
    <w:rsid w:val="00503D40"/>
    <w:rsid w:val="00523305"/>
    <w:rsid w:val="00565E66"/>
    <w:rsid w:val="00583EBE"/>
    <w:rsid w:val="005C722C"/>
    <w:rsid w:val="005C797E"/>
    <w:rsid w:val="00636B13"/>
    <w:rsid w:val="00660A3C"/>
    <w:rsid w:val="00686A5B"/>
    <w:rsid w:val="007351DD"/>
    <w:rsid w:val="0075117B"/>
    <w:rsid w:val="007648BD"/>
    <w:rsid w:val="007824D9"/>
    <w:rsid w:val="007936A4"/>
    <w:rsid w:val="007B04D9"/>
    <w:rsid w:val="007E47D9"/>
    <w:rsid w:val="00825D70"/>
    <w:rsid w:val="008500B4"/>
    <w:rsid w:val="0086142A"/>
    <w:rsid w:val="008B4A65"/>
    <w:rsid w:val="008D6444"/>
    <w:rsid w:val="00970A98"/>
    <w:rsid w:val="009C145C"/>
    <w:rsid w:val="009D3556"/>
    <w:rsid w:val="00A12048"/>
    <w:rsid w:val="00A84B3D"/>
    <w:rsid w:val="00AC24C7"/>
    <w:rsid w:val="00B254A0"/>
    <w:rsid w:val="00B4493B"/>
    <w:rsid w:val="00B77537"/>
    <w:rsid w:val="00B96832"/>
    <w:rsid w:val="00BA56D7"/>
    <w:rsid w:val="00BB02DA"/>
    <w:rsid w:val="00BB1812"/>
    <w:rsid w:val="00BC01EF"/>
    <w:rsid w:val="00D30D03"/>
    <w:rsid w:val="00D44997"/>
    <w:rsid w:val="00D67FF7"/>
    <w:rsid w:val="00D836A1"/>
    <w:rsid w:val="00D97167"/>
    <w:rsid w:val="00DA7B6B"/>
    <w:rsid w:val="00E477EB"/>
    <w:rsid w:val="00E50742"/>
    <w:rsid w:val="00E54659"/>
    <w:rsid w:val="00E708B3"/>
    <w:rsid w:val="00E9516F"/>
    <w:rsid w:val="00EA38FA"/>
    <w:rsid w:val="00EA65B5"/>
    <w:rsid w:val="00EC3797"/>
    <w:rsid w:val="00F6210F"/>
    <w:rsid w:val="00FC3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B552B"/>
  <w15:chartTrackingRefBased/>
  <w15:docId w15:val="{E2409973-784C-42CA-A3CB-B0EF60CD1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065D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065DA"/>
    <w:rPr>
      <w:sz w:val="20"/>
      <w:szCs w:val="20"/>
    </w:rPr>
  </w:style>
  <w:style w:type="character" w:styleId="FootnoteReference">
    <w:name w:val="footnote reference"/>
    <w:basedOn w:val="DefaultParagraphFont"/>
    <w:uiPriority w:val="99"/>
    <w:semiHidden/>
    <w:unhideWhenUsed/>
    <w:rsid w:val="004065DA"/>
    <w:rPr>
      <w:vertAlign w:val="superscript"/>
    </w:rPr>
  </w:style>
  <w:style w:type="paragraph" w:styleId="Header">
    <w:name w:val="header"/>
    <w:basedOn w:val="Normal"/>
    <w:link w:val="HeaderChar"/>
    <w:uiPriority w:val="99"/>
    <w:unhideWhenUsed/>
    <w:rsid w:val="004A4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72A"/>
  </w:style>
  <w:style w:type="paragraph" w:styleId="Footer">
    <w:name w:val="footer"/>
    <w:basedOn w:val="Normal"/>
    <w:link w:val="FooterChar"/>
    <w:uiPriority w:val="99"/>
    <w:unhideWhenUsed/>
    <w:rsid w:val="004A4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72A"/>
  </w:style>
  <w:style w:type="character" w:styleId="Hyperlink">
    <w:name w:val="Hyperlink"/>
    <w:basedOn w:val="DefaultParagraphFont"/>
    <w:uiPriority w:val="99"/>
    <w:semiHidden/>
    <w:unhideWhenUsed/>
    <w:rsid w:val="00D44997"/>
    <w:rPr>
      <w:color w:val="0000FF"/>
      <w:u w:val="single"/>
    </w:rPr>
  </w:style>
  <w:style w:type="paragraph" w:styleId="ListParagraph">
    <w:name w:val="List Paragraph"/>
    <w:basedOn w:val="Normal"/>
    <w:uiPriority w:val="34"/>
    <w:qFormat/>
    <w:rsid w:val="00EA65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grounds-moral-statu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plato.stanford.edu/entries/grounds-moral-sta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CE953E-DEF7-40AF-9F1A-99290D2EC9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5</Pages>
  <Words>1278</Words>
  <Characters>7286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Lindsey Roberts</dc:creator>
  <cp:keywords/>
  <dc:description/>
  <cp:lastModifiedBy>Willow Kehily (1200883)</cp:lastModifiedBy>
  <cp:revision>4</cp:revision>
  <dcterms:created xsi:type="dcterms:W3CDTF">2019-06-06T15:38:00Z</dcterms:created>
  <dcterms:modified xsi:type="dcterms:W3CDTF">2019-06-06T16:00:00Z</dcterms:modified>
</cp:coreProperties>
</file>