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34D26" w:rsidRPr="00D75C6D" w:rsidRDefault="00000000">
      <w:pPr>
        <w:jc w:val="center"/>
        <w:rPr>
          <w:rFonts w:ascii="Times New Roman" w:hAnsi="Times New Roman" w:cs="Times New Roman"/>
          <w:sz w:val="44"/>
          <w:szCs w:val="44"/>
        </w:rPr>
      </w:pPr>
      <w:r w:rsidRPr="00D75C6D">
        <w:rPr>
          <w:rFonts w:ascii="Times New Roman" w:hAnsi="Times New Roman" w:cs="Times New Roman" w:hint="eastAsia"/>
          <w:sz w:val="44"/>
          <w:szCs w:val="44"/>
        </w:rPr>
        <w:t>Strategic Analysis of Procter and Gamble in the FMCG Industry: Sustainable Packaging as a Source of Competitive Pressure and Advantage</w:t>
      </w:r>
    </w:p>
    <w:p w:rsidR="00734D26" w:rsidRPr="00D75C6D" w:rsidRDefault="00734D26">
      <w:pPr>
        <w:jc w:val="center"/>
        <w:rPr>
          <w:rFonts w:ascii="Times New Roman" w:hAnsi="Times New Roman" w:cs="Times New Roman"/>
          <w:sz w:val="24"/>
        </w:rPr>
      </w:pPr>
    </w:p>
    <w:p w:rsidR="00734D26" w:rsidRPr="00D75C6D" w:rsidRDefault="00734D26">
      <w:pPr>
        <w:jc w:val="center"/>
        <w:rPr>
          <w:rFonts w:ascii="Times New Roman" w:hAnsi="Times New Roman" w:cs="Times New Roman"/>
          <w:sz w:val="24"/>
        </w:rPr>
      </w:pPr>
    </w:p>
    <w:p w:rsidR="00734D26" w:rsidRPr="00D75C6D" w:rsidRDefault="00734D26">
      <w:pPr>
        <w:jc w:val="center"/>
        <w:rPr>
          <w:rFonts w:ascii="Times New Roman" w:hAnsi="Times New Roman" w:cs="Times New Roman"/>
          <w:sz w:val="24"/>
        </w:rPr>
      </w:pPr>
    </w:p>
    <w:p w:rsidR="00734D26" w:rsidRPr="00D75C6D" w:rsidRDefault="00734D26">
      <w:pPr>
        <w:jc w:val="center"/>
        <w:rPr>
          <w:rFonts w:ascii="Times New Roman" w:hAnsi="Times New Roman" w:cs="Times New Roman"/>
          <w:sz w:val="24"/>
        </w:rPr>
      </w:pPr>
    </w:p>
    <w:p w:rsidR="00734D26" w:rsidRPr="00D75C6D" w:rsidRDefault="00734D26">
      <w:pPr>
        <w:jc w:val="center"/>
        <w:rPr>
          <w:rFonts w:ascii="Times New Roman" w:hAnsi="Times New Roman" w:cs="Times New Roman"/>
          <w:sz w:val="24"/>
        </w:rPr>
      </w:pPr>
    </w:p>
    <w:p w:rsidR="00734D26" w:rsidRPr="00D75C6D" w:rsidRDefault="00000000">
      <w:pPr>
        <w:jc w:val="center"/>
        <w:rPr>
          <w:rFonts w:ascii="Times New Roman" w:hAnsi="Times New Roman" w:cs="Times New Roman"/>
          <w:sz w:val="28"/>
          <w:szCs w:val="28"/>
        </w:rPr>
      </w:pPr>
      <w:r w:rsidRPr="00D75C6D">
        <w:rPr>
          <w:rFonts w:ascii="Times New Roman" w:hAnsi="Times New Roman" w:cs="Times New Roman"/>
          <w:sz w:val="28"/>
          <w:szCs w:val="28"/>
        </w:rPr>
        <w:t>Lecturer: Robyn Griffiths</w:t>
      </w:r>
    </w:p>
    <w:p w:rsidR="00734D26" w:rsidRPr="00D75C6D" w:rsidRDefault="00000000">
      <w:pPr>
        <w:jc w:val="center"/>
        <w:rPr>
          <w:rFonts w:ascii="Times New Roman" w:hAnsi="Times New Roman" w:cs="Times New Roman"/>
          <w:sz w:val="28"/>
          <w:szCs w:val="28"/>
        </w:rPr>
      </w:pPr>
      <w:r w:rsidRPr="00D75C6D">
        <w:rPr>
          <w:rFonts w:ascii="Times New Roman" w:hAnsi="Times New Roman" w:cs="Times New Roman"/>
          <w:sz w:val="28"/>
          <w:szCs w:val="28"/>
        </w:rPr>
        <w:t>Module code: BMBM6024</w:t>
      </w:r>
    </w:p>
    <w:p w:rsidR="00734D26" w:rsidRPr="00D75C6D" w:rsidRDefault="00000000">
      <w:pPr>
        <w:jc w:val="center"/>
        <w:rPr>
          <w:rFonts w:ascii="Times New Roman" w:hAnsi="Times New Roman" w:cs="Times New Roman"/>
          <w:sz w:val="28"/>
          <w:szCs w:val="28"/>
        </w:rPr>
      </w:pPr>
      <w:r w:rsidRPr="00D75C6D">
        <w:rPr>
          <w:rFonts w:ascii="Times New Roman" w:hAnsi="Times New Roman" w:cs="Times New Roman"/>
          <w:sz w:val="28"/>
          <w:szCs w:val="28"/>
        </w:rPr>
        <w:t>Student name: Xiangjun Chen</w:t>
      </w:r>
    </w:p>
    <w:p w:rsidR="00734D26" w:rsidRPr="00D75C6D" w:rsidRDefault="00000000">
      <w:pPr>
        <w:widowControl/>
        <w:jc w:val="center"/>
        <w:rPr>
          <w:rFonts w:ascii="Times New Roman" w:hAnsi="Times New Roman" w:cs="Times New Roman"/>
          <w:sz w:val="28"/>
          <w:szCs w:val="28"/>
        </w:rPr>
      </w:pPr>
      <w:r w:rsidRPr="00D75C6D">
        <w:rPr>
          <w:rFonts w:ascii="Times New Roman" w:hAnsi="Times New Roman" w:cs="Times New Roman"/>
          <w:sz w:val="28"/>
          <w:szCs w:val="28"/>
        </w:rPr>
        <w:t>Student ID: 2503716</w:t>
      </w:r>
    </w:p>
    <w:p w:rsidR="00734D26" w:rsidRPr="00D75C6D" w:rsidRDefault="00000000">
      <w:pPr>
        <w:widowControl/>
        <w:jc w:val="center"/>
        <w:rPr>
          <w:rFonts w:ascii="Times New Roman" w:hAnsi="Times New Roman" w:cs="Times New Roman"/>
          <w:sz w:val="24"/>
        </w:rPr>
      </w:pPr>
      <w:r w:rsidRPr="00D75C6D">
        <w:rPr>
          <w:rFonts w:ascii="Times New Roman" w:hAnsi="Times New Roman" w:cs="Times New Roman"/>
          <w:sz w:val="28"/>
          <w:szCs w:val="28"/>
        </w:rPr>
        <w:t>Date submitted: 27 March 2026</w:t>
      </w:r>
      <w:r w:rsidRPr="00D75C6D">
        <w:rPr>
          <w:rFonts w:ascii="Times New Roman" w:hAnsi="Times New Roman" w:cs="Times New Roman"/>
          <w:sz w:val="24"/>
        </w:rPr>
        <w:br w:type="page"/>
      </w:r>
    </w:p>
    <w:p w:rsidR="00734D26" w:rsidRPr="00D75C6D" w:rsidRDefault="00000000">
      <w:pPr>
        <w:rPr>
          <w:rFonts w:ascii="Times New Roman" w:hAnsi="Times New Roman" w:cs="Times New Roman"/>
          <w:sz w:val="24"/>
        </w:rPr>
      </w:pPr>
      <w:r w:rsidRPr="00D75C6D">
        <w:rPr>
          <w:rFonts w:ascii="Times New Roman" w:hAnsi="Times New Roman" w:cs="Times New Roman"/>
          <w:sz w:val="24"/>
        </w:rPr>
        <w:lastRenderedPageBreak/>
        <w:t>Catalogue</w:t>
      </w:r>
    </w:p>
    <w:sdt>
      <w:sdtPr>
        <w:rPr>
          <w:rFonts w:ascii="Times New Roman" w:eastAsia="宋体" w:hAnsi="Times New Roman" w:cs="Times New Roman"/>
          <w:sz w:val="24"/>
        </w:rPr>
        <w:id w:val="147458770"/>
        <w15:color w:val="DBDBDB"/>
        <w:docPartObj>
          <w:docPartGallery w:val="Table of Contents"/>
          <w:docPartUnique/>
        </w:docPartObj>
      </w:sdtPr>
      <w:sdtContent>
        <w:p w:rsidR="00734D26" w:rsidRPr="00D75C6D" w:rsidRDefault="00734D26">
          <w:pPr>
            <w:spacing w:after="0" w:line="240" w:lineRule="auto"/>
            <w:jc w:val="center"/>
            <w:rPr>
              <w:rFonts w:ascii="Times New Roman" w:hAnsi="Times New Roman" w:cs="Times New Roman"/>
              <w:sz w:val="24"/>
            </w:rPr>
          </w:pPr>
        </w:p>
        <w:p w:rsidR="00734D26" w:rsidRPr="00D75C6D" w:rsidRDefault="00000000">
          <w:pPr>
            <w:pStyle w:val="TOC1"/>
            <w:tabs>
              <w:tab w:val="right" w:leader="middleDot" w:pos="8306"/>
            </w:tabs>
            <w:rPr>
              <w:rFonts w:ascii="Times New Roman" w:hAnsi="Times New Roman" w:cs="Times New Roman"/>
              <w:sz w:val="24"/>
            </w:rPr>
          </w:pP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TOC \o "1-3" \h \u </w:instrText>
          </w:r>
          <w:r w:rsidRPr="00D75C6D">
            <w:rPr>
              <w:rFonts w:ascii="Times New Roman" w:hAnsi="Times New Roman" w:cs="Times New Roman"/>
              <w:sz w:val="24"/>
            </w:rPr>
            <w:fldChar w:fldCharType="separate"/>
          </w:r>
          <w:hyperlink w:anchor="_Toc14757" w:history="1">
            <w:r w:rsidR="00734D26" w:rsidRPr="00D75C6D">
              <w:rPr>
                <w:rFonts w:ascii="Times New Roman" w:hAnsi="Times New Roman" w:cs="Times New Roman"/>
                <w:bCs/>
                <w:sz w:val="24"/>
              </w:rPr>
              <w:t>1.1 Executive summary</w:t>
            </w:r>
            <w:r w:rsidR="00734D26" w:rsidRPr="00D75C6D">
              <w:rPr>
                <w:rFonts w:ascii="Times New Roman" w:hAnsi="Times New Roman" w:cs="Times New Roman"/>
                <w:sz w:val="24"/>
              </w:rPr>
              <w:tab/>
            </w:r>
            <w:r w:rsidR="00734D26" w:rsidRPr="00D75C6D">
              <w:rPr>
                <w:rFonts w:ascii="Times New Roman" w:hAnsi="Times New Roman" w:cs="Times New Roman"/>
                <w:sz w:val="24"/>
              </w:rPr>
              <w:fldChar w:fldCharType="begin"/>
            </w:r>
            <w:r w:rsidR="00734D26" w:rsidRPr="00D75C6D">
              <w:rPr>
                <w:rFonts w:ascii="Times New Roman" w:hAnsi="Times New Roman" w:cs="Times New Roman"/>
                <w:sz w:val="24"/>
              </w:rPr>
              <w:instrText xml:space="preserve"> PAGEREF _Toc14757 \h </w:instrText>
            </w:r>
            <w:r w:rsidR="00734D26" w:rsidRPr="00D75C6D">
              <w:rPr>
                <w:rFonts w:ascii="Times New Roman" w:hAnsi="Times New Roman" w:cs="Times New Roman"/>
                <w:sz w:val="24"/>
              </w:rPr>
            </w:r>
            <w:r w:rsidR="00734D26" w:rsidRPr="00D75C6D">
              <w:rPr>
                <w:rFonts w:ascii="Times New Roman" w:hAnsi="Times New Roman" w:cs="Times New Roman"/>
                <w:sz w:val="24"/>
              </w:rPr>
              <w:fldChar w:fldCharType="separate"/>
            </w:r>
            <w:r w:rsidR="00734D26" w:rsidRPr="00D75C6D">
              <w:rPr>
                <w:rFonts w:ascii="Times New Roman" w:hAnsi="Times New Roman" w:cs="Times New Roman"/>
                <w:sz w:val="24"/>
              </w:rPr>
              <w:t>3</w:t>
            </w:r>
            <w:r w:rsidR="00734D26" w:rsidRPr="00D75C6D">
              <w:rPr>
                <w:rFonts w:ascii="Times New Roman" w:hAnsi="Times New Roman" w:cs="Times New Roman"/>
                <w:sz w:val="24"/>
              </w:rPr>
              <w:fldChar w:fldCharType="end"/>
            </w:r>
          </w:hyperlink>
        </w:p>
        <w:p w:rsidR="00734D26" w:rsidRPr="00D75C6D" w:rsidRDefault="00734D26">
          <w:pPr>
            <w:pStyle w:val="TOC1"/>
            <w:tabs>
              <w:tab w:val="right" w:leader="middleDot" w:pos="8306"/>
            </w:tabs>
            <w:rPr>
              <w:rFonts w:ascii="Times New Roman" w:hAnsi="Times New Roman" w:cs="Times New Roman"/>
              <w:sz w:val="24"/>
            </w:rPr>
          </w:pPr>
          <w:hyperlink w:anchor="_Toc22770" w:history="1">
            <w:r w:rsidRPr="00D75C6D">
              <w:rPr>
                <w:rFonts w:ascii="Times New Roman" w:hAnsi="Times New Roman" w:cs="Times New Roman"/>
                <w:bCs/>
                <w:sz w:val="24"/>
              </w:rPr>
              <w:t>2.1 Introduction</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_Toc22770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3</w:t>
            </w:r>
            <w:r w:rsidRPr="00D75C6D">
              <w:rPr>
                <w:rFonts w:ascii="Times New Roman" w:hAnsi="Times New Roman" w:cs="Times New Roman"/>
                <w:sz w:val="24"/>
              </w:rPr>
              <w:fldChar w:fldCharType="end"/>
            </w:r>
          </w:hyperlink>
        </w:p>
        <w:p w:rsidR="00734D26" w:rsidRPr="00D75C6D" w:rsidRDefault="00734D26">
          <w:pPr>
            <w:pStyle w:val="TOC1"/>
            <w:tabs>
              <w:tab w:val="right" w:leader="middleDot" w:pos="8306"/>
            </w:tabs>
            <w:rPr>
              <w:rFonts w:ascii="Times New Roman" w:hAnsi="Times New Roman" w:cs="Times New Roman"/>
              <w:sz w:val="24"/>
            </w:rPr>
          </w:pPr>
          <w:hyperlink w:anchor="_Toc27340" w:history="1">
            <w:r w:rsidRPr="00D75C6D">
              <w:rPr>
                <w:rFonts w:ascii="Times New Roman" w:hAnsi="Times New Roman" w:cs="Times New Roman"/>
                <w:bCs/>
                <w:sz w:val="24"/>
              </w:rPr>
              <w:t>3.1 External Analysis</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_Toc27340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4</w:t>
            </w:r>
            <w:r w:rsidRPr="00D75C6D">
              <w:rPr>
                <w:rFonts w:ascii="Times New Roman" w:hAnsi="Times New Roman" w:cs="Times New Roman"/>
                <w:sz w:val="24"/>
              </w:rPr>
              <w:fldChar w:fldCharType="end"/>
            </w:r>
          </w:hyperlink>
        </w:p>
        <w:p w:rsidR="00734D26" w:rsidRPr="00D75C6D" w:rsidRDefault="00734D26">
          <w:pPr>
            <w:pStyle w:val="TOC2"/>
            <w:tabs>
              <w:tab w:val="right" w:leader="middleDot" w:pos="8306"/>
            </w:tabs>
            <w:ind w:left="440"/>
            <w:rPr>
              <w:rFonts w:ascii="Times New Roman" w:hAnsi="Times New Roman" w:cs="Times New Roman"/>
              <w:sz w:val="24"/>
            </w:rPr>
          </w:pPr>
          <w:hyperlink w:anchor="_Toc12077" w:history="1">
            <w:r w:rsidRPr="00D75C6D">
              <w:rPr>
                <w:rFonts w:ascii="Times New Roman" w:hAnsi="Times New Roman" w:cs="Times New Roman"/>
                <w:bCs/>
                <w:sz w:val="24"/>
              </w:rPr>
              <w:t>3.1.1 PESTEL Analysis</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_Toc12077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4</w:t>
            </w:r>
            <w:r w:rsidRPr="00D75C6D">
              <w:rPr>
                <w:rFonts w:ascii="Times New Roman" w:hAnsi="Times New Roman" w:cs="Times New Roman"/>
                <w:sz w:val="24"/>
              </w:rPr>
              <w:fldChar w:fldCharType="end"/>
            </w:r>
          </w:hyperlink>
        </w:p>
        <w:p w:rsidR="00734D26" w:rsidRPr="00D75C6D" w:rsidRDefault="00734D26">
          <w:pPr>
            <w:pStyle w:val="TOC3"/>
            <w:tabs>
              <w:tab w:val="right" w:leader="middleDot" w:pos="8306"/>
            </w:tabs>
            <w:ind w:left="880"/>
            <w:rPr>
              <w:rFonts w:ascii="Times New Roman" w:hAnsi="Times New Roman" w:cs="Times New Roman"/>
              <w:sz w:val="24"/>
            </w:rPr>
          </w:pPr>
          <w:hyperlink w:anchor="_Toc22701" w:history="1">
            <w:r w:rsidRPr="00D75C6D">
              <w:rPr>
                <w:rFonts w:ascii="Times New Roman" w:hAnsi="Times New Roman" w:cs="Times New Roman"/>
                <w:bCs/>
                <w:sz w:val="24"/>
              </w:rPr>
              <w:t>3.1.1.1 Political-Legal and Environmental Pressures</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_Toc22701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4</w:t>
            </w:r>
            <w:r w:rsidRPr="00D75C6D">
              <w:rPr>
                <w:rFonts w:ascii="Times New Roman" w:hAnsi="Times New Roman" w:cs="Times New Roman"/>
                <w:sz w:val="24"/>
              </w:rPr>
              <w:fldChar w:fldCharType="end"/>
            </w:r>
          </w:hyperlink>
        </w:p>
        <w:p w:rsidR="00734D26" w:rsidRPr="00D75C6D" w:rsidRDefault="00734D26">
          <w:pPr>
            <w:pStyle w:val="TOC3"/>
            <w:tabs>
              <w:tab w:val="right" w:leader="middleDot" w:pos="8306"/>
            </w:tabs>
            <w:ind w:left="880"/>
            <w:rPr>
              <w:rFonts w:ascii="Times New Roman" w:hAnsi="Times New Roman" w:cs="Times New Roman"/>
              <w:sz w:val="24"/>
            </w:rPr>
          </w:pPr>
          <w:hyperlink w:anchor="_Toc2799" w:history="1">
            <w:r w:rsidRPr="00D75C6D">
              <w:rPr>
                <w:rFonts w:ascii="Times New Roman" w:hAnsi="Times New Roman" w:cs="Times New Roman"/>
                <w:bCs/>
                <w:sz w:val="24"/>
              </w:rPr>
              <w:t>3.1.1.2 Economic and Social Constrains</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_Toc2799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5</w:t>
            </w:r>
            <w:r w:rsidRPr="00D75C6D">
              <w:rPr>
                <w:rFonts w:ascii="Times New Roman" w:hAnsi="Times New Roman" w:cs="Times New Roman"/>
                <w:sz w:val="24"/>
              </w:rPr>
              <w:fldChar w:fldCharType="end"/>
            </w:r>
          </w:hyperlink>
        </w:p>
        <w:p w:rsidR="00734D26" w:rsidRPr="00D75C6D" w:rsidRDefault="00734D26">
          <w:pPr>
            <w:pStyle w:val="TOC3"/>
            <w:tabs>
              <w:tab w:val="right" w:leader="middleDot" w:pos="8306"/>
            </w:tabs>
            <w:ind w:left="880"/>
            <w:rPr>
              <w:rFonts w:ascii="Times New Roman" w:hAnsi="Times New Roman" w:cs="Times New Roman"/>
              <w:sz w:val="24"/>
            </w:rPr>
          </w:pPr>
          <w:hyperlink w:anchor="_Toc28631" w:history="1">
            <w:r w:rsidRPr="00D75C6D">
              <w:rPr>
                <w:rFonts w:ascii="Times New Roman" w:hAnsi="Times New Roman" w:cs="Times New Roman"/>
                <w:bCs/>
                <w:sz w:val="24"/>
              </w:rPr>
              <w:t>3.1.2 Porters Five Forces Analysis</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_Toc28631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5</w:t>
            </w:r>
            <w:r w:rsidRPr="00D75C6D">
              <w:rPr>
                <w:rFonts w:ascii="Times New Roman" w:hAnsi="Times New Roman" w:cs="Times New Roman"/>
                <w:sz w:val="24"/>
              </w:rPr>
              <w:fldChar w:fldCharType="end"/>
            </w:r>
          </w:hyperlink>
        </w:p>
        <w:p w:rsidR="00734D26" w:rsidRPr="00D75C6D" w:rsidRDefault="00734D26">
          <w:pPr>
            <w:pStyle w:val="TOC1"/>
            <w:tabs>
              <w:tab w:val="right" w:leader="middleDot" w:pos="8306"/>
            </w:tabs>
            <w:rPr>
              <w:rFonts w:ascii="Times New Roman" w:hAnsi="Times New Roman" w:cs="Times New Roman"/>
              <w:sz w:val="24"/>
            </w:rPr>
          </w:pPr>
          <w:hyperlink w:anchor="_Toc30283" w:history="1">
            <w:r w:rsidRPr="00D75C6D">
              <w:rPr>
                <w:rFonts w:ascii="Times New Roman" w:hAnsi="Times New Roman" w:cs="Times New Roman"/>
                <w:bCs/>
                <w:sz w:val="24"/>
              </w:rPr>
              <w:t>4.1 Internal Analysis</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_Toc30283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5</w:t>
            </w:r>
            <w:r w:rsidRPr="00D75C6D">
              <w:rPr>
                <w:rFonts w:ascii="Times New Roman" w:hAnsi="Times New Roman" w:cs="Times New Roman"/>
                <w:sz w:val="24"/>
              </w:rPr>
              <w:fldChar w:fldCharType="end"/>
            </w:r>
          </w:hyperlink>
        </w:p>
        <w:p w:rsidR="00734D26" w:rsidRPr="00D75C6D" w:rsidRDefault="00734D26">
          <w:pPr>
            <w:pStyle w:val="TOC2"/>
            <w:tabs>
              <w:tab w:val="right" w:leader="middleDot" w:pos="8306"/>
            </w:tabs>
            <w:ind w:left="440"/>
            <w:rPr>
              <w:rFonts w:ascii="Times New Roman" w:hAnsi="Times New Roman" w:cs="Times New Roman"/>
              <w:sz w:val="24"/>
            </w:rPr>
          </w:pPr>
          <w:hyperlink w:anchor="_Toc2781" w:history="1">
            <w:r w:rsidRPr="00D75C6D">
              <w:rPr>
                <w:rFonts w:ascii="Times New Roman" w:hAnsi="Times New Roman" w:cs="Times New Roman"/>
                <w:bCs/>
                <w:sz w:val="24"/>
              </w:rPr>
              <w:t>4.1.1 RBV and VRIO Analysis</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_Toc2781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5</w:t>
            </w:r>
            <w:r w:rsidRPr="00D75C6D">
              <w:rPr>
                <w:rFonts w:ascii="Times New Roman" w:hAnsi="Times New Roman" w:cs="Times New Roman"/>
                <w:sz w:val="24"/>
              </w:rPr>
              <w:fldChar w:fldCharType="end"/>
            </w:r>
          </w:hyperlink>
        </w:p>
        <w:p w:rsidR="00734D26" w:rsidRPr="00D75C6D" w:rsidRDefault="00734D26">
          <w:pPr>
            <w:pStyle w:val="TOC2"/>
            <w:tabs>
              <w:tab w:val="right" w:leader="middleDot" w:pos="8306"/>
            </w:tabs>
            <w:ind w:left="440"/>
            <w:rPr>
              <w:rFonts w:ascii="Times New Roman" w:hAnsi="Times New Roman" w:cs="Times New Roman"/>
              <w:sz w:val="24"/>
            </w:rPr>
          </w:pPr>
          <w:hyperlink w:anchor="_Toc16137" w:history="1">
            <w:r w:rsidRPr="00D75C6D">
              <w:rPr>
                <w:rFonts w:ascii="Times New Roman" w:hAnsi="Times New Roman" w:cs="Times New Roman"/>
                <w:bCs/>
                <w:sz w:val="24"/>
              </w:rPr>
              <w:t>4.1.2 Value Chain Analysis</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_Toc16137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6</w:t>
            </w:r>
            <w:r w:rsidRPr="00D75C6D">
              <w:rPr>
                <w:rFonts w:ascii="Times New Roman" w:hAnsi="Times New Roman" w:cs="Times New Roman"/>
                <w:sz w:val="24"/>
              </w:rPr>
              <w:fldChar w:fldCharType="end"/>
            </w:r>
          </w:hyperlink>
        </w:p>
        <w:p w:rsidR="00734D26" w:rsidRPr="00D75C6D" w:rsidRDefault="00734D26">
          <w:pPr>
            <w:pStyle w:val="TOC2"/>
            <w:tabs>
              <w:tab w:val="right" w:leader="middleDot" w:pos="8306"/>
            </w:tabs>
            <w:ind w:left="440"/>
            <w:rPr>
              <w:rFonts w:ascii="Times New Roman" w:hAnsi="Times New Roman" w:cs="Times New Roman"/>
              <w:sz w:val="24"/>
            </w:rPr>
          </w:pPr>
          <w:hyperlink w:anchor="_Toc20426" w:history="1">
            <w:r w:rsidRPr="00D75C6D">
              <w:rPr>
                <w:rFonts w:ascii="Times New Roman" w:hAnsi="Times New Roman" w:cs="Times New Roman"/>
                <w:bCs/>
                <w:sz w:val="24"/>
              </w:rPr>
              <w:t>4.1.3 SWOT Analysis</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_Toc20426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6</w:t>
            </w:r>
            <w:r w:rsidRPr="00D75C6D">
              <w:rPr>
                <w:rFonts w:ascii="Times New Roman" w:hAnsi="Times New Roman" w:cs="Times New Roman"/>
                <w:sz w:val="24"/>
              </w:rPr>
              <w:fldChar w:fldCharType="end"/>
            </w:r>
          </w:hyperlink>
        </w:p>
        <w:p w:rsidR="00734D26" w:rsidRPr="00D75C6D" w:rsidRDefault="00734D26">
          <w:pPr>
            <w:pStyle w:val="TOC1"/>
            <w:tabs>
              <w:tab w:val="right" w:leader="middleDot" w:pos="8306"/>
            </w:tabs>
            <w:rPr>
              <w:rFonts w:ascii="Times New Roman" w:hAnsi="Times New Roman" w:cs="Times New Roman"/>
              <w:sz w:val="24"/>
            </w:rPr>
          </w:pPr>
          <w:hyperlink w:anchor="_Toc19690" w:history="1">
            <w:r w:rsidRPr="00D75C6D">
              <w:rPr>
                <w:rFonts w:ascii="Times New Roman" w:hAnsi="Times New Roman" w:cs="Times New Roman"/>
                <w:bCs/>
                <w:sz w:val="24"/>
              </w:rPr>
              <w:t>5.1 Strategy Formulation and Competitive Positioning</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_Toc19690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7</w:t>
            </w:r>
            <w:r w:rsidRPr="00D75C6D">
              <w:rPr>
                <w:rFonts w:ascii="Times New Roman" w:hAnsi="Times New Roman" w:cs="Times New Roman"/>
                <w:sz w:val="24"/>
              </w:rPr>
              <w:fldChar w:fldCharType="end"/>
            </w:r>
          </w:hyperlink>
        </w:p>
        <w:p w:rsidR="00734D26" w:rsidRPr="00D75C6D" w:rsidRDefault="00734D26">
          <w:pPr>
            <w:pStyle w:val="TOC2"/>
            <w:tabs>
              <w:tab w:val="right" w:leader="middleDot" w:pos="8306"/>
            </w:tabs>
            <w:ind w:left="440"/>
            <w:rPr>
              <w:rFonts w:ascii="Times New Roman" w:hAnsi="Times New Roman" w:cs="Times New Roman"/>
              <w:sz w:val="24"/>
            </w:rPr>
          </w:pPr>
          <w:hyperlink w:anchor="_Toc25040" w:history="1">
            <w:r w:rsidRPr="00D75C6D">
              <w:rPr>
                <w:rFonts w:ascii="Times New Roman" w:hAnsi="Times New Roman" w:cs="Times New Roman"/>
                <w:bCs/>
                <w:sz w:val="24"/>
              </w:rPr>
              <w:t>5.1.1 Strategy Clock Analysis</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_Toc25040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7</w:t>
            </w:r>
            <w:r w:rsidRPr="00D75C6D">
              <w:rPr>
                <w:rFonts w:ascii="Times New Roman" w:hAnsi="Times New Roman" w:cs="Times New Roman"/>
                <w:sz w:val="24"/>
              </w:rPr>
              <w:fldChar w:fldCharType="end"/>
            </w:r>
          </w:hyperlink>
        </w:p>
        <w:p w:rsidR="00734D26" w:rsidRPr="00D75C6D" w:rsidRDefault="00734D26">
          <w:pPr>
            <w:pStyle w:val="TOC2"/>
            <w:tabs>
              <w:tab w:val="right" w:leader="middleDot" w:pos="8306"/>
            </w:tabs>
            <w:ind w:left="440"/>
            <w:rPr>
              <w:rFonts w:ascii="Times New Roman" w:hAnsi="Times New Roman" w:cs="Times New Roman"/>
              <w:sz w:val="24"/>
            </w:rPr>
          </w:pPr>
          <w:hyperlink w:anchor="_Toc28417" w:history="1">
            <w:r w:rsidRPr="00D75C6D">
              <w:rPr>
                <w:rFonts w:ascii="Times New Roman" w:hAnsi="Times New Roman" w:cs="Times New Roman"/>
                <w:bCs/>
                <w:sz w:val="24"/>
              </w:rPr>
              <w:t>5.1.2 Competitive Positioning and Strategic Implications</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_Toc28417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7</w:t>
            </w:r>
            <w:r w:rsidRPr="00D75C6D">
              <w:rPr>
                <w:rFonts w:ascii="Times New Roman" w:hAnsi="Times New Roman" w:cs="Times New Roman"/>
                <w:sz w:val="24"/>
              </w:rPr>
              <w:fldChar w:fldCharType="end"/>
            </w:r>
          </w:hyperlink>
        </w:p>
        <w:p w:rsidR="00734D26" w:rsidRPr="00D75C6D" w:rsidRDefault="00734D26">
          <w:pPr>
            <w:pStyle w:val="TOC2"/>
            <w:tabs>
              <w:tab w:val="right" w:leader="middleDot" w:pos="8306"/>
            </w:tabs>
            <w:ind w:left="440"/>
            <w:rPr>
              <w:rFonts w:ascii="Times New Roman" w:hAnsi="Times New Roman" w:cs="Times New Roman"/>
              <w:sz w:val="24"/>
            </w:rPr>
          </w:pPr>
          <w:hyperlink w:anchor="_Toc20916" w:history="1">
            <w:r w:rsidRPr="00D75C6D">
              <w:rPr>
                <w:rFonts w:ascii="Times New Roman" w:hAnsi="Times New Roman" w:cs="Times New Roman"/>
                <w:bCs/>
                <w:sz w:val="24"/>
              </w:rPr>
              <w:t>5.1.3 Ansoff Matrix Analysis</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_Toc20916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8</w:t>
            </w:r>
            <w:r w:rsidRPr="00D75C6D">
              <w:rPr>
                <w:rFonts w:ascii="Times New Roman" w:hAnsi="Times New Roman" w:cs="Times New Roman"/>
                <w:sz w:val="24"/>
              </w:rPr>
              <w:fldChar w:fldCharType="end"/>
            </w:r>
          </w:hyperlink>
        </w:p>
        <w:p w:rsidR="00734D26" w:rsidRPr="00D75C6D" w:rsidRDefault="00734D26">
          <w:pPr>
            <w:pStyle w:val="TOC1"/>
            <w:tabs>
              <w:tab w:val="right" w:leader="middleDot" w:pos="8306"/>
            </w:tabs>
            <w:rPr>
              <w:rFonts w:ascii="Times New Roman" w:hAnsi="Times New Roman" w:cs="Times New Roman"/>
              <w:sz w:val="24"/>
            </w:rPr>
          </w:pPr>
          <w:hyperlink w:anchor="_Toc243" w:history="1">
            <w:r w:rsidRPr="00D75C6D">
              <w:rPr>
                <w:rFonts w:ascii="Times New Roman" w:hAnsi="Times New Roman" w:cs="Times New Roman"/>
                <w:bCs/>
                <w:sz w:val="24"/>
              </w:rPr>
              <w:t>6.1 Sustainability and Strategic Recommendations</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_Toc243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8</w:t>
            </w:r>
            <w:r w:rsidRPr="00D75C6D">
              <w:rPr>
                <w:rFonts w:ascii="Times New Roman" w:hAnsi="Times New Roman" w:cs="Times New Roman"/>
                <w:sz w:val="24"/>
              </w:rPr>
              <w:fldChar w:fldCharType="end"/>
            </w:r>
          </w:hyperlink>
        </w:p>
        <w:p w:rsidR="00734D26" w:rsidRPr="00D75C6D" w:rsidRDefault="00734D26">
          <w:pPr>
            <w:pStyle w:val="TOC2"/>
            <w:tabs>
              <w:tab w:val="right" w:leader="middleDot" w:pos="8306"/>
            </w:tabs>
            <w:ind w:left="440"/>
            <w:rPr>
              <w:rFonts w:ascii="Times New Roman" w:hAnsi="Times New Roman" w:cs="Times New Roman"/>
              <w:sz w:val="24"/>
            </w:rPr>
          </w:pPr>
          <w:hyperlink w:anchor="_Toc19102" w:history="1">
            <w:r w:rsidRPr="00D75C6D">
              <w:rPr>
                <w:rFonts w:ascii="Times New Roman" w:hAnsi="Times New Roman" w:cs="Times New Roman"/>
                <w:bCs/>
                <w:sz w:val="24"/>
              </w:rPr>
              <w:t>6.1.1 Strategic Direction</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_Toc19102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9</w:t>
            </w:r>
            <w:r w:rsidRPr="00D75C6D">
              <w:rPr>
                <w:rFonts w:ascii="Times New Roman" w:hAnsi="Times New Roman" w:cs="Times New Roman"/>
                <w:sz w:val="24"/>
              </w:rPr>
              <w:fldChar w:fldCharType="end"/>
            </w:r>
          </w:hyperlink>
        </w:p>
        <w:p w:rsidR="00734D26" w:rsidRPr="00D75C6D" w:rsidRDefault="00734D26">
          <w:pPr>
            <w:pStyle w:val="TOC2"/>
            <w:tabs>
              <w:tab w:val="right" w:leader="middleDot" w:pos="8306"/>
            </w:tabs>
            <w:ind w:left="440"/>
            <w:rPr>
              <w:rFonts w:ascii="Times New Roman" w:hAnsi="Times New Roman" w:cs="Times New Roman"/>
              <w:sz w:val="24"/>
            </w:rPr>
          </w:pPr>
          <w:hyperlink w:anchor="_Toc3867" w:history="1">
            <w:r w:rsidRPr="00D75C6D">
              <w:rPr>
                <w:rFonts w:ascii="Times New Roman" w:hAnsi="Times New Roman" w:cs="Times New Roman"/>
                <w:bCs/>
                <w:sz w:val="24"/>
              </w:rPr>
              <w:t>6.1.2 Recommendation</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_Toc3867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9</w:t>
            </w:r>
            <w:r w:rsidRPr="00D75C6D">
              <w:rPr>
                <w:rFonts w:ascii="Times New Roman" w:hAnsi="Times New Roman" w:cs="Times New Roman"/>
                <w:sz w:val="24"/>
              </w:rPr>
              <w:fldChar w:fldCharType="end"/>
            </w:r>
          </w:hyperlink>
        </w:p>
        <w:p w:rsidR="00734D26" w:rsidRPr="00D75C6D" w:rsidRDefault="00734D26">
          <w:pPr>
            <w:pStyle w:val="TOC2"/>
            <w:tabs>
              <w:tab w:val="right" w:leader="middleDot" w:pos="8306"/>
            </w:tabs>
            <w:ind w:left="440"/>
            <w:rPr>
              <w:rFonts w:ascii="Times New Roman" w:hAnsi="Times New Roman" w:cs="Times New Roman"/>
              <w:sz w:val="24"/>
            </w:rPr>
          </w:pPr>
          <w:hyperlink w:anchor="_Toc9756" w:history="1">
            <w:r w:rsidRPr="00D75C6D">
              <w:rPr>
                <w:rFonts w:ascii="Times New Roman" w:hAnsi="Times New Roman" w:cs="Times New Roman"/>
                <w:bCs/>
                <w:sz w:val="24"/>
              </w:rPr>
              <w:t>6.1.3 Trend</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_Toc9756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9</w:t>
            </w:r>
            <w:r w:rsidRPr="00D75C6D">
              <w:rPr>
                <w:rFonts w:ascii="Times New Roman" w:hAnsi="Times New Roman" w:cs="Times New Roman"/>
                <w:sz w:val="24"/>
              </w:rPr>
              <w:fldChar w:fldCharType="end"/>
            </w:r>
          </w:hyperlink>
        </w:p>
        <w:p w:rsidR="00734D26" w:rsidRPr="00D75C6D" w:rsidRDefault="00734D26">
          <w:pPr>
            <w:pStyle w:val="TOC1"/>
            <w:tabs>
              <w:tab w:val="right" w:leader="middleDot" w:pos="8306"/>
            </w:tabs>
            <w:rPr>
              <w:rFonts w:ascii="Times New Roman" w:hAnsi="Times New Roman" w:cs="Times New Roman"/>
              <w:sz w:val="24"/>
            </w:rPr>
          </w:pPr>
          <w:hyperlink w:anchor="_Toc6369" w:history="1">
            <w:r w:rsidRPr="00D75C6D">
              <w:rPr>
                <w:rFonts w:ascii="Times New Roman" w:hAnsi="Times New Roman" w:cs="Times New Roman"/>
                <w:bCs/>
                <w:sz w:val="24"/>
              </w:rPr>
              <w:t>7.1 Conclusion</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_Toc6369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10</w:t>
            </w:r>
            <w:r w:rsidRPr="00D75C6D">
              <w:rPr>
                <w:rFonts w:ascii="Times New Roman" w:hAnsi="Times New Roman" w:cs="Times New Roman"/>
                <w:sz w:val="24"/>
              </w:rPr>
              <w:fldChar w:fldCharType="end"/>
            </w:r>
          </w:hyperlink>
        </w:p>
        <w:p w:rsidR="00734D26" w:rsidRPr="00D75C6D" w:rsidRDefault="00734D26">
          <w:pPr>
            <w:pStyle w:val="TOC1"/>
            <w:tabs>
              <w:tab w:val="right" w:leader="middleDot" w:pos="8306"/>
            </w:tabs>
            <w:rPr>
              <w:rFonts w:ascii="Times New Roman" w:hAnsi="Times New Roman" w:cs="Times New Roman"/>
              <w:sz w:val="24"/>
            </w:rPr>
          </w:pPr>
          <w:hyperlink w:anchor="_Toc10661" w:history="1">
            <w:r w:rsidRPr="00D75C6D">
              <w:rPr>
                <w:rFonts w:ascii="Times New Roman" w:hAnsi="Times New Roman" w:cs="Times New Roman"/>
                <w:bCs/>
                <w:sz w:val="24"/>
              </w:rPr>
              <w:t>8.1 Reference List</w:t>
            </w:r>
            <w:r w:rsidRPr="00D75C6D">
              <w:rPr>
                <w:rFonts w:ascii="Times New Roman" w:hAnsi="Times New Roman" w:cs="Times New Roman"/>
                <w:sz w:val="24"/>
              </w:rPr>
              <w:tab/>
            </w:r>
            <w:r w:rsidRPr="00D75C6D">
              <w:rPr>
                <w:rFonts w:ascii="Times New Roman" w:hAnsi="Times New Roman" w:cs="Times New Roman"/>
                <w:sz w:val="24"/>
              </w:rPr>
              <w:fldChar w:fldCharType="begin"/>
            </w:r>
            <w:r w:rsidRPr="00D75C6D">
              <w:rPr>
                <w:rFonts w:ascii="Times New Roman" w:hAnsi="Times New Roman" w:cs="Times New Roman"/>
                <w:sz w:val="24"/>
              </w:rPr>
              <w:instrText xml:space="preserve"> PAGEREF _Toc10661 \h </w:instrText>
            </w:r>
            <w:r w:rsidRPr="00D75C6D">
              <w:rPr>
                <w:rFonts w:ascii="Times New Roman" w:hAnsi="Times New Roman" w:cs="Times New Roman"/>
                <w:sz w:val="24"/>
              </w:rPr>
            </w:r>
            <w:r w:rsidRPr="00D75C6D">
              <w:rPr>
                <w:rFonts w:ascii="Times New Roman" w:hAnsi="Times New Roman" w:cs="Times New Roman"/>
                <w:sz w:val="24"/>
              </w:rPr>
              <w:fldChar w:fldCharType="separate"/>
            </w:r>
            <w:r w:rsidRPr="00D75C6D">
              <w:rPr>
                <w:rFonts w:ascii="Times New Roman" w:hAnsi="Times New Roman" w:cs="Times New Roman"/>
                <w:sz w:val="24"/>
              </w:rPr>
              <w:t>10</w:t>
            </w:r>
            <w:r w:rsidRPr="00D75C6D">
              <w:rPr>
                <w:rFonts w:ascii="Times New Roman" w:hAnsi="Times New Roman" w:cs="Times New Roman"/>
                <w:sz w:val="24"/>
              </w:rPr>
              <w:fldChar w:fldCharType="end"/>
            </w:r>
          </w:hyperlink>
        </w:p>
        <w:p w:rsidR="00734D26" w:rsidRPr="00D75C6D" w:rsidRDefault="00000000">
          <w:r w:rsidRPr="00D75C6D">
            <w:rPr>
              <w:rFonts w:ascii="Times New Roman" w:hAnsi="Times New Roman" w:cs="Times New Roman"/>
              <w:sz w:val="24"/>
            </w:rPr>
            <w:fldChar w:fldCharType="end"/>
          </w:r>
        </w:p>
      </w:sdtContent>
    </w:sdt>
    <w:p w:rsidR="00734D26" w:rsidRPr="00D75C6D" w:rsidRDefault="00734D26"/>
    <w:p w:rsidR="00734D26" w:rsidRPr="00D75C6D" w:rsidRDefault="00000000">
      <w:pPr>
        <w:widowControl/>
        <w:rPr>
          <w:rFonts w:ascii="Times New Roman" w:hAnsi="Times New Roman" w:cs="Times New Roman"/>
          <w:sz w:val="24"/>
        </w:rPr>
      </w:pPr>
      <w:r w:rsidRPr="00D75C6D">
        <w:rPr>
          <w:rFonts w:ascii="Times New Roman" w:hAnsi="Times New Roman" w:cs="Times New Roman"/>
          <w:sz w:val="24"/>
        </w:rPr>
        <w:br w:type="page"/>
      </w:r>
    </w:p>
    <w:p w:rsidR="00734D26" w:rsidRPr="00D75C6D" w:rsidRDefault="00000000">
      <w:pPr>
        <w:spacing w:line="360" w:lineRule="auto"/>
        <w:ind w:firstLineChars="200" w:firstLine="560"/>
        <w:outlineLvl w:val="0"/>
        <w:rPr>
          <w:rFonts w:ascii="Times New Roman" w:hAnsi="Times New Roman" w:cs="Times New Roman"/>
          <w:b/>
          <w:bCs/>
          <w:sz w:val="28"/>
          <w:szCs w:val="28"/>
        </w:rPr>
      </w:pPr>
      <w:bookmarkStart w:id="0" w:name="_Toc14757"/>
      <w:r w:rsidRPr="00D75C6D">
        <w:rPr>
          <w:rFonts w:ascii="Times New Roman" w:hAnsi="Times New Roman" w:cs="Times New Roman"/>
          <w:b/>
          <w:bCs/>
          <w:sz w:val="28"/>
          <w:szCs w:val="28"/>
        </w:rPr>
        <w:lastRenderedPageBreak/>
        <w:t>1.1 Executive summary</w:t>
      </w:r>
      <w:bookmarkEnd w:id="0"/>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This report analyzes the strategic position of Procter and Gamble in the FMCG industry by considering sustainable packaging as a competitive threat and an opportunity to gain advantage. In this regard, sustainable development is no longer a marginal issue of corporate social responsibility, but has become a strategic issue that is influenced by stricter regulation, increasing material and compliance cost, retailer demands and more demanding circularity. The external pressure can be seen through the PESTEL and Porter Five Force analysis. The market response is however less consistent. Boz et al. (2020) demonstrate that the consumer responses to sustainable packaging are largely reliant on the communication and perception of environmental claims. Herrmann et al. (2022) contrastingly discover that willingness to pay alternative packaging is still uneven and in most cases conditional. Positioning green alone will thus not create long-term benefit. Although P&amp;G is large,it needs to be strategically improved and its packaging needs to be redesigned and decarbonised. In addition, Internal analysis shows that the company has more potential than most competitors because of its innovation, brand influence and customer base. Therefore, sustainable packaging will generate strategic value when P&amp;G matches environmental credibility with cost discipline and commercially feasible implementation.</w:t>
      </w:r>
    </w:p>
    <w:p w:rsidR="00734D26" w:rsidRPr="00D75C6D" w:rsidRDefault="00000000">
      <w:pPr>
        <w:spacing w:line="360" w:lineRule="auto"/>
        <w:ind w:firstLineChars="200" w:firstLine="560"/>
        <w:outlineLvl w:val="0"/>
        <w:rPr>
          <w:rFonts w:ascii="Times New Roman" w:hAnsi="Times New Roman" w:cs="Times New Roman"/>
          <w:b/>
          <w:bCs/>
          <w:sz w:val="28"/>
          <w:szCs w:val="28"/>
        </w:rPr>
      </w:pPr>
      <w:bookmarkStart w:id="1" w:name="_Toc22770"/>
      <w:r w:rsidRPr="00D75C6D">
        <w:rPr>
          <w:rFonts w:ascii="Times New Roman" w:hAnsi="Times New Roman" w:cs="Times New Roman"/>
          <w:b/>
          <w:bCs/>
          <w:sz w:val="28"/>
          <w:szCs w:val="28"/>
        </w:rPr>
        <w:t>2.1 Introduction</w:t>
      </w:r>
      <w:bookmarkEnd w:id="1"/>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 xml:space="preserve">This report takes P&amp;G as the object of strategic analysis, because it has global scale and brand influence in the product line, and product packaging directly affects consumers' purchasing choices and product performance. The company's net sales reached $84 billion in fiscal year 2024 and continues to build its competitive strategy on advantages in product performance, packaging, brand communication, retail execution and value. This is important because it shows that in P&amp;G, packaging is not a unique design problem, but the key to how enterprises can develop and maintain advantages in the daily consumer market. According to United Nations Environment Programme (2023), system-wide change through redesign, reuse and recycling is </w:t>
      </w:r>
      <w:r w:rsidRPr="00D75C6D">
        <w:rPr>
          <w:rFonts w:ascii="Times New Roman" w:hAnsi="Times New Roman" w:cs="Times New Roman"/>
          <w:sz w:val="24"/>
        </w:rPr>
        <w:lastRenderedPageBreak/>
        <w:t>needed to reduce plastic pollution instead of material substitution on a stand-alone basis. In the case of FMCG companies, packaging has become a strategic issue related to competitive positioning, trade-offs between cost and sustainability credibility, but not a technical change at an operational level (de Koeijer et al., 2017).</w:t>
      </w:r>
    </w:p>
    <w:p w:rsidR="00734D26" w:rsidRPr="00D75C6D" w:rsidRDefault="00000000">
      <w:pPr>
        <w:spacing w:line="360" w:lineRule="auto"/>
        <w:ind w:firstLineChars="200" w:firstLine="560"/>
        <w:outlineLvl w:val="0"/>
        <w:rPr>
          <w:rFonts w:ascii="Times New Roman" w:hAnsi="Times New Roman" w:cs="Times New Roman"/>
          <w:b/>
          <w:bCs/>
          <w:sz w:val="28"/>
          <w:szCs w:val="28"/>
        </w:rPr>
      </w:pPr>
      <w:bookmarkStart w:id="2" w:name="_Toc27340"/>
      <w:r w:rsidRPr="00D75C6D">
        <w:rPr>
          <w:rFonts w:ascii="Times New Roman" w:hAnsi="Times New Roman" w:cs="Times New Roman"/>
          <w:b/>
          <w:bCs/>
          <w:sz w:val="28"/>
          <w:szCs w:val="28"/>
        </w:rPr>
        <w:t>3.1 External Analysis</w:t>
      </w:r>
      <w:bookmarkEnd w:id="2"/>
    </w:p>
    <w:p w:rsidR="00734D26" w:rsidRPr="00D75C6D" w:rsidRDefault="00000000">
      <w:pPr>
        <w:spacing w:line="360" w:lineRule="auto"/>
        <w:ind w:firstLineChars="200" w:firstLine="560"/>
        <w:outlineLvl w:val="1"/>
        <w:rPr>
          <w:rFonts w:ascii="Times New Roman" w:hAnsi="Times New Roman" w:cs="Times New Roman"/>
          <w:b/>
          <w:bCs/>
          <w:sz w:val="28"/>
          <w:szCs w:val="28"/>
        </w:rPr>
      </w:pPr>
      <w:bookmarkStart w:id="3" w:name="_Toc12077"/>
      <w:r w:rsidRPr="00D75C6D">
        <w:rPr>
          <w:rFonts w:ascii="Times New Roman" w:hAnsi="Times New Roman" w:cs="Times New Roman"/>
          <w:b/>
          <w:bCs/>
          <w:sz w:val="28"/>
          <w:szCs w:val="28"/>
        </w:rPr>
        <w:t>3.1.1 PESTEL Analysis</w:t>
      </w:r>
      <w:bookmarkEnd w:id="3"/>
    </w:p>
    <w:p w:rsidR="00734D26" w:rsidRPr="00D75C6D" w:rsidRDefault="00000000">
      <w:pPr>
        <w:spacing w:line="360" w:lineRule="auto"/>
        <w:ind w:firstLineChars="200" w:firstLine="560"/>
        <w:outlineLvl w:val="2"/>
        <w:rPr>
          <w:rFonts w:ascii="Times New Roman" w:hAnsi="Times New Roman" w:cs="Times New Roman"/>
          <w:b/>
          <w:bCs/>
          <w:sz w:val="28"/>
          <w:szCs w:val="28"/>
        </w:rPr>
      </w:pPr>
      <w:bookmarkStart w:id="4" w:name="_Toc22701"/>
      <w:r w:rsidRPr="00D75C6D">
        <w:rPr>
          <w:rFonts w:ascii="Times New Roman" w:hAnsi="Times New Roman" w:cs="Times New Roman"/>
          <w:b/>
          <w:bCs/>
          <w:sz w:val="28"/>
          <w:szCs w:val="28"/>
        </w:rPr>
        <w:t>3.1.1.1 Political-Legal and Environmental Pressures</w:t>
      </w:r>
      <w:bookmarkEnd w:id="4"/>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In terms of PESTEL, the issues related to packaging have become more difficult to address as secondary or even reputational by P&amp;G. The political and legal environment is becoming increasingly restrictive in ways that directly influence the design, sourcing and marketing of packaging. Regulation 2025/40 indicates a change in the EU where broad sustainability expectations are replaced by more formal requirements regarding recyclability, material efficiency and circular-economy alignment. To a multinational FMCG company, this is significant since packaging compliance is gaining importance not only on public image but also on further access to key markets. That is, packaging is gradually becoming one of the circumstances according to which firms can compete, instead of an optional field of enhancement (European Union, 2025).</w:t>
      </w:r>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The same conclusion is supported by the environmental aspect of PESTEL. According to OECD statistics, plastic production and waste have increased significantly throughout the years, but the recycling rate is low. What makes this particularly pertinent to P&amp;G is that packaging remains at the heart of the plastics issue due to its short life cycle and volume. This transforms the strategic implication of sustainable packaging. It cannot be regarded as a branding add-on or a partial CSR reaction anymore. Rather, it has been linked with the way in which companies deal with resource pressure, regulatory escalation and increasing demands of system-level change in the broader packaging economy (OECD, 2022).</w:t>
      </w:r>
    </w:p>
    <w:p w:rsidR="00734D26" w:rsidRPr="00D75C6D" w:rsidRDefault="00000000">
      <w:pPr>
        <w:spacing w:line="360" w:lineRule="auto"/>
        <w:ind w:firstLineChars="200" w:firstLine="560"/>
        <w:outlineLvl w:val="2"/>
        <w:rPr>
          <w:rFonts w:ascii="Times New Roman" w:hAnsi="Times New Roman" w:cs="Times New Roman"/>
          <w:b/>
          <w:bCs/>
          <w:sz w:val="28"/>
          <w:szCs w:val="28"/>
        </w:rPr>
      </w:pPr>
      <w:bookmarkStart w:id="5" w:name="_Toc2799"/>
      <w:r w:rsidRPr="00D75C6D">
        <w:rPr>
          <w:rFonts w:ascii="Times New Roman" w:hAnsi="Times New Roman" w:cs="Times New Roman"/>
          <w:b/>
          <w:bCs/>
          <w:sz w:val="28"/>
          <w:szCs w:val="28"/>
        </w:rPr>
        <w:lastRenderedPageBreak/>
        <w:t>3.1.1.2 Economic and Social Constrains</w:t>
      </w:r>
      <w:bookmarkEnd w:id="5"/>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The economic constraint and consumer response are the factors that shape the challenge of P&amp;G. Its 2024 performance indicates that its recent expansion was more based on pricing than better fundamental demand and exposure to inflation and volatile input costs constrains how much further packaging cost can be absorbed or passed through. This implies that more sustainable materials should be sought in the face of commercial pressure as opposed to a stable cost environment (Procter and Gamble, 2024). simultaneously, change in packaging is not evaluated solely by environmental standards. When the consumers have doubts regarding quality, convenience or reliability of products, acceptance might become weaker. Sustainable packaging is thus more probable to facilitate advantage when its benefits are evident and do not seem to affect performance negatively (Norton et al., 2022).</w:t>
      </w:r>
    </w:p>
    <w:p w:rsidR="00734D26" w:rsidRPr="00D75C6D" w:rsidRDefault="00000000">
      <w:pPr>
        <w:spacing w:line="360" w:lineRule="auto"/>
        <w:ind w:firstLineChars="200" w:firstLine="560"/>
        <w:outlineLvl w:val="2"/>
        <w:rPr>
          <w:rFonts w:ascii="Times New Roman" w:hAnsi="Times New Roman" w:cs="Times New Roman"/>
          <w:b/>
          <w:bCs/>
          <w:sz w:val="28"/>
          <w:szCs w:val="28"/>
        </w:rPr>
      </w:pPr>
      <w:bookmarkStart w:id="6" w:name="_Toc28631"/>
      <w:r w:rsidRPr="00D75C6D">
        <w:rPr>
          <w:rFonts w:ascii="Times New Roman" w:hAnsi="Times New Roman" w:cs="Times New Roman"/>
          <w:b/>
          <w:bCs/>
          <w:sz w:val="28"/>
          <w:szCs w:val="28"/>
        </w:rPr>
        <w:t>3.1.2 Porters Five Forces Analysis</w:t>
      </w:r>
      <w:bookmarkEnd w:id="6"/>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According to Porters Five Forces, the competition in FMCG is not as much determined by low entry barriers as it is by rivalry among existing companies and pressure of buyers. The appearance design of the product is also very important and the beautiful packaging is one of the reasons why consumers choose the product. However, retailers often demand low prices and high performance. In this regard, sustainable packaging cannot be just a symbolic add-on. If it increases costs without increasing product value, it may weaken competitiveness rather than enhance it (Procter and Gamble, 2024). Besides, there is also pressure on supply. With the growing influence of circular economy standards in the industry, obtaining materials and redesigning packaging has become a strategic rather than operational issue (Allen MacArthur Foundation, 2024).</w:t>
      </w:r>
    </w:p>
    <w:p w:rsidR="00734D26" w:rsidRPr="00D75C6D" w:rsidRDefault="00000000">
      <w:pPr>
        <w:spacing w:line="360" w:lineRule="auto"/>
        <w:ind w:firstLineChars="200" w:firstLine="560"/>
        <w:outlineLvl w:val="0"/>
        <w:rPr>
          <w:rFonts w:ascii="Times New Roman" w:hAnsi="Times New Roman" w:cs="Times New Roman"/>
          <w:b/>
          <w:bCs/>
          <w:sz w:val="28"/>
          <w:szCs w:val="28"/>
        </w:rPr>
      </w:pPr>
      <w:bookmarkStart w:id="7" w:name="_Toc30283"/>
      <w:r w:rsidRPr="00D75C6D">
        <w:rPr>
          <w:rFonts w:ascii="Times New Roman" w:hAnsi="Times New Roman" w:cs="Times New Roman"/>
          <w:b/>
          <w:bCs/>
          <w:sz w:val="28"/>
          <w:szCs w:val="28"/>
        </w:rPr>
        <w:t>4.1 Internal Analysis</w:t>
      </w:r>
      <w:bookmarkEnd w:id="7"/>
    </w:p>
    <w:p w:rsidR="00734D26" w:rsidRPr="00D75C6D" w:rsidRDefault="00000000">
      <w:pPr>
        <w:spacing w:line="360" w:lineRule="auto"/>
        <w:ind w:firstLineChars="200" w:firstLine="560"/>
        <w:outlineLvl w:val="1"/>
        <w:rPr>
          <w:rFonts w:ascii="Times New Roman" w:hAnsi="Times New Roman" w:cs="Times New Roman"/>
          <w:b/>
          <w:bCs/>
          <w:sz w:val="28"/>
          <w:szCs w:val="28"/>
        </w:rPr>
      </w:pPr>
      <w:bookmarkStart w:id="8" w:name="_Toc2781"/>
      <w:r w:rsidRPr="00D75C6D">
        <w:rPr>
          <w:rFonts w:ascii="Times New Roman" w:hAnsi="Times New Roman" w:cs="Times New Roman"/>
          <w:b/>
          <w:bCs/>
          <w:sz w:val="28"/>
          <w:szCs w:val="28"/>
        </w:rPr>
        <w:t>4.1.1 RBV and VRIO Analysis</w:t>
      </w:r>
      <w:bookmarkEnd w:id="8"/>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lastRenderedPageBreak/>
        <w:t>RBV points that the question is not whether P&amp;G has resources, but whether these resources can be integrated into benefits that are difficult to be imitated by competitors. VRIO logic comes in handy in this case since it does not focus on size only but how value is generated based on coordination, rarity and implementation (Barney and Hesterly, 2008). in this regard, the strength of P&amp;G lies less in packaging expertise itself than in integrating packaging change with consumer value, category needs and commercial execution. Jain and Hudnurkar (2022) points that sustainable packaging is strategic in FMCG when it contributes to performance, usability and market competitiveness, making innovation a repeatable source of advantage instead of an isolated technical enhancement.</w:t>
      </w:r>
    </w:p>
    <w:p w:rsidR="00734D26" w:rsidRPr="00D75C6D" w:rsidRDefault="00000000">
      <w:pPr>
        <w:spacing w:line="360" w:lineRule="auto"/>
        <w:ind w:firstLineChars="200" w:firstLine="560"/>
        <w:outlineLvl w:val="1"/>
        <w:rPr>
          <w:rFonts w:ascii="Times New Roman" w:hAnsi="Times New Roman" w:cs="Times New Roman"/>
          <w:b/>
          <w:bCs/>
          <w:sz w:val="28"/>
          <w:szCs w:val="28"/>
        </w:rPr>
      </w:pPr>
      <w:bookmarkStart w:id="9" w:name="_Toc16137"/>
      <w:r w:rsidRPr="00D75C6D">
        <w:rPr>
          <w:rFonts w:ascii="Times New Roman" w:hAnsi="Times New Roman" w:cs="Times New Roman"/>
          <w:b/>
          <w:bCs/>
          <w:sz w:val="28"/>
          <w:szCs w:val="28"/>
        </w:rPr>
        <w:t>4.1.2 Value Chain Analysis</w:t>
      </w:r>
      <w:bookmarkEnd w:id="9"/>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According to the Value Chain analysis, packaging capability is hard to develop as it relies on coordination between sourcing, operations, logistics and marketing, instead of one functional area. Practically, the problem is not only to design a more sustainable pack, but to make it feasible in terms of cost, machinery, materials and commercial aspects. Studies indicate that such decisions are usually delayed by ambiguous trade-offs, additional costs and poorly organized procedures, particularly in cases where new equipment or supplier modifications are needed (Afif et al., 2022; Weinrich et al., 2024). In the case of P&amp;G, this benefit is not about having an ideal system, but rather about better coping with these tensions than the smaller competitors.</w:t>
      </w:r>
    </w:p>
    <w:p w:rsidR="00734D26" w:rsidRPr="00D75C6D" w:rsidRDefault="00000000">
      <w:pPr>
        <w:spacing w:line="360" w:lineRule="auto"/>
        <w:ind w:firstLineChars="200" w:firstLine="560"/>
        <w:outlineLvl w:val="1"/>
        <w:rPr>
          <w:rFonts w:ascii="Times New Roman" w:hAnsi="Times New Roman" w:cs="Times New Roman"/>
          <w:b/>
          <w:bCs/>
          <w:sz w:val="28"/>
          <w:szCs w:val="28"/>
        </w:rPr>
      </w:pPr>
      <w:bookmarkStart w:id="10" w:name="_Toc20426"/>
      <w:r w:rsidRPr="00D75C6D">
        <w:rPr>
          <w:rFonts w:ascii="Times New Roman" w:hAnsi="Times New Roman" w:cs="Times New Roman"/>
          <w:b/>
          <w:bCs/>
          <w:sz w:val="28"/>
          <w:szCs w:val="28"/>
        </w:rPr>
        <w:t>4.1.3 SWOT Analysis</w:t>
      </w:r>
      <w:bookmarkEnd w:id="10"/>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 xml:space="preserve">Value Chain analysis can be applied in this case since packaging is not a single function but it spans across design, procurement, operations, logistics, marketing and after-use recovery. The framework by Porter is applicable as the competitive advantage is based on interrelated activities and not any individual activity that is viewed independently. In the case of P&amp;G, this implies that decisions regarding </w:t>
      </w:r>
      <w:r w:rsidRPr="00D75C6D">
        <w:rPr>
          <w:rFonts w:ascii="Times New Roman" w:hAnsi="Times New Roman" w:cs="Times New Roman"/>
          <w:sz w:val="24"/>
        </w:rPr>
        <w:lastRenderedPageBreak/>
        <w:t>packaging cannot be regarded as a technical change that will be done at the end of production. A material change may influence the efficiency of manufacturing, transportation costs, product protection and how consumers perceive value at the shelf. The strategic problem, thus, is not just innovation, but also chain coordination (Porter, 1985).</w:t>
      </w:r>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In the case of a company as large as P&amp;G, packaging interdependence can be a relative advantage since sustainable packaging is better integrated into broader business operations than it is perceived as an independent CSR initiative. Its strategic value is in connecting packaging choices with product delivery, brand positioning and supply-chain alignment. Meanwhile, such breadth can slow change down, as any improvements to packaging need to meet several commercial and operational requirements across categories, actors and markets before they are rolled out consistently at scale (Mattia et al., 2021).</w:t>
      </w:r>
    </w:p>
    <w:p w:rsidR="00734D26" w:rsidRPr="00D75C6D" w:rsidRDefault="00000000">
      <w:pPr>
        <w:spacing w:line="360" w:lineRule="auto"/>
        <w:ind w:firstLineChars="200" w:firstLine="560"/>
        <w:outlineLvl w:val="0"/>
        <w:rPr>
          <w:rFonts w:ascii="Times New Roman" w:hAnsi="Times New Roman" w:cs="Times New Roman"/>
          <w:b/>
          <w:bCs/>
          <w:sz w:val="28"/>
          <w:szCs w:val="28"/>
        </w:rPr>
      </w:pPr>
      <w:bookmarkStart w:id="11" w:name="_Toc19690"/>
      <w:r w:rsidRPr="00D75C6D">
        <w:rPr>
          <w:rFonts w:ascii="Times New Roman" w:hAnsi="Times New Roman" w:cs="Times New Roman"/>
          <w:b/>
          <w:bCs/>
          <w:sz w:val="28"/>
          <w:szCs w:val="28"/>
        </w:rPr>
        <w:t>5.1 Strategy Formulation and Competitive Positioning</w:t>
      </w:r>
      <w:bookmarkEnd w:id="11"/>
    </w:p>
    <w:p w:rsidR="00734D26" w:rsidRPr="00D75C6D" w:rsidRDefault="00000000">
      <w:pPr>
        <w:spacing w:line="360" w:lineRule="auto"/>
        <w:ind w:firstLineChars="200" w:firstLine="560"/>
        <w:outlineLvl w:val="1"/>
        <w:rPr>
          <w:rFonts w:ascii="Times New Roman" w:hAnsi="Times New Roman" w:cs="Times New Roman"/>
          <w:b/>
          <w:bCs/>
          <w:sz w:val="28"/>
          <w:szCs w:val="28"/>
        </w:rPr>
      </w:pPr>
      <w:bookmarkStart w:id="12" w:name="_Toc25040"/>
      <w:r w:rsidRPr="00D75C6D">
        <w:rPr>
          <w:rFonts w:ascii="Times New Roman" w:hAnsi="Times New Roman" w:cs="Times New Roman"/>
          <w:b/>
          <w:bCs/>
          <w:sz w:val="28"/>
          <w:szCs w:val="28"/>
        </w:rPr>
        <w:t>5.1.1 Strategy Clock Analysis</w:t>
      </w:r>
      <w:bookmarkEnd w:id="12"/>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P&amp;G is not a pure cost leader, but it is closer to differentiation than it is to being a full-fledged premium player using the Strategy Clock. The model is important in this case since competitive strength relies on the fact that price should be supported by perceived value; when prices increase without any obvious benefit to customers, companies will slide into weaker positions (Bowman and Faulkner, 1997). Repeat purchase in FMCG continues to be influenced by performance and affordability hence a restricted hybrid logic is more plausible. Sustainable packaging can thus help to promote advantage only when consumers perceive it as an extra feature instead of inconvenience or uncertainty, which is mirrored in studies on consumer reactions to environmentally friendly packaging (Ketelsen et al., 2020)</w:t>
      </w:r>
    </w:p>
    <w:p w:rsidR="00734D26" w:rsidRPr="00D75C6D" w:rsidRDefault="00000000">
      <w:pPr>
        <w:spacing w:line="360" w:lineRule="auto"/>
        <w:ind w:firstLineChars="200" w:firstLine="560"/>
        <w:outlineLvl w:val="1"/>
        <w:rPr>
          <w:rFonts w:ascii="Times New Roman" w:hAnsi="Times New Roman" w:cs="Times New Roman"/>
          <w:b/>
          <w:bCs/>
          <w:sz w:val="28"/>
          <w:szCs w:val="28"/>
        </w:rPr>
      </w:pPr>
      <w:bookmarkStart w:id="13" w:name="_Toc28417"/>
      <w:r w:rsidRPr="00D75C6D">
        <w:rPr>
          <w:rFonts w:ascii="Times New Roman" w:hAnsi="Times New Roman" w:cs="Times New Roman"/>
          <w:b/>
          <w:bCs/>
          <w:sz w:val="28"/>
          <w:szCs w:val="28"/>
        </w:rPr>
        <w:t>5.1.2 Competitive Positioning and Strategic Implications</w:t>
      </w:r>
      <w:bookmarkEnd w:id="13"/>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lastRenderedPageBreak/>
        <w:t>This positioning also explains why P&amp;G should be a little cautious about sustainability. According to Bowman and Faulkner (1997), competitive positions are determined by the balance between price and perceived value, and firms risk weaker positions when prices increase without an equivalent increase in customer benefit. This is important here because if sustainable packaging is only used as a higher cost rather than as an added value, it cannot create a strategic advantage. A purely differentiated strategy will encourage P&amp;G to make sustainability a stronger point of differentiation, but this logic can only stand up when customers can clearly see and reward additional benefits.</w:t>
      </w:r>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In the second quarter, P&amp;G (2026) said that net sales increased by 1%, and organic sales were unchanged, because the 1% increase in price is offset by the 1% decrease in quantity. This shows that a market is still price-sensitive, not one is willing to pay higher packaging fees automatically. In this regard, it is accurately described as a balance of differentiation and mixed discipline, using packaging to support brand value while maintaining affordability and competitive fit.</w:t>
      </w:r>
    </w:p>
    <w:p w:rsidR="00734D26" w:rsidRPr="00D75C6D" w:rsidRDefault="00000000">
      <w:pPr>
        <w:spacing w:line="360" w:lineRule="auto"/>
        <w:ind w:firstLineChars="200" w:firstLine="560"/>
        <w:outlineLvl w:val="1"/>
        <w:rPr>
          <w:rFonts w:ascii="Times New Roman" w:hAnsi="Times New Roman" w:cs="Times New Roman"/>
          <w:b/>
          <w:bCs/>
          <w:sz w:val="28"/>
          <w:szCs w:val="28"/>
        </w:rPr>
      </w:pPr>
      <w:bookmarkStart w:id="14" w:name="_Toc20916"/>
      <w:r w:rsidRPr="00D75C6D">
        <w:rPr>
          <w:rFonts w:ascii="Times New Roman" w:hAnsi="Times New Roman" w:cs="Times New Roman"/>
          <w:b/>
          <w:bCs/>
          <w:sz w:val="28"/>
          <w:szCs w:val="28"/>
        </w:rPr>
        <w:t>5.1.3 Ansoff Matrix Analysis</w:t>
      </w:r>
      <w:bookmarkEnd w:id="14"/>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According to the Matrix by Ansoff (1957), the most plausible direction of P&amp;G is product development and market penetration is a secondary one. The merit of the framework in this case is that it makes a distinction between growth opportunities that are riskier than others. In a company under sustainability pressure, enhancing existing offers in established markets tends to be more feasible than entering new areas or diversifying too widely. This is well applicable to P&amp;G (2024) as the company already has a presence in the established daily-use categories with high brand awareness, retail reach and size. Instead of growing the business into new markets where complexity would increase without necessarily increasing strategic fit, packaging innovation can thus be employed to enhance existing offers.</w:t>
      </w:r>
    </w:p>
    <w:p w:rsidR="00734D26" w:rsidRPr="00D75C6D" w:rsidRDefault="00000000">
      <w:pPr>
        <w:spacing w:line="360" w:lineRule="auto"/>
        <w:ind w:firstLineChars="200" w:firstLine="560"/>
        <w:outlineLvl w:val="0"/>
        <w:rPr>
          <w:rFonts w:ascii="Times New Roman" w:hAnsi="Times New Roman" w:cs="Times New Roman"/>
          <w:b/>
          <w:bCs/>
          <w:sz w:val="28"/>
          <w:szCs w:val="28"/>
        </w:rPr>
      </w:pPr>
      <w:bookmarkStart w:id="15" w:name="_Toc243"/>
      <w:r w:rsidRPr="00D75C6D">
        <w:rPr>
          <w:rFonts w:ascii="Times New Roman" w:hAnsi="Times New Roman" w:cs="Times New Roman"/>
          <w:b/>
          <w:bCs/>
          <w:sz w:val="28"/>
          <w:szCs w:val="28"/>
        </w:rPr>
        <w:t>6.1 Sustainability and Strategic Recommendations</w:t>
      </w:r>
      <w:bookmarkEnd w:id="15"/>
    </w:p>
    <w:p w:rsidR="00734D26" w:rsidRPr="00D75C6D" w:rsidRDefault="00000000">
      <w:pPr>
        <w:spacing w:line="360" w:lineRule="auto"/>
        <w:ind w:firstLineChars="200" w:firstLine="560"/>
        <w:outlineLvl w:val="1"/>
        <w:rPr>
          <w:rFonts w:ascii="Times New Roman" w:hAnsi="Times New Roman" w:cs="Times New Roman"/>
          <w:b/>
          <w:bCs/>
          <w:sz w:val="28"/>
          <w:szCs w:val="28"/>
        </w:rPr>
      </w:pPr>
      <w:bookmarkStart w:id="16" w:name="_Toc19102"/>
      <w:r w:rsidRPr="00D75C6D">
        <w:rPr>
          <w:rFonts w:ascii="Times New Roman" w:hAnsi="Times New Roman" w:cs="Times New Roman"/>
          <w:b/>
          <w:bCs/>
          <w:sz w:val="28"/>
          <w:szCs w:val="28"/>
        </w:rPr>
        <w:lastRenderedPageBreak/>
        <w:t>6.1.1 Strategic Direction</w:t>
      </w:r>
      <w:bookmarkEnd w:id="16"/>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The analysis indicates that P&amp;G does not require a new strategic direction as much as a more selective way of using its existing strengths. SWOT analysis is a very useful tool in strategy. If an enterprise can turn external pressure into internal ability instead of adopting a solution that is no different from before, it can deal with enterprise problems more effectively (Weihrich, 1982). The recent sustainability progress of P&amp;G points in the same direction. The company has improved recyclable packaging design and increased the use of recycled resin, but it also recognises that some formats, especially small-size and flexible packaging, are still difficult to scale. This suggests that the central issue is no longer whether P&amp;G is committed, but where focused implementation is most likely to produce credible environmental and commercial gains (Procter and Gamble, 2025).</w:t>
      </w:r>
    </w:p>
    <w:p w:rsidR="00734D26" w:rsidRPr="00D75C6D" w:rsidRDefault="00000000">
      <w:pPr>
        <w:spacing w:line="360" w:lineRule="auto"/>
        <w:ind w:firstLineChars="200" w:firstLine="560"/>
        <w:outlineLvl w:val="1"/>
        <w:rPr>
          <w:rFonts w:ascii="Times New Roman" w:hAnsi="Times New Roman" w:cs="Times New Roman"/>
          <w:b/>
          <w:bCs/>
          <w:sz w:val="28"/>
          <w:szCs w:val="28"/>
        </w:rPr>
      </w:pPr>
      <w:bookmarkStart w:id="17" w:name="_Toc3867"/>
      <w:r w:rsidRPr="00D75C6D">
        <w:rPr>
          <w:rFonts w:ascii="Times New Roman" w:hAnsi="Times New Roman" w:cs="Times New Roman"/>
          <w:b/>
          <w:bCs/>
          <w:sz w:val="28"/>
          <w:szCs w:val="28"/>
        </w:rPr>
        <w:t>6.1.2 Recommendation</w:t>
      </w:r>
      <w:bookmarkEnd w:id="17"/>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P&amp;G ought to focus on category-based product development instead of using one packaging model in the entire portfolio. Packaging change is not effective in all categories in FMCG, as results are determined by convenience, cost, fit and coordination with partners in operations. Selective strategy is thus more viable than general standardisation particularly where P&amp;G already has the size and capacity to effect change efficiently (Bocken et al., 2022). This also aligns with the broader sustainability agenda that emphasizes reduction, reuse and functional redesign, but not material substitution only (United Nations Environment Programme, 2023).</w:t>
      </w:r>
    </w:p>
    <w:p w:rsidR="00734D26" w:rsidRPr="00D75C6D" w:rsidRDefault="00000000">
      <w:pPr>
        <w:spacing w:line="360" w:lineRule="auto"/>
        <w:ind w:firstLineChars="200" w:firstLine="560"/>
        <w:outlineLvl w:val="1"/>
        <w:rPr>
          <w:rFonts w:ascii="Times New Roman" w:hAnsi="Times New Roman" w:cs="Times New Roman"/>
          <w:b/>
          <w:bCs/>
          <w:sz w:val="28"/>
          <w:szCs w:val="28"/>
        </w:rPr>
      </w:pPr>
      <w:bookmarkStart w:id="18" w:name="_Toc9756"/>
      <w:r w:rsidRPr="00D75C6D">
        <w:rPr>
          <w:rFonts w:ascii="Times New Roman" w:hAnsi="Times New Roman" w:cs="Times New Roman"/>
          <w:b/>
          <w:bCs/>
          <w:sz w:val="28"/>
          <w:szCs w:val="28"/>
        </w:rPr>
        <w:t>6.1.3 Trend</w:t>
      </w:r>
      <w:bookmarkEnd w:id="18"/>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 xml:space="preserve">The packaging is to be considered as a consumer-value problem instead of a materials problem only. Boz et al. (2020) demonstrate that the responses of consumers to sustainable packaging are highly dependent on the way in which environmental characteristics are conveyed and interpreted. P&amp;G must thus experiment with redesigns before expanding them and collaborate with suppliers and retail partners so </w:t>
      </w:r>
      <w:r w:rsidRPr="00D75C6D">
        <w:rPr>
          <w:rFonts w:ascii="Times New Roman" w:hAnsi="Times New Roman" w:cs="Times New Roman"/>
          <w:sz w:val="24"/>
        </w:rPr>
        <w:lastRenderedPageBreak/>
        <w:t>that new packaging will not be disbelieved, convenient to use and commercially viable.</w:t>
      </w:r>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P&amp;G also needs to formalise a packaging decision framework. Weinrich et al. (2024) demonstrate that sustainable packaging decisions are typically loosely structured, slow and constrained by technical and organisational factors. A more robust cross-functional process would help P&amp;G compare options across categories more consistently, reduce symbolic change and improve execution.</w:t>
      </w:r>
    </w:p>
    <w:p w:rsidR="00734D26" w:rsidRPr="00D75C6D" w:rsidRDefault="00000000">
      <w:pPr>
        <w:spacing w:line="360" w:lineRule="auto"/>
        <w:ind w:firstLineChars="200" w:firstLine="560"/>
        <w:outlineLvl w:val="0"/>
        <w:rPr>
          <w:rFonts w:ascii="Times New Roman" w:hAnsi="Times New Roman" w:cs="Times New Roman"/>
          <w:b/>
          <w:bCs/>
          <w:sz w:val="28"/>
          <w:szCs w:val="28"/>
        </w:rPr>
      </w:pPr>
      <w:bookmarkStart w:id="19" w:name="_Toc6369"/>
      <w:r w:rsidRPr="00D75C6D">
        <w:rPr>
          <w:rFonts w:ascii="Times New Roman" w:hAnsi="Times New Roman" w:cs="Times New Roman"/>
          <w:b/>
          <w:bCs/>
          <w:sz w:val="28"/>
          <w:szCs w:val="28"/>
        </w:rPr>
        <w:t>7.1 Conclusion</w:t>
      </w:r>
      <w:bookmarkEnd w:id="19"/>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This report argues that sustainable packaging should be treated not as a separate sustainability agenda, but as a strategic issue embedded in P&amp;G’s core business model. The external analysis showed that regulation, resource pressure, retailer expectations, and circular-economy demands are reshaping competition in FMCG. Most importantly, the evaluation of enterprises now depends on whether they can achieve environmental protection without affecting product price, product performance or operational reliability. Therefore, green packaging is an important factor in the sustainable development of enterprises, which is important in the strategy.</w:t>
      </w:r>
    </w:p>
    <w:p w:rsidR="00734D26" w:rsidRPr="00D75C6D" w:rsidRDefault="00000000">
      <w:pPr>
        <w:spacing w:line="360" w:lineRule="auto"/>
        <w:ind w:firstLineChars="200" w:firstLine="480"/>
        <w:rPr>
          <w:rFonts w:ascii="Times New Roman" w:hAnsi="Times New Roman" w:cs="Times New Roman"/>
          <w:sz w:val="24"/>
        </w:rPr>
      </w:pPr>
      <w:r w:rsidRPr="00D75C6D">
        <w:rPr>
          <w:rFonts w:ascii="Times New Roman" w:hAnsi="Times New Roman" w:cs="Times New Roman"/>
          <w:sz w:val="24"/>
        </w:rPr>
        <w:t>Internal analysis shows that P&amp;G is better than most of its competitors, but this does not mean that it is absolutely safe. It has the advantages of scale, brand portfolio, distribution network, etc., which bring significant benefits. The large scale of the company can be used for innovative research. When new materials, new equipment, supplier relationships and communication methods are needed, it may also slow down the speed of adaptation. That's why the problem of P&amp;G's resources is not whether it owns these resources, but whether it can transform these resources into timely and commercially feasible decisions. In general, sustainable packaging will only bring benefits if the strategic fit affects the response of enterprises.</w:t>
      </w:r>
    </w:p>
    <w:p w:rsidR="00734D26" w:rsidRPr="00D75C6D" w:rsidRDefault="00000000">
      <w:pPr>
        <w:spacing w:line="279" w:lineRule="auto"/>
        <w:ind w:left="560" w:hangingChars="200" w:hanging="560"/>
        <w:outlineLvl w:val="0"/>
        <w:rPr>
          <w:rFonts w:ascii="Times New Roman" w:hAnsi="Times New Roman" w:cs="Times New Roman"/>
          <w:b/>
          <w:bCs/>
          <w:sz w:val="28"/>
          <w:szCs w:val="28"/>
        </w:rPr>
      </w:pPr>
      <w:bookmarkStart w:id="20" w:name="_Toc10661"/>
      <w:r w:rsidRPr="00D75C6D">
        <w:rPr>
          <w:rFonts w:ascii="Times New Roman" w:hAnsi="Times New Roman" w:cs="Times New Roman"/>
          <w:b/>
          <w:bCs/>
          <w:sz w:val="28"/>
          <w:szCs w:val="28"/>
        </w:rPr>
        <w:t>8.1 Reference List</w:t>
      </w:r>
      <w:bookmarkEnd w:id="20"/>
    </w:p>
    <w:p w:rsidR="00734D26" w:rsidRPr="00D75C6D" w:rsidRDefault="00000000">
      <w:pPr>
        <w:numPr>
          <w:ilvl w:val="0"/>
          <w:numId w:val="1"/>
        </w:numPr>
        <w:ind w:left="480" w:hangingChars="200" w:hanging="480"/>
        <w:rPr>
          <w:rFonts w:ascii="Times New Roman" w:hAnsi="Times New Roman" w:cs="Times New Roman"/>
          <w:sz w:val="24"/>
        </w:rPr>
      </w:pPr>
      <w:r w:rsidRPr="00D75C6D">
        <w:rPr>
          <w:rFonts w:ascii="Times New Roman" w:hAnsi="Times New Roman" w:cs="Times New Roman"/>
          <w:sz w:val="24"/>
        </w:rPr>
        <w:lastRenderedPageBreak/>
        <w:t>Afif, K., Rebolledo, C. and Roy, J. (2022) ‘Drivers, barriers and performance outcomes of sustainable packaging: A systematic literature review’, British Food Journal, 124(3), pp. 915–935.</w:t>
      </w:r>
    </w:p>
    <w:p w:rsidR="00734D26" w:rsidRPr="00D75C6D" w:rsidRDefault="00000000">
      <w:pPr>
        <w:numPr>
          <w:ilvl w:val="0"/>
          <w:numId w:val="1"/>
        </w:numPr>
        <w:ind w:left="480" w:hangingChars="200" w:hanging="480"/>
        <w:rPr>
          <w:rFonts w:ascii="Times New Roman" w:hAnsi="Times New Roman" w:cs="Times New Roman"/>
          <w:sz w:val="24"/>
        </w:rPr>
      </w:pPr>
      <w:r w:rsidRPr="00D75C6D">
        <w:rPr>
          <w:rFonts w:ascii="Times New Roman" w:hAnsi="Times New Roman" w:cs="Times New Roman"/>
          <w:sz w:val="24"/>
        </w:rPr>
        <w:t>Ansoff, H.I. (1957) ‘Strategies for diversification’, Harvard Business Review, 35(5), pp. 113–124.</w:t>
      </w:r>
    </w:p>
    <w:p w:rsidR="00734D26" w:rsidRPr="00D75C6D" w:rsidRDefault="00000000">
      <w:pPr>
        <w:numPr>
          <w:ilvl w:val="0"/>
          <w:numId w:val="1"/>
        </w:numPr>
        <w:ind w:left="480" w:hangingChars="200" w:hanging="480"/>
        <w:rPr>
          <w:rFonts w:ascii="Times New Roman" w:hAnsi="Times New Roman" w:cs="Times New Roman"/>
          <w:sz w:val="24"/>
        </w:rPr>
      </w:pPr>
      <w:r w:rsidRPr="00D75C6D">
        <w:rPr>
          <w:rFonts w:ascii="Times New Roman" w:hAnsi="Times New Roman" w:cs="Times New Roman"/>
          <w:sz w:val="24"/>
        </w:rPr>
        <w:t>Barney, J.B. and Hesterly</w:t>
      </w:r>
      <w:r w:rsidR="00D75C6D">
        <w:rPr>
          <w:rFonts w:ascii="Times New Roman" w:hAnsi="Times New Roman" w:cs="Times New Roman" w:hint="eastAsia"/>
          <w:sz w:val="24"/>
        </w:rPr>
        <w:t xml:space="preserve">, </w:t>
      </w:r>
      <w:r w:rsidRPr="00D75C6D">
        <w:rPr>
          <w:rFonts w:ascii="Times New Roman" w:hAnsi="Times New Roman" w:cs="Times New Roman"/>
          <w:sz w:val="24"/>
        </w:rPr>
        <w:t>W.S. (2008) Strategic management and competitive advantage: Concepts and cases. 2nd edn. Upper Saddle River, NJ: Pearson/Prentice Hall.</w:t>
      </w:r>
    </w:p>
    <w:p w:rsidR="00734D26" w:rsidRPr="00D75C6D" w:rsidRDefault="00000000">
      <w:pPr>
        <w:numPr>
          <w:ilvl w:val="0"/>
          <w:numId w:val="1"/>
        </w:numPr>
        <w:ind w:left="480" w:hangingChars="200" w:hanging="480"/>
        <w:rPr>
          <w:rFonts w:ascii="Times New Roman" w:hAnsi="Times New Roman" w:cs="Times New Roman"/>
          <w:sz w:val="24"/>
        </w:rPr>
      </w:pPr>
      <w:r w:rsidRPr="00D75C6D">
        <w:rPr>
          <w:rFonts w:ascii="Times New Roman" w:hAnsi="Times New Roman" w:cs="Times New Roman"/>
          <w:sz w:val="24"/>
        </w:rPr>
        <w:t>Bocken, N.M.P., Harsch, A. and Weissbrod, I. (2022) ‘Circular business models for the fastmoving consumer goods industry: Desirability, feasibility, and viability’, Sustainable Production and Consumption, 30, pp. 799–814.</w:t>
      </w:r>
    </w:p>
    <w:p w:rsidR="00734D26" w:rsidRPr="00D75C6D" w:rsidRDefault="00000000">
      <w:pPr>
        <w:numPr>
          <w:ilvl w:val="0"/>
          <w:numId w:val="1"/>
        </w:numPr>
        <w:ind w:left="480" w:hangingChars="200" w:hanging="480"/>
        <w:rPr>
          <w:rFonts w:ascii="Times New Roman" w:hAnsi="Times New Roman" w:cs="Times New Roman"/>
          <w:sz w:val="24"/>
        </w:rPr>
      </w:pPr>
      <w:r w:rsidRPr="00D75C6D">
        <w:rPr>
          <w:rFonts w:ascii="Times New Roman" w:hAnsi="Times New Roman" w:cs="Times New Roman"/>
          <w:sz w:val="24"/>
        </w:rPr>
        <w:t>Boz, Z., Korhonen, V. and Koelsch Sand, C. (2020) ‘Consumer considerations for the implementation of sustainable packaging: A review’, Sustainability, 12(6), 2192.</w:t>
      </w:r>
    </w:p>
    <w:p w:rsidR="00734D26" w:rsidRPr="00D75C6D" w:rsidRDefault="00000000">
      <w:pPr>
        <w:numPr>
          <w:ilvl w:val="0"/>
          <w:numId w:val="1"/>
        </w:numPr>
        <w:ind w:left="480" w:hangingChars="200" w:hanging="480"/>
        <w:rPr>
          <w:rFonts w:ascii="Times New Roman" w:hAnsi="Times New Roman" w:cs="Times New Roman"/>
          <w:sz w:val="24"/>
        </w:rPr>
      </w:pPr>
      <w:r w:rsidRPr="00D75C6D">
        <w:rPr>
          <w:rFonts w:ascii="Times New Roman" w:hAnsi="Times New Roman" w:cs="Times New Roman"/>
          <w:sz w:val="24"/>
        </w:rPr>
        <w:t>Bowman, C. and Faulkner, D. (1997) Competitive and corporate strategy. London: Irwin.</w:t>
      </w:r>
    </w:p>
    <w:p w:rsidR="00734D26" w:rsidRPr="00D75C6D" w:rsidRDefault="00000000">
      <w:pPr>
        <w:numPr>
          <w:ilvl w:val="0"/>
          <w:numId w:val="1"/>
        </w:numPr>
        <w:ind w:left="480" w:hangingChars="200" w:hanging="480"/>
        <w:rPr>
          <w:rFonts w:ascii="Times New Roman" w:hAnsi="Times New Roman" w:cs="Times New Roman"/>
          <w:sz w:val="24"/>
        </w:rPr>
      </w:pPr>
      <w:r w:rsidRPr="00D75C6D">
        <w:rPr>
          <w:rFonts w:ascii="Times New Roman" w:hAnsi="Times New Roman" w:cs="Times New Roman"/>
          <w:sz w:val="24"/>
        </w:rPr>
        <w:t>de Koeijer, B., De Lange, J. and Wever, R. (2017) ‘Desired, perceived, and achieved sustainability: Trade-offs in strategic and operational packaging development’, Sustainability, 9(10), 1923.</w:t>
      </w:r>
    </w:p>
    <w:p w:rsidR="00D75C6D" w:rsidRDefault="00000000" w:rsidP="00D75C6D">
      <w:pPr>
        <w:numPr>
          <w:ilvl w:val="0"/>
          <w:numId w:val="1"/>
        </w:numPr>
        <w:ind w:left="480" w:hangingChars="200" w:hanging="480"/>
        <w:rPr>
          <w:rFonts w:ascii="Times New Roman" w:hAnsi="Times New Roman" w:cs="Times New Roman"/>
          <w:sz w:val="24"/>
        </w:rPr>
      </w:pPr>
      <w:r w:rsidRPr="00D75C6D">
        <w:rPr>
          <w:rFonts w:ascii="Times New Roman" w:hAnsi="Times New Roman" w:cs="Times New Roman"/>
          <w:sz w:val="24"/>
        </w:rPr>
        <w:t xml:space="preserve">Ellen MacArthur Foundation (2024) The Global Commitment 2024 progress report. Available at: </w:t>
      </w:r>
      <w:hyperlink r:id="rId9" w:history="1">
        <w:r w:rsidR="00D75C6D" w:rsidRPr="006E0075">
          <w:rPr>
            <w:rStyle w:val="ae"/>
            <w:rFonts w:ascii="Times New Roman" w:hAnsi="Times New Roman" w:cs="Times New Roman"/>
            <w:sz w:val="24"/>
          </w:rPr>
          <w:t>https://content.ellenmacarthurfoundation.org/m/528a7cd095787dec/original/The-Global-Commitment-2024-Progress-Report.pd</w:t>
        </w:r>
        <w:r w:rsidR="00D75C6D" w:rsidRPr="006E0075">
          <w:rPr>
            <w:rStyle w:val="ae"/>
            <w:rFonts w:ascii="Times New Roman" w:hAnsi="Times New Roman" w:cs="Times New Roman" w:hint="eastAsia"/>
            <w:sz w:val="24"/>
          </w:rPr>
          <w:t>f</w:t>
        </w:r>
      </w:hyperlink>
    </w:p>
    <w:p w:rsidR="00D75C6D" w:rsidRDefault="00000000" w:rsidP="00D75C6D">
      <w:pPr>
        <w:numPr>
          <w:ilvl w:val="0"/>
          <w:numId w:val="1"/>
        </w:numPr>
        <w:ind w:left="480" w:hangingChars="200" w:hanging="480"/>
        <w:rPr>
          <w:rFonts w:ascii="Times New Roman" w:hAnsi="Times New Roman" w:cs="Times New Roman"/>
          <w:sz w:val="24"/>
        </w:rPr>
      </w:pPr>
      <w:r w:rsidRPr="00D75C6D">
        <w:rPr>
          <w:rFonts w:ascii="Times New Roman" w:hAnsi="Times New Roman" w:cs="Times New Roman"/>
          <w:sz w:val="24"/>
        </w:rPr>
        <w:t xml:space="preserve">European Union (2025) Regulation (EU) 2025/40 of the European Parliament and of the Council of 19 December 2024 on packaging and packaging waste, amending Regulation (EU) 2019/1020 and Directive (EU) 2019/904, and repealing Directive 94/62/EC. Available at: </w:t>
      </w:r>
      <w:hyperlink r:id="rId10" w:history="1">
        <w:r w:rsidR="00D75C6D" w:rsidRPr="006E0075">
          <w:rPr>
            <w:rStyle w:val="ae"/>
            <w:rFonts w:ascii="Times New Roman" w:hAnsi="Times New Roman" w:cs="Times New Roman"/>
            <w:sz w:val="24"/>
          </w:rPr>
          <w:t>https://eur-lex.europa.eu/legal-content/EN/TXT/?uri=CELEX:32025R0040</w:t>
        </w:r>
      </w:hyperlink>
    </w:p>
    <w:p w:rsidR="00734D26" w:rsidRPr="00D75C6D" w:rsidRDefault="00000000" w:rsidP="00D75C6D">
      <w:pPr>
        <w:numPr>
          <w:ilvl w:val="0"/>
          <w:numId w:val="1"/>
        </w:numPr>
        <w:ind w:left="480" w:hangingChars="200" w:hanging="480"/>
        <w:rPr>
          <w:rFonts w:ascii="Times New Roman" w:hAnsi="Times New Roman" w:cs="Times New Roman"/>
          <w:sz w:val="24"/>
        </w:rPr>
      </w:pPr>
      <w:r w:rsidRPr="00D75C6D">
        <w:rPr>
          <w:rFonts w:ascii="Times New Roman" w:hAnsi="Times New Roman" w:cs="Times New Roman"/>
          <w:sz w:val="24"/>
        </w:rPr>
        <w:t>Herrmann, C., Rhein, S. and Sträter, K.F. (2022) ‘Consumers’ sustainability-related perception of and willingness-to-pay for food packaging alternatives’, Resources, Conservation and Recycling, 181, 106219.</w:t>
      </w:r>
    </w:p>
    <w:p w:rsidR="00734D26" w:rsidRPr="00D75C6D" w:rsidRDefault="00000000">
      <w:pPr>
        <w:numPr>
          <w:ilvl w:val="0"/>
          <w:numId w:val="1"/>
        </w:numPr>
        <w:ind w:left="480" w:hangingChars="200" w:hanging="480"/>
        <w:rPr>
          <w:rFonts w:ascii="Times New Roman" w:hAnsi="Times New Roman" w:cs="Times New Roman"/>
          <w:sz w:val="24"/>
        </w:rPr>
      </w:pPr>
      <w:r w:rsidRPr="00D75C6D">
        <w:rPr>
          <w:rFonts w:ascii="Times New Roman" w:hAnsi="Times New Roman" w:cs="Times New Roman"/>
          <w:sz w:val="24"/>
        </w:rPr>
        <w:t>Ketelsen, M., Janssen, M. and Hamm, U. (2020) ‘Consumers’ response to environmentally-friendly food packaging: A systematic review’, Journal of Cleaner Production, 254, 120123.</w:t>
      </w:r>
    </w:p>
    <w:p w:rsidR="00734D26" w:rsidRPr="00D75C6D" w:rsidRDefault="00000000">
      <w:pPr>
        <w:numPr>
          <w:ilvl w:val="0"/>
          <w:numId w:val="1"/>
        </w:numPr>
        <w:rPr>
          <w:rFonts w:ascii="Times New Roman" w:hAnsi="Times New Roman" w:cs="Times New Roman"/>
          <w:sz w:val="24"/>
        </w:rPr>
      </w:pPr>
      <w:r w:rsidRPr="00D75C6D">
        <w:rPr>
          <w:rFonts w:ascii="Times New Roman" w:hAnsi="Times New Roman" w:cs="Times New Roman"/>
          <w:sz w:val="24"/>
        </w:rPr>
        <w:lastRenderedPageBreak/>
        <w:t>Mattia, G., Pratesi, C.A., D’Eramo, I. and Principato, L. (2021) ‘Recognizing the key drivers and industry implications of sustainable packaging design: A mixed-method approach’, Sustainability, 13(9), 5299.</w:t>
      </w:r>
    </w:p>
    <w:p w:rsidR="00734D26" w:rsidRPr="00D75C6D" w:rsidRDefault="00000000">
      <w:pPr>
        <w:numPr>
          <w:ilvl w:val="0"/>
          <w:numId w:val="1"/>
        </w:numPr>
        <w:rPr>
          <w:rFonts w:ascii="Times New Roman" w:hAnsi="Times New Roman" w:cs="Times New Roman"/>
          <w:sz w:val="24"/>
        </w:rPr>
      </w:pPr>
      <w:r w:rsidRPr="00D75C6D">
        <w:rPr>
          <w:rFonts w:ascii="Times New Roman" w:hAnsi="Times New Roman" w:cs="Times New Roman"/>
          <w:sz w:val="24"/>
        </w:rPr>
        <w:t>Norton, V., Waters, C., Oloyede, O.O. and Lignou, S. (2022) ‘Exploring consumers’ understanding and perception of sustainable food packaging in the UK’, Foods, 11(21), 3424.</w:t>
      </w:r>
    </w:p>
    <w:p w:rsidR="00D75C6D" w:rsidRDefault="00000000" w:rsidP="00D75C6D">
      <w:pPr>
        <w:numPr>
          <w:ilvl w:val="0"/>
          <w:numId w:val="1"/>
        </w:numPr>
        <w:rPr>
          <w:rFonts w:ascii="Times New Roman" w:hAnsi="Times New Roman" w:cs="Times New Roman"/>
          <w:sz w:val="24"/>
        </w:rPr>
      </w:pPr>
      <w:r w:rsidRPr="00D75C6D">
        <w:rPr>
          <w:rFonts w:ascii="Times New Roman" w:hAnsi="Times New Roman" w:cs="Times New Roman"/>
          <w:sz w:val="24"/>
        </w:rPr>
        <w:t xml:space="preserve">OECD (2022) Global plastics outlook: Economic drivers, environmental impacts and policy options. Paris: OECD Publishing. Available at: </w:t>
      </w:r>
      <w:hyperlink r:id="rId11" w:history="1">
        <w:r w:rsidR="00D75C6D" w:rsidRPr="006E0075">
          <w:rPr>
            <w:rStyle w:val="ae"/>
            <w:rFonts w:ascii="Times New Roman" w:hAnsi="Times New Roman" w:cs="Times New Roman"/>
            <w:sz w:val="24"/>
          </w:rPr>
          <w:t>https://www.oecd.org/en/publications/global-plastics-outlook_de747aef-en.html</w:t>
        </w:r>
      </w:hyperlink>
    </w:p>
    <w:p w:rsidR="00734D26" w:rsidRPr="00D75C6D" w:rsidRDefault="00000000" w:rsidP="00D75C6D">
      <w:pPr>
        <w:numPr>
          <w:ilvl w:val="0"/>
          <w:numId w:val="1"/>
        </w:numPr>
        <w:rPr>
          <w:rFonts w:ascii="Times New Roman" w:hAnsi="Times New Roman" w:cs="Times New Roman"/>
          <w:sz w:val="24"/>
        </w:rPr>
      </w:pPr>
      <w:r w:rsidRPr="00D75C6D">
        <w:rPr>
          <w:rFonts w:ascii="Times New Roman" w:hAnsi="Times New Roman" w:cs="Times New Roman"/>
          <w:sz w:val="24"/>
        </w:rPr>
        <w:t>Porter, M.E. (1985) Competitive advantage: Creating and sustaining superior performance. New York: Free Press.</w:t>
      </w:r>
    </w:p>
    <w:p w:rsidR="00D75C6D" w:rsidRDefault="00000000" w:rsidP="00D75C6D">
      <w:pPr>
        <w:numPr>
          <w:ilvl w:val="0"/>
          <w:numId w:val="1"/>
        </w:numPr>
        <w:rPr>
          <w:rFonts w:ascii="Times New Roman" w:hAnsi="Times New Roman" w:cs="Times New Roman"/>
          <w:sz w:val="24"/>
        </w:rPr>
      </w:pPr>
      <w:r w:rsidRPr="00D75C6D">
        <w:rPr>
          <w:rFonts w:ascii="Times New Roman" w:hAnsi="Times New Roman" w:cs="Times New Roman"/>
          <w:sz w:val="24"/>
        </w:rPr>
        <w:t xml:space="preserve">Procter &amp; Gamble (2024) 2024 Annual Report. Available at: </w:t>
      </w:r>
      <w:hyperlink r:id="rId12" w:history="1">
        <w:r w:rsidR="00D75C6D" w:rsidRPr="006E0075">
          <w:rPr>
            <w:rStyle w:val="ae"/>
            <w:rFonts w:ascii="Times New Roman" w:hAnsi="Times New Roman" w:cs="Times New Roman"/>
            <w:sz w:val="24"/>
          </w:rPr>
          <w:t>https://us.pg.com/annualreport2024/</w:t>
        </w:r>
      </w:hyperlink>
    </w:p>
    <w:p w:rsidR="00D75C6D" w:rsidRDefault="00000000" w:rsidP="00D75C6D">
      <w:pPr>
        <w:numPr>
          <w:ilvl w:val="0"/>
          <w:numId w:val="1"/>
        </w:numPr>
        <w:rPr>
          <w:rFonts w:ascii="Times New Roman" w:hAnsi="Times New Roman" w:cs="Times New Roman"/>
          <w:sz w:val="24"/>
        </w:rPr>
      </w:pPr>
      <w:r w:rsidRPr="00D75C6D">
        <w:rPr>
          <w:rFonts w:ascii="Times New Roman" w:hAnsi="Times New Roman" w:cs="Times New Roman"/>
          <w:sz w:val="24"/>
        </w:rPr>
        <w:t xml:space="preserve">Procter &amp; Gamble (2025) P&amp;G Ambition 2030: A mid-point update on our environmental sustainability progress and path forward. Available at: </w:t>
      </w:r>
      <w:hyperlink r:id="rId13" w:history="1">
        <w:r w:rsidR="00D75C6D" w:rsidRPr="006E0075">
          <w:rPr>
            <w:rStyle w:val="ae"/>
            <w:rFonts w:ascii="Times New Roman" w:hAnsi="Times New Roman" w:cs="Times New Roman"/>
            <w:sz w:val="24"/>
          </w:rPr>
          <w:t>https://s204.q4cdn.com/332108499/files/doc_downloads/esg/2025/Ambition-2030-progress-update.pdf</w:t>
        </w:r>
      </w:hyperlink>
    </w:p>
    <w:p w:rsidR="00D75C6D" w:rsidRDefault="00000000" w:rsidP="00D75C6D">
      <w:pPr>
        <w:numPr>
          <w:ilvl w:val="0"/>
          <w:numId w:val="1"/>
        </w:numPr>
        <w:rPr>
          <w:rFonts w:ascii="Times New Roman" w:hAnsi="Times New Roman" w:cs="Times New Roman"/>
          <w:sz w:val="24"/>
        </w:rPr>
      </w:pPr>
      <w:r w:rsidRPr="00D75C6D">
        <w:rPr>
          <w:rFonts w:ascii="Times New Roman" w:hAnsi="Times New Roman" w:cs="Times New Roman"/>
          <w:sz w:val="24"/>
        </w:rPr>
        <w:t xml:space="preserve">Procter &amp; Gamble (2026) P&amp;G Announces Fiscal Year 2026 second quarter results. Available at: </w:t>
      </w:r>
      <w:hyperlink r:id="rId14" w:history="1">
        <w:r w:rsidR="00D75C6D" w:rsidRPr="006E0075">
          <w:rPr>
            <w:rStyle w:val="ae"/>
            <w:rFonts w:ascii="Times New Roman" w:hAnsi="Times New Roman" w:cs="Times New Roman"/>
            <w:sz w:val="24"/>
          </w:rPr>
          <w:t>https://www.pginvestor.com/news/news-details/2026/PG-Announces-Fiscal-Year-2026-Second-Quarter-Results/default.aspx</w:t>
        </w:r>
      </w:hyperlink>
    </w:p>
    <w:p w:rsidR="00D75C6D" w:rsidRDefault="00000000" w:rsidP="00D75C6D">
      <w:pPr>
        <w:numPr>
          <w:ilvl w:val="0"/>
          <w:numId w:val="1"/>
        </w:numPr>
        <w:rPr>
          <w:rFonts w:ascii="Times New Roman" w:hAnsi="Times New Roman" w:cs="Times New Roman"/>
          <w:sz w:val="24"/>
        </w:rPr>
      </w:pPr>
      <w:r w:rsidRPr="00D75C6D">
        <w:rPr>
          <w:rFonts w:ascii="Times New Roman" w:hAnsi="Times New Roman" w:cs="Times New Roman"/>
          <w:sz w:val="24"/>
        </w:rPr>
        <w:t xml:space="preserve">United Nations Environment Programme (2023) Turning off the tap: How the world can end plastic pollution and create a circular economy. Available at: </w:t>
      </w:r>
      <w:hyperlink r:id="rId15" w:history="1">
        <w:r w:rsidR="00D75C6D" w:rsidRPr="006E0075">
          <w:rPr>
            <w:rStyle w:val="ae"/>
            <w:rFonts w:ascii="Times New Roman" w:hAnsi="Times New Roman" w:cs="Times New Roman"/>
            <w:sz w:val="24"/>
          </w:rPr>
          <w:t>https://www.unep.org/resources/turning-off-tap-end-plastic-pollution-create-circular-economy</w:t>
        </w:r>
      </w:hyperlink>
    </w:p>
    <w:p w:rsidR="00734D26" w:rsidRPr="00D75C6D" w:rsidRDefault="00000000" w:rsidP="00D75C6D">
      <w:pPr>
        <w:numPr>
          <w:ilvl w:val="0"/>
          <w:numId w:val="1"/>
        </w:numPr>
        <w:rPr>
          <w:rFonts w:ascii="Times New Roman" w:hAnsi="Times New Roman" w:cs="Times New Roman"/>
          <w:sz w:val="24"/>
        </w:rPr>
      </w:pPr>
      <w:r w:rsidRPr="00D75C6D">
        <w:rPr>
          <w:rFonts w:ascii="Times New Roman" w:hAnsi="Times New Roman" w:cs="Times New Roman"/>
          <w:sz w:val="24"/>
        </w:rPr>
        <w:t>Weihrich, H. (1982) ‘The TOWS matrix—A tool for situational analysis’, Long Range Planning, 15(2), pp. 54–66.</w:t>
      </w:r>
    </w:p>
    <w:p w:rsidR="00734D26" w:rsidRPr="003507FE" w:rsidRDefault="00000000" w:rsidP="003507FE">
      <w:pPr>
        <w:numPr>
          <w:ilvl w:val="0"/>
          <w:numId w:val="1"/>
        </w:numPr>
        <w:rPr>
          <w:rFonts w:ascii="Times New Roman" w:hAnsi="Times New Roman" w:cs="Times New Roman"/>
          <w:sz w:val="24"/>
        </w:rPr>
      </w:pPr>
      <w:r w:rsidRPr="00D75C6D">
        <w:rPr>
          <w:rFonts w:ascii="Times New Roman" w:hAnsi="Times New Roman" w:cs="Times New Roman"/>
          <w:sz w:val="24"/>
        </w:rPr>
        <w:t>Weinrich, R., Mielinger, E., Krauter, V., Arranz, E., Camara Hurtado, R.M., Marcos, B., Poças, F., Ruiz de Maya, S. and Herbes, C. (2024) ‘Decision-making processes on sustainable packaging options in the European food sector’, Journal of Cleaner Production, 434, 139918.</w:t>
      </w:r>
    </w:p>
    <w:sectPr w:rsidR="00734D26" w:rsidRPr="003507FE">
      <w:footerReference w:type="defaul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1312A" w:rsidRPr="00D75C6D" w:rsidRDefault="00E1312A">
      <w:pPr>
        <w:spacing w:line="240" w:lineRule="auto"/>
      </w:pPr>
      <w:r w:rsidRPr="00D75C6D">
        <w:separator/>
      </w:r>
    </w:p>
  </w:endnote>
  <w:endnote w:type="continuationSeparator" w:id="0">
    <w:p w:rsidR="00E1312A" w:rsidRPr="00D75C6D" w:rsidRDefault="00E1312A">
      <w:pPr>
        <w:spacing w:line="240" w:lineRule="auto"/>
      </w:pPr>
      <w:r w:rsidRPr="00D75C6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34D26" w:rsidRPr="00D75C6D" w:rsidRDefault="00000000">
    <w:pPr>
      <w:pStyle w:val="a3"/>
    </w:pPr>
    <w:r w:rsidRPr="00D75C6D">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34D26" w:rsidRPr="00D75C6D" w:rsidRDefault="00000000">
                          <w:pPr>
                            <w:pStyle w:val="a3"/>
                          </w:pPr>
                          <w:r w:rsidRPr="00D75C6D">
                            <w:fldChar w:fldCharType="begin"/>
                          </w:r>
                          <w:r w:rsidRPr="00D75C6D">
                            <w:instrText xml:space="preserve"> PAGE  \* MERGEFORMAT </w:instrText>
                          </w:r>
                          <w:r w:rsidRPr="00D75C6D">
                            <w:fldChar w:fldCharType="separate"/>
                          </w:r>
                          <w:r w:rsidRPr="00D75C6D">
                            <w:t>1</w:t>
                          </w:r>
                          <w:r w:rsidRPr="00D75C6D">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rsidR="00734D26" w:rsidRPr="00D75C6D" w:rsidRDefault="00000000">
                    <w:pPr>
                      <w:pStyle w:val="a3"/>
                    </w:pPr>
                    <w:r w:rsidRPr="00D75C6D">
                      <w:fldChar w:fldCharType="begin"/>
                    </w:r>
                    <w:r w:rsidRPr="00D75C6D">
                      <w:instrText xml:space="preserve"> PAGE  \* MERGEFORMAT </w:instrText>
                    </w:r>
                    <w:r w:rsidRPr="00D75C6D">
                      <w:fldChar w:fldCharType="separate"/>
                    </w:r>
                    <w:r w:rsidRPr="00D75C6D">
                      <w:t>1</w:t>
                    </w:r>
                    <w:r w:rsidRPr="00D75C6D">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1312A" w:rsidRPr="00D75C6D" w:rsidRDefault="00E1312A">
      <w:pPr>
        <w:spacing w:after="0"/>
      </w:pPr>
      <w:r w:rsidRPr="00D75C6D">
        <w:separator/>
      </w:r>
    </w:p>
  </w:footnote>
  <w:footnote w:type="continuationSeparator" w:id="0">
    <w:p w:rsidR="00E1312A" w:rsidRPr="00D75C6D" w:rsidRDefault="00E1312A">
      <w:pPr>
        <w:spacing w:after="0"/>
      </w:pPr>
      <w:r w:rsidRPr="00D75C6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EB95061"/>
    <w:multiLevelType w:val="singleLevel"/>
    <w:tmpl w:val="EEB95061"/>
    <w:lvl w:ilvl="0">
      <w:start w:val="1"/>
      <w:numFmt w:val="decimal"/>
      <w:lvlText w:val="[%1]"/>
      <w:lvlJc w:val="left"/>
      <w:pPr>
        <w:tabs>
          <w:tab w:val="left" w:pos="420"/>
        </w:tabs>
        <w:ind w:left="425" w:hanging="425"/>
      </w:pPr>
      <w:rPr>
        <w:rFonts w:hint="default"/>
      </w:rPr>
    </w:lvl>
  </w:abstractNum>
  <w:num w:numId="1" w16cid:durableId="998775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C3F"/>
    <w:rsid w:val="0010578B"/>
    <w:rsid w:val="00175855"/>
    <w:rsid w:val="0019310B"/>
    <w:rsid w:val="001C43EB"/>
    <w:rsid w:val="001D1C3F"/>
    <w:rsid w:val="001F56E6"/>
    <w:rsid w:val="00215211"/>
    <w:rsid w:val="003507FE"/>
    <w:rsid w:val="0039454D"/>
    <w:rsid w:val="0040044E"/>
    <w:rsid w:val="00427D01"/>
    <w:rsid w:val="00453264"/>
    <w:rsid w:val="004A782C"/>
    <w:rsid w:val="004C3CCB"/>
    <w:rsid w:val="00537E12"/>
    <w:rsid w:val="005922F4"/>
    <w:rsid w:val="00686033"/>
    <w:rsid w:val="006F54E5"/>
    <w:rsid w:val="007028BF"/>
    <w:rsid w:val="00734D26"/>
    <w:rsid w:val="00757793"/>
    <w:rsid w:val="007A562B"/>
    <w:rsid w:val="00897CEF"/>
    <w:rsid w:val="008A01EC"/>
    <w:rsid w:val="008C5851"/>
    <w:rsid w:val="009171A7"/>
    <w:rsid w:val="00994463"/>
    <w:rsid w:val="00A1716B"/>
    <w:rsid w:val="00A504A4"/>
    <w:rsid w:val="00B37AE5"/>
    <w:rsid w:val="00C31ACD"/>
    <w:rsid w:val="00C40555"/>
    <w:rsid w:val="00C653CF"/>
    <w:rsid w:val="00C806A0"/>
    <w:rsid w:val="00CF328E"/>
    <w:rsid w:val="00D60987"/>
    <w:rsid w:val="00D75C6D"/>
    <w:rsid w:val="00DE1E1A"/>
    <w:rsid w:val="00DF6161"/>
    <w:rsid w:val="00E1312A"/>
    <w:rsid w:val="00E14B2B"/>
    <w:rsid w:val="00E72E78"/>
    <w:rsid w:val="00EA15A7"/>
    <w:rsid w:val="00EA5654"/>
    <w:rsid w:val="00F17355"/>
    <w:rsid w:val="00F56E9C"/>
    <w:rsid w:val="21030705"/>
    <w:rsid w:val="2B403590"/>
    <w:rsid w:val="36231FB2"/>
    <w:rsid w:val="487E28FB"/>
    <w:rsid w:val="4A761A22"/>
    <w:rsid w:val="6B390030"/>
    <w:rsid w:val="790272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20FBBD"/>
  <w15:docId w15:val="{1E84F360-FC21-44D9-8743-6C10D89D5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noProof/>
      <w:kern w:val="2"/>
      <w:sz w:val="22"/>
      <w:szCs w:val="24"/>
      <w:lang w:val="en-GB"/>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uiPriority w:val="39"/>
    <w:semiHidden/>
    <w:unhideWhenUsed/>
    <w:qFormat/>
    <w:pPr>
      <w:ind w:leftChars="400" w:left="840"/>
    </w:pPr>
  </w:style>
  <w:style w:type="paragraph" w:styleId="a3">
    <w:name w:val="footer"/>
    <w:basedOn w:val="a"/>
    <w:uiPriority w:val="99"/>
    <w:unhideWhenUsed/>
    <w:qFormat/>
    <w:pPr>
      <w:tabs>
        <w:tab w:val="center" w:pos="4153"/>
        <w:tab w:val="right" w:pos="8306"/>
      </w:tabs>
      <w:snapToGrid w:val="0"/>
    </w:pPr>
    <w:rPr>
      <w:sz w:val="18"/>
    </w:rPr>
  </w:style>
  <w:style w:type="paragraph" w:styleId="a4">
    <w:name w:val="header"/>
    <w:basedOn w:val="a"/>
    <w:uiPriority w:val="99"/>
    <w:unhideWhenUsed/>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pPr>
    <w:rPr>
      <w:sz w:val="18"/>
    </w:rPr>
  </w:style>
  <w:style w:type="paragraph" w:styleId="TOC1">
    <w:name w:val="toc 1"/>
    <w:basedOn w:val="a"/>
    <w:next w:val="a"/>
    <w:uiPriority w:val="39"/>
    <w:semiHidden/>
    <w:unhideWhenUsed/>
  </w:style>
  <w:style w:type="paragraph" w:styleId="a5">
    <w:name w:val="Subtitle"/>
    <w:basedOn w:val="a"/>
    <w:next w:val="a"/>
    <w:link w:val="a6"/>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TOC2">
    <w:name w:val="toc 2"/>
    <w:basedOn w:val="a"/>
    <w:next w:val="a"/>
    <w:uiPriority w:val="39"/>
    <w:semiHidden/>
    <w:unhideWhenUsed/>
    <w:pPr>
      <w:ind w:leftChars="200" w:left="420"/>
    </w:pPr>
  </w:style>
  <w:style w:type="paragraph" w:styleId="a7">
    <w:name w:val="Title"/>
    <w:basedOn w:val="a"/>
    <w:next w:val="a"/>
    <w:link w:val="a8"/>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8">
    <w:name w:val="标题 字符"/>
    <w:basedOn w:val="a0"/>
    <w:link w:val="a7"/>
    <w:uiPriority w:val="10"/>
    <w:qFormat/>
    <w:rPr>
      <w:rFonts w:asciiTheme="majorHAnsi" w:eastAsiaTheme="majorEastAsia" w:hAnsiTheme="majorHAnsi" w:cstheme="majorBidi"/>
      <w:spacing w:val="-10"/>
      <w:kern w:val="28"/>
      <w:sz w:val="56"/>
      <w:szCs w:val="56"/>
    </w:rPr>
  </w:style>
  <w:style w:type="character" w:customStyle="1" w:styleId="a6">
    <w:name w:val="副标题 字符"/>
    <w:basedOn w:val="a0"/>
    <w:link w:val="a5"/>
    <w:uiPriority w:val="11"/>
    <w:qFormat/>
    <w:rPr>
      <w:rFonts w:asciiTheme="majorHAnsi" w:eastAsiaTheme="majorEastAsia" w:hAnsiTheme="majorHAnsi" w:cstheme="majorBidi"/>
      <w:color w:val="595959" w:themeColor="text1" w:themeTint="A6"/>
      <w:spacing w:val="15"/>
      <w:sz w:val="28"/>
      <w:szCs w:val="28"/>
    </w:rPr>
  </w:style>
  <w:style w:type="paragraph" w:styleId="a9">
    <w:name w:val="Quote"/>
    <w:basedOn w:val="a"/>
    <w:next w:val="a"/>
    <w:link w:val="aa"/>
    <w:uiPriority w:val="29"/>
    <w:qFormat/>
    <w:pPr>
      <w:spacing w:before="160"/>
      <w:jc w:val="center"/>
    </w:pPr>
    <w:rPr>
      <w:i/>
      <w:iCs/>
      <w:color w:val="404040" w:themeColor="text1" w:themeTint="BF"/>
    </w:rPr>
  </w:style>
  <w:style w:type="character" w:customStyle="1" w:styleId="aa">
    <w:name w:val="引用 字符"/>
    <w:basedOn w:val="a0"/>
    <w:link w:val="a9"/>
    <w:uiPriority w:val="29"/>
    <w:qFormat/>
    <w:rPr>
      <w:i/>
      <w:iCs/>
      <w:color w:val="404040" w:themeColor="text1" w:themeTint="BF"/>
    </w:rPr>
  </w:style>
  <w:style w:type="paragraph" w:styleId="ab">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c">
    <w:name w:val="Intense Quote"/>
    <w:basedOn w:val="a"/>
    <w:next w:val="a"/>
    <w:link w:val="ad"/>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明显引用 字符"/>
    <w:basedOn w:val="a0"/>
    <w:link w:val="ac"/>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styleId="ae">
    <w:name w:val="Hyperlink"/>
    <w:basedOn w:val="a0"/>
    <w:uiPriority w:val="99"/>
    <w:unhideWhenUsed/>
    <w:rsid w:val="00D75C6D"/>
    <w:rPr>
      <w:color w:val="467886" w:themeColor="hyperlink"/>
      <w:u w:val="single"/>
    </w:rPr>
  </w:style>
  <w:style w:type="character" w:styleId="af">
    <w:name w:val="Unresolved Mention"/>
    <w:basedOn w:val="a0"/>
    <w:uiPriority w:val="99"/>
    <w:semiHidden/>
    <w:unhideWhenUsed/>
    <w:rsid w:val="00D75C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204.q4cdn.com/332108499/files/doc_downloads/esg/2025/Ambition-2030-progress-update.pdf"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us.pg.com/annualreport2024/"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ecd.org/en/publications/global-plastics-outlook_de747aef-en.html" TargetMode="External"/><Relationship Id="rId5" Type="http://schemas.openxmlformats.org/officeDocument/2006/relationships/settings" Target="settings.xml"/><Relationship Id="rId15" Type="http://schemas.openxmlformats.org/officeDocument/2006/relationships/hyperlink" Target="https://www.unep.org/resources/turning-off-tap-end-plastic-pollution-create-circular-economy" TargetMode="External"/><Relationship Id="rId10" Type="http://schemas.openxmlformats.org/officeDocument/2006/relationships/hyperlink" Target="https://eur-lex.europa.eu/legal-content/EN/TXT/?uri=CELEX:32025R0040" TargetMode="External"/><Relationship Id="rId4" Type="http://schemas.openxmlformats.org/officeDocument/2006/relationships/styles" Target="styles.xml"/><Relationship Id="rId9" Type="http://schemas.openxmlformats.org/officeDocument/2006/relationships/hyperlink" Target="https://content.ellenmacarthurfoundation.org/m/528a7cd095787dec/original/The-Global-Commitment-2024-Progress-Report.pdf" TargetMode="External"/><Relationship Id="rId14" Type="http://schemas.openxmlformats.org/officeDocument/2006/relationships/hyperlink" Target="https://www.pginvestor.com/news/news-details/2026/PG-Announces-Fiscal-Year-2026-Second-Quarter-Results/default.asp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6B23DE0-C1A3-4C28-A996-007D96A3E47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1599</TotalTime>
  <Pages>12</Pages>
  <Words>3225</Words>
  <Characters>19318</Characters>
  <Application>Microsoft Office Word</Application>
  <DocSecurity>0</DocSecurity>
  <Lines>351</Lines>
  <Paragraphs>115</Paragraphs>
  <ScaleCrop>false</ScaleCrop>
  <Company/>
  <LinksUpToDate>false</LinksUpToDate>
  <CharactersWithSpaces>22428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xiangjun chen</dc:creator>
  <cp:lastModifiedBy>香君 陈</cp:lastModifiedBy>
  <cp:revision>7</cp:revision>
  <dcterms:created xsi:type="dcterms:W3CDTF">2026-03-19T20:43:00Z</dcterms:created>
  <dcterms:modified xsi:type="dcterms:W3CDTF">2026-03-27T12:33:00Z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eyJoZGlkIjoiZjdmYzljYTVlZjVkNWM4Njg4NjljMTQ0ODU4ZjY0NmEiLCJ1c2VySWQiOiIxNDAwMzE3MDQ2In0=</vt:lpwstr>
  </property>
  <property fmtid="{D5CDD505-2E9C-101B-9397-08002B2CF9AE}" pid="3" name="KSOProductBuildVer">
    <vt:lpwstr>2052-12.1.0.25225</vt:lpwstr>
  </property>
  <property fmtid="{D5CDD505-2E9C-101B-9397-08002B2CF9AE}" pid="4" name="ICV">
    <vt:lpwstr>EC33A4EFC37441D3BB18797788CE30FB_12</vt:lpwstr>
  </property>
</Properties>
</file>