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39575" w14:textId="02786E32" w:rsidR="00DD5AE5" w:rsidRDefault="00A550D6" w:rsidP="00DD5AE5">
      <w:r>
        <w:t>r</w:t>
      </w:r>
      <w:r w:rsidR="00DD5AE5">
        <w:rPr>
          <w:noProof/>
        </w:rPr>
        <w:drawing>
          <wp:inline distT="0" distB="0" distL="0" distR="0" wp14:anchorId="6412F939" wp14:editId="7BD29202">
            <wp:extent cx="2028825" cy="704850"/>
            <wp:effectExtent l="0" t="0" r="0" b="0"/>
            <wp:docPr id="2007465704" name="Picture 2007465704"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2896885" w14:textId="77777777" w:rsidR="00DD5AE5" w:rsidRPr="00A47621" w:rsidRDefault="00DD5AE5" w:rsidP="00DD5AE5">
      <w:pPr>
        <w:rPr>
          <w:rFonts w:ascii="Times New Roman" w:hAnsi="Times New Roman" w:cs="Times New Roman"/>
          <w:sz w:val="24"/>
          <w:szCs w:val="24"/>
        </w:rPr>
      </w:pPr>
    </w:p>
    <w:p w14:paraId="2C7B86F1" w14:textId="77777777" w:rsidR="00DD5AE5" w:rsidRPr="00F927A1" w:rsidRDefault="00DD5AE5" w:rsidP="00DD5AE5">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9F4901D" w14:textId="77777777" w:rsidR="00DD5AE5" w:rsidRPr="00DC2924" w:rsidRDefault="00DD5AE5" w:rsidP="00DD5AE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64963BA" w14:textId="77777777" w:rsidR="00DD5AE5" w:rsidRPr="0085230E" w:rsidRDefault="00DD5AE5" w:rsidP="00DD5AE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883C371" w14:textId="77777777" w:rsidR="00DD5AE5" w:rsidRDefault="00DD5AE5" w:rsidP="00DD5AE5">
      <w:pPr>
        <w:overflowPunct/>
        <w:autoSpaceDE/>
        <w:autoSpaceDN/>
        <w:adjustRightInd/>
        <w:ind w:right="-957"/>
        <w:textAlignment w:val="auto"/>
        <w:rPr>
          <w:rFonts w:ascii="Times New Roman" w:hAnsi="Times New Roman" w:cs="Times New Roman"/>
          <w:b/>
          <w:color w:val="auto"/>
          <w:sz w:val="48"/>
        </w:rPr>
      </w:pPr>
    </w:p>
    <w:p w14:paraId="51ED9CF8" w14:textId="77777777" w:rsidR="00DD5AE5" w:rsidRPr="00FE5F90" w:rsidRDefault="00DD5AE5" w:rsidP="00DD5AE5">
      <w:pPr>
        <w:overflowPunct/>
        <w:autoSpaceDE/>
        <w:autoSpaceDN/>
        <w:adjustRightInd/>
        <w:ind w:right="-957"/>
        <w:textAlignment w:val="auto"/>
        <w:rPr>
          <w:rFonts w:ascii="Times New Roman" w:hAnsi="Times New Roman" w:cs="Times New Roman"/>
          <w:b/>
          <w:color w:val="auto"/>
          <w:sz w:val="18"/>
          <w:szCs w:val="2"/>
        </w:rPr>
      </w:pPr>
    </w:p>
    <w:p w14:paraId="23ABA48C" w14:textId="77777777" w:rsidR="00DD5AE5" w:rsidRPr="00F927A1" w:rsidRDefault="00DD5AE5" w:rsidP="00DD5AE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0AD44928" w14:textId="77777777" w:rsidR="00DD5AE5" w:rsidRPr="00706BB5" w:rsidRDefault="00DD5AE5" w:rsidP="00DD5AE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0D074326" w14:textId="77777777" w:rsidR="00DD5AE5" w:rsidRPr="00FE5F90" w:rsidRDefault="00DD5AE5" w:rsidP="00DD5AE5">
      <w:pPr>
        <w:overflowPunct/>
        <w:autoSpaceDE/>
        <w:autoSpaceDN/>
        <w:adjustRightInd/>
        <w:ind w:right="-957"/>
        <w:textAlignment w:val="auto"/>
        <w:rPr>
          <w:rFonts w:ascii="Times New Roman" w:hAnsi="Times New Roman" w:cs="Times New Roman"/>
          <w:b/>
          <w:color w:val="auto"/>
          <w:sz w:val="14"/>
          <w:szCs w:val="2"/>
        </w:rPr>
      </w:pPr>
    </w:p>
    <w:p w14:paraId="6AA7C472" w14:textId="77777777" w:rsidR="00DD5AE5" w:rsidRPr="00F927A1" w:rsidRDefault="00DD5AE5" w:rsidP="00DD5AE5">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DD5AE5" w:rsidRPr="005D3F07" w14:paraId="03412FB7" w14:textId="77777777" w:rsidTr="00EE3198">
        <w:tc>
          <w:tcPr>
            <w:tcW w:w="10368" w:type="dxa"/>
          </w:tcPr>
          <w:p w14:paraId="412839BB" w14:textId="7DF68FC6" w:rsidR="00DD5AE5" w:rsidRPr="00B51EAE" w:rsidRDefault="00DD5AE5" w:rsidP="00EE3198">
            <w:pPr>
              <w:overflowPunct/>
              <w:autoSpaceDE/>
              <w:autoSpaceDN/>
              <w:adjustRightInd/>
              <w:ind w:right="-957"/>
              <w:textAlignment w:val="auto"/>
              <w:rPr>
                <w:rFonts w:ascii="Times New Roman" w:hAnsi="Times New Roman" w:cs="Times New Roman"/>
                <w:b/>
                <w:color w:val="auto"/>
                <w:sz w:val="44"/>
                <w:szCs w:val="18"/>
              </w:rPr>
            </w:pPr>
            <w:r w:rsidRPr="00B51EAE">
              <w:rPr>
                <w:rFonts w:ascii="Times New Roman" w:hAnsi="Times New Roman" w:cs="Times New Roman"/>
                <w:b/>
                <w:color w:val="auto"/>
                <w:sz w:val="44"/>
                <w:szCs w:val="18"/>
              </w:rPr>
              <w:t xml:space="preserve">Learner’s name: </w:t>
            </w:r>
            <w:r>
              <w:rPr>
                <w:rFonts w:ascii="Times New Roman" w:hAnsi="Times New Roman" w:cs="Times New Roman"/>
                <w:b/>
                <w:color w:val="auto"/>
                <w:sz w:val="44"/>
                <w:szCs w:val="18"/>
              </w:rPr>
              <w:t>Courtney Honey-Jones</w:t>
            </w:r>
          </w:p>
          <w:p w14:paraId="3F3B9F7D" w14:textId="77777777" w:rsidR="00DD5AE5" w:rsidRPr="00B51EAE" w:rsidRDefault="00DD5AE5" w:rsidP="00EE3198">
            <w:pPr>
              <w:overflowPunct/>
              <w:autoSpaceDE/>
              <w:autoSpaceDN/>
              <w:adjustRightInd/>
              <w:ind w:right="-957"/>
              <w:textAlignment w:val="auto"/>
              <w:rPr>
                <w:rFonts w:ascii="Times New Roman" w:hAnsi="Times New Roman" w:cs="Times New Roman"/>
                <w:b/>
                <w:color w:val="auto"/>
                <w:sz w:val="44"/>
                <w:szCs w:val="18"/>
              </w:rPr>
            </w:pPr>
          </w:p>
          <w:p w14:paraId="6D624F1B" w14:textId="68575B54" w:rsidR="00DD5AE5" w:rsidRPr="00B51EAE" w:rsidRDefault="00DD5AE5" w:rsidP="00EE3198">
            <w:pPr>
              <w:overflowPunct/>
              <w:autoSpaceDE/>
              <w:autoSpaceDN/>
              <w:adjustRightInd/>
              <w:ind w:right="-957"/>
              <w:textAlignment w:val="auto"/>
              <w:rPr>
                <w:rFonts w:ascii="Times New Roman" w:hAnsi="Times New Roman" w:cs="Times New Roman"/>
                <w:b/>
                <w:color w:val="auto"/>
                <w:sz w:val="44"/>
                <w:szCs w:val="18"/>
              </w:rPr>
            </w:pPr>
            <w:r w:rsidRPr="00B51EAE">
              <w:rPr>
                <w:rFonts w:ascii="Times New Roman" w:hAnsi="Times New Roman" w:cs="Times New Roman"/>
                <w:b/>
                <w:color w:val="auto"/>
                <w:sz w:val="44"/>
                <w:szCs w:val="18"/>
              </w:rPr>
              <w:t xml:space="preserve">Email address: </w:t>
            </w:r>
            <w:r>
              <w:rPr>
                <w:rFonts w:ascii="Times New Roman" w:hAnsi="Times New Roman" w:cs="Times New Roman"/>
                <w:b/>
                <w:color w:val="auto"/>
                <w:sz w:val="48"/>
              </w:rPr>
              <w:t>2432489</w:t>
            </w:r>
            <w:r w:rsidRPr="00B51EAE">
              <w:rPr>
                <w:rFonts w:ascii="Times New Roman" w:hAnsi="Times New Roman" w:cs="Times New Roman"/>
                <w:b/>
                <w:color w:val="auto"/>
                <w:sz w:val="44"/>
                <w:szCs w:val="18"/>
              </w:rPr>
              <w:t>@student.uwtsd.ac.uk</w:t>
            </w:r>
          </w:p>
          <w:p w14:paraId="6F81B0B2" w14:textId="77777777" w:rsidR="00DD5AE5" w:rsidRPr="00B51EAE" w:rsidRDefault="00DD5AE5" w:rsidP="00EE3198">
            <w:pPr>
              <w:overflowPunct/>
              <w:autoSpaceDE/>
              <w:autoSpaceDN/>
              <w:adjustRightInd/>
              <w:ind w:right="-957"/>
              <w:textAlignment w:val="auto"/>
              <w:rPr>
                <w:rFonts w:ascii="Times New Roman" w:hAnsi="Times New Roman" w:cs="Times New Roman"/>
                <w:b/>
                <w:color w:val="auto"/>
                <w:sz w:val="44"/>
                <w:szCs w:val="18"/>
              </w:rPr>
            </w:pPr>
          </w:p>
          <w:p w14:paraId="5D64A076" w14:textId="05340A43" w:rsidR="00DD5AE5" w:rsidRPr="00B51EAE" w:rsidRDefault="00DD5AE5" w:rsidP="00EE3198">
            <w:pPr>
              <w:overflowPunct/>
              <w:autoSpaceDE/>
              <w:autoSpaceDN/>
              <w:adjustRightInd/>
              <w:ind w:right="-957"/>
              <w:textAlignment w:val="auto"/>
              <w:rPr>
                <w:rFonts w:ascii="Times New Roman" w:hAnsi="Times New Roman" w:cs="Times New Roman"/>
                <w:b/>
                <w:color w:val="auto"/>
                <w:sz w:val="44"/>
                <w:szCs w:val="18"/>
              </w:rPr>
            </w:pPr>
            <w:r w:rsidRPr="00B51EAE">
              <w:rPr>
                <w:rFonts w:ascii="Times New Roman" w:hAnsi="Times New Roman" w:cs="Times New Roman"/>
                <w:b/>
                <w:color w:val="auto"/>
                <w:sz w:val="44"/>
                <w:szCs w:val="18"/>
              </w:rPr>
              <w:t>Learner’s University Registration Number:</w:t>
            </w:r>
            <w:r>
              <w:rPr>
                <w:rFonts w:ascii="Times New Roman" w:hAnsi="Times New Roman" w:cs="Times New Roman"/>
                <w:b/>
                <w:color w:val="auto"/>
                <w:sz w:val="48"/>
              </w:rPr>
              <w:t xml:space="preserve"> 2432489</w:t>
            </w:r>
          </w:p>
          <w:p w14:paraId="786CBC2F" w14:textId="77777777" w:rsidR="00DD5AE5" w:rsidRPr="00B51EAE" w:rsidRDefault="00DD5AE5" w:rsidP="00EE3198">
            <w:pPr>
              <w:overflowPunct/>
              <w:autoSpaceDE/>
              <w:autoSpaceDN/>
              <w:adjustRightInd/>
              <w:ind w:right="-957"/>
              <w:textAlignment w:val="auto"/>
              <w:rPr>
                <w:rFonts w:ascii="Times New Roman" w:hAnsi="Times New Roman" w:cs="Times New Roman"/>
                <w:b/>
                <w:color w:val="auto"/>
                <w:sz w:val="44"/>
                <w:szCs w:val="18"/>
              </w:rPr>
            </w:pPr>
          </w:p>
          <w:p w14:paraId="7E7C57CC" w14:textId="35B20905" w:rsidR="00DD5AE5" w:rsidRPr="005D3F07" w:rsidRDefault="00DD5AE5" w:rsidP="00EE3198">
            <w:pPr>
              <w:overflowPunct/>
              <w:autoSpaceDE/>
              <w:autoSpaceDN/>
              <w:adjustRightInd/>
              <w:ind w:right="-957"/>
              <w:textAlignment w:val="auto"/>
              <w:rPr>
                <w:rFonts w:ascii="Times New Roman" w:hAnsi="Times New Roman" w:cs="Times New Roman"/>
                <w:b/>
                <w:color w:val="auto"/>
                <w:sz w:val="48"/>
              </w:rPr>
            </w:pPr>
            <w:r w:rsidRPr="00B51EAE">
              <w:rPr>
                <w:rFonts w:ascii="Times New Roman" w:hAnsi="Times New Roman" w:cs="Times New Roman"/>
                <w:b/>
                <w:color w:val="auto"/>
                <w:sz w:val="44"/>
                <w:szCs w:val="18"/>
              </w:rPr>
              <w:t>Cohort: 2</w:t>
            </w:r>
            <w:r>
              <w:rPr>
                <w:rFonts w:ascii="Times New Roman" w:hAnsi="Times New Roman" w:cs="Times New Roman"/>
                <w:b/>
                <w:color w:val="auto"/>
                <w:sz w:val="44"/>
                <w:szCs w:val="18"/>
              </w:rPr>
              <w:t>5b</w:t>
            </w:r>
            <w:r w:rsidRPr="00B51EAE">
              <w:rPr>
                <w:rFonts w:ascii="Times New Roman" w:hAnsi="Times New Roman" w:cs="Times New Roman"/>
                <w:b/>
                <w:color w:val="auto"/>
                <w:sz w:val="44"/>
                <w:szCs w:val="18"/>
              </w:rPr>
              <w:t xml:space="preserve"> onwards</w:t>
            </w:r>
          </w:p>
        </w:tc>
      </w:tr>
    </w:tbl>
    <w:p w14:paraId="76D023AB" w14:textId="77777777" w:rsidR="00DD5AE5" w:rsidRPr="00F927A1" w:rsidRDefault="00DD5AE5" w:rsidP="00DD5AE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A7A42C5" w14:textId="40079512" w:rsidR="00DD5AE5" w:rsidRPr="00DD5AE5" w:rsidRDefault="00DD5AE5" w:rsidP="00DD5AE5">
      <w:pPr>
        <w:rPr>
          <w:b/>
          <w:sz w:val="24"/>
          <w:szCs w:val="24"/>
        </w:rPr>
      </w:pPr>
    </w:p>
    <w:p w14:paraId="5F603B5C" w14:textId="77777777" w:rsidR="00DD5AE5" w:rsidRDefault="00DD5AE5" w:rsidP="00DD5AE5">
      <w:pPr>
        <w:jc w:val="center"/>
        <w:rPr>
          <w:b/>
          <w:sz w:val="24"/>
          <w:szCs w:val="24"/>
        </w:rPr>
      </w:pPr>
    </w:p>
    <w:p w14:paraId="09D21051" w14:textId="77777777" w:rsidR="00DD5AE5" w:rsidRPr="00EE5BC3" w:rsidRDefault="00DD5AE5" w:rsidP="00DD5AE5">
      <w:pPr>
        <w:jc w:val="center"/>
        <w:rPr>
          <w:sz w:val="28"/>
          <w:szCs w:val="28"/>
        </w:rPr>
      </w:pPr>
      <w:r w:rsidRPr="00EE5BC3">
        <w:rPr>
          <w:b/>
          <w:sz w:val="28"/>
          <w:szCs w:val="28"/>
        </w:rPr>
        <w:t>Task 3</w:t>
      </w:r>
    </w:p>
    <w:p w14:paraId="5AC8A95F" w14:textId="77777777" w:rsidR="00DD5AE5" w:rsidRPr="00EE5BC3" w:rsidRDefault="00DD5AE5" w:rsidP="00DD5AE5">
      <w:pPr>
        <w:jc w:val="center"/>
        <w:rPr>
          <w:b/>
          <w:sz w:val="28"/>
          <w:szCs w:val="28"/>
        </w:rPr>
      </w:pPr>
    </w:p>
    <w:p w14:paraId="5F169952" w14:textId="77777777" w:rsidR="00DD5AE5" w:rsidRPr="00EE5BC3" w:rsidRDefault="00DD5AE5" w:rsidP="00DD5AE5">
      <w:pPr>
        <w:jc w:val="center"/>
        <w:rPr>
          <w:b/>
          <w:color w:val="auto"/>
          <w:sz w:val="28"/>
          <w:szCs w:val="28"/>
        </w:rPr>
      </w:pPr>
      <w:r w:rsidRPr="00EE5BC3">
        <w:rPr>
          <w:b/>
          <w:color w:val="auto"/>
          <w:sz w:val="28"/>
          <w:szCs w:val="28"/>
        </w:rPr>
        <w:t>Safeguarding and working in complex situations – Case Study</w:t>
      </w:r>
    </w:p>
    <w:p w14:paraId="0104C9A4" w14:textId="77777777" w:rsidR="00DD5AE5" w:rsidRDefault="00DD5AE5" w:rsidP="00DD5AE5">
      <w:pPr>
        <w:rPr>
          <w:b/>
          <w:color w:val="auto"/>
          <w:sz w:val="24"/>
          <w:szCs w:val="24"/>
        </w:rPr>
      </w:pPr>
    </w:p>
    <w:p w14:paraId="2FB84CCE" w14:textId="77777777" w:rsidR="00DD5AE5" w:rsidRDefault="00DD5AE5" w:rsidP="00DD5AE5">
      <w:pPr>
        <w:rPr>
          <w:b/>
          <w:color w:val="auto"/>
          <w:sz w:val="24"/>
          <w:szCs w:val="24"/>
        </w:rPr>
      </w:pPr>
      <w:proofErr w:type="gramStart"/>
      <w:r>
        <w:rPr>
          <w:b/>
          <w:color w:val="auto"/>
          <w:sz w:val="24"/>
          <w:szCs w:val="24"/>
        </w:rPr>
        <w:t>Guidance;</w:t>
      </w:r>
      <w:proofErr w:type="gramEnd"/>
    </w:p>
    <w:p w14:paraId="4C674577" w14:textId="77777777" w:rsidR="00DD5AE5" w:rsidRPr="00706BB5" w:rsidRDefault="00DD5AE5" w:rsidP="00DD5AE5">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handbook).</w:t>
      </w:r>
      <w:r w:rsidRPr="009C7342">
        <w:rPr>
          <w:i/>
          <w:iCs/>
          <w:sz w:val="24"/>
          <w:szCs w:val="24"/>
        </w:rPr>
        <w:t xml:space="preserve"> </w:t>
      </w:r>
    </w:p>
    <w:p w14:paraId="30E0C846" w14:textId="77777777" w:rsidR="00DD5AE5" w:rsidRDefault="00DD5AE5" w:rsidP="00DD5AE5">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D5AE5" w:rsidRPr="008B28E7" w14:paraId="2A5E3814" w14:textId="77777777" w:rsidTr="00B36EBB">
        <w:tc>
          <w:tcPr>
            <w:tcW w:w="10910" w:type="dxa"/>
          </w:tcPr>
          <w:p w14:paraId="3A700616" w14:textId="77777777" w:rsidR="00DD5AE5" w:rsidRPr="006872A0" w:rsidRDefault="00DD5AE5" w:rsidP="00EE3198">
            <w:pPr>
              <w:jc w:val="both"/>
              <w:rPr>
                <w:b/>
                <w:sz w:val="24"/>
                <w:szCs w:val="24"/>
              </w:rPr>
            </w:pPr>
            <w:r w:rsidRPr="006872A0">
              <w:rPr>
                <w:b/>
                <w:sz w:val="24"/>
                <w:szCs w:val="24"/>
              </w:rPr>
              <w:t>Question</w:t>
            </w:r>
            <w:r>
              <w:rPr>
                <w:b/>
                <w:sz w:val="24"/>
                <w:szCs w:val="24"/>
              </w:rPr>
              <w:t>:</w:t>
            </w:r>
          </w:p>
          <w:p w14:paraId="76A65FF7" w14:textId="77777777" w:rsidR="00DD5AE5" w:rsidRPr="00C73B14" w:rsidRDefault="00DD5AE5" w:rsidP="00EE3198">
            <w:pPr>
              <w:jc w:val="both"/>
              <w:rPr>
                <w:b/>
                <w:bCs/>
                <w:sz w:val="24"/>
                <w:szCs w:val="24"/>
              </w:rPr>
            </w:pPr>
            <w:r w:rsidRPr="00C73B14">
              <w:rPr>
                <w:b/>
                <w:bCs/>
                <w:sz w:val="24"/>
                <w:szCs w:val="24"/>
              </w:rPr>
              <w:t xml:space="preserve">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w:t>
            </w:r>
            <w:r w:rsidRPr="00C73B14">
              <w:rPr>
                <w:rFonts w:eastAsia="Arial"/>
                <w:b/>
                <w:bCs/>
                <w:color w:val="000000" w:themeColor="text1"/>
                <w:sz w:val="24"/>
                <w:szCs w:val="24"/>
              </w:rPr>
              <w:t>interface between social services provision in Wales with the United Kingdom, the European Union (EU) and outside the EU)</w:t>
            </w:r>
            <w:r w:rsidRPr="00C73B14">
              <w:rPr>
                <w:b/>
                <w:bCs/>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67BC8F19" w14:textId="77777777" w:rsidR="00DD5AE5" w:rsidRDefault="00DD5AE5" w:rsidP="00EE3198">
            <w:pPr>
              <w:jc w:val="both"/>
              <w:rPr>
                <w:sz w:val="24"/>
                <w:szCs w:val="24"/>
              </w:rPr>
            </w:pPr>
          </w:p>
          <w:p w14:paraId="47CAA266" w14:textId="77777777" w:rsidR="00DD5AE5" w:rsidRDefault="00DD5AE5" w:rsidP="00EE3198">
            <w:pPr>
              <w:jc w:val="both"/>
              <w:rPr>
                <w:sz w:val="24"/>
                <w:szCs w:val="24"/>
              </w:rPr>
            </w:pPr>
          </w:p>
          <w:p w14:paraId="43C5079C" w14:textId="77777777" w:rsidR="00DD5AE5" w:rsidRDefault="00DD5AE5" w:rsidP="00EE3198">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0B3B62F1" w14:textId="77777777" w:rsidR="0096272A" w:rsidRDefault="0096272A" w:rsidP="00EE3198">
            <w:pPr>
              <w:jc w:val="both"/>
              <w:rPr>
                <w:i/>
                <w:sz w:val="24"/>
                <w:szCs w:val="24"/>
              </w:rPr>
            </w:pPr>
          </w:p>
          <w:p w14:paraId="376B7BBC" w14:textId="77777777" w:rsidR="00061070" w:rsidRDefault="00061070" w:rsidP="00EE3198">
            <w:pPr>
              <w:jc w:val="both"/>
              <w:rPr>
                <w:i/>
                <w:sz w:val="24"/>
                <w:szCs w:val="24"/>
              </w:rPr>
            </w:pPr>
          </w:p>
          <w:p w14:paraId="0156C264" w14:textId="2AC30BC3" w:rsidR="0096272A" w:rsidRPr="0085647E" w:rsidRDefault="003F622C"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The essay examines my role as the allocated social worker in determining whether an adult is at risk. For confidentiality, the individual is referred to as </w:t>
            </w:r>
            <w:r w:rsidR="0096272A" w:rsidRPr="0085647E">
              <w:rPr>
                <w:color w:val="auto"/>
                <w:sz w:val="22"/>
                <w:szCs w:val="22"/>
              </w:rPr>
              <w:t>adult</w:t>
            </w:r>
            <w:r w:rsidRPr="0085647E">
              <w:rPr>
                <w:color w:val="auto"/>
                <w:sz w:val="22"/>
                <w:szCs w:val="22"/>
              </w:rPr>
              <w:t xml:space="preserve"> 1, a woman in her fifties living alone in a local</w:t>
            </w:r>
            <w:r w:rsidRPr="0085647E">
              <w:rPr>
                <w:color w:val="auto"/>
                <w:sz w:val="22"/>
                <w:szCs w:val="22"/>
              </w:rPr>
              <w:noBreakHyphen/>
              <w:t xml:space="preserve">authority flat in South Wales. The case presents safeguarding concerns requiring careful assessment, including possible victimisation, risks of sexual harm, indicators of emotional and physical domestic abuse, and signs of grooming and manipulation. From the outset, it was essential to approach with sensitivity to </w:t>
            </w:r>
            <w:r w:rsidR="00370FB3" w:rsidRPr="0085647E">
              <w:rPr>
                <w:color w:val="auto"/>
                <w:sz w:val="22"/>
                <w:szCs w:val="22"/>
              </w:rPr>
              <w:t>adult</w:t>
            </w:r>
            <w:r w:rsidRPr="0085647E">
              <w:rPr>
                <w:color w:val="auto"/>
                <w:sz w:val="22"/>
                <w:szCs w:val="22"/>
              </w:rPr>
              <w:t xml:space="preserve"> 1’s rights, experiences, and vulnerabilities, while also fulfilling statutory duties under Welsh safeguarding legislation. The intervention required me to integrate professional assessment, critical judgment, and the application of relevant policy, theory and ethics, reflecting the complex realities of social services practice in Wales. The case </w:t>
            </w:r>
            <w:r w:rsidR="00BD2827">
              <w:rPr>
                <w:color w:val="auto"/>
                <w:sz w:val="22"/>
                <w:szCs w:val="22"/>
              </w:rPr>
              <w:t xml:space="preserve">identified </w:t>
            </w:r>
            <w:r w:rsidRPr="0085647E">
              <w:rPr>
                <w:color w:val="auto"/>
                <w:sz w:val="22"/>
                <w:szCs w:val="22"/>
              </w:rPr>
              <w:t xml:space="preserve">the inherent tensions within safeguarding practice, particularly the need to balance respect for </w:t>
            </w:r>
            <w:r w:rsidR="0096272A" w:rsidRPr="0085647E">
              <w:rPr>
                <w:color w:val="auto"/>
                <w:sz w:val="22"/>
                <w:szCs w:val="22"/>
              </w:rPr>
              <w:t>adult</w:t>
            </w:r>
            <w:r w:rsidRPr="0085647E">
              <w:rPr>
                <w:color w:val="auto"/>
                <w:sz w:val="22"/>
                <w:szCs w:val="22"/>
              </w:rPr>
              <w:t xml:space="preserve"> 1’s autonomy with the responsibility to respond to potential or actual risks, especially when her stated preferences diverged from professional concerns about harm. </w:t>
            </w:r>
          </w:p>
          <w:p w14:paraId="6A3050FF" w14:textId="77777777" w:rsidR="0096272A" w:rsidRPr="0085647E" w:rsidRDefault="0096272A" w:rsidP="0085647E">
            <w:pPr>
              <w:overflowPunct/>
              <w:autoSpaceDE/>
              <w:autoSpaceDN/>
              <w:adjustRightInd/>
              <w:spacing w:line="480" w:lineRule="auto"/>
              <w:jc w:val="both"/>
              <w:textAlignment w:val="auto"/>
              <w:rPr>
                <w:color w:val="auto"/>
                <w:sz w:val="22"/>
                <w:szCs w:val="22"/>
              </w:rPr>
            </w:pPr>
          </w:p>
          <w:p w14:paraId="67311771" w14:textId="0E68A88E" w:rsidR="000717E4" w:rsidRPr="0085647E" w:rsidRDefault="003F622C"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With Adult 1 positioned at the centre of my practice, I considered the range of vulnerabilities influencing her circumstances. These included her eligible physical </w:t>
            </w:r>
            <w:r w:rsidR="0096272A" w:rsidRPr="0085647E">
              <w:rPr>
                <w:color w:val="auto"/>
                <w:sz w:val="22"/>
                <w:szCs w:val="22"/>
              </w:rPr>
              <w:t>care,</w:t>
            </w:r>
            <w:r w:rsidRPr="0085647E">
              <w:rPr>
                <w:color w:val="auto"/>
                <w:sz w:val="22"/>
                <w:szCs w:val="22"/>
              </w:rPr>
              <w:t xml:space="preserve"> and support needs as defined under the Social Services and Well</w:t>
            </w:r>
            <w:r w:rsidRPr="0085647E">
              <w:rPr>
                <w:color w:val="auto"/>
                <w:sz w:val="22"/>
                <w:szCs w:val="22"/>
              </w:rPr>
              <w:noBreakHyphen/>
              <w:t>being (Wales) Act 2014 (SSWBWA 2014), her</w:t>
            </w:r>
            <w:r w:rsidR="000717E4" w:rsidRPr="0085647E">
              <w:rPr>
                <w:color w:val="auto"/>
                <w:sz w:val="22"/>
                <w:szCs w:val="22"/>
              </w:rPr>
              <w:t>,</w:t>
            </w:r>
            <w:r w:rsidRPr="0085647E">
              <w:rPr>
                <w:color w:val="auto"/>
                <w:sz w:val="22"/>
                <w:szCs w:val="22"/>
              </w:rPr>
              <w:t xml:space="preserve"> self</w:t>
            </w:r>
            <w:r w:rsidRPr="0085647E">
              <w:rPr>
                <w:color w:val="auto"/>
                <w:sz w:val="22"/>
                <w:szCs w:val="22"/>
              </w:rPr>
              <w:noBreakHyphen/>
              <w:t>reported but undiagnosed learning disability, memory difficulties, and previous experiences of trauma linked to broken marriages and mental</w:t>
            </w:r>
            <w:r w:rsidRPr="0085647E">
              <w:rPr>
                <w:color w:val="auto"/>
                <w:sz w:val="22"/>
                <w:szCs w:val="22"/>
              </w:rPr>
              <w:noBreakHyphen/>
              <w:t>health challenges. She appeared socially isolated, with limited family and community networks, and relied heavily on domiciliary care services. Such factors further increased her level of risk and required a practice approach informed by professional curiosity, relational assessment, and attentiveness to contextual vulnerability. Trauma</w:t>
            </w:r>
            <w:r w:rsidRPr="0085647E">
              <w:rPr>
                <w:color w:val="auto"/>
                <w:sz w:val="22"/>
                <w:szCs w:val="22"/>
              </w:rPr>
              <w:noBreakHyphen/>
              <w:t>informed practice literature highlights how past adversity, relationship breakdowns, and low self</w:t>
            </w:r>
            <w:r w:rsidRPr="0085647E">
              <w:rPr>
                <w:color w:val="auto"/>
                <w:sz w:val="22"/>
                <w:szCs w:val="22"/>
              </w:rPr>
              <w:noBreakHyphen/>
              <w:t xml:space="preserve">worth can heighten a person’s susceptibility to coercion, exploitation and unhealthy relationships, and this perspective helped me frame the initial risk picture (Larkin, Felitti &amp; Anda, 2014; Treisman, </w:t>
            </w:r>
            <w:r w:rsidR="00554137" w:rsidRPr="0085647E">
              <w:rPr>
                <w:color w:val="auto"/>
                <w:sz w:val="22"/>
                <w:szCs w:val="22"/>
              </w:rPr>
              <w:t>2021).</w:t>
            </w:r>
          </w:p>
          <w:p w14:paraId="52D6D2B5"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3A4E04A4" w14:textId="77777777" w:rsidR="000717E4" w:rsidRPr="0085647E" w:rsidRDefault="003F622C" w:rsidP="0085647E">
            <w:pPr>
              <w:overflowPunct/>
              <w:autoSpaceDE/>
              <w:autoSpaceDN/>
              <w:adjustRightInd/>
              <w:spacing w:line="480" w:lineRule="auto"/>
              <w:jc w:val="both"/>
              <w:textAlignment w:val="auto"/>
              <w:rPr>
                <w:color w:val="auto"/>
                <w:sz w:val="22"/>
                <w:szCs w:val="22"/>
              </w:rPr>
            </w:pPr>
            <w:r w:rsidRPr="0085647E">
              <w:rPr>
                <w:color w:val="auto"/>
                <w:sz w:val="22"/>
                <w:szCs w:val="22"/>
              </w:rPr>
              <w:t>Adult 1 was in a relationship with an individual who is a convicted sex offender and subject to a Sexual Harm Prevention Order (SHPO). The discovery of this relationship exemplified the complexities of adult safeguarding practice, particularly regarding mental capacity and risk assessment. The intervention required comprehensive evaluation, multi</w:t>
            </w:r>
            <w:r w:rsidRPr="0085647E">
              <w:rPr>
                <w:color w:val="auto"/>
                <w:sz w:val="22"/>
                <w:szCs w:val="22"/>
              </w:rPr>
              <w:noBreakHyphen/>
              <w:t xml:space="preserve">agency coordination, structured risk analysis, and the development of a safety plan. My practice needed to align with statutory duties under the SSWBWA 2014, the Mental Capacity Act 2005 (MCA 2005), and the Human Rights Act 1998 (HRA 1998), as well as the Wales Safeguarding Procedures (2019) and the Code of Professional Practice for Social Care in Wales (Social Care Wales, 2020). These frameworks shaped my ethical reasoning, accountability and obligation to uphold rights while ensuring proportionate protective action. </w:t>
            </w:r>
          </w:p>
          <w:p w14:paraId="600A8F35" w14:textId="77777777" w:rsidR="000717E4" w:rsidRDefault="000717E4" w:rsidP="0085647E">
            <w:pPr>
              <w:overflowPunct/>
              <w:autoSpaceDE/>
              <w:autoSpaceDN/>
              <w:adjustRightInd/>
              <w:spacing w:line="480" w:lineRule="auto"/>
              <w:jc w:val="both"/>
              <w:textAlignment w:val="auto"/>
              <w:rPr>
                <w:color w:val="auto"/>
                <w:sz w:val="22"/>
                <w:szCs w:val="22"/>
              </w:rPr>
            </w:pPr>
          </w:p>
          <w:p w14:paraId="47D4F5B7" w14:textId="67B4E201" w:rsidR="00AB2FFA" w:rsidRDefault="00AB2FFA" w:rsidP="0085647E">
            <w:pPr>
              <w:overflowPunct/>
              <w:autoSpaceDE/>
              <w:autoSpaceDN/>
              <w:adjustRightInd/>
              <w:spacing w:line="480" w:lineRule="auto"/>
              <w:jc w:val="both"/>
              <w:textAlignment w:val="auto"/>
              <w:rPr>
                <w:color w:val="auto"/>
                <w:sz w:val="22"/>
                <w:szCs w:val="22"/>
              </w:rPr>
            </w:pPr>
            <w:r>
              <w:rPr>
                <w:color w:val="auto"/>
                <w:sz w:val="22"/>
                <w:szCs w:val="22"/>
              </w:rPr>
              <w:t xml:space="preserve">Adult 1 was already known to the </w:t>
            </w:r>
            <w:r w:rsidR="008D681B">
              <w:rPr>
                <w:color w:val="auto"/>
                <w:sz w:val="22"/>
                <w:szCs w:val="22"/>
              </w:rPr>
              <w:t>local authority</w:t>
            </w:r>
            <w:r>
              <w:rPr>
                <w:color w:val="auto"/>
                <w:sz w:val="22"/>
                <w:szCs w:val="22"/>
              </w:rPr>
              <w:t xml:space="preserve"> through a </w:t>
            </w:r>
            <w:r w:rsidR="008D681B">
              <w:rPr>
                <w:color w:val="auto"/>
                <w:sz w:val="22"/>
                <w:szCs w:val="22"/>
              </w:rPr>
              <w:t xml:space="preserve">domiciliary </w:t>
            </w:r>
            <w:r>
              <w:rPr>
                <w:color w:val="auto"/>
                <w:sz w:val="22"/>
                <w:szCs w:val="22"/>
              </w:rPr>
              <w:t xml:space="preserve">care package supporting her </w:t>
            </w:r>
            <w:r w:rsidR="008D681B">
              <w:rPr>
                <w:color w:val="auto"/>
                <w:sz w:val="22"/>
                <w:szCs w:val="22"/>
              </w:rPr>
              <w:t>physical needs</w:t>
            </w:r>
            <w:r>
              <w:rPr>
                <w:color w:val="auto"/>
                <w:sz w:val="22"/>
                <w:szCs w:val="22"/>
              </w:rPr>
              <w:t xml:space="preserve"> and personal outcomes. Concerns were raised by a care worker </w:t>
            </w:r>
            <w:r w:rsidR="008D681B">
              <w:rPr>
                <w:color w:val="auto"/>
                <w:sz w:val="22"/>
                <w:szCs w:val="22"/>
              </w:rPr>
              <w:t>who reported</w:t>
            </w:r>
            <w:r>
              <w:rPr>
                <w:color w:val="auto"/>
                <w:sz w:val="22"/>
                <w:szCs w:val="22"/>
              </w:rPr>
              <w:t xml:space="preserve"> that </w:t>
            </w:r>
            <w:r w:rsidR="008D681B">
              <w:rPr>
                <w:color w:val="auto"/>
                <w:sz w:val="22"/>
                <w:szCs w:val="22"/>
              </w:rPr>
              <w:t>adult</w:t>
            </w:r>
            <w:r>
              <w:rPr>
                <w:color w:val="auto"/>
                <w:sz w:val="22"/>
                <w:szCs w:val="22"/>
              </w:rPr>
              <w:t xml:space="preserve"> 1 </w:t>
            </w:r>
            <w:r w:rsidR="008511BB">
              <w:rPr>
                <w:color w:val="auto"/>
                <w:sz w:val="22"/>
                <w:szCs w:val="22"/>
              </w:rPr>
              <w:t>appeared</w:t>
            </w:r>
            <w:r>
              <w:rPr>
                <w:color w:val="auto"/>
                <w:sz w:val="22"/>
                <w:szCs w:val="22"/>
              </w:rPr>
              <w:t xml:space="preserve"> to be in a </w:t>
            </w:r>
            <w:r w:rsidR="008511BB">
              <w:rPr>
                <w:color w:val="auto"/>
                <w:sz w:val="22"/>
                <w:szCs w:val="22"/>
              </w:rPr>
              <w:t>relationship with</w:t>
            </w:r>
            <w:r>
              <w:rPr>
                <w:color w:val="auto"/>
                <w:sz w:val="22"/>
                <w:szCs w:val="22"/>
              </w:rPr>
              <w:t xml:space="preserve"> a registered sex offender, prompting a safeguarding referral. This raised questions about </w:t>
            </w:r>
            <w:r w:rsidR="008511BB">
              <w:rPr>
                <w:color w:val="auto"/>
                <w:sz w:val="22"/>
                <w:szCs w:val="22"/>
              </w:rPr>
              <w:t>adult 1’s</w:t>
            </w:r>
            <w:r>
              <w:rPr>
                <w:color w:val="auto"/>
                <w:sz w:val="22"/>
                <w:szCs w:val="22"/>
              </w:rPr>
              <w:t xml:space="preserve"> understanding of her </w:t>
            </w:r>
            <w:r w:rsidR="008511BB">
              <w:rPr>
                <w:color w:val="auto"/>
                <w:sz w:val="22"/>
                <w:szCs w:val="22"/>
              </w:rPr>
              <w:t>partners</w:t>
            </w:r>
            <w:r>
              <w:rPr>
                <w:color w:val="auto"/>
                <w:sz w:val="22"/>
                <w:szCs w:val="22"/>
              </w:rPr>
              <w:t xml:space="preserve"> offences</w:t>
            </w:r>
            <w:r w:rsidR="008511BB">
              <w:rPr>
                <w:color w:val="auto"/>
                <w:sz w:val="22"/>
                <w:szCs w:val="22"/>
              </w:rPr>
              <w:t xml:space="preserve"> </w:t>
            </w:r>
            <w:r>
              <w:rPr>
                <w:color w:val="auto"/>
                <w:sz w:val="22"/>
                <w:szCs w:val="22"/>
              </w:rPr>
              <w:t xml:space="preserve">(adult 2) and the risks he might pose. The care </w:t>
            </w:r>
            <w:r w:rsidR="008511BB">
              <w:rPr>
                <w:color w:val="auto"/>
                <w:sz w:val="22"/>
                <w:szCs w:val="22"/>
              </w:rPr>
              <w:t>worker</w:t>
            </w:r>
            <w:r>
              <w:rPr>
                <w:color w:val="auto"/>
                <w:sz w:val="22"/>
                <w:szCs w:val="22"/>
              </w:rPr>
              <w:t xml:space="preserve"> was </w:t>
            </w:r>
            <w:r w:rsidR="00B03734">
              <w:rPr>
                <w:color w:val="auto"/>
                <w:sz w:val="22"/>
                <w:szCs w:val="22"/>
              </w:rPr>
              <w:t xml:space="preserve">concerned adult 1 may not fully comprehend the implications of </w:t>
            </w:r>
            <w:r w:rsidR="008511BB">
              <w:rPr>
                <w:color w:val="auto"/>
                <w:sz w:val="22"/>
                <w:szCs w:val="22"/>
              </w:rPr>
              <w:t>adult 2’s</w:t>
            </w:r>
            <w:r w:rsidR="00B03734">
              <w:rPr>
                <w:color w:val="auto"/>
                <w:sz w:val="22"/>
                <w:szCs w:val="22"/>
              </w:rPr>
              <w:t xml:space="preserve"> SHPO or past convictions. Their </w:t>
            </w:r>
            <w:r w:rsidR="008511BB">
              <w:rPr>
                <w:color w:val="auto"/>
                <w:sz w:val="22"/>
                <w:szCs w:val="22"/>
              </w:rPr>
              <w:t>concern</w:t>
            </w:r>
            <w:r w:rsidR="00B03734">
              <w:rPr>
                <w:color w:val="auto"/>
                <w:sz w:val="22"/>
                <w:szCs w:val="22"/>
              </w:rPr>
              <w:t xml:space="preserve"> reflected the duty to</w:t>
            </w:r>
            <w:r w:rsidR="008D681B">
              <w:rPr>
                <w:color w:val="auto"/>
                <w:sz w:val="22"/>
                <w:szCs w:val="22"/>
              </w:rPr>
              <w:t xml:space="preserve"> protect individuals at risk, w</w:t>
            </w:r>
            <w:r w:rsidR="008511BB">
              <w:rPr>
                <w:color w:val="auto"/>
                <w:sz w:val="22"/>
                <w:szCs w:val="22"/>
              </w:rPr>
              <w:t>hile</w:t>
            </w:r>
            <w:r w:rsidR="008D681B">
              <w:rPr>
                <w:color w:val="auto"/>
                <w:sz w:val="22"/>
                <w:szCs w:val="22"/>
              </w:rPr>
              <w:t xml:space="preserve"> also highlighting the</w:t>
            </w:r>
            <w:r w:rsidR="008511BB">
              <w:rPr>
                <w:color w:val="auto"/>
                <w:sz w:val="22"/>
                <w:szCs w:val="22"/>
              </w:rPr>
              <w:t xml:space="preserve"> </w:t>
            </w:r>
            <w:r w:rsidR="008D681B">
              <w:rPr>
                <w:color w:val="auto"/>
                <w:sz w:val="22"/>
                <w:szCs w:val="22"/>
              </w:rPr>
              <w:t>importan</w:t>
            </w:r>
            <w:r w:rsidR="008511BB">
              <w:rPr>
                <w:color w:val="auto"/>
                <w:sz w:val="22"/>
                <w:szCs w:val="22"/>
              </w:rPr>
              <w:t>ce</w:t>
            </w:r>
            <w:r w:rsidR="008D681B">
              <w:rPr>
                <w:color w:val="auto"/>
                <w:sz w:val="22"/>
                <w:szCs w:val="22"/>
              </w:rPr>
              <w:t xml:space="preserve"> of avoiding judgemental assumptions that could undermine trust and engagement. </w:t>
            </w:r>
          </w:p>
          <w:p w14:paraId="6068767E" w14:textId="7112D49D" w:rsidR="000717E4" w:rsidRPr="0085647E" w:rsidRDefault="0085647E" w:rsidP="0085647E">
            <w:pPr>
              <w:overflowPunct/>
              <w:autoSpaceDE/>
              <w:autoSpaceDN/>
              <w:adjustRightInd/>
              <w:spacing w:line="480" w:lineRule="auto"/>
              <w:jc w:val="both"/>
              <w:textAlignment w:val="auto"/>
              <w:rPr>
                <w:sz w:val="22"/>
                <w:szCs w:val="22"/>
              </w:rPr>
            </w:pPr>
            <w:r w:rsidRPr="0085647E">
              <w:rPr>
                <w:sz w:val="22"/>
                <w:szCs w:val="22"/>
              </w:rPr>
              <w:br/>
              <w:t>My manager and I discussed the case in supervision as part of preparing for allocation. Supervision enabled me to reflect on my responsibilities, recognise the emotional impact of cases involving sexual offences, and consider the importance of anti</w:t>
            </w:r>
            <w:r w:rsidRPr="0085647E">
              <w:rPr>
                <w:sz w:val="22"/>
                <w:szCs w:val="22"/>
              </w:rPr>
              <w:noBreakHyphen/>
              <w:t>discriminatory, non</w:t>
            </w:r>
            <w:r w:rsidRPr="0085647E">
              <w:rPr>
                <w:sz w:val="22"/>
                <w:szCs w:val="22"/>
              </w:rPr>
              <w:noBreakHyphen/>
              <w:t>judgemental practice. Professional values emphasise dignity and respect, as well as a commitment to the rights and well</w:t>
            </w:r>
            <w:r w:rsidRPr="0085647E">
              <w:rPr>
                <w:sz w:val="22"/>
                <w:szCs w:val="22"/>
              </w:rPr>
              <w:noBreakHyphen/>
              <w:t>being of individuals (Social Care Wales, 2020). This reflective approach helped me establish the tone for my involvement</w:t>
            </w:r>
            <w:r w:rsidR="00055B89">
              <w:rPr>
                <w:sz w:val="22"/>
                <w:szCs w:val="22"/>
              </w:rPr>
              <w:t xml:space="preserve">, </w:t>
            </w:r>
            <w:r w:rsidRPr="0085647E">
              <w:rPr>
                <w:sz w:val="22"/>
                <w:szCs w:val="22"/>
              </w:rPr>
              <w:t>one grounded in empathy, curiosity and legal literacy. Braye and Preston</w:t>
            </w:r>
            <w:r w:rsidRPr="0085647E">
              <w:rPr>
                <w:sz w:val="22"/>
                <w:szCs w:val="22"/>
              </w:rPr>
              <w:noBreakHyphen/>
              <w:t>Shoot (2016) argue that legal, ethical and practical reasoning are inseparable in safeguarding practice, and supervision was an essential space to ensure my approach upheld these principles. Part 7, section 126 of the SSWBWA 2014 provides the statutory basis for adult safeguarding enquiries where a person has care and support needs, is experiencing or at risk of abuse or neglect, and, because of those needs, cannot protect themselves.</w:t>
            </w:r>
          </w:p>
          <w:p w14:paraId="685F10C4" w14:textId="77777777" w:rsidR="0085647E" w:rsidRPr="0085647E" w:rsidRDefault="0085647E" w:rsidP="0085647E">
            <w:pPr>
              <w:overflowPunct/>
              <w:autoSpaceDE/>
              <w:autoSpaceDN/>
              <w:adjustRightInd/>
              <w:spacing w:line="480" w:lineRule="auto"/>
              <w:jc w:val="both"/>
              <w:textAlignment w:val="auto"/>
              <w:rPr>
                <w:color w:val="auto"/>
                <w:sz w:val="22"/>
                <w:szCs w:val="22"/>
              </w:rPr>
            </w:pPr>
          </w:p>
          <w:p w14:paraId="2FEDB3E8" w14:textId="53EC6683" w:rsidR="000717E4" w:rsidRPr="0085647E" w:rsidRDefault="003F622C"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In Adult 1’s case, the referral highlighted potential emotional, physical and sexual abuse, aligning with statutory definitions. The </w:t>
            </w:r>
            <w:r w:rsidR="00554137" w:rsidRPr="0085647E">
              <w:rPr>
                <w:color w:val="auto"/>
                <w:sz w:val="22"/>
                <w:szCs w:val="22"/>
              </w:rPr>
              <w:t xml:space="preserve">SSWBWA 14 </w:t>
            </w:r>
            <w:r w:rsidRPr="0085647E">
              <w:rPr>
                <w:color w:val="auto"/>
                <w:sz w:val="22"/>
                <w:szCs w:val="22"/>
              </w:rPr>
              <w:t>requires safeguarding to be proportionate, person</w:t>
            </w:r>
            <w:r w:rsidRPr="0085647E">
              <w:rPr>
                <w:color w:val="auto"/>
                <w:sz w:val="22"/>
                <w:szCs w:val="22"/>
              </w:rPr>
              <w:noBreakHyphen/>
              <w:t>centred and focused on the individual’s outcomes, not driven by organisational risk aversion. Tensions often emerge between upholding autonomy</w:t>
            </w:r>
            <w:r w:rsidR="00DA3D7D">
              <w:rPr>
                <w:color w:val="auto"/>
                <w:sz w:val="22"/>
                <w:szCs w:val="22"/>
              </w:rPr>
              <w:t xml:space="preserve">, </w:t>
            </w:r>
            <w:r w:rsidRPr="0085647E">
              <w:rPr>
                <w:color w:val="auto"/>
                <w:sz w:val="22"/>
                <w:szCs w:val="22"/>
              </w:rPr>
              <w:t>including a person’s right to make choices others may consider unwise</w:t>
            </w:r>
            <w:r w:rsidR="00DA3D7D">
              <w:rPr>
                <w:color w:val="auto"/>
                <w:sz w:val="22"/>
                <w:szCs w:val="22"/>
              </w:rPr>
              <w:t xml:space="preserve"> </w:t>
            </w:r>
            <w:r w:rsidRPr="0085647E">
              <w:rPr>
                <w:color w:val="auto"/>
                <w:sz w:val="22"/>
                <w:szCs w:val="22"/>
              </w:rPr>
              <w:t xml:space="preserve">and the duty to protect adults from significant harm. Balancing these duties required robust professional judgement, ethical reasoning and ongoing dialogue with </w:t>
            </w:r>
            <w:r w:rsidR="000717E4" w:rsidRPr="0085647E">
              <w:rPr>
                <w:color w:val="auto"/>
                <w:sz w:val="22"/>
                <w:szCs w:val="22"/>
              </w:rPr>
              <w:t>adult</w:t>
            </w:r>
            <w:r w:rsidRPr="0085647E">
              <w:rPr>
                <w:color w:val="auto"/>
                <w:sz w:val="22"/>
                <w:szCs w:val="22"/>
              </w:rPr>
              <w:t xml:space="preserve"> 1 to ensure protective steps also respected her rights. Although social care is devolved in Wales, the</w:t>
            </w:r>
            <w:r w:rsidR="00554137" w:rsidRPr="0085647E">
              <w:rPr>
                <w:color w:val="auto"/>
                <w:sz w:val="22"/>
                <w:szCs w:val="22"/>
              </w:rPr>
              <w:t xml:space="preserve"> Mental Capacity Act 2005</w:t>
            </w:r>
            <w:r w:rsidRPr="0085647E">
              <w:rPr>
                <w:color w:val="auto"/>
                <w:sz w:val="22"/>
                <w:szCs w:val="22"/>
              </w:rPr>
              <w:t xml:space="preserve"> </w:t>
            </w:r>
            <w:r w:rsidR="00554137" w:rsidRPr="0085647E">
              <w:rPr>
                <w:color w:val="auto"/>
                <w:sz w:val="22"/>
                <w:szCs w:val="22"/>
              </w:rPr>
              <w:t xml:space="preserve">(MCA 2005) </w:t>
            </w:r>
            <w:r w:rsidRPr="0085647E">
              <w:rPr>
                <w:color w:val="auto"/>
                <w:sz w:val="22"/>
                <w:szCs w:val="22"/>
              </w:rPr>
              <w:t xml:space="preserve">applies across England and Wales and was central to my practice. The </w:t>
            </w:r>
            <w:r w:rsidR="00554137" w:rsidRPr="0085647E">
              <w:rPr>
                <w:color w:val="auto"/>
                <w:sz w:val="22"/>
                <w:szCs w:val="22"/>
              </w:rPr>
              <w:t>MCA 2005 requires</w:t>
            </w:r>
            <w:r w:rsidRPr="0085647E">
              <w:rPr>
                <w:color w:val="auto"/>
                <w:sz w:val="22"/>
                <w:szCs w:val="22"/>
              </w:rPr>
              <w:t xml:space="preserve"> decision</w:t>
            </w:r>
            <w:r w:rsidRPr="0085647E">
              <w:rPr>
                <w:color w:val="auto"/>
                <w:sz w:val="22"/>
                <w:szCs w:val="22"/>
              </w:rPr>
              <w:noBreakHyphen/>
              <w:t>specific and time</w:t>
            </w:r>
            <w:r w:rsidRPr="0085647E">
              <w:rPr>
                <w:color w:val="auto"/>
                <w:sz w:val="22"/>
                <w:szCs w:val="22"/>
              </w:rPr>
              <w:noBreakHyphen/>
              <w:t xml:space="preserve">specific capacity assessment and affirms that individuals may make decisions others view as unwise unless they lack capacity. This connects closely with Article 8 </w:t>
            </w:r>
            <w:r w:rsidR="00554137" w:rsidRPr="0085647E">
              <w:rPr>
                <w:color w:val="auto"/>
                <w:sz w:val="22"/>
                <w:szCs w:val="22"/>
              </w:rPr>
              <w:t xml:space="preserve">of the Human Rights Act 1998 (HRA 1998) </w:t>
            </w:r>
            <w:r w:rsidRPr="0085647E">
              <w:rPr>
                <w:color w:val="auto"/>
                <w:sz w:val="22"/>
                <w:szCs w:val="22"/>
              </w:rPr>
              <w:t>which protects the right to private and family life, including choosing personal relationships. Welsh safeguarding duties, framed through the SSWBWA 2014 and the Wales Safeguarding Procedures (2019), differ from England’s Care Act 2014 in that Wales emphasises well</w:t>
            </w:r>
            <w:r w:rsidRPr="0085647E">
              <w:rPr>
                <w:color w:val="auto"/>
                <w:sz w:val="22"/>
                <w:szCs w:val="22"/>
              </w:rPr>
              <w:noBreakHyphen/>
              <w:t>being, autonomy, and collaborative approaches over risk</w:t>
            </w:r>
            <w:r w:rsidRPr="0085647E">
              <w:rPr>
                <w:color w:val="auto"/>
                <w:sz w:val="22"/>
                <w:szCs w:val="22"/>
              </w:rPr>
              <w:noBreakHyphen/>
              <w:t>management frameworks.</w:t>
            </w:r>
          </w:p>
          <w:p w14:paraId="38D1057A"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3BEEA10F" w14:textId="676B12EA" w:rsidR="000717E4" w:rsidRPr="0085647E" w:rsidRDefault="003F622C" w:rsidP="0085647E">
            <w:pPr>
              <w:overflowPunct/>
              <w:autoSpaceDE/>
              <w:autoSpaceDN/>
              <w:adjustRightInd/>
              <w:spacing w:line="480" w:lineRule="auto"/>
              <w:jc w:val="both"/>
              <w:textAlignment w:val="auto"/>
              <w:rPr>
                <w:color w:val="auto"/>
                <w:sz w:val="22"/>
                <w:szCs w:val="22"/>
              </w:rPr>
            </w:pPr>
            <w:r w:rsidRPr="0085647E">
              <w:rPr>
                <w:color w:val="auto"/>
                <w:sz w:val="22"/>
                <w:szCs w:val="22"/>
              </w:rPr>
              <w:t>However, this rights</w:t>
            </w:r>
            <w:r w:rsidRPr="0085647E">
              <w:rPr>
                <w:color w:val="auto"/>
                <w:sz w:val="22"/>
                <w:szCs w:val="22"/>
              </w:rPr>
              <w:noBreakHyphen/>
              <w:t>based emphasis generates tensions</w:t>
            </w:r>
            <w:r w:rsidR="00BE3063">
              <w:rPr>
                <w:color w:val="auto"/>
                <w:sz w:val="22"/>
                <w:szCs w:val="22"/>
              </w:rPr>
              <w:t>,</w:t>
            </w:r>
            <w:r w:rsidRPr="0085647E">
              <w:rPr>
                <w:color w:val="auto"/>
                <w:sz w:val="22"/>
                <w:szCs w:val="22"/>
              </w:rPr>
              <w:t xml:space="preserve"> while respecting autonomy and Article 8 rights</w:t>
            </w:r>
            <w:r w:rsidR="00055B89">
              <w:rPr>
                <w:color w:val="auto"/>
                <w:sz w:val="22"/>
                <w:szCs w:val="22"/>
              </w:rPr>
              <w:t xml:space="preserve"> of the HRA 1998</w:t>
            </w:r>
            <w:r w:rsidRPr="0085647E">
              <w:rPr>
                <w:color w:val="auto"/>
                <w:sz w:val="22"/>
                <w:szCs w:val="22"/>
              </w:rPr>
              <w:t>, practitioners must act when there is reasonable cause to suspect abuse or neglect. Over</w:t>
            </w:r>
            <w:r w:rsidRPr="0085647E">
              <w:rPr>
                <w:color w:val="auto"/>
                <w:sz w:val="22"/>
                <w:szCs w:val="22"/>
              </w:rPr>
              <w:noBreakHyphen/>
              <w:t>intervention risks paternalism</w:t>
            </w:r>
            <w:r w:rsidR="00F46D0B">
              <w:rPr>
                <w:color w:val="auto"/>
                <w:sz w:val="22"/>
                <w:szCs w:val="22"/>
              </w:rPr>
              <w:t>,</w:t>
            </w:r>
            <w:r w:rsidRPr="0085647E">
              <w:rPr>
                <w:color w:val="auto"/>
                <w:sz w:val="22"/>
                <w:szCs w:val="22"/>
              </w:rPr>
              <w:t xml:space="preserve"> under</w:t>
            </w:r>
            <w:r w:rsidRPr="0085647E">
              <w:rPr>
                <w:color w:val="auto"/>
                <w:sz w:val="22"/>
                <w:szCs w:val="22"/>
              </w:rPr>
              <w:noBreakHyphen/>
              <w:t xml:space="preserve">intervention risks leaving adults exposed to harm. Ethical practice involves navigating between these extremes, drawing on theory, law and reflective judgement (Banks, 2020; Donnelly &amp; O’Connor, </w:t>
            </w:r>
            <w:r w:rsidR="00554137" w:rsidRPr="0085647E">
              <w:rPr>
                <w:color w:val="auto"/>
                <w:sz w:val="22"/>
                <w:szCs w:val="22"/>
              </w:rPr>
              <w:t xml:space="preserve">2019). </w:t>
            </w:r>
            <w:r w:rsidRPr="0085647E">
              <w:rPr>
                <w:color w:val="auto"/>
                <w:sz w:val="22"/>
                <w:szCs w:val="22"/>
              </w:rPr>
              <w:t>Wales’s safeguarding policy is influenced by international human</w:t>
            </w:r>
            <w:r w:rsidRPr="0085647E">
              <w:rPr>
                <w:color w:val="auto"/>
                <w:sz w:val="22"/>
                <w:szCs w:val="22"/>
              </w:rPr>
              <w:noBreakHyphen/>
              <w:t>rights frameworks, particularly the UN Convention on the Rights of Persons with Disabilities (UNCRPD), which emphasises autonomy, participation and protection from exploitation (UN, 2006). These principles are embedded in the SSWBWA 2014 and reinforced through the MCA 2005’s focus on supported decision</w:t>
            </w:r>
            <w:r w:rsidRPr="0085647E">
              <w:rPr>
                <w:color w:val="auto"/>
                <w:sz w:val="22"/>
                <w:szCs w:val="22"/>
              </w:rPr>
              <w:noBreakHyphen/>
              <w:t xml:space="preserve">making. </w:t>
            </w:r>
          </w:p>
          <w:p w14:paraId="06DF8DEE"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3E8D89D9" w14:textId="2DA37578" w:rsidR="000717E4" w:rsidRPr="0085647E" w:rsidRDefault="003F622C" w:rsidP="0085647E">
            <w:pPr>
              <w:overflowPunct/>
              <w:autoSpaceDE/>
              <w:autoSpaceDN/>
              <w:adjustRightInd/>
              <w:spacing w:line="480" w:lineRule="auto"/>
              <w:jc w:val="both"/>
              <w:textAlignment w:val="auto"/>
              <w:rPr>
                <w:color w:val="auto"/>
                <w:sz w:val="22"/>
                <w:szCs w:val="22"/>
              </w:rPr>
            </w:pPr>
            <w:r w:rsidRPr="0085647E">
              <w:rPr>
                <w:color w:val="auto"/>
                <w:sz w:val="22"/>
                <w:szCs w:val="22"/>
              </w:rPr>
              <w:t>The Well</w:t>
            </w:r>
            <w:r w:rsidRPr="0085647E">
              <w:rPr>
                <w:color w:val="auto"/>
                <w:sz w:val="22"/>
                <w:szCs w:val="22"/>
              </w:rPr>
              <w:noBreakHyphen/>
              <w:t>being of Future Generations (Wales) Act 2015 adds a further emphasis on prevention and holistic well</w:t>
            </w:r>
            <w:r w:rsidRPr="0085647E">
              <w:rPr>
                <w:color w:val="auto"/>
                <w:sz w:val="22"/>
                <w:szCs w:val="22"/>
              </w:rPr>
              <w:noBreakHyphen/>
              <w:t>being, supporting early intervention. Wales’s continued alignment with these values demonstrates its commitment to a rights</w:t>
            </w:r>
            <w:r w:rsidRPr="0085647E">
              <w:rPr>
                <w:color w:val="auto"/>
                <w:sz w:val="22"/>
                <w:szCs w:val="22"/>
              </w:rPr>
              <w:noBreakHyphen/>
              <w:t>based safeguarding culture. Before meeting Adult 1, I ensured the Active Offer, in accordance with the Welsh Government’s ‘More Than Just Words’ strategic framework (2022</w:t>
            </w:r>
            <w:r w:rsidR="000717E4" w:rsidRPr="0085647E">
              <w:rPr>
                <w:color w:val="auto"/>
                <w:sz w:val="22"/>
                <w:szCs w:val="22"/>
              </w:rPr>
              <w:t>) and</w:t>
            </w:r>
            <w:r w:rsidRPr="0085647E">
              <w:rPr>
                <w:color w:val="auto"/>
                <w:sz w:val="22"/>
                <w:szCs w:val="22"/>
              </w:rPr>
              <w:t xml:space="preserve"> confirmed her language needs under the Welsh Language (Wales) Measure 2011. She confirmed she did not speak Welsh, so I proceeded in English, ensuring her linguistic rights were upheld. When I visited Adult 1 at home, I explained the purpose of my involvement</w:t>
            </w:r>
            <w:r w:rsidR="00F00266">
              <w:rPr>
                <w:color w:val="auto"/>
                <w:sz w:val="22"/>
                <w:szCs w:val="22"/>
              </w:rPr>
              <w:t xml:space="preserve">, </w:t>
            </w:r>
            <w:r w:rsidRPr="0085647E">
              <w:rPr>
                <w:color w:val="auto"/>
                <w:sz w:val="22"/>
                <w:szCs w:val="22"/>
              </w:rPr>
              <w:t xml:space="preserve">to review her care package and discuss the safeguarding referral. She consented to the discussion, and gaining informed consent was essential to uphold her autonomy and the principles of voice, choice and control within the SSWBWA 2014. Consent set a foundation of trust, demonstrated respect for her rights, and encouraged open conversation. </w:t>
            </w:r>
          </w:p>
          <w:p w14:paraId="0568D6DD"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2F8ECE3A" w14:textId="1084D5FB" w:rsidR="00061070" w:rsidRPr="0085647E" w:rsidRDefault="003F622C"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Adult 1 disclosed she had been in a relationship with </w:t>
            </w:r>
            <w:r w:rsidR="000717E4" w:rsidRPr="0085647E">
              <w:rPr>
                <w:color w:val="auto"/>
                <w:sz w:val="22"/>
                <w:szCs w:val="22"/>
              </w:rPr>
              <w:t>adult</w:t>
            </w:r>
            <w:r w:rsidRPr="0085647E">
              <w:rPr>
                <w:color w:val="auto"/>
                <w:sz w:val="22"/>
                <w:szCs w:val="22"/>
              </w:rPr>
              <w:t xml:space="preserve"> 2 for five years and admitted she had told care staff the relationship had ended because their reactions made her feel judged</w:t>
            </w:r>
            <w:r w:rsidR="00A16F34">
              <w:rPr>
                <w:color w:val="auto"/>
                <w:sz w:val="22"/>
                <w:szCs w:val="22"/>
              </w:rPr>
              <w:t xml:space="preserve">. </w:t>
            </w:r>
            <w:r w:rsidRPr="0085647E">
              <w:rPr>
                <w:color w:val="auto"/>
                <w:sz w:val="22"/>
                <w:szCs w:val="22"/>
              </w:rPr>
              <w:t>This highlighted how negative or paternalistic professional responses can cause individuals to hide information essential for accurate safeguarding assessment. Trauma</w:t>
            </w:r>
            <w:r w:rsidRPr="0085647E">
              <w:rPr>
                <w:color w:val="auto"/>
                <w:sz w:val="22"/>
                <w:szCs w:val="22"/>
              </w:rPr>
              <w:noBreakHyphen/>
              <w:t>informed practice emphasises safety, trustworthiness, empowerment and avoiding re</w:t>
            </w:r>
            <w:r w:rsidRPr="0085647E">
              <w:rPr>
                <w:color w:val="auto"/>
                <w:sz w:val="22"/>
                <w:szCs w:val="22"/>
              </w:rPr>
              <w:noBreakHyphen/>
              <w:t>traumatisation (Sweeney et al., 2018). Her past relationship trauma likely heightened her sensitivity to disapproval, reinforcing the need for empathy and non</w:t>
            </w:r>
            <w:r w:rsidRPr="0085647E">
              <w:rPr>
                <w:color w:val="auto"/>
                <w:sz w:val="22"/>
                <w:szCs w:val="22"/>
              </w:rPr>
              <w:noBreakHyphen/>
              <w:t>judgemental communication. I also acknowledged her Article 8 right to private and family life, including forming relationships. Social workers must balance these rights with the responsibility to assess risk. When dignity, respect and equality are not upheld, relationships may deteriorate, engagement may falter, and safeguarding risks may increase.</w:t>
            </w:r>
          </w:p>
          <w:p w14:paraId="5AD6C6C4" w14:textId="77777777" w:rsidR="003F622C" w:rsidRPr="0085647E" w:rsidRDefault="003F622C" w:rsidP="0085647E">
            <w:pPr>
              <w:spacing w:line="480" w:lineRule="auto"/>
              <w:jc w:val="both"/>
              <w:rPr>
                <w:i/>
                <w:color w:val="auto"/>
                <w:sz w:val="22"/>
                <w:szCs w:val="22"/>
              </w:rPr>
            </w:pPr>
          </w:p>
          <w:p w14:paraId="0B4CBFAB" w14:textId="62891F30" w:rsidR="000717E4"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Adult 1’s disclosure demonstrated the importance of relationship</w:t>
            </w:r>
            <w:r w:rsidRPr="0085647E">
              <w:rPr>
                <w:color w:val="auto"/>
                <w:sz w:val="22"/>
                <w:szCs w:val="22"/>
              </w:rPr>
              <w:noBreakHyphen/>
              <w:t>based practice, where communication, trust, empathy and understanding form the foundation of effective safeguarding work. Relationship</w:t>
            </w:r>
            <w:r w:rsidRPr="0085647E">
              <w:rPr>
                <w:color w:val="auto"/>
                <w:sz w:val="22"/>
                <w:szCs w:val="22"/>
              </w:rPr>
              <w:noBreakHyphen/>
              <w:t>based practice highlights that supportive, respectful professional relationships can help people feel safe enough to disclose sensitive information and explore fears (Ruch, 2018). For Adult 1, whose past experiences involved trauma, loss and low self</w:t>
            </w:r>
            <w:r w:rsidRPr="0085647E">
              <w:rPr>
                <w:color w:val="auto"/>
                <w:sz w:val="22"/>
                <w:szCs w:val="22"/>
              </w:rPr>
              <w:noBreakHyphen/>
              <w:t>esteem, the need for a relational approach important. This shaped how I explored her understanding of the risks associated with her partner’s offences and the reasons for her decision to continue the relationship.</w:t>
            </w:r>
          </w:p>
          <w:p w14:paraId="2FB87380"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5F7D9404" w14:textId="637DD827" w:rsidR="000717E4"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In line with the MCA 2005, I applied the statutory principles, beginning with the presumption that </w:t>
            </w:r>
            <w:r w:rsidR="000717E4" w:rsidRPr="0085647E">
              <w:rPr>
                <w:color w:val="auto"/>
                <w:sz w:val="22"/>
                <w:szCs w:val="22"/>
              </w:rPr>
              <w:t>a</w:t>
            </w:r>
            <w:r w:rsidRPr="0085647E">
              <w:rPr>
                <w:color w:val="auto"/>
                <w:sz w:val="22"/>
                <w:szCs w:val="22"/>
              </w:rPr>
              <w:t xml:space="preserve">dult 1 had capacity unless there was evidence to question this. Although her choice to remain in the relationship might be viewed as unwise, the </w:t>
            </w:r>
            <w:r w:rsidR="003E6F5A">
              <w:rPr>
                <w:color w:val="auto"/>
                <w:sz w:val="22"/>
                <w:szCs w:val="22"/>
              </w:rPr>
              <w:t>MCA 2005</w:t>
            </w:r>
            <w:r w:rsidRPr="0085647E">
              <w:rPr>
                <w:color w:val="auto"/>
                <w:sz w:val="22"/>
                <w:szCs w:val="22"/>
              </w:rPr>
              <w:t xml:space="preserve"> establishes that unwise decisions do not indicate incapacity. This principle is essential to avoid discriminatory assumptions, particularly where individuals have learning difficulties, mental</w:t>
            </w:r>
            <w:r w:rsidRPr="0085647E">
              <w:rPr>
                <w:color w:val="auto"/>
                <w:sz w:val="22"/>
                <w:szCs w:val="22"/>
              </w:rPr>
              <w:noBreakHyphen/>
              <w:t xml:space="preserve">health issues or past trauma. I informed her that a safeguarding referral had been submitted due to concerns about </w:t>
            </w:r>
            <w:r w:rsidR="000717E4" w:rsidRPr="0085647E">
              <w:rPr>
                <w:color w:val="auto"/>
                <w:sz w:val="22"/>
                <w:szCs w:val="22"/>
              </w:rPr>
              <w:t>adult</w:t>
            </w:r>
            <w:r w:rsidRPr="0085647E">
              <w:rPr>
                <w:color w:val="auto"/>
                <w:sz w:val="22"/>
                <w:szCs w:val="22"/>
              </w:rPr>
              <w:t xml:space="preserve"> 2’s sexual offences and the potential risks he might pose. She expressed a wish to continue the relationship and felt that care staff had judged her harshly. I explored her reasoning, her understanding of the risks and the implications of </w:t>
            </w:r>
            <w:r w:rsidR="000717E4" w:rsidRPr="0085647E">
              <w:rPr>
                <w:color w:val="auto"/>
                <w:sz w:val="22"/>
                <w:szCs w:val="22"/>
              </w:rPr>
              <w:t>adult</w:t>
            </w:r>
            <w:r w:rsidRPr="0085647E">
              <w:rPr>
                <w:color w:val="auto"/>
                <w:sz w:val="22"/>
                <w:szCs w:val="22"/>
              </w:rPr>
              <w:t xml:space="preserve"> 2’s SHPO. She understood that his order prohibited unsupervised contact with children and acknowledged the seriousness of his convictions. Her reasoning was coherent, consistent and grounded in her own lived experiences, including reflections on past relationships. This part of the conversation served as a natural capacity assessment, even without formal structure. Adult 1 explained her feelings of deception by care staff and how their reactions made her feel ashamed. </w:t>
            </w:r>
          </w:p>
          <w:p w14:paraId="0D0EE5B6"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35E5C6BE" w14:textId="7DB5653F" w:rsidR="000717E4" w:rsidRPr="0085647E" w:rsidRDefault="000717E4"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Adult 1’s </w:t>
            </w:r>
            <w:r w:rsidR="005F7358" w:rsidRPr="0085647E">
              <w:rPr>
                <w:color w:val="auto"/>
                <w:sz w:val="22"/>
                <w:szCs w:val="22"/>
              </w:rPr>
              <w:t>emotional response was understandable given her history of trauma and her stated need for acceptance and companionship. Trauma</w:t>
            </w:r>
            <w:r w:rsidR="005F7358" w:rsidRPr="0085647E">
              <w:rPr>
                <w:color w:val="auto"/>
                <w:sz w:val="22"/>
                <w:szCs w:val="22"/>
              </w:rPr>
              <w:noBreakHyphen/>
              <w:t>informed practice emphasises the importance of validating feelings and avoiding responses that reinforce shame, which can contribute to avoidance and risk concealment (Sweeney et al., 2018). This reinforced for me that a non</w:t>
            </w:r>
            <w:r w:rsidR="005F7358" w:rsidRPr="0085647E">
              <w:rPr>
                <w:color w:val="auto"/>
                <w:sz w:val="22"/>
                <w:szCs w:val="22"/>
              </w:rPr>
              <w:noBreakHyphen/>
              <w:t xml:space="preserve">judgemental approach was essential for ongoing engagement. Under both the SSWBWA 2014 and the Wales Safeguarding Procedures (2019), safeguarding responsibilities apply even if a person does not consent to intervention, where there is reasonable cause to suspect abuse, neglect or inability to protect oneself. </w:t>
            </w:r>
            <w:r w:rsidR="00554137" w:rsidRPr="0085647E">
              <w:rPr>
                <w:color w:val="auto"/>
                <w:sz w:val="22"/>
                <w:szCs w:val="22"/>
              </w:rPr>
              <w:t>I explained that my duties as a social worker required me to report any future concerns, just as care staff were required to, even if she disagreed with this approach. This is because under Part 7,</w:t>
            </w:r>
            <w:r w:rsidR="00554137" w:rsidRPr="0085647E">
              <w:rPr>
                <w:b/>
                <w:bCs/>
                <w:color w:val="auto"/>
                <w:sz w:val="22"/>
                <w:szCs w:val="22"/>
              </w:rPr>
              <w:t xml:space="preserve"> </w:t>
            </w:r>
            <w:r w:rsidR="00554137" w:rsidRPr="0085647E">
              <w:rPr>
                <w:color w:val="auto"/>
                <w:sz w:val="22"/>
                <w:szCs w:val="22"/>
              </w:rPr>
              <w:t>Section 128 of the SSWBWA 14, all relevant partners, including adult social workers, hold a statutory duty to report an</w:t>
            </w:r>
            <w:r w:rsidR="00E66BC1">
              <w:rPr>
                <w:color w:val="auto"/>
                <w:sz w:val="22"/>
                <w:szCs w:val="22"/>
              </w:rPr>
              <w:t xml:space="preserve"> adult or child </w:t>
            </w:r>
            <w:r w:rsidR="00554137" w:rsidRPr="0085647E">
              <w:rPr>
                <w:color w:val="auto"/>
                <w:sz w:val="22"/>
                <w:szCs w:val="22"/>
              </w:rPr>
              <w:t>they believe may be at risk of abuse, neglect or harm.</w:t>
            </w:r>
          </w:p>
          <w:p w14:paraId="471910CE"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075D06C5" w14:textId="70B7A1AC" w:rsidR="000717E4"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Prior to my involvement, a Multi</w:t>
            </w:r>
            <w:r w:rsidRPr="0085647E">
              <w:rPr>
                <w:color w:val="auto"/>
                <w:sz w:val="22"/>
                <w:szCs w:val="22"/>
              </w:rPr>
              <w:noBreakHyphen/>
              <w:t xml:space="preserve">Agency Referral Form (MARF) had already been submitted. Such referrals ensure concerns are considered by the Local Authority Safeguarding Team and partner agencies such as the police and probation services. The Safeguarding Team initiated enquiries in response to the referral. Given </w:t>
            </w:r>
            <w:r w:rsidR="000717E4" w:rsidRPr="0085647E">
              <w:rPr>
                <w:color w:val="auto"/>
                <w:sz w:val="22"/>
                <w:szCs w:val="22"/>
              </w:rPr>
              <w:t>a</w:t>
            </w:r>
            <w:r w:rsidRPr="0085647E">
              <w:rPr>
                <w:color w:val="auto"/>
                <w:sz w:val="22"/>
                <w:szCs w:val="22"/>
              </w:rPr>
              <w:t>dult 2’s offences against children and the conditions of his SHPO, the threshold for a Section 126 enquiry and a multi</w:t>
            </w:r>
            <w:r w:rsidRPr="0085647E">
              <w:rPr>
                <w:color w:val="auto"/>
                <w:sz w:val="22"/>
                <w:szCs w:val="22"/>
              </w:rPr>
              <w:noBreakHyphen/>
              <w:t xml:space="preserve">agency strategy meeting was met. As part of the enquiries, a police officer was allocated to the case, and I undertook a joint visit to </w:t>
            </w:r>
            <w:r w:rsidR="000717E4" w:rsidRPr="0085647E">
              <w:rPr>
                <w:color w:val="auto"/>
                <w:sz w:val="22"/>
                <w:szCs w:val="22"/>
              </w:rPr>
              <w:t>adult</w:t>
            </w:r>
            <w:r w:rsidRPr="0085647E">
              <w:rPr>
                <w:color w:val="auto"/>
                <w:sz w:val="22"/>
                <w:szCs w:val="22"/>
              </w:rPr>
              <w:t xml:space="preserve"> 1. During this visit, I found no indications of impaired decision</w:t>
            </w:r>
            <w:r w:rsidRPr="0085647E">
              <w:rPr>
                <w:color w:val="auto"/>
                <w:sz w:val="22"/>
                <w:szCs w:val="22"/>
              </w:rPr>
              <w:noBreakHyphen/>
              <w:t xml:space="preserve">making. She demonstrated understanding of the nature of the relationship, its risks and the protective strategies available to her. </w:t>
            </w:r>
          </w:p>
          <w:p w14:paraId="2B0B5CEC" w14:textId="77777777" w:rsidR="000717E4" w:rsidRPr="0085647E" w:rsidRDefault="000717E4" w:rsidP="0085647E">
            <w:pPr>
              <w:overflowPunct/>
              <w:autoSpaceDE/>
              <w:autoSpaceDN/>
              <w:adjustRightInd/>
              <w:spacing w:line="480" w:lineRule="auto"/>
              <w:jc w:val="both"/>
              <w:textAlignment w:val="auto"/>
              <w:rPr>
                <w:color w:val="auto"/>
                <w:sz w:val="22"/>
                <w:szCs w:val="22"/>
              </w:rPr>
            </w:pPr>
          </w:p>
          <w:p w14:paraId="43714DD6" w14:textId="70BADDC9" w:rsidR="00127734"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As a result, </w:t>
            </w:r>
            <w:r w:rsidR="00127734" w:rsidRPr="0085647E">
              <w:rPr>
                <w:color w:val="auto"/>
                <w:sz w:val="22"/>
                <w:szCs w:val="22"/>
              </w:rPr>
              <w:t>the</w:t>
            </w:r>
            <w:r w:rsidRPr="0085647E">
              <w:rPr>
                <w:color w:val="auto"/>
                <w:sz w:val="22"/>
                <w:szCs w:val="22"/>
              </w:rPr>
              <w:t xml:space="preserve"> </w:t>
            </w:r>
            <w:r w:rsidR="00127734" w:rsidRPr="0085647E">
              <w:rPr>
                <w:color w:val="auto"/>
                <w:sz w:val="22"/>
                <w:szCs w:val="22"/>
              </w:rPr>
              <w:t>s</w:t>
            </w:r>
            <w:r w:rsidRPr="0085647E">
              <w:rPr>
                <w:color w:val="auto"/>
                <w:sz w:val="22"/>
                <w:szCs w:val="22"/>
              </w:rPr>
              <w:t xml:space="preserve">afeguarding </w:t>
            </w:r>
            <w:r w:rsidR="00127734" w:rsidRPr="0085647E">
              <w:rPr>
                <w:color w:val="auto"/>
                <w:sz w:val="22"/>
                <w:szCs w:val="22"/>
              </w:rPr>
              <w:t xml:space="preserve">team and I </w:t>
            </w:r>
            <w:r w:rsidRPr="0085647E">
              <w:rPr>
                <w:color w:val="auto"/>
                <w:sz w:val="22"/>
                <w:szCs w:val="22"/>
              </w:rPr>
              <w:t xml:space="preserve">concluded that a formal capacity assessment was unnecessary. Her comprehension and reasoning were consistent with the MCA 2005 definition of capacity, and she was exercising her right to make unwise decisions. The case responsibility transferred to me for ongoing case management, supported by the allocated police officer. The MCA 2005 outlines that a formal capacity assessment is only required when there is a reasonable belief that the person may lack capacity for the specific decision. In this case, I had insufficient grounds to </w:t>
            </w:r>
            <w:r w:rsidR="00554137" w:rsidRPr="0085647E">
              <w:rPr>
                <w:color w:val="auto"/>
                <w:sz w:val="22"/>
                <w:szCs w:val="22"/>
              </w:rPr>
              <w:t>question Adult 1’s capacity in relation to safe relationship decisions.</w:t>
            </w:r>
          </w:p>
          <w:p w14:paraId="31B7BEB7" w14:textId="77777777" w:rsidR="00127734" w:rsidRPr="0085647E" w:rsidRDefault="00127734" w:rsidP="0085647E">
            <w:pPr>
              <w:overflowPunct/>
              <w:autoSpaceDE/>
              <w:autoSpaceDN/>
              <w:adjustRightInd/>
              <w:spacing w:line="480" w:lineRule="auto"/>
              <w:jc w:val="both"/>
              <w:textAlignment w:val="auto"/>
              <w:rPr>
                <w:color w:val="auto"/>
                <w:sz w:val="22"/>
                <w:szCs w:val="22"/>
              </w:rPr>
            </w:pPr>
          </w:p>
          <w:p w14:paraId="71369928" w14:textId="2E2098C0" w:rsidR="00554137"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Capacity assessments can be intrusive, and unnecessary assessments may undermine autonomy and dignity. Her ability to articulate her understanding of risk, identify </w:t>
            </w:r>
            <w:r w:rsidR="00E66BC1">
              <w:rPr>
                <w:color w:val="auto"/>
                <w:sz w:val="22"/>
                <w:szCs w:val="22"/>
              </w:rPr>
              <w:t>what she referred to as “</w:t>
            </w:r>
            <w:r w:rsidRPr="0085647E">
              <w:rPr>
                <w:color w:val="auto"/>
                <w:sz w:val="22"/>
                <w:szCs w:val="22"/>
              </w:rPr>
              <w:t>red flags</w:t>
            </w:r>
            <w:r w:rsidR="00E66BC1">
              <w:rPr>
                <w:color w:val="auto"/>
                <w:sz w:val="22"/>
                <w:szCs w:val="22"/>
              </w:rPr>
              <w:t>”</w:t>
            </w:r>
            <w:r w:rsidRPr="0085647E">
              <w:rPr>
                <w:color w:val="auto"/>
                <w:sz w:val="22"/>
                <w:szCs w:val="22"/>
              </w:rPr>
              <w:t xml:space="preserve"> from past relationships and describe appropriate safety strategies (such as contacting the police if she felt unsafe) further demonstrated functional decision</w:t>
            </w:r>
            <w:r w:rsidRPr="0085647E">
              <w:rPr>
                <w:color w:val="auto"/>
                <w:sz w:val="22"/>
                <w:szCs w:val="22"/>
              </w:rPr>
              <w:noBreakHyphen/>
              <w:t>making ability. Nevertheless, I recognised that her vulnerabilities, including past trauma and limited social networks, could influence her decision</w:t>
            </w:r>
            <w:r w:rsidRPr="0085647E">
              <w:rPr>
                <w:color w:val="auto"/>
                <w:sz w:val="22"/>
                <w:szCs w:val="22"/>
              </w:rPr>
              <w:noBreakHyphen/>
              <w:t xml:space="preserve">making in less explicit ways. The concept of “capacitous but vulnerable” adults (Dunn et al., 2020) highlights how structural, emotional and relational factors can undermine autonomy, even when legal capacity is </w:t>
            </w:r>
            <w:r w:rsidR="00554137" w:rsidRPr="0085647E">
              <w:rPr>
                <w:color w:val="auto"/>
                <w:sz w:val="22"/>
                <w:szCs w:val="22"/>
              </w:rPr>
              <w:t xml:space="preserve">present. </w:t>
            </w:r>
            <w:r w:rsidRPr="0085647E">
              <w:rPr>
                <w:color w:val="auto"/>
                <w:sz w:val="22"/>
                <w:szCs w:val="22"/>
              </w:rPr>
              <w:t>This complexity reflects debates about the MCA 2005’s effectiveness in safeguarding adults with capacity who may still be at risk because of coercion, control, emotional dependency or trauma</w:t>
            </w:r>
            <w:r w:rsidR="00A27FCE">
              <w:rPr>
                <w:color w:val="auto"/>
                <w:sz w:val="22"/>
                <w:szCs w:val="22"/>
              </w:rPr>
              <w:t>-</w:t>
            </w:r>
            <w:r w:rsidRPr="0085647E">
              <w:rPr>
                <w:color w:val="auto"/>
                <w:sz w:val="22"/>
                <w:szCs w:val="22"/>
              </w:rPr>
              <w:t>b</w:t>
            </w:r>
            <w:r w:rsidR="00554137" w:rsidRPr="0085647E">
              <w:rPr>
                <w:color w:val="auto"/>
                <w:sz w:val="22"/>
                <w:szCs w:val="22"/>
              </w:rPr>
              <w:t>onding. The Wales Safeguarding Procedures (2019) also recognise that consent may be overridden where there are indications of coercion, control, exploitation or undue influence, meaning that a practitioner must still progress a safeguarding concern even when the adult does not consent.</w:t>
            </w:r>
          </w:p>
          <w:p w14:paraId="5DB1D03E" w14:textId="77777777" w:rsidR="00127734" w:rsidRPr="0085647E" w:rsidRDefault="00127734" w:rsidP="0085647E">
            <w:pPr>
              <w:overflowPunct/>
              <w:autoSpaceDE/>
              <w:autoSpaceDN/>
              <w:adjustRightInd/>
              <w:spacing w:line="480" w:lineRule="auto"/>
              <w:jc w:val="both"/>
              <w:textAlignment w:val="auto"/>
              <w:rPr>
                <w:color w:val="auto"/>
                <w:sz w:val="22"/>
                <w:szCs w:val="22"/>
              </w:rPr>
            </w:pPr>
          </w:p>
          <w:p w14:paraId="038770A3" w14:textId="238D4E73" w:rsidR="00AC4FE2"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The binary framework of the </w:t>
            </w:r>
            <w:r w:rsidR="00554137" w:rsidRPr="0085647E">
              <w:rPr>
                <w:color w:val="auto"/>
                <w:sz w:val="22"/>
                <w:szCs w:val="22"/>
              </w:rPr>
              <w:t xml:space="preserve">MCA 2005, </w:t>
            </w:r>
            <w:r w:rsidRPr="0085647E">
              <w:rPr>
                <w:color w:val="auto"/>
                <w:sz w:val="22"/>
                <w:szCs w:val="22"/>
              </w:rPr>
              <w:t>which separates people into being capable or incapable</w:t>
            </w:r>
            <w:r w:rsidR="00127734" w:rsidRPr="0085647E">
              <w:rPr>
                <w:color w:val="auto"/>
                <w:sz w:val="22"/>
                <w:szCs w:val="22"/>
              </w:rPr>
              <w:t xml:space="preserve">, </w:t>
            </w:r>
            <w:r w:rsidRPr="0085647E">
              <w:rPr>
                <w:color w:val="auto"/>
                <w:sz w:val="22"/>
                <w:szCs w:val="22"/>
              </w:rPr>
              <w:t>does not always align with the reality of lived experiences. Stark’s (2007) theory of coercive control explains how individuals may remain in harmful relationships not because of incapacity but because of subtle patterns of domination, fear, manipulation or depend</w:t>
            </w:r>
            <w:r w:rsidR="00554137" w:rsidRPr="0085647E">
              <w:rPr>
                <w:color w:val="auto"/>
                <w:sz w:val="22"/>
                <w:szCs w:val="22"/>
              </w:rPr>
              <w:t>ence.</w:t>
            </w:r>
            <w:r w:rsidRPr="0085647E">
              <w:rPr>
                <w:color w:val="auto"/>
                <w:sz w:val="22"/>
                <w:szCs w:val="22"/>
              </w:rPr>
              <w:t xml:space="preserve"> These dynamics were relevant to </w:t>
            </w:r>
            <w:r w:rsidR="00127734" w:rsidRPr="0085647E">
              <w:rPr>
                <w:color w:val="auto"/>
                <w:sz w:val="22"/>
                <w:szCs w:val="22"/>
              </w:rPr>
              <w:t>adult</w:t>
            </w:r>
            <w:r w:rsidRPr="0085647E">
              <w:rPr>
                <w:color w:val="auto"/>
                <w:sz w:val="22"/>
                <w:szCs w:val="22"/>
              </w:rPr>
              <w:t xml:space="preserve"> 1, whose need for companionship and history of trauma may have made her vulnerable to coercive or manipulative behaviour. The intervention required multi</w:t>
            </w:r>
            <w:r w:rsidRPr="0085647E">
              <w:rPr>
                <w:color w:val="auto"/>
                <w:sz w:val="22"/>
                <w:szCs w:val="22"/>
              </w:rPr>
              <w:noBreakHyphen/>
              <w:t xml:space="preserve">agency working to monitor risk and support </w:t>
            </w:r>
            <w:r w:rsidR="00127734" w:rsidRPr="0085647E">
              <w:rPr>
                <w:color w:val="auto"/>
                <w:sz w:val="22"/>
                <w:szCs w:val="22"/>
              </w:rPr>
              <w:t>a</w:t>
            </w:r>
            <w:r w:rsidRPr="0085647E">
              <w:rPr>
                <w:color w:val="auto"/>
                <w:sz w:val="22"/>
                <w:szCs w:val="22"/>
              </w:rPr>
              <w:t xml:space="preserve">dult 1 effectively. Welsh safeguarding legislation emphasises the importance of collaboration between agencies to prevent abuse and protect adults at risk. Working with the police officer allocated to </w:t>
            </w:r>
            <w:r w:rsidR="00127734" w:rsidRPr="0085647E">
              <w:rPr>
                <w:color w:val="auto"/>
                <w:sz w:val="22"/>
                <w:szCs w:val="22"/>
              </w:rPr>
              <w:t>adult</w:t>
            </w:r>
            <w:r w:rsidRPr="0085647E">
              <w:rPr>
                <w:color w:val="auto"/>
                <w:sz w:val="22"/>
                <w:szCs w:val="22"/>
              </w:rPr>
              <w:t xml:space="preserve"> 2 supported a shared understanding of risk, and we agreed ongoing monitoring and support. </w:t>
            </w:r>
          </w:p>
          <w:p w14:paraId="4D6DC7D8" w14:textId="77777777" w:rsidR="00AC4FE2" w:rsidRPr="0085647E" w:rsidRDefault="00AC4FE2" w:rsidP="0085647E">
            <w:pPr>
              <w:overflowPunct/>
              <w:autoSpaceDE/>
              <w:autoSpaceDN/>
              <w:adjustRightInd/>
              <w:spacing w:line="480" w:lineRule="auto"/>
              <w:jc w:val="both"/>
              <w:textAlignment w:val="auto"/>
              <w:rPr>
                <w:color w:val="auto"/>
                <w:sz w:val="22"/>
                <w:szCs w:val="22"/>
              </w:rPr>
            </w:pPr>
          </w:p>
          <w:p w14:paraId="0198C538" w14:textId="28987851" w:rsidR="00AC4FE2"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Multi</w:t>
            </w:r>
            <w:r w:rsidRPr="0085647E">
              <w:rPr>
                <w:color w:val="auto"/>
                <w:sz w:val="22"/>
                <w:szCs w:val="22"/>
              </w:rPr>
              <w:noBreakHyphen/>
              <w:t>agency working is a key component of adult safeguarding because it allows the pooling of expertise and information (Parry et al., 2017). It also</w:t>
            </w:r>
            <w:r w:rsidR="00A27FCE">
              <w:rPr>
                <w:color w:val="auto"/>
                <w:sz w:val="22"/>
                <w:szCs w:val="22"/>
              </w:rPr>
              <w:t xml:space="preserve"> </w:t>
            </w:r>
            <w:r w:rsidRPr="0085647E">
              <w:rPr>
                <w:color w:val="auto"/>
                <w:sz w:val="22"/>
                <w:szCs w:val="22"/>
              </w:rPr>
              <w:t>recognises that safeguarding cannot be addressed by a single agency and that partnership is essential in complex cases</w:t>
            </w:r>
            <w:r w:rsidR="00A27FCE">
              <w:rPr>
                <w:color w:val="auto"/>
                <w:sz w:val="22"/>
                <w:szCs w:val="22"/>
              </w:rPr>
              <w:t>.</w:t>
            </w:r>
            <w:r w:rsidRPr="0085647E">
              <w:rPr>
                <w:color w:val="auto"/>
                <w:sz w:val="22"/>
                <w:szCs w:val="22"/>
              </w:rPr>
              <w:t xml:space="preserve"> As part of our joint work, the police officer and I undertook a follow</w:t>
            </w:r>
            <w:r w:rsidRPr="0085647E">
              <w:rPr>
                <w:color w:val="auto"/>
                <w:sz w:val="22"/>
                <w:szCs w:val="22"/>
              </w:rPr>
              <w:noBreakHyphen/>
              <w:t>up visit to provide a disclosure under Clare’s Law, formally known as the Domestic Violence Disclosure Scheme (DVDS). Clare’s Law provides individuals with a “Right to Know,” allowing authorities to proactively disclose information about a partner’s relevant history of domestic abuse, and a “Right to Ask,” enabling individuals to request such information. The disclosure process must comply with UK data</w:t>
            </w:r>
            <w:r w:rsidRPr="0085647E">
              <w:rPr>
                <w:color w:val="auto"/>
                <w:sz w:val="22"/>
                <w:szCs w:val="22"/>
              </w:rPr>
              <w:noBreakHyphen/>
              <w:t xml:space="preserve">protection legislation, including the UK GDPR and the Data Protection Act 2018, as it involves sharing sensitive information about a third party. The police must ensure that disclosures are lawful, necessary, proportionate and focused solely on information required to protect the individual from harm. Recipients must be informed that the information is confidential and cannot be shared further. </w:t>
            </w:r>
          </w:p>
          <w:p w14:paraId="179ADDDD" w14:textId="77777777" w:rsidR="00AC4FE2" w:rsidRPr="0085647E" w:rsidRDefault="00AC4FE2" w:rsidP="0085647E">
            <w:pPr>
              <w:overflowPunct/>
              <w:autoSpaceDE/>
              <w:autoSpaceDN/>
              <w:adjustRightInd/>
              <w:spacing w:line="480" w:lineRule="auto"/>
              <w:jc w:val="both"/>
              <w:textAlignment w:val="auto"/>
              <w:rPr>
                <w:color w:val="auto"/>
                <w:sz w:val="22"/>
                <w:szCs w:val="22"/>
              </w:rPr>
            </w:pPr>
          </w:p>
          <w:p w14:paraId="2D9C8484" w14:textId="77777777" w:rsidR="00AC4FE2"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 xml:space="preserve">During the Clare’s Law disclosure, </w:t>
            </w:r>
            <w:r w:rsidR="00AC4FE2" w:rsidRPr="0085647E">
              <w:rPr>
                <w:color w:val="auto"/>
                <w:sz w:val="22"/>
                <w:szCs w:val="22"/>
              </w:rPr>
              <w:t>a</w:t>
            </w:r>
            <w:r w:rsidRPr="0085647E">
              <w:rPr>
                <w:color w:val="auto"/>
                <w:sz w:val="22"/>
                <w:szCs w:val="22"/>
              </w:rPr>
              <w:t xml:space="preserve">dult 1 became visibly upset and shocked upon learning about </w:t>
            </w:r>
            <w:r w:rsidR="00AC4FE2" w:rsidRPr="0085647E">
              <w:rPr>
                <w:color w:val="auto"/>
                <w:sz w:val="22"/>
                <w:szCs w:val="22"/>
              </w:rPr>
              <w:t>a</w:t>
            </w:r>
            <w:r w:rsidRPr="0085647E">
              <w:rPr>
                <w:color w:val="auto"/>
                <w:sz w:val="22"/>
                <w:szCs w:val="22"/>
              </w:rPr>
              <w:t>dult 2’s previous domestic</w:t>
            </w:r>
            <w:r w:rsidRPr="0085647E">
              <w:rPr>
                <w:color w:val="auto"/>
                <w:sz w:val="22"/>
                <w:szCs w:val="22"/>
              </w:rPr>
              <w:noBreakHyphen/>
              <w:t>abuse offences. I responded using empathy, emotional containment and a trauma</w:t>
            </w:r>
            <w:r w:rsidRPr="0085647E">
              <w:rPr>
                <w:color w:val="auto"/>
                <w:sz w:val="22"/>
                <w:szCs w:val="22"/>
              </w:rPr>
              <w:noBreakHyphen/>
              <w:t>informed approach. Clare’s Law guidance emphasises delivering sensitive information safely and respectfully, ensuring emotional support is available (Home Office, 2022). My practice aligned with the values of dignity, respect and sensitivity outlined in the Code of Professional Practice for Social Care (Social Care Wales, 2020). Supporting Adult 1 through her emotional response required careful balance</w:t>
            </w:r>
            <w:r w:rsidR="00AC4FE2" w:rsidRPr="0085647E">
              <w:rPr>
                <w:color w:val="auto"/>
                <w:sz w:val="22"/>
                <w:szCs w:val="22"/>
              </w:rPr>
              <w:t>,</w:t>
            </w:r>
            <w:r w:rsidRPr="0085647E">
              <w:rPr>
                <w:color w:val="auto"/>
                <w:sz w:val="22"/>
                <w:szCs w:val="22"/>
              </w:rPr>
              <w:t xml:space="preserve"> validating her feelings while not directing or influencing her choices. As a social worker, I had a statutory duty to provide information, advice and support. In line with the SSWBWA 2014, which emphasises well</w:t>
            </w:r>
            <w:r w:rsidRPr="0085647E">
              <w:rPr>
                <w:color w:val="auto"/>
                <w:sz w:val="22"/>
                <w:szCs w:val="22"/>
              </w:rPr>
              <w:noBreakHyphen/>
              <w:t>being, voice, choice and control, I signposted Adult 1 to domestic</w:t>
            </w:r>
            <w:r w:rsidRPr="0085647E">
              <w:rPr>
                <w:color w:val="auto"/>
                <w:sz w:val="22"/>
                <w:szCs w:val="22"/>
              </w:rPr>
              <w:noBreakHyphen/>
              <w:t>abuse services, crisis support and other relevant community resources. These included specialist organisations offering safety planning, emotional support and advocacy. This approach also aligned with the Violence against Women, Domestic Abuse and Sexual Violence (Wales) Act 2015, which emphasises early intervention and increased access to specialist support for those affected by domestic violence. Multi</w:t>
            </w:r>
            <w:r w:rsidRPr="0085647E">
              <w:rPr>
                <w:color w:val="auto"/>
                <w:sz w:val="22"/>
                <w:szCs w:val="22"/>
              </w:rPr>
              <w:noBreakHyphen/>
              <w:t xml:space="preserve">agency collaboration was a significant strength of the intervention. </w:t>
            </w:r>
          </w:p>
          <w:p w14:paraId="258E7214" w14:textId="77777777" w:rsidR="00AC4FE2" w:rsidRPr="0085647E" w:rsidRDefault="00AC4FE2" w:rsidP="0085647E">
            <w:pPr>
              <w:overflowPunct/>
              <w:autoSpaceDE/>
              <w:autoSpaceDN/>
              <w:adjustRightInd/>
              <w:spacing w:line="480" w:lineRule="auto"/>
              <w:jc w:val="both"/>
              <w:textAlignment w:val="auto"/>
              <w:rPr>
                <w:color w:val="auto"/>
                <w:sz w:val="22"/>
                <w:szCs w:val="22"/>
              </w:rPr>
            </w:pPr>
          </w:p>
          <w:p w14:paraId="48505C2C" w14:textId="03017B12" w:rsidR="00AC4FE2" w:rsidRDefault="00AC4FE2" w:rsidP="0085647E">
            <w:pPr>
              <w:overflowPunct/>
              <w:autoSpaceDE/>
              <w:autoSpaceDN/>
              <w:adjustRightInd/>
              <w:spacing w:line="480" w:lineRule="auto"/>
              <w:jc w:val="both"/>
              <w:textAlignment w:val="auto"/>
              <w:rPr>
                <w:color w:val="auto"/>
                <w:sz w:val="22"/>
                <w:szCs w:val="22"/>
              </w:rPr>
            </w:pPr>
            <w:r w:rsidRPr="0085647E">
              <w:rPr>
                <w:color w:val="auto"/>
                <w:sz w:val="22"/>
                <w:szCs w:val="22"/>
              </w:rPr>
              <w:t>C</w:t>
            </w:r>
            <w:r w:rsidR="005F7358" w:rsidRPr="0085647E">
              <w:rPr>
                <w:color w:val="auto"/>
                <w:sz w:val="22"/>
                <w:szCs w:val="22"/>
              </w:rPr>
              <w:t>hallenges arose due to differing thresholds, limited enforcement powers and the emotional strain of repeated safeguarding activity without significant change. These challenges reflect findings in safeguarding research, which emphasises the need for robust information</w:t>
            </w:r>
            <w:r w:rsidR="005F7358" w:rsidRPr="0085647E">
              <w:rPr>
                <w:color w:val="auto"/>
                <w:sz w:val="22"/>
                <w:szCs w:val="22"/>
              </w:rPr>
              <w:noBreakHyphen/>
              <w:t>sharing, clear communication and respectful professional challenge (Braye &amp; Preston</w:t>
            </w:r>
            <w:r w:rsidR="005F7358" w:rsidRPr="0085647E">
              <w:rPr>
                <w:color w:val="auto"/>
                <w:sz w:val="22"/>
                <w:szCs w:val="22"/>
              </w:rPr>
              <w:noBreakHyphen/>
              <w:t xml:space="preserve">Shoot, 2016). Despite these challenges, coordinated practice between </w:t>
            </w:r>
            <w:r w:rsidRPr="0085647E">
              <w:rPr>
                <w:color w:val="auto"/>
                <w:sz w:val="22"/>
                <w:szCs w:val="22"/>
              </w:rPr>
              <w:t>me</w:t>
            </w:r>
            <w:r w:rsidR="005F7358" w:rsidRPr="0085647E">
              <w:rPr>
                <w:color w:val="auto"/>
                <w:sz w:val="22"/>
                <w:szCs w:val="22"/>
              </w:rPr>
              <w:t>, the police and care providers enabled proportionate risk management and ongoing monitoring of the situation. Human</w:t>
            </w:r>
            <w:r w:rsidR="005F7358" w:rsidRPr="0085647E">
              <w:rPr>
                <w:color w:val="auto"/>
                <w:sz w:val="22"/>
                <w:szCs w:val="22"/>
              </w:rPr>
              <w:noBreakHyphen/>
              <w:t xml:space="preserve">rights considerations were central throughout the intervention. Article 8 </w:t>
            </w:r>
            <w:r w:rsidR="009C762B">
              <w:rPr>
                <w:color w:val="auto"/>
                <w:sz w:val="22"/>
                <w:szCs w:val="22"/>
              </w:rPr>
              <w:t xml:space="preserve">of the </w:t>
            </w:r>
            <w:r w:rsidR="005F7358" w:rsidRPr="0085647E">
              <w:rPr>
                <w:color w:val="auto"/>
                <w:sz w:val="22"/>
                <w:szCs w:val="22"/>
              </w:rPr>
              <w:t xml:space="preserve">HRA </w:t>
            </w:r>
            <w:r w:rsidR="009C762B">
              <w:rPr>
                <w:color w:val="auto"/>
                <w:sz w:val="22"/>
                <w:szCs w:val="22"/>
              </w:rPr>
              <w:t xml:space="preserve">1998 </w:t>
            </w:r>
            <w:r w:rsidR="005F7358" w:rsidRPr="0085647E">
              <w:rPr>
                <w:color w:val="auto"/>
                <w:sz w:val="22"/>
                <w:szCs w:val="22"/>
              </w:rPr>
              <w:t>protects an individual’s right to private and family life, including the right to form intimate relationships. Any professional intervention that may restrict these rights must be lawful, necessary and proportionate. In this context, police involvement, information</w:t>
            </w:r>
            <w:r w:rsidR="005F7358" w:rsidRPr="0085647E">
              <w:rPr>
                <w:color w:val="auto"/>
                <w:sz w:val="22"/>
                <w:szCs w:val="22"/>
              </w:rPr>
              <w:noBreakHyphen/>
              <w:t xml:space="preserve">sharing and assessment of capacity had the potential to interfere with </w:t>
            </w:r>
            <w:r w:rsidRPr="0085647E">
              <w:rPr>
                <w:color w:val="auto"/>
                <w:sz w:val="22"/>
                <w:szCs w:val="22"/>
              </w:rPr>
              <w:t>a</w:t>
            </w:r>
            <w:r w:rsidR="005F7358" w:rsidRPr="0085647E">
              <w:rPr>
                <w:color w:val="auto"/>
                <w:sz w:val="22"/>
                <w:szCs w:val="22"/>
              </w:rPr>
              <w:t xml:space="preserve">dult 1’s Article 8 rights. However, the initial safeguarding referral and subsequent involvement of safeguarding agencies were justified because of the credible concerns about potential harm, her vulnerabilities and </w:t>
            </w:r>
            <w:r w:rsidR="008868A0">
              <w:rPr>
                <w:color w:val="auto"/>
                <w:sz w:val="22"/>
                <w:szCs w:val="22"/>
              </w:rPr>
              <w:t>a</w:t>
            </w:r>
            <w:r w:rsidR="005F7358" w:rsidRPr="0085647E">
              <w:rPr>
                <w:color w:val="auto"/>
                <w:sz w:val="22"/>
                <w:szCs w:val="22"/>
              </w:rPr>
              <w:t xml:space="preserve">dult 2’s offending history. </w:t>
            </w:r>
          </w:p>
          <w:p w14:paraId="789E0687" w14:textId="77777777" w:rsidR="0008372C" w:rsidRDefault="0008372C" w:rsidP="0085647E">
            <w:pPr>
              <w:overflowPunct/>
              <w:autoSpaceDE/>
              <w:autoSpaceDN/>
              <w:adjustRightInd/>
              <w:spacing w:line="480" w:lineRule="auto"/>
              <w:jc w:val="both"/>
              <w:textAlignment w:val="auto"/>
              <w:rPr>
                <w:color w:val="auto"/>
                <w:sz w:val="22"/>
                <w:szCs w:val="22"/>
              </w:rPr>
            </w:pPr>
          </w:p>
          <w:p w14:paraId="07CC1505" w14:textId="3FE876E7" w:rsidR="0008372C" w:rsidRPr="0085647E" w:rsidRDefault="0008372C" w:rsidP="0085647E">
            <w:pPr>
              <w:overflowPunct/>
              <w:autoSpaceDE/>
              <w:autoSpaceDN/>
              <w:adjustRightInd/>
              <w:spacing w:line="480" w:lineRule="auto"/>
              <w:jc w:val="both"/>
              <w:textAlignment w:val="auto"/>
              <w:rPr>
                <w:color w:val="auto"/>
                <w:sz w:val="22"/>
                <w:szCs w:val="22"/>
              </w:rPr>
            </w:pPr>
            <w:r w:rsidRPr="00585B03">
              <w:rPr>
                <w:color w:val="auto"/>
                <w:sz w:val="22"/>
                <w:szCs w:val="22"/>
              </w:rPr>
              <w:t xml:space="preserve">When considering thresholds of risk, it is important to recognise how geography and rurality can heighten vulnerability. Those living in rural areas often experience greater isolation, fewer services and limited social contact, which can weaken protective networks and increase susceptibility to coercion or exploitation (Cloke, Milbourne and Widdowfield, 2000). Restricted transport, dispersed communities and reduced anonymity can also make disclosure or seeking help more difficult. </w:t>
            </w:r>
            <w:r w:rsidRPr="0085647E">
              <w:rPr>
                <w:color w:val="auto"/>
                <w:sz w:val="22"/>
                <w:szCs w:val="22"/>
              </w:rPr>
              <w:t>It was pivotal for me to consider t</w:t>
            </w:r>
            <w:r w:rsidRPr="00585B03">
              <w:rPr>
                <w:color w:val="auto"/>
                <w:sz w:val="22"/>
                <w:szCs w:val="22"/>
              </w:rPr>
              <w:t>hese factors</w:t>
            </w:r>
            <w:r w:rsidRPr="0085647E">
              <w:rPr>
                <w:color w:val="auto"/>
                <w:sz w:val="22"/>
                <w:szCs w:val="22"/>
              </w:rPr>
              <w:t>, and how</w:t>
            </w:r>
            <w:r w:rsidRPr="00585B03">
              <w:rPr>
                <w:color w:val="auto"/>
                <w:sz w:val="22"/>
                <w:szCs w:val="22"/>
              </w:rPr>
              <w:t xml:space="preserve"> </w:t>
            </w:r>
            <w:r w:rsidRPr="0085647E">
              <w:rPr>
                <w:color w:val="auto"/>
                <w:sz w:val="22"/>
                <w:szCs w:val="22"/>
              </w:rPr>
              <w:t xml:space="preserve">individuals in these circumstances can be easily </w:t>
            </w:r>
            <w:r w:rsidRPr="00585B03">
              <w:rPr>
                <w:color w:val="auto"/>
                <w:sz w:val="22"/>
                <w:szCs w:val="22"/>
              </w:rPr>
              <w:t>targeted</w:t>
            </w:r>
            <w:r w:rsidRPr="0085647E">
              <w:rPr>
                <w:color w:val="auto"/>
                <w:sz w:val="22"/>
                <w:szCs w:val="22"/>
              </w:rPr>
              <w:t xml:space="preserve">. </w:t>
            </w:r>
            <w:r w:rsidRPr="00585B03">
              <w:rPr>
                <w:color w:val="auto"/>
                <w:sz w:val="22"/>
                <w:szCs w:val="22"/>
              </w:rPr>
              <w:t>In the Mid &amp; West Wales region, the CYSUR Safeguarding Board highlights the need to account for rural isolation, social disconnection and access barriers when assessing thresholds, ensuring safeguarding responses are sensitive to local geographical contexts (CYSUR, n.d.).</w:t>
            </w:r>
          </w:p>
          <w:p w14:paraId="1577ED3C" w14:textId="77777777" w:rsidR="00AC4FE2" w:rsidRPr="0085647E" w:rsidRDefault="00AC4FE2" w:rsidP="0085647E">
            <w:pPr>
              <w:overflowPunct/>
              <w:autoSpaceDE/>
              <w:autoSpaceDN/>
              <w:adjustRightInd/>
              <w:spacing w:line="480" w:lineRule="auto"/>
              <w:jc w:val="both"/>
              <w:textAlignment w:val="auto"/>
              <w:rPr>
                <w:color w:val="auto"/>
                <w:sz w:val="22"/>
                <w:szCs w:val="22"/>
              </w:rPr>
            </w:pPr>
          </w:p>
          <w:p w14:paraId="11DEFEDC" w14:textId="6E93CF16" w:rsidR="00FC0339"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As engagement progressed, indicators emerged that reflected dynamics commonly found in domestic</w:t>
            </w:r>
            <w:r w:rsidRPr="0085647E">
              <w:rPr>
                <w:color w:val="auto"/>
                <w:sz w:val="22"/>
                <w:szCs w:val="22"/>
              </w:rPr>
              <w:noBreakHyphen/>
              <w:t>abuse cases</w:t>
            </w:r>
            <w:r w:rsidR="008868A0">
              <w:rPr>
                <w:color w:val="auto"/>
                <w:sz w:val="22"/>
                <w:szCs w:val="22"/>
              </w:rPr>
              <w:t xml:space="preserve"> including </w:t>
            </w:r>
            <w:r w:rsidRPr="0085647E">
              <w:rPr>
                <w:color w:val="auto"/>
                <w:sz w:val="22"/>
                <w:szCs w:val="22"/>
              </w:rPr>
              <w:t>emotional dependency, power imbalance and possible manipulation. Coercive control, which involves patterns of domination, restriction and emotional harm, can significantly affect a person’s decision</w:t>
            </w:r>
            <w:r w:rsidRPr="0085647E">
              <w:rPr>
                <w:color w:val="auto"/>
                <w:sz w:val="22"/>
                <w:szCs w:val="22"/>
              </w:rPr>
              <w:noBreakHyphen/>
              <w:t>making and perception of risk (Stark, 2007; Home Office, 2015). For Adult 1, invisible pressures such as fear of abandonment, a desire for companionship, grooming and gradual desensitisation to harmful behaviour could have influenced her ongoing commitment to the relationship, despite her understanding of the risks. Research on trauma bonding and coercive control highlights how emotional attachment can persist even in harmful relationships (Williamson, 2010), underscoring the need for a trauma</w:t>
            </w:r>
            <w:r w:rsidRPr="0085647E">
              <w:rPr>
                <w:color w:val="auto"/>
                <w:sz w:val="22"/>
                <w:szCs w:val="22"/>
              </w:rPr>
              <w:noBreakHyphen/>
              <w:t>informed and relational safeguarding approach. Recognising these dynamics required professional curiosity and sensitivity. Trauma</w:t>
            </w:r>
            <w:r w:rsidRPr="0085647E">
              <w:rPr>
                <w:color w:val="auto"/>
                <w:sz w:val="22"/>
                <w:szCs w:val="22"/>
              </w:rPr>
              <w:noBreakHyphen/>
              <w:t xml:space="preserve">informed practice stresses the need for psychological safety, trust and transparency, acknowledging how trauma shapes behaviour, relationships and coping strategies. </w:t>
            </w:r>
          </w:p>
          <w:p w14:paraId="717F1BE2" w14:textId="77777777" w:rsidR="00FC0339" w:rsidRPr="0085647E" w:rsidRDefault="00FC0339" w:rsidP="0085647E">
            <w:pPr>
              <w:overflowPunct/>
              <w:autoSpaceDE/>
              <w:autoSpaceDN/>
              <w:adjustRightInd/>
              <w:spacing w:line="480" w:lineRule="auto"/>
              <w:jc w:val="both"/>
              <w:textAlignment w:val="auto"/>
              <w:rPr>
                <w:color w:val="auto"/>
                <w:sz w:val="22"/>
                <w:szCs w:val="22"/>
              </w:rPr>
            </w:pPr>
          </w:p>
          <w:p w14:paraId="4025E677" w14:textId="6EF49D3D" w:rsidR="005F7358" w:rsidRPr="0085647E" w:rsidRDefault="005F7358" w:rsidP="0085647E">
            <w:pPr>
              <w:overflowPunct/>
              <w:autoSpaceDE/>
              <w:autoSpaceDN/>
              <w:adjustRightInd/>
              <w:spacing w:line="480" w:lineRule="auto"/>
              <w:jc w:val="both"/>
              <w:textAlignment w:val="auto"/>
              <w:rPr>
                <w:color w:val="auto"/>
                <w:sz w:val="22"/>
                <w:szCs w:val="22"/>
              </w:rPr>
            </w:pPr>
            <w:r w:rsidRPr="0085647E">
              <w:rPr>
                <w:color w:val="auto"/>
                <w:sz w:val="22"/>
                <w:szCs w:val="22"/>
              </w:rPr>
              <w:t>I aimed to create relational safety that allowed Adult 1 to explore and reflect on her experiences and feelings without fear of judgement. Vulnerability is often situational and relational, influenced by past trauma, isolation and economic dependency (Tew, 2005). For Adult 1, these factors may have compromised her decision</w:t>
            </w:r>
            <w:r w:rsidRPr="0085647E">
              <w:rPr>
                <w:color w:val="auto"/>
                <w:sz w:val="22"/>
                <w:szCs w:val="22"/>
              </w:rPr>
              <w:noBreakHyphen/>
              <w:t>making autonomy in ways not captured by a traditional capacity assessment. Human</w:t>
            </w:r>
            <w:r w:rsidRPr="0085647E">
              <w:rPr>
                <w:color w:val="auto"/>
                <w:sz w:val="22"/>
                <w:szCs w:val="22"/>
              </w:rPr>
              <w:noBreakHyphen/>
              <w:t>rights principles guided my ongoing decision</w:t>
            </w:r>
            <w:r w:rsidRPr="0085647E">
              <w:rPr>
                <w:color w:val="auto"/>
                <w:sz w:val="22"/>
                <w:szCs w:val="22"/>
              </w:rPr>
              <w:noBreakHyphen/>
              <w:t>making. I continually balanced Adult 1’s Article 8 rights with the state’s positive obligations under Articles 2 and 3 to protect life and prevent inhuman or degrading treatment. Any intervention had to be necessary, proportionate and the least</w:t>
            </w:r>
            <w:r w:rsidRPr="0085647E">
              <w:rPr>
                <w:color w:val="auto"/>
                <w:sz w:val="22"/>
                <w:szCs w:val="22"/>
              </w:rPr>
              <w:noBreakHyphen/>
              <w:t>restrictive option. Supervision was invaluable in reflecting on ethical tensions, managing the emotional impact of “holding risk” and avoiding either paternalism or withdrawal in the face of ongoing concerns. This reflective process aligned with expectations in the Code of Professional Practice and the VAWDASV A</w:t>
            </w:r>
            <w:r w:rsidR="00554137" w:rsidRPr="0085647E">
              <w:rPr>
                <w:color w:val="auto"/>
                <w:sz w:val="22"/>
                <w:szCs w:val="22"/>
              </w:rPr>
              <w:t xml:space="preserve">ct 2015, to </w:t>
            </w:r>
            <w:r w:rsidRPr="0085647E">
              <w:rPr>
                <w:color w:val="auto"/>
                <w:sz w:val="22"/>
                <w:szCs w:val="22"/>
              </w:rPr>
              <w:t>uphold dignity, autonomy, safety and empowerment.</w:t>
            </w:r>
          </w:p>
          <w:p w14:paraId="2558E99A" w14:textId="77777777" w:rsidR="005F7358" w:rsidRPr="0085647E" w:rsidRDefault="005F7358" w:rsidP="0085647E">
            <w:pPr>
              <w:spacing w:line="480" w:lineRule="auto"/>
              <w:jc w:val="both"/>
              <w:rPr>
                <w:i/>
                <w:color w:val="auto"/>
                <w:sz w:val="22"/>
                <w:szCs w:val="22"/>
              </w:rPr>
            </w:pPr>
          </w:p>
          <w:p w14:paraId="36B9DBD1" w14:textId="1DBD5BA4" w:rsidR="00054DA4" w:rsidRPr="0085647E" w:rsidRDefault="0096272A" w:rsidP="0085647E">
            <w:pPr>
              <w:pStyle w:val="NormalWeb"/>
              <w:spacing w:before="0" w:beforeAutospacing="0" w:line="480" w:lineRule="auto"/>
              <w:jc w:val="both"/>
              <w:rPr>
                <w:rFonts w:ascii="Arial" w:hAnsi="Arial" w:cs="Arial"/>
                <w:sz w:val="22"/>
                <w:szCs w:val="22"/>
              </w:rPr>
            </w:pPr>
            <w:r w:rsidRPr="0085647E">
              <w:rPr>
                <w:rFonts w:ascii="Arial" w:hAnsi="Arial" w:cs="Arial"/>
                <w:sz w:val="22"/>
                <w:szCs w:val="22"/>
              </w:rPr>
              <w:t>The reflection</w:t>
            </w:r>
            <w:r w:rsidR="00FC0339" w:rsidRPr="0085647E">
              <w:rPr>
                <w:rFonts w:ascii="Arial" w:hAnsi="Arial" w:cs="Arial"/>
                <w:sz w:val="22"/>
                <w:szCs w:val="22"/>
              </w:rPr>
              <w:t xml:space="preserve"> opportunity</w:t>
            </w:r>
            <w:r w:rsidRPr="0085647E">
              <w:rPr>
                <w:rFonts w:ascii="Arial" w:hAnsi="Arial" w:cs="Arial"/>
                <w:sz w:val="22"/>
                <w:szCs w:val="22"/>
              </w:rPr>
              <w:t xml:space="preserve"> highlighted the necessity of maintaining professional curiosity and re</w:t>
            </w:r>
            <w:r w:rsidRPr="0085647E">
              <w:rPr>
                <w:rFonts w:ascii="Arial" w:hAnsi="Arial" w:cs="Arial"/>
                <w:sz w:val="22"/>
                <w:szCs w:val="22"/>
              </w:rPr>
              <w:noBreakHyphen/>
              <w:t>evaluating risk within a relational and rights</w:t>
            </w:r>
            <w:r w:rsidRPr="0085647E">
              <w:rPr>
                <w:rFonts w:ascii="Arial" w:hAnsi="Arial" w:cs="Arial"/>
                <w:sz w:val="22"/>
                <w:szCs w:val="22"/>
              </w:rPr>
              <w:noBreakHyphen/>
              <w:t>based framework. Safeguarding adults with capacity, particularly those in relationships with individuals who pose known risks, requires practitioners to manage significant uncertainty and emotional complexity. As the case progressed, I remained mindful of the importance of proportionate intervention and the need to empower Adult 1 rather than impose decisions upon her. This approach aligned with the SSWBWA 2014, which emphasises that safeguarding must respect the person’s voice, choice, and control unless statutory grounds justify a more directive response.</w:t>
            </w:r>
          </w:p>
          <w:p w14:paraId="3D8A59F3" w14:textId="77777777" w:rsidR="008868A0" w:rsidRDefault="008868A0" w:rsidP="0085647E">
            <w:pPr>
              <w:overflowPunct/>
              <w:autoSpaceDE/>
              <w:autoSpaceDN/>
              <w:adjustRightInd/>
              <w:spacing w:line="480" w:lineRule="auto"/>
              <w:jc w:val="both"/>
              <w:textAlignment w:val="auto"/>
              <w:rPr>
                <w:sz w:val="22"/>
                <w:szCs w:val="22"/>
              </w:rPr>
            </w:pPr>
          </w:p>
          <w:p w14:paraId="3B6BCCAB" w14:textId="4CAF2499" w:rsidR="0084377B" w:rsidRPr="0085647E" w:rsidRDefault="0096272A" w:rsidP="0085647E">
            <w:pPr>
              <w:overflowPunct/>
              <w:autoSpaceDE/>
              <w:autoSpaceDN/>
              <w:adjustRightInd/>
              <w:spacing w:line="480" w:lineRule="auto"/>
              <w:jc w:val="both"/>
              <w:textAlignment w:val="auto"/>
              <w:rPr>
                <w:color w:val="auto"/>
                <w:sz w:val="22"/>
                <w:szCs w:val="22"/>
              </w:rPr>
            </w:pPr>
            <w:r w:rsidRPr="0085647E">
              <w:rPr>
                <w:sz w:val="22"/>
                <w:szCs w:val="22"/>
              </w:rPr>
              <w:t xml:space="preserve">Working alongside Adult 1, rather than directing her, helped strengthen our professional relationship and supported her to articulate her own needs and values. </w:t>
            </w:r>
            <w:r w:rsidR="0084377B" w:rsidRPr="0085647E">
              <w:rPr>
                <w:color w:val="auto"/>
                <w:sz w:val="22"/>
                <w:szCs w:val="22"/>
              </w:rPr>
              <w:t>A person</w:t>
            </w:r>
            <w:r w:rsidR="0084377B" w:rsidRPr="0085647E">
              <w:rPr>
                <w:color w:val="auto"/>
                <w:sz w:val="22"/>
                <w:szCs w:val="22"/>
              </w:rPr>
              <w:noBreakHyphen/>
              <w:t>centred approach facilitated meaningful engagement, enabling her to explore thoughts and feelings about the relationship, risks</w:t>
            </w:r>
            <w:r w:rsidR="00A27FCE">
              <w:rPr>
                <w:color w:val="auto"/>
                <w:sz w:val="22"/>
                <w:szCs w:val="22"/>
              </w:rPr>
              <w:t xml:space="preserve"> </w:t>
            </w:r>
            <w:r w:rsidR="0084377B" w:rsidRPr="0085647E">
              <w:rPr>
                <w:color w:val="auto"/>
                <w:sz w:val="22"/>
                <w:szCs w:val="22"/>
              </w:rPr>
              <w:t>and the disclosure received through Clare’s Law. Drawing on Rogers (1951) principles of empathy, unconditional positive regard and congruence allowed for a safe, non</w:t>
            </w:r>
            <w:r w:rsidR="0084377B" w:rsidRPr="0085647E">
              <w:rPr>
                <w:color w:val="auto"/>
                <w:sz w:val="22"/>
                <w:szCs w:val="22"/>
              </w:rPr>
              <w:noBreakHyphen/>
              <w:t>judgemental space in which she could reflect openly and develop her own understanding of the situation.</w:t>
            </w:r>
          </w:p>
          <w:p w14:paraId="5992488C" w14:textId="77777777" w:rsidR="0084377B" w:rsidRPr="0085647E" w:rsidRDefault="0084377B" w:rsidP="0085647E">
            <w:pPr>
              <w:overflowPunct/>
              <w:autoSpaceDE/>
              <w:autoSpaceDN/>
              <w:adjustRightInd/>
              <w:spacing w:line="480" w:lineRule="auto"/>
              <w:jc w:val="both"/>
              <w:textAlignment w:val="auto"/>
              <w:rPr>
                <w:color w:val="auto"/>
                <w:sz w:val="22"/>
                <w:szCs w:val="22"/>
              </w:rPr>
            </w:pPr>
          </w:p>
          <w:p w14:paraId="61DB3F07" w14:textId="2DA16CDE" w:rsidR="00054DA4" w:rsidRPr="0085647E" w:rsidRDefault="0096272A" w:rsidP="0085647E">
            <w:pPr>
              <w:pStyle w:val="NormalWeb"/>
              <w:spacing w:before="0" w:beforeAutospacing="0" w:line="480" w:lineRule="auto"/>
              <w:jc w:val="both"/>
              <w:rPr>
                <w:rFonts w:ascii="Arial" w:hAnsi="Arial" w:cs="Arial"/>
                <w:sz w:val="22"/>
                <w:szCs w:val="22"/>
              </w:rPr>
            </w:pPr>
            <w:r w:rsidRPr="0085647E">
              <w:rPr>
                <w:rFonts w:ascii="Arial" w:hAnsi="Arial" w:cs="Arial"/>
                <w:sz w:val="22"/>
                <w:szCs w:val="22"/>
              </w:rPr>
              <w:t>Continuing to take this approach maintained her dignity and autonomy whil</w:t>
            </w:r>
            <w:r w:rsidR="00851E7C">
              <w:rPr>
                <w:rFonts w:ascii="Arial" w:hAnsi="Arial" w:cs="Arial"/>
                <w:sz w:val="22"/>
                <w:szCs w:val="22"/>
              </w:rPr>
              <w:t>st</w:t>
            </w:r>
            <w:r w:rsidRPr="0085647E">
              <w:rPr>
                <w:rFonts w:ascii="Arial" w:hAnsi="Arial" w:cs="Arial"/>
                <w:sz w:val="22"/>
                <w:szCs w:val="22"/>
              </w:rPr>
              <w:t xml:space="preserve"> ensuring she had access to support and safety planning. Her consent to ongoing involvement reinforced the importance of working </w:t>
            </w:r>
            <w:r w:rsidR="00054DA4" w:rsidRPr="0085647E">
              <w:rPr>
                <w:rFonts w:ascii="Arial" w:hAnsi="Arial" w:cs="Arial"/>
                <w:sz w:val="22"/>
                <w:szCs w:val="22"/>
              </w:rPr>
              <w:t>collaboratively and</w:t>
            </w:r>
            <w:r w:rsidRPr="0085647E">
              <w:rPr>
                <w:rFonts w:ascii="Arial" w:hAnsi="Arial" w:cs="Arial"/>
                <w:sz w:val="22"/>
                <w:szCs w:val="22"/>
              </w:rPr>
              <w:t xml:space="preserve"> highlighted how consensual safeguarding can be more effective than approaches experienced as intrusive</w:t>
            </w:r>
            <w:r w:rsidR="00851E7C">
              <w:rPr>
                <w:rFonts w:ascii="Arial" w:hAnsi="Arial" w:cs="Arial"/>
                <w:sz w:val="22"/>
                <w:szCs w:val="22"/>
              </w:rPr>
              <w:t>.</w:t>
            </w:r>
          </w:p>
          <w:p w14:paraId="46980F22" w14:textId="4C9A8AFC" w:rsidR="00585B03" w:rsidRDefault="0096272A" w:rsidP="0008372C">
            <w:pPr>
              <w:pStyle w:val="NormalWeb"/>
              <w:spacing w:before="0" w:beforeAutospacing="0" w:line="480" w:lineRule="auto"/>
              <w:jc w:val="both"/>
              <w:rPr>
                <w:rFonts w:ascii="Arial" w:hAnsi="Arial" w:cs="Arial"/>
                <w:sz w:val="22"/>
                <w:szCs w:val="22"/>
              </w:rPr>
            </w:pPr>
            <w:r w:rsidRPr="0085647E">
              <w:rPr>
                <w:rFonts w:ascii="Arial" w:hAnsi="Arial" w:cs="Arial"/>
                <w:sz w:val="22"/>
                <w:szCs w:val="22"/>
              </w:rPr>
              <w:t>Throughout the case, it was crucial to ensure that actions taken remained proportionate and least restrictive. The principle of least restrict</w:t>
            </w:r>
            <w:r w:rsidR="00851E7C">
              <w:rPr>
                <w:rFonts w:ascii="Arial" w:hAnsi="Arial" w:cs="Arial"/>
                <w:sz w:val="22"/>
                <w:szCs w:val="22"/>
              </w:rPr>
              <w:t>ed</w:t>
            </w:r>
            <w:r w:rsidRPr="0085647E">
              <w:rPr>
                <w:rFonts w:ascii="Arial" w:hAnsi="Arial" w:cs="Arial"/>
                <w:sz w:val="22"/>
                <w:szCs w:val="22"/>
              </w:rPr>
              <w:t>, emphasised under the MCA 2005 and reinforced by the SSWBWA 2014, guided my professional judgement. Even when safeguarding concerns were significant, the absence of impaired capacity meant that any intervention required careful justification and the minimum necessary intrusion into her rights. My practice therefore centred on enhancing her ability to make informed decisions</w:t>
            </w:r>
            <w:r w:rsidR="0071402F">
              <w:rPr>
                <w:rFonts w:ascii="Arial" w:hAnsi="Arial" w:cs="Arial"/>
                <w:sz w:val="22"/>
                <w:szCs w:val="22"/>
              </w:rPr>
              <w:t>,</w:t>
            </w:r>
            <w:r w:rsidRPr="0085647E">
              <w:rPr>
                <w:rFonts w:ascii="Arial" w:hAnsi="Arial" w:cs="Arial"/>
                <w:sz w:val="22"/>
                <w:szCs w:val="22"/>
              </w:rPr>
              <w:t xml:space="preserve"> ensuring she understood the implications of maintaining the relationship. This approach aligned with relational autonomy theory, which acknowledges that autonomy is influenced by relationships, context and emotional factors, rather than existing in isolation (Mackenzie &amp; Stoljar, 2</w:t>
            </w:r>
            <w:r w:rsidR="0084377B" w:rsidRPr="0085647E">
              <w:rPr>
                <w:rFonts w:ascii="Arial" w:hAnsi="Arial" w:cs="Arial"/>
                <w:sz w:val="22"/>
                <w:szCs w:val="22"/>
              </w:rPr>
              <w:t>000).</w:t>
            </w:r>
            <w:r w:rsidRPr="0085647E">
              <w:rPr>
                <w:rFonts w:ascii="Arial" w:hAnsi="Arial" w:cs="Arial"/>
                <w:sz w:val="22"/>
                <w:szCs w:val="22"/>
              </w:rPr>
              <w:t xml:space="preserve"> It also reflected the dignity of risk, which recognises that individuals have the right to make decisions involving risk as a legitimate part of living a self</w:t>
            </w:r>
            <w:r w:rsidRPr="0085647E">
              <w:rPr>
                <w:rFonts w:ascii="Arial" w:hAnsi="Arial" w:cs="Arial"/>
                <w:sz w:val="22"/>
                <w:szCs w:val="22"/>
              </w:rPr>
              <w:noBreakHyphen/>
              <w:t>determined life (Perske, 1972).</w:t>
            </w:r>
          </w:p>
          <w:p w14:paraId="793B9A27" w14:textId="696E6246" w:rsidR="00585B03" w:rsidRPr="0085647E" w:rsidRDefault="0096272A" w:rsidP="0085647E">
            <w:pPr>
              <w:pStyle w:val="NormalWeb"/>
              <w:spacing w:before="0" w:beforeAutospacing="0" w:line="480" w:lineRule="auto"/>
              <w:jc w:val="both"/>
              <w:rPr>
                <w:rFonts w:ascii="Arial" w:hAnsi="Arial" w:cs="Arial"/>
                <w:sz w:val="22"/>
                <w:szCs w:val="22"/>
              </w:rPr>
            </w:pPr>
            <w:r w:rsidRPr="0085647E">
              <w:rPr>
                <w:rFonts w:ascii="Arial" w:hAnsi="Arial" w:cs="Arial"/>
                <w:sz w:val="22"/>
                <w:szCs w:val="22"/>
              </w:rPr>
              <w:t>If Adult 1 had lacked capacity for decisions relating to her safety or relationship, my legal and ethical responsibilities would have shifted significantly. In that scenario, I would have been required to follow the MCA 2005 framework, including supporting her to maximise capacity, assessing her understanding, retention, weighing and communication of relevant information, and, if she did lack capacity, making a best</w:t>
            </w:r>
            <w:r w:rsidRPr="0085647E">
              <w:rPr>
                <w:rFonts w:ascii="Arial" w:hAnsi="Arial" w:cs="Arial"/>
                <w:sz w:val="22"/>
                <w:szCs w:val="22"/>
              </w:rPr>
              <w:noBreakHyphen/>
              <w:t>interests decision using the least restrictive intervention. This would have involved consulting relevant others, reviewing alternative options, and ensuring any protective action was proportionate and rights</w:t>
            </w:r>
            <w:r w:rsidRPr="0085647E">
              <w:rPr>
                <w:rFonts w:ascii="Arial" w:hAnsi="Arial" w:cs="Arial"/>
                <w:sz w:val="22"/>
                <w:szCs w:val="22"/>
              </w:rPr>
              <w:noBreakHyphen/>
              <w:t>compliant. However, because she consistently demonstrated capacity, the responsibility was to respect her decision while ensuring she was informed, supported and not isolated</w:t>
            </w:r>
            <w:r w:rsidR="00A53120">
              <w:rPr>
                <w:rFonts w:ascii="Arial" w:hAnsi="Arial" w:cs="Arial"/>
                <w:sz w:val="22"/>
                <w:szCs w:val="22"/>
              </w:rPr>
              <w:t>.</w:t>
            </w:r>
          </w:p>
          <w:p w14:paraId="2D961148" w14:textId="6CDE9F38" w:rsidR="00054DA4" w:rsidRPr="0085647E" w:rsidRDefault="0096272A" w:rsidP="0085647E">
            <w:pPr>
              <w:pStyle w:val="NormalWeb"/>
              <w:spacing w:before="0" w:beforeAutospacing="0" w:line="480" w:lineRule="auto"/>
              <w:jc w:val="both"/>
              <w:rPr>
                <w:rFonts w:ascii="Arial" w:hAnsi="Arial" w:cs="Arial"/>
                <w:sz w:val="22"/>
                <w:szCs w:val="22"/>
              </w:rPr>
            </w:pPr>
            <w:r w:rsidRPr="0085647E">
              <w:rPr>
                <w:rFonts w:ascii="Arial" w:hAnsi="Arial" w:cs="Arial"/>
                <w:sz w:val="22"/>
                <w:szCs w:val="22"/>
              </w:rPr>
              <w:t>Record</w:t>
            </w:r>
            <w:r w:rsidRPr="0085647E">
              <w:rPr>
                <w:rFonts w:ascii="Arial" w:hAnsi="Arial" w:cs="Arial"/>
                <w:sz w:val="22"/>
                <w:szCs w:val="22"/>
              </w:rPr>
              <w:noBreakHyphen/>
              <w:t>keeping was a vital part of the intervention. Accurate, analytical documentation supports accountability, continuity and transparency in safeguarding cases. Research highlights that poor record</w:t>
            </w:r>
            <w:r w:rsidRPr="0085647E">
              <w:rPr>
                <w:rFonts w:ascii="Arial" w:hAnsi="Arial" w:cs="Arial"/>
                <w:sz w:val="22"/>
                <w:szCs w:val="22"/>
              </w:rPr>
              <w:noBreakHyphen/>
              <w:t>keeping can undermine multi</w:t>
            </w:r>
            <w:r w:rsidRPr="0085647E">
              <w:rPr>
                <w:rFonts w:ascii="Arial" w:hAnsi="Arial" w:cs="Arial"/>
                <w:sz w:val="22"/>
                <w:szCs w:val="22"/>
              </w:rPr>
              <w:noBreakHyphen/>
              <w:t>agency work, obscure critical decisions and increase legal vulnerabilities (Braye, Preston</w:t>
            </w:r>
            <w:r w:rsidRPr="0085647E">
              <w:rPr>
                <w:rFonts w:ascii="Arial" w:hAnsi="Arial" w:cs="Arial"/>
                <w:sz w:val="22"/>
                <w:szCs w:val="22"/>
              </w:rPr>
              <w:noBreakHyphen/>
              <w:t>Shoot &amp; Orr, 2015; Munro, 2011). In cases involving domestic abuse and human rights, incomplete or overly subjective records risk misrepresenting the individual and may lead to practice that inadvertently infringes Article 8 rights. I therefore ensured that my records met organisational policy, data</w:t>
            </w:r>
            <w:r w:rsidRPr="0085647E">
              <w:rPr>
                <w:rFonts w:ascii="Arial" w:hAnsi="Arial" w:cs="Arial"/>
                <w:sz w:val="22"/>
                <w:szCs w:val="22"/>
              </w:rPr>
              <w:noBreakHyphen/>
              <w:t>protection standards and the expectations established within the Social Care Wales Code of Professional Practice (2024), demonstrating that all actions taken were lawful, proportionate, necessary and grounded in evidence.</w:t>
            </w:r>
          </w:p>
          <w:p w14:paraId="37089314" w14:textId="542DD7CA" w:rsidR="00054DA4" w:rsidRPr="0085647E" w:rsidRDefault="0096272A" w:rsidP="0085647E">
            <w:pPr>
              <w:pStyle w:val="NormalWeb"/>
              <w:spacing w:before="0" w:beforeAutospacing="0" w:line="480" w:lineRule="auto"/>
              <w:jc w:val="both"/>
              <w:rPr>
                <w:rFonts w:ascii="Arial" w:hAnsi="Arial" w:cs="Arial"/>
                <w:sz w:val="22"/>
                <w:szCs w:val="22"/>
              </w:rPr>
            </w:pPr>
            <w:r w:rsidRPr="0085647E">
              <w:rPr>
                <w:rFonts w:ascii="Arial" w:hAnsi="Arial" w:cs="Arial"/>
                <w:sz w:val="22"/>
                <w:szCs w:val="22"/>
              </w:rPr>
              <w:t>Multi</w:t>
            </w:r>
            <w:r w:rsidRPr="0085647E">
              <w:rPr>
                <w:rFonts w:ascii="Arial" w:hAnsi="Arial" w:cs="Arial"/>
                <w:sz w:val="22"/>
                <w:szCs w:val="22"/>
              </w:rPr>
              <w:noBreakHyphen/>
              <w:t>agency working remained central throughout the case. Coordinated work involving police, domiciliary care providers, primary health services and domestic</w:t>
            </w:r>
            <w:r w:rsidRPr="0085647E">
              <w:rPr>
                <w:rFonts w:ascii="Arial" w:hAnsi="Arial" w:cs="Arial"/>
                <w:sz w:val="22"/>
                <w:szCs w:val="22"/>
              </w:rPr>
              <w:noBreakHyphen/>
              <w:t>abuse specialists enabled proportionate risk management and supported more informed decision</w:t>
            </w:r>
            <w:r w:rsidRPr="0085647E">
              <w:rPr>
                <w:rFonts w:ascii="Arial" w:hAnsi="Arial" w:cs="Arial"/>
                <w:sz w:val="22"/>
                <w:szCs w:val="22"/>
              </w:rPr>
              <w:noBreakHyphen/>
              <w:t xml:space="preserve">making. Challenges inevitably arose, particularly when different agencies held divergent thresholds or priorities. For example, Adult 1’s feelings of betrayal by care staff added complexity to communication and required sensitive partnership working to rebuild trust. The need for respectful professional challenge was clear when agencies disagreed about risk or intervention levels. Literature emphasises that effective safeguarding depends on open communication, mutual respect and a shared understanding of responsibilities (Parry et al., 2017). Supervision supported me to navigate these challenges while maintaining clarity of purpose and commitment to </w:t>
            </w:r>
            <w:r w:rsidR="00585B03" w:rsidRPr="0085647E">
              <w:rPr>
                <w:rFonts w:ascii="Arial" w:hAnsi="Arial" w:cs="Arial"/>
                <w:sz w:val="22"/>
                <w:szCs w:val="22"/>
              </w:rPr>
              <w:t>adult</w:t>
            </w:r>
            <w:r w:rsidRPr="0085647E">
              <w:rPr>
                <w:rFonts w:ascii="Arial" w:hAnsi="Arial" w:cs="Arial"/>
                <w:sz w:val="22"/>
                <w:szCs w:val="22"/>
              </w:rPr>
              <w:t xml:space="preserve"> 1’s well</w:t>
            </w:r>
            <w:r w:rsidRPr="0085647E">
              <w:rPr>
                <w:rFonts w:ascii="Arial" w:hAnsi="Arial" w:cs="Arial"/>
                <w:sz w:val="22"/>
                <w:szCs w:val="22"/>
              </w:rPr>
              <w:noBreakHyphen/>
              <w:t>being.</w:t>
            </w:r>
          </w:p>
          <w:p w14:paraId="02988E7C" w14:textId="243B6B78" w:rsidR="00054DA4" w:rsidRPr="0085647E" w:rsidRDefault="0096272A" w:rsidP="0085647E">
            <w:pPr>
              <w:pStyle w:val="NormalWeb"/>
              <w:spacing w:before="0" w:beforeAutospacing="0" w:line="480" w:lineRule="auto"/>
              <w:jc w:val="both"/>
              <w:rPr>
                <w:rFonts w:ascii="Arial" w:hAnsi="Arial" w:cs="Arial"/>
                <w:sz w:val="22"/>
                <w:szCs w:val="22"/>
              </w:rPr>
            </w:pPr>
            <w:r w:rsidRPr="0085647E">
              <w:rPr>
                <w:rFonts w:ascii="Arial" w:hAnsi="Arial" w:cs="Arial"/>
                <w:sz w:val="22"/>
                <w:szCs w:val="22"/>
              </w:rPr>
              <w:t>Reflective supervision was essential for managing the emotional impact of the case. Working with issues involving sexual harm, coercive control and human rights can evoke discomfort and uncertainty for practitioners. Supervision allowed space for emotional processing, ethical reflection and the consideration of alternative perspectives. It supported me in balancing the need to avoid paternalism with my responsibility to ensure Adult 1 had sufficient information and support to make informed choices. Banks (2020) emphasises that ethical social work requires not only knowledge of legislation and policy but also emotional intelligence, self</w:t>
            </w:r>
            <w:r w:rsidRPr="0085647E">
              <w:rPr>
                <w:rFonts w:ascii="Arial" w:hAnsi="Arial" w:cs="Arial"/>
                <w:sz w:val="22"/>
                <w:szCs w:val="22"/>
              </w:rPr>
              <w:noBreakHyphen/>
              <w:t>awareness and the capacity to reflect critically on one’s practice. Supervision helped ensure that my decisions were ethically defensible, proportionate and grounded in sound professional judg</w:t>
            </w:r>
            <w:r w:rsidR="0084377B" w:rsidRPr="0085647E">
              <w:rPr>
                <w:rFonts w:ascii="Arial" w:hAnsi="Arial" w:cs="Arial"/>
                <w:sz w:val="22"/>
                <w:szCs w:val="22"/>
              </w:rPr>
              <w:t>ement.</w:t>
            </w:r>
          </w:p>
          <w:p w14:paraId="767743F9" w14:textId="77777777" w:rsidR="00585B03" w:rsidRPr="0085647E" w:rsidRDefault="00585B03" w:rsidP="0085647E">
            <w:pPr>
              <w:pStyle w:val="NormalWeb"/>
              <w:spacing w:line="480" w:lineRule="auto"/>
              <w:jc w:val="both"/>
              <w:rPr>
                <w:rFonts w:ascii="Arial" w:hAnsi="Arial" w:cs="Arial"/>
                <w:sz w:val="22"/>
                <w:szCs w:val="22"/>
              </w:rPr>
            </w:pPr>
            <w:r w:rsidRPr="0085647E">
              <w:rPr>
                <w:rFonts w:ascii="Arial" w:hAnsi="Arial" w:cs="Arial"/>
                <w:sz w:val="22"/>
                <w:szCs w:val="22"/>
              </w:rPr>
              <w:t>The interaction between domestic abuse dynamics and capacity was particularly challenging. Capacity is decision</w:t>
            </w:r>
            <w:r w:rsidRPr="0085647E">
              <w:rPr>
                <w:rFonts w:ascii="Arial" w:hAnsi="Arial" w:cs="Arial"/>
                <w:sz w:val="22"/>
                <w:szCs w:val="22"/>
              </w:rPr>
              <w:noBreakHyphen/>
              <w:t>specific but does not capture the emotional, psychological and situational factors influencing decision making in abusive relationships. Coercive control, trauma bonding and emotional dependency can all diminish autonomy without removing capacity (Stark, 2007; Williamson, 2010). Recognising this complexity required a nuanced approach centred on relational safeguarding, emotional safety and empowerment. Supporting Adult 1 to explore her feelings, reflect on risk and consider her options did not require challenging her choices, but enhancing her ability to weigh information within a supported environment.</w:t>
            </w:r>
          </w:p>
          <w:p w14:paraId="5877A376" w14:textId="3513493B" w:rsidR="00585B03" w:rsidRPr="0085647E" w:rsidRDefault="00585B03" w:rsidP="0085647E">
            <w:pPr>
              <w:pStyle w:val="NormalWeb"/>
              <w:spacing w:line="480" w:lineRule="auto"/>
              <w:jc w:val="both"/>
              <w:rPr>
                <w:rFonts w:ascii="Arial" w:hAnsi="Arial" w:cs="Arial"/>
                <w:sz w:val="22"/>
                <w:szCs w:val="22"/>
              </w:rPr>
            </w:pPr>
            <w:r w:rsidRPr="0085647E">
              <w:rPr>
                <w:rFonts w:ascii="Arial" w:hAnsi="Arial" w:cs="Arial"/>
                <w:sz w:val="22"/>
                <w:szCs w:val="22"/>
              </w:rPr>
              <w:t>The case illustrated the tensions inherent in safeguarding adults who are capacious yet vulnerable. It reinforced the importance of rights</w:t>
            </w:r>
            <w:r w:rsidRPr="0085647E">
              <w:rPr>
                <w:rFonts w:ascii="Arial" w:hAnsi="Arial" w:cs="Arial"/>
                <w:sz w:val="22"/>
                <w:szCs w:val="22"/>
              </w:rPr>
              <w:noBreakHyphen/>
              <w:t>based practice that respects autonomy while acknowledging relational and contextual vulnerability. Welsh legislation promotes this balance</w:t>
            </w:r>
            <w:r w:rsidR="00247C7A">
              <w:rPr>
                <w:rFonts w:ascii="Arial" w:hAnsi="Arial" w:cs="Arial"/>
                <w:sz w:val="22"/>
                <w:szCs w:val="22"/>
              </w:rPr>
              <w:t>,</w:t>
            </w:r>
            <w:r w:rsidRPr="0085647E">
              <w:rPr>
                <w:rFonts w:ascii="Arial" w:hAnsi="Arial" w:cs="Arial"/>
                <w:sz w:val="22"/>
                <w:szCs w:val="22"/>
              </w:rPr>
              <w:t xml:space="preserve"> the SSWBWA 2014 emphasises holistic well</w:t>
            </w:r>
            <w:r w:rsidRPr="0085647E">
              <w:rPr>
                <w:rFonts w:ascii="Arial" w:hAnsi="Arial" w:cs="Arial"/>
                <w:sz w:val="22"/>
                <w:szCs w:val="22"/>
              </w:rPr>
              <w:noBreakHyphen/>
              <w:t>being, voice, choice and control, while the VAWDASV Act 2015 highlights early intervention, trauma</w:t>
            </w:r>
            <w:r w:rsidRPr="0085647E">
              <w:rPr>
                <w:rFonts w:ascii="Arial" w:hAnsi="Arial" w:cs="Arial"/>
                <w:sz w:val="22"/>
                <w:szCs w:val="22"/>
              </w:rPr>
              <w:noBreakHyphen/>
              <w:t>informed practice and access to specialist support. The HRA 1998 further requires that any intervention impacting private and family life must be lawful, necessary and proportionate. These principles consistently guided my practice.</w:t>
            </w:r>
          </w:p>
          <w:p w14:paraId="00C6D763" w14:textId="77777777" w:rsidR="00585B03" w:rsidRDefault="00585B03" w:rsidP="0085647E">
            <w:pPr>
              <w:pStyle w:val="NormalWeb"/>
              <w:spacing w:line="480" w:lineRule="auto"/>
              <w:jc w:val="both"/>
              <w:rPr>
                <w:rFonts w:ascii="Arial" w:hAnsi="Arial" w:cs="Arial"/>
                <w:sz w:val="22"/>
                <w:szCs w:val="22"/>
              </w:rPr>
            </w:pPr>
            <w:r w:rsidRPr="0085647E">
              <w:rPr>
                <w:rFonts w:ascii="Arial" w:hAnsi="Arial" w:cs="Arial"/>
                <w:sz w:val="22"/>
                <w:szCs w:val="22"/>
              </w:rPr>
              <w:t>Ultimately, the case strengthened my understanding of how complex and ethically demanding adult safeguarding can be. Safeguarding is not about eliminating all risk but ensuring individuals are supported to make informed decisions, access appropriate interventions and are protected from significant harm in ways that respect their rights. This requires practitioners to balance empathy with critical thinking, autonomy with protection, and relational engagement with legal responsibilities. The case highlighted how effective safeguarding relies on collaborative working, professional curiosity, reflective thinking and adherence to ethical and legal frameworks.</w:t>
            </w:r>
          </w:p>
          <w:p w14:paraId="7B3AD076" w14:textId="14AD808B" w:rsidR="00B36EBB" w:rsidRDefault="00B36EBB" w:rsidP="00D353F9">
            <w:pPr>
              <w:overflowPunct/>
              <w:autoSpaceDE/>
              <w:autoSpaceDN/>
              <w:adjustRightInd/>
              <w:spacing w:line="480" w:lineRule="auto"/>
              <w:jc w:val="both"/>
              <w:textAlignment w:val="auto"/>
              <w:rPr>
                <w:sz w:val="22"/>
                <w:szCs w:val="22"/>
              </w:rPr>
            </w:pPr>
            <w:r w:rsidRPr="0085647E">
              <w:rPr>
                <w:color w:val="auto"/>
                <w:sz w:val="22"/>
                <w:szCs w:val="22"/>
              </w:rPr>
              <w:t>Drawing on Saleebey’s (2006) strengths</w:t>
            </w:r>
            <w:r w:rsidRPr="0085647E">
              <w:rPr>
                <w:color w:val="auto"/>
                <w:sz w:val="22"/>
                <w:szCs w:val="22"/>
              </w:rPr>
              <w:noBreakHyphen/>
              <w:t xml:space="preserve">based perspective, which emphasises individual’s resources, capacities and resilience, supported </w:t>
            </w:r>
            <w:r>
              <w:rPr>
                <w:color w:val="auto"/>
                <w:sz w:val="22"/>
                <w:szCs w:val="22"/>
              </w:rPr>
              <w:t>me to participate in</w:t>
            </w:r>
            <w:r w:rsidRPr="0085647E">
              <w:rPr>
                <w:color w:val="auto"/>
                <w:sz w:val="22"/>
                <w:szCs w:val="22"/>
              </w:rPr>
              <w:t xml:space="preserve"> empowering and collaborative conversation</w:t>
            </w:r>
            <w:r>
              <w:rPr>
                <w:color w:val="auto"/>
                <w:sz w:val="22"/>
                <w:szCs w:val="22"/>
              </w:rPr>
              <w:t xml:space="preserve">s. </w:t>
            </w:r>
            <w:r w:rsidR="00D353F9">
              <w:rPr>
                <w:color w:val="auto"/>
                <w:sz w:val="22"/>
                <w:szCs w:val="22"/>
              </w:rPr>
              <w:t>Adopting a strength-based approach</w:t>
            </w:r>
            <w:r>
              <w:rPr>
                <w:color w:val="auto"/>
                <w:sz w:val="22"/>
                <w:szCs w:val="22"/>
              </w:rPr>
              <w:t xml:space="preserve"> allowed adult 1 to</w:t>
            </w:r>
            <w:r w:rsidRPr="0085647E">
              <w:rPr>
                <w:color w:val="auto"/>
                <w:sz w:val="22"/>
                <w:szCs w:val="22"/>
              </w:rPr>
              <w:t xml:space="preserve"> recognise her own abilities and participate meaningfully in decisions about her safety and wellbeing. </w:t>
            </w:r>
            <w:r w:rsidRPr="0085647E">
              <w:rPr>
                <w:sz w:val="22"/>
                <w:szCs w:val="22"/>
              </w:rPr>
              <w:t>It highlighted the importance of reflective supervision, multi</w:t>
            </w:r>
            <w:r w:rsidRPr="0085647E">
              <w:rPr>
                <w:sz w:val="22"/>
                <w:szCs w:val="22"/>
              </w:rPr>
              <w:noBreakHyphen/>
              <w:t>agency collaboration and trauma</w:t>
            </w:r>
            <w:r w:rsidRPr="0085647E">
              <w:rPr>
                <w:sz w:val="22"/>
                <w:szCs w:val="22"/>
              </w:rPr>
              <w:noBreakHyphen/>
              <w:t>informed engagement. Above all, it underscored the need to navigate uncertainty with professionalism, ethical integrity and a commitment to balancing autonomy with protection in a way that is respectful, empowering and legally sound.</w:t>
            </w:r>
          </w:p>
          <w:p w14:paraId="482E7E92" w14:textId="77777777" w:rsidR="00D353F9" w:rsidRPr="0085647E" w:rsidRDefault="00D353F9" w:rsidP="00D353F9">
            <w:pPr>
              <w:overflowPunct/>
              <w:autoSpaceDE/>
              <w:autoSpaceDN/>
              <w:adjustRightInd/>
              <w:spacing w:line="480" w:lineRule="auto"/>
              <w:jc w:val="both"/>
              <w:textAlignment w:val="auto"/>
              <w:rPr>
                <w:sz w:val="22"/>
                <w:szCs w:val="22"/>
              </w:rPr>
            </w:pPr>
          </w:p>
          <w:p w14:paraId="0822173A" w14:textId="77777777" w:rsidR="0084377B" w:rsidRPr="0085647E" w:rsidRDefault="0096272A" w:rsidP="0085647E">
            <w:pPr>
              <w:overflowPunct/>
              <w:autoSpaceDE/>
              <w:autoSpaceDN/>
              <w:adjustRightInd/>
              <w:spacing w:line="480" w:lineRule="auto"/>
              <w:jc w:val="both"/>
              <w:textAlignment w:val="auto"/>
              <w:rPr>
                <w:sz w:val="22"/>
                <w:szCs w:val="22"/>
              </w:rPr>
            </w:pPr>
            <w:r w:rsidRPr="0085647E">
              <w:rPr>
                <w:sz w:val="22"/>
                <w:szCs w:val="22"/>
              </w:rPr>
              <w:t>In conclusion, my work with adult 1 demonstrated the complexity and nuance of safeguarding adults who retain mental capacity but remain vulnerable due to relational, emotional and contextual factors. It reinforced my responsibility to uphold rights, ensure proportionality, and maintain a strengths</w:t>
            </w:r>
            <w:r w:rsidRPr="0085647E">
              <w:rPr>
                <w:sz w:val="22"/>
                <w:szCs w:val="22"/>
              </w:rPr>
              <w:noBreakHyphen/>
              <w:t>base</w:t>
            </w:r>
            <w:r w:rsidR="0084377B" w:rsidRPr="0085647E">
              <w:rPr>
                <w:sz w:val="22"/>
                <w:szCs w:val="22"/>
              </w:rPr>
              <w:t xml:space="preserve">d, </w:t>
            </w:r>
            <w:r w:rsidRPr="0085647E">
              <w:rPr>
                <w:sz w:val="22"/>
                <w:szCs w:val="22"/>
              </w:rPr>
              <w:t>person</w:t>
            </w:r>
            <w:r w:rsidRPr="0085647E">
              <w:rPr>
                <w:sz w:val="22"/>
                <w:szCs w:val="22"/>
              </w:rPr>
              <w:noBreakHyphen/>
              <w:t>centred approach grounded in Welsh legislation and human</w:t>
            </w:r>
            <w:r w:rsidRPr="0085647E">
              <w:rPr>
                <w:sz w:val="22"/>
                <w:szCs w:val="22"/>
              </w:rPr>
              <w:noBreakHyphen/>
              <w:t>rights principles.</w:t>
            </w:r>
          </w:p>
          <w:p w14:paraId="34A24A0A" w14:textId="77777777" w:rsidR="0084377B" w:rsidRPr="0084377B" w:rsidRDefault="0084377B" w:rsidP="0084377B">
            <w:pPr>
              <w:overflowPunct/>
              <w:autoSpaceDE/>
              <w:autoSpaceDN/>
              <w:adjustRightInd/>
              <w:spacing w:line="480" w:lineRule="auto"/>
              <w:jc w:val="both"/>
              <w:textAlignment w:val="auto"/>
              <w:rPr>
                <w:color w:val="auto"/>
                <w:sz w:val="22"/>
                <w:szCs w:val="22"/>
              </w:rPr>
            </w:pPr>
          </w:p>
          <w:p w14:paraId="43845253" w14:textId="631A5D9F" w:rsidR="00DD5AE5" w:rsidRDefault="00DD5AE5" w:rsidP="00EE3198">
            <w:pPr>
              <w:jc w:val="both"/>
              <w:rPr>
                <w:b/>
                <w:bCs/>
                <w:iCs/>
                <w:sz w:val="24"/>
                <w:szCs w:val="24"/>
              </w:rPr>
            </w:pPr>
            <w:r w:rsidRPr="00370FB3">
              <w:rPr>
                <w:b/>
                <w:bCs/>
                <w:iCs/>
                <w:sz w:val="24"/>
                <w:szCs w:val="24"/>
              </w:rPr>
              <w:t xml:space="preserve">Word count </w:t>
            </w:r>
            <w:r w:rsidR="00E46221">
              <w:rPr>
                <w:b/>
                <w:bCs/>
                <w:iCs/>
                <w:sz w:val="24"/>
                <w:szCs w:val="24"/>
              </w:rPr>
              <w:t>–</w:t>
            </w:r>
            <w:r w:rsidRPr="00370FB3">
              <w:rPr>
                <w:b/>
                <w:bCs/>
                <w:iCs/>
                <w:sz w:val="24"/>
                <w:szCs w:val="24"/>
              </w:rPr>
              <w:t xml:space="preserve"> </w:t>
            </w:r>
            <w:r w:rsidR="00BD2827">
              <w:rPr>
                <w:b/>
                <w:bCs/>
                <w:iCs/>
                <w:sz w:val="24"/>
                <w:szCs w:val="24"/>
              </w:rPr>
              <w:t>4</w:t>
            </w:r>
            <w:r w:rsidR="008A4220">
              <w:rPr>
                <w:b/>
                <w:bCs/>
                <w:iCs/>
                <w:sz w:val="24"/>
                <w:szCs w:val="24"/>
              </w:rPr>
              <w:t>399</w:t>
            </w:r>
          </w:p>
          <w:p w14:paraId="7445B9B4" w14:textId="77777777" w:rsidR="00E46221" w:rsidRDefault="00E46221" w:rsidP="00EE3198">
            <w:pPr>
              <w:jc w:val="both"/>
              <w:rPr>
                <w:b/>
                <w:bCs/>
                <w:iCs/>
                <w:sz w:val="24"/>
                <w:szCs w:val="24"/>
              </w:rPr>
            </w:pPr>
          </w:p>
          <w:p w14:paraId="46571723" w14:textId="77777777" w:rsidR="00DD5AE5" w:rsidRDefault="00DD5AE5" w:rsidP="00EE3198">
            <w:pPr>
              <w:jc w:val="both"/>
              <w:rPr>
                <w:i/>
                <w:sz w:val="24"/>
                <w:szCs w:val="24"/>
              </w:rPr>
            </w:pPr>
          </w:p>
          <w:p w14:paraId="161F8384" w14:textId="77777777" w:rsidR="00DD5AE5" w:rsidRDefault="00DD5AE5" w:rsidP="00EE3198">
            <w:pPr>
              <w:jc w:val="both"/>
              <w:rPr>
                <w:i/>
                <w:sz w:val="24"/>
                <w:szCs w:val="24"/>
              </w:rPr>
            </w:pPr>
          </w:p>
          <w:p w14:paraId="520524B6" w14:textId="77777777" w:rsidR="00DD5AE5" w:rsidRPr="008B28E7" w:rsidRDefault="00DD5AE5" w:rsidP="00EE3198">
            <w:pPr>
              <w:jc w:val="both"/>
              <w:rPr>
                <w:sz w:val="24"/>
                <w:szCs w:val="24"/>
              </w:rPr>
            </w:pPr>
          </w:p>
        </w:tc>
      </w:tr>
      <w:tr w:rsidR="002C0279" w:rsidRPr="008B28E7" w14:paraId="2E71D383" w14:textId="77777777" w:rsidTr="00B36EBB">
        <w:tc>
          <w:tcPr>
            <w:tcW w:w="10910" w:type="dxa"/>
          </w:tcPr>
          <w:p w14:paraId="34AB65EC" w14:textId="77777777" w:rsidR="002C0279" w:rsidRPr="006872A0" w:rsidRDefault="002C0279" w:rsidP="00EE3198">
            <w:pPr>
              <w:jc w:val="both"/>
              <w:rPr>
                <w:b/>
                <w:sz w:val="24"/>
                <w:szCs w:val="24"/>
              </w:rPr>
            </w:pPr>
          </w:p>
        </w:tc>
      </w:tr>
    </w:tbl>
    <w:p w14:paraId="7B9A288F" w14:textId="77777777" w:rsidR="00DD5AE5" w:rsidRDefault="00DD5AE5" w:rsidP="00DD5AE5">
      <w:pPr>
        <w:jc w:val="both"/>
        <w:rPr>
          <w:sz w:val="24"/>
          <w:szCs w:val="24"/>
        </w:rPr>
      </w:pPr>
    </w:p>
    <w:p w14:paraId="471FC884" w14:textId="77777777" w:rsidR="00361838" w:rsidRDefault="00361838"/>
    <w:sectPr w:rsidR="003618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AE5"/>
    <w:rsid w:val="000165A2"/>
    <w:rsid w:val="00042B7B"/>
    <w:rsid w:val="00047A10"/>
    <w:rsid w:val="00054DA4"/>
    <w:rsid w:val="00055B89"/>
    <w:rsid w:val="00057258"/>
    <w:rsid w:val="00060A55"/>
    <w:rsid w:val="00061070"/>
    <w:rsid w:val="00063536"/>
    <w:rsid w:val="000717E4"/>
    <w:rsid w:val="0008372C"/>
    <w:rsid w:val="000C58D6"/>
    <w:rsid w:val="000E44A0"/>
    <w:rsid w:val="001112DE"/>
    <w:rsid w:val="00127734"/>
    <w:rsid w:val="001B7168"/>
    <w:rsid w:val="00237C21"/>
    <w:rsid w:val="00247C7A"/>
    <w:rsid w:val="002C0279"/>
    <w:rsid w:val="003108D6"/>
    <w:rsid w:val="00361838"/>
    <w:rsid w:val="00370FB3"/>
    <w:rsid w:val="003B041D"/>
    <w:rsid w:val="003C2B31"/>
    <w:rsid w:val="003E6F5A"/>
    <w:rsid w:val="003F622C"/>
    <w:rsid w:val="00403020"/>
    <w:rsid w:val="00411486"/>
    <w:rsid w:val="00414914"/>
    <w:rsid w:val="004477BD"/>
    <w:rsid w:val="004D118E"/>
    <w:rsid w:val="004E0497"/>
    <w:rsid w:val="00520AAE"/>
    <w:rsid w:val="0052512A"/>
    <w:rsid w:val="00554137"/>
    <w:rsid w:val="00573382"/>
    <w:rsid w:val="00585B03"/>
    <w:rsid w:val="005F7358"/>
    <w:rsid w:val="00605F28"/>
    <w:rsid w:val="006204F4"/>
    <w:rsid w:val="006A2F93"/>
    <w:rsid w:val="006C6307"/>
    <w:rsid w:val="006D1DB5"/>
    <w:rsid w:val="0071402F"/>
    <w:rsid w:val="00807959"/>
    <w:rsid w:val="008237E6"/>
    <w:rsid w:val="00837427"/>
    <w:rsid w:val="0084377B"/>
    <w:rsid w:val="008511BB"/>
    <w:rsid w:val="00851E7C"/>
    <w:rsid w:val="0085647E"/>
    <w:rsid w:val="0086601D"/>
    <w:rsid w:val="008868A0"/>
    <w:rsid w:val="008A4220"/>
    <w:rsid w:val="008C5B07"/>
    <w:rsid w:val="008D190B"/>
    <w:rsid w:val="008D63C5"/>
    <w:rsid w:val="008D681B"/>
    <w:rsid w:val="008E3DD0"/>
    <w:rsid w:val="00951E7E"/>
    <w:rsid w:val="0096272A"/>
    <w:rsid w:val="009642CA"/>
    <w:rsid w:val="00987022"/>
    <w:rsid w:val="009B5D4C"/>
    <w:rsid w:val="009C762B"/>
    <w:rsid w:val="00A03719"/>
    <w:rsid w:val="00A16F34"/>
    <w:rsid w:val="00A27FCE"/>
    <w:rsid w:val="00A53120"/>
    <w:rsid w:val="00A550D6"/>
    <w:rsid w:val="00A77CDC"/>
    <w:rsid w:val="00A9577C"/>
    <w:rsid w:val="00AB2FFA"/>
    <w:rsid w:val="00AC4FE2"/>
    <w:rsid w:val="00B03734"/>
    <w:rsid w:val="00B36EBB"/>
    <w:rsid w:val="00B84B60"/>
    <w:rsid w:val="00BA43A3"/>
    <w:rsid w:val="00BD2827"/>
    <w:rsid w:val="00BE3063"/>
    <w:rsid w:val="00BE6924"/>
    <w:rsid w:val="00C26CEE"/>
    <w:rsid w:val="00C703CD"/>
    <w:rsid w:val="00C75EE3"/>
    <w:rsid w:val="00C83406"/>
    <w:rsid w:val="00CE3335"/>
    <w:rsid w:val="00CF6439"/>
    <w:rsid w:val="00D226C1"/>
    <w:rsid w:val="00D26C92"/>
    <w:rsid w:val="00D353F9"/>
    <w:rsid w:val="00D54D56"/>
    <w:rsid w:val="00D716E5"/>
    <w:rsid w:val="00D7366F"/>
    <w:rsid w:val="00DA3D7D"/>
    <w:rsid w:val="00DB1B51"/>
    <w:rsid w:val="00DD5AE5"/>
    <w:rsid w:val="00DD6637"/>
    <w:rsid w:val="00E070C9"/>
    <w:rsid w:val="00E2709C"/>
    <w:rsid w:val="00E46221"/>
    <w:rsid w:val="00E65AD8"/>
    <w:rsid w:val="00E66BC1"/>
    <w:rsid w:val="00E84FA6"/>
    <w:rsid w:val="00ED2F74"/>
    <w:rsid w:val="00ED7AB5"/>
    <w:rsid w:val="00F00266"/>
    <w:rsid w:val="00F027E2"/>
    <w:rsid w:val="00F104BB"/>
    <w:rsid w:val="00F322F5"/>
    <w:rsid w:val="00F46D0B"/>
    <w:rsid w:val="00F77E98"/>
    <w:rsid w:val="00FB6F43"/>
    <w:rsid w:val="00FC0339"/>
    <w:rsid w:val="00FF4799"/>
    <w:rsid w:val="00FF6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D4553"/>
  <w15:chartTrackingRefBased/>
  <w15:docId w15:val="{EF65F1B0-EFDF-446A-A466-5543DCA36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AE5"/>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DD5AE5"/>
    <w:pPr>
      <w:keepNext/>
      <w:keepLines/>
      <w:overflowPunct/>
      <w:autoSpaceDE/>
      <w:autoSpaceDN/>
      <w:adjustRightInd/>
      <w:spacing w:before="360" w:after="80" w:line="278"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DD5AE5"/>
    <w:pPr>
      <w:keepNext/>
      <w:keepLines/>
      <w:overflowPunct/>
      <w:autoSpaceDE/>
      <w:autoSpaceDN/>
      <w:adjustRightInd/>
      <w:spacing w:before="160" w:after="80" w:line="278"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DD5AE5"/>
    <w:pPr>
      <w:keepNext/>
      <w:keepLines/>
      <w:overflowPunct/>
      <w:autoSpaceDE/>
      <w:autoSpaceDN/>
      <w:adjustRightInd/>
      <w:spacing w:before="160" w:after="80" w:line="278"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D5AE5"/>
    <w:pPr>
      <w:keepNext/>
      <w:keepLines/>
      <w:overflowPunct/>
      <w:autoSpaceDE/>
      <w:autoSpaceDN/>
      <w:adjustRightInd/>
      <w:spacing w:before="80" w:after="40" w:line="278" w:lineRule="auto"/>
      <w:textAlignment w:val="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DD5AE5"/>
    <w:pPr>
      <w:keepNext/>
      <w:keepLines/>
      <w:overflowPunct/>
      <w:autoSpaceDE/>
      <w:autoSpaceDN/>
      <w:adjustRightInd/>
      <w:spacing w:before="80" w:after="40" w:line="278" w:lineRule="auto"/>
      <w:textAlignment w:val="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DD5AE5"/>
    <w:pPr>
      <w:keepNext/>
      <w:keepLines/>
      <w:overflowPunct/>
      <w:autoSpaceDE/>
      <w:autoSpaceDN/>
      <w:adjustRightInd/>
      <w:spacing w:before="40" w:line="278" w:lineRule="auto"/>
      <w:textAlignment w:val="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DD5AE5"/>
    <w:pPr>
      <w:keepNext/>
      <w:keepLines/>
      <w:overflowPunct/>
      <w:autoSpaceDE/>
      <w:autoSpaceDN/>
      <w:adjustRightInd/>
      <w:spacing w:before="40" w:line="278" w:lineRule="auto"/>
      <w:textAlignment w:val="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DD5AE5"/>
    <w:pPr>
      <w:keepNext/>
      <w:keepLines/>
      <w:overflowPunct/>
      <w:autoSpaceDE/>
      <w:autoSpaceDN/>
      <w:adjustRightInd/>
      <w:spacing w:line="278" w:lineRule="auto"/>
      <w:textAlignment w:val="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DD5AE5"/>
    <w:pPr>
      <w:keepNext/>
      <w:keepLines/>
      <w:overflowPunct/>
      <w:autoSpaceDE/>
      <w:autoSpaceDN/>
      <w:adjustRightInd/>
      <w:spacing w:line="278" w:lineRule="auto"/>
      <w:textAlignment w:val="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A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A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A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A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A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A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A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A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AE5"/>
    <w:rPr>
      <w:rFonts w:eastAsiaTheme="majorEastAsia" w:cstheme="majorBidi"/>
      <w:color w:val="272727" w:themeColor="text1" w:themeTint="D8"/>
    </w:rPr>
  </w:style>
  <w:style w:type="paragraph" w:styleId="Title">
    <w:name w:val="Title"/>
    <w:basedOn w:val="Normal"/>
    <w:next w:val="Normal"/>
    <w:link w:val="TitleChar"/>
    <w:uiPriority w:val="10"/>
    <w:qFormat/>
    <w:rsid w:val="00DD5AE5"/>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D5A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AE5"/>
    <w:pPr>
      <w:numPr>
        <w:ilvl w:val="1"/>
      </w:numPr>
      <w:overflowPunct/>
      <w:autoSpaceDE/>
      <w:autoSpaceDN/>
      <w:adjustRightInd/>
      <w:spacing w:after="160" w:line="278"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D5A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AE5"/>
    <w:pPr>
      <w:overflowPunct/>
      <w:autoSpaceDE/>
      <w:autoSpaceDN/>
      <w:adjustRightInd/>
      <w:spacing w:before="160" w:after="160" w:line="278" w:lineRule="auto"/>
      <w:jc w:val="center"/>
      <w:textAlignment w:val="auto"/>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DD5AE5"/>
    <w:rPr>
      <w:i/>
      <w:iCs/>
      <w:color w:val="404040" w:themeColor="text1" w:themeTint="BF"/>
    </w:rPr>
  </w:style>
  <w:style w:type="paragraph" w:styleId="ListParagraph">
    <w:name w:val="List Paragraph"/>
    <w:basedOn w:val="Normal"/>
    <w:uiPriority w:val="34"/>
    <w:qFormat/>
    <w:rsid w:val="00DD5AE5"/>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character" w:styleId="IntenseEmphasis">
    <w:name w:val="Intense Emphasis"/>
    <w:basedOn w:val="DefaultParagraphFont"/>
    <w:uiPriority w:val="21"/>
    <w:qFormat/>
    <w:rsid w:val="00DD5AE5"/>
    <w:rPr>
      <w:i/>
      <w:iCs/>
      <w:color w:val="0F4761" w:themeColor="accent1" w:themeShade="BF"/>
    </w:rPr>
  </w:style>
  <w:style w:type="paragraph" w:styleId="IntenseQuote">
    <w:name w:val="Intense Quote"/>
    <w:basedOn w:val="Normal"/>
    <w:next w:val="Normal"/>
    <w:link w:val="IntenseQuoteChar"/>
    <w:uiPriority w:val="30"/>
    <w:qFormat/>
    <w:rsid w:val="00DD5AE5"/>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textAlignment w:val="auto"/>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DD5AE5"/>
    <w:rPr>
      <w:i/>
      <w:iCs/>
      <w:color w:val="0F4761" w:themeColor="accent1" w:themeShade="BF"/>
    </w:rPr>
  </w:style>
  <w:style w:type="character" w:styleId="IntenseReference">
    <w:name w:val="Intense Reference"/>
    <w:basedOn w:val="DefaultParagraphFont"/>
    <w:uiPriority w:val="32"/>
    <w:qFormat/>
    <w:rsid w:val="00DD5AE5"/>
    <w:rPr>
      <w:b/>
      <w:bCs/>
      <w:smallCaps/>
      <w:color w:val="0F4761" w:themeColor="accent1" w:themeShade="BF"/>
      <w:spacing w:val="5"/>
    </w:rPr>
  </w:style>
  <w:style w:type="paragraph" w:styleId="NormalWeb">
    <w:name w:val="Normal (Web)"/>
    <w:basedOn w:val="Normal"/>
    <w:uiPriority w:val="99"/>
    <w:unhideWhenUsed/>
    <w:rsid w:val="00DD5A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D5AE5"/>
    <w:rPr>
      <w:i/>
      <w:iCs/>
    </w:rPr>
  </w:style>
  <w:style w:type="character" w:styleId="Strong">
    <w:name w:val="Strong"/>
    <w:basedOn w:val="DefaultParagraphFont"/>
    <w:uiPriority w:val="22"/>
    <w:qFormat/>
    <w:rsid w:val="00DD5AE5"/>
    <w:rPr>
      <w:b/>
      <w:bCs/>
    </w:rPr>
  </w:style>
  <w:style w:type="character" w:styleId="CommentReference">
    <w:name w:val="annotation reference"/>
    <w:basedOn w:val="DefaultParagraphFont"/>
    <w:uiPriority w:val="99"/>
    <w:semiHidden/>
    <w:unhideWhenUsed/>
    <w:rsid w:val="00A550D6"/>
    <w:rPr>
      <w:sz w:val="16"/>
      <w:szCs w:val="16"/>
    </w:rPr>
  </w:style>
  <w:style w:type="paragraph" w:styleId="CommentText">
    <w:name w:val="annotation text"/>
    <w:basedOn w:val="Normal"/>
    <w:link w:val="CommentTextChar"/>
    <w:uiPriority w:val="99"/>
    <w:unhideWhenUsed/>
    <w:rsid w:val="00A550D6"/>
  </w:style>
  <w:style w:type="character" w:customStyle="1" w:styleId="CommentTextChar">
    <w:name w:val="Comment Text Char"/>
    <w:basedOn w:val="DefaultParagraphFont"/>
    <w:link w:val="CommentText"/>
    <w:uiPriority w:val="99"/>
    <w:rsid w:val="00A550D6"/>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A550D6"/>
    <w:rPr>
      <w:b/>
      <w:bCs/>
    </w:rPr>
  </w:style>
  <w:style w:type="character" w:customStyle="1" w:styleId="CommentSubjectChar">
    <w:name w:val="Comment Subject Char"/>
    <w:basedOn w:val="CommentTextChar"/>
    <w:link w:val="CommentSubject"/>
    <w:uiPriority w:val="99"/>
    <w:semiHidden/>
    <w:rsid w:val="00A550D6"/>
    <w:rPr>
      <w:rFonts w:ascii="Arial" w:eastAsia="Times New Roman" w:hAnsi="Arial" w:cs="Arial"/>
      <w:b/>
      <w:bCs/>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3162CB-7695-43E9-A9BD-1C155D52C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4612</Words>
  <Characters>28322</Characters>
  <Application>Microsoft Office Word</Application>
  <DocSecurity>0</DocSecurity>
  <Lines>456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Honey-Jones</dc:creator>
  <cp:keywords/>
  <dc:description/>
  <cp:lastModifiedBy>Courtney Honey-Jones</cp:lastModifiedBy>
  <cp:revision>2</cp:revision>
  <dcterms:created xsi:type="dcterms:W3CDTF">2026-02-23T15:54:00Z</dcterms:created>
  <dcterms:modified xsi:type="dcterms:W3CDTF">2026-02-23T15:54:00Z</dcterms:modified>
</cp:coreProperties>
</file>