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08A67" w14:textId="77777777" w:rsidR="00F02769" w:rsidRDefault="00F02769" w:rsidP="00F02769">
      <w:pPr>
        <w:ind w:firstLine="0"/>
        <w:jc w:val="center"/>
        <w:rPr>
          <w:lang w:val="en-GB"/>
        </w:rPr>
      </w:pPr>
    </w:p>
    <w:p w14:paraId="042A4845" w14:textId="77777777" w:rsidR="00F02769" w:rsidRDefault="00F02769" w:rsidP="29C64288">
      <w:pPr>
        <w:ind w:firstLine="0"/>
        <w:jc w:val="center"/>
        <w:rPr>
          <w:sz w:val="32"/>
          <w:szCs w:val="32"/>
          <w:lang w:val="en-GB"/>
        </w:rPr>
      </w:pPr>
    </w:p>
    <w:p w14:paraId="5A0F3C21" w14:textId="0E7A5FC0" w:rsidR="009C2C31" w:rsidRPr="0061789F" w:rsidRDefault="009602B9" w:rsidP="29C64288">
      <w:pPr>
        <w:ind w:firstLine="0"/>
        <w:jc w:val="center"/>
        <w:rPr>
          <w:b/>
          <w:bCs/>
          <w:sz w:val="36"/>
          <w:szCs w:val="36"/>
          <w:lang w:val="en-GB"/>
        </w:rPr>
      </w:pPr>
      <w:r w:rsidRPr="29C64288">
        <w:rPr>
          <w:b/>
          <w:bCs/>
          <w:sz w:val="36"/>
          <w:szCs w:val="36"/>
          <w:lang w:val="en-GB"/>
        </w:rPr>
        <w:t>CRITICAL EVALUATION OF CONTEMPORARY HR CHALLENGES AND PRACTICES AT JAGUAR LAND ROVER</w:t>
      </w:r>
    </w:p>
    <w:p w14:paraId="1582ABE9" w14:textId="77777777" w:rsidR="009C2C31" w:rsidRPr="0061789F" w:rsidRDefault="009602B9" w:rsidP="00F02769">
      <w:pPr>
        <w:ind w:firstLine="0"/>
        <w:jc w:val="center"/>
        <w:rPr>
          <w:lang w:val="en-GB"/>
        </w:rPr>
      </w:pPr>
      <w:r w:rsidRPr="29C64288">
        <w:rPr>
          <w:b/>
          <w:bCs/>
          <w:lang w:val="en-GB"/>
        </w:rPr>
        <w:t>Module Code:</w:t>
      </w:r>
      <w:r w:rsidRPr="29C64288">
        <w:rPr>
          <w:lang w:val="en-GB"/>
        </w:rPr>
        <w:t xml:space="preserve"> LCLM5002</w:t>
      </w:r>
    </w:p>
    <w:p w14:paraId="5109CF07" w14:textId="77777777" w:rsidR="009C2C31" w:rsidRPr="0061789F" w:rsidRDefault="009602B9" w:rsidP="00F02769">
      <w:pPr>
        <w:ind w:firstLine="0"/>
        <w:jc w:val="center"/>
        <w:rPr>
          <w:lang w:val="en-GB"/>
        </w:rPr>
      </w:pPr>
      <w:r w:rsidRPr="29C64288">
        <w:rPr>
          <w:b/>
          <w:bCs/>
          <w:lang w:val="en-GB"/>
        </w:rPr>
        <w:t>Module Title:</w:t>
      </w:r>
      <w:r w:rsidRPr="29C64288">
        <w:rPr>
          <w:lang w:val="en-GB"/>
        </w:rPr>
        <w:t xml:space="preserve"> Developing and Managing Individuals and Teams</w:t>
      </w:r>
    </w:p>
    <w:p w14:paraId="4FF7C915" w14:textId="454A7715" w:rsidR="009C2C31" w:rsidRPr="0061789F" w:rsidRDefault="009602B9" w:rsidP="00F02769">
      <w:pPr>
        <w:ind w:firstLine="0"/>
        <w:jc w:val="center"/>
        <w:rPr>
          <w:lang w:val="en-GB"/>
        </w:rPr>
      </w:pPr>
      <w:r w:rsidRPr="29C64288">
        <w:rPr>
          <w:b/>
          <w:bCs/>
          <w:lang w:val="en-GB"/>
        </w:rPr>
        <w:t>Assignment Title:</w:t>
      </w:r>
      <w:r w:rsidRPr="29C64288">
        <w:rPr>
          <w:lang w:val="en-GB"/>
        </w:rPr>
        <w:t xml:space="preserve"> Component 2 - Individual Repo</w:t>
      </w:r>
      <w:r w:rsidR="511005E7" w:rsidRPr="29C64288">
        <w:rPr>
          <w:lang w:val="en-GB"/>
        </w:rPr>
        <w:t>rt</w:t>
      </w:r>
    </w:p>
    <w:p w14:paraId="76A23BFA" w14:textId="610D2E5D" w:rsidR="00264C7B" w:rsidRPr="0061789F" w:rsidRDefault="009602B9" w:rsidP="00F02769">
      <w:pPr>
        <w:ind w:firstLine="0"/>
        <w:jc w:val="center"/>
        <w:rPr>
          <w:lang w:val="en-GB"/>
        </w:rPr>
      </w:pPr>
      <w:r w:rsidRPr="29C64288">
        <w:rPr>
          <w:b/>
          <w:bCs/>
          <w:lang w:val="en-GB"/>
        </w:rPr>
        <w:t>Student Name:</w:t>
      </w:r>
      <w:r w:rsidR="16D59491" w:rsidRPr="29C64288">
        <w:rPr>
          <w:lang w:val="en-GB"/>
        </w:rPr>
        <w:t xml:space="preserve"> Ali KOUADIO</w:t>
      </w:r>
    </w:p>
    <w:p w14:paraId="2F964352" w14:textId="7D04E208" w:rsidR="009C2C31" w:rsidRPr="0061789F" w:rsidRDefault="009602B9" w:rsidP="00F02769">
      <w:pPr>
        <w:ind w:firstLine="0"/>
        <w:jc w:val="center"/>
      </w:pPr>
      <w:r w:rsidRPr="29C64288">
        <w:rPr>
          <w:b/>
          <w:bCs/>
          <w:lang w:val="en-GB"/>
        </w:rPr>
        <w:t>Student Number:</w:t>
      </w:r>
      <w:r w:rsidR="20C8D10F" w:rsidRPr="29C64288">
        <w:rPr>
          <w:lang w:val="en-GB"/>
        </w:rPr>
        <w:t xml:space="preserve"> 2442205</w:t>
      </w:r>
    </w:p>
    <w:p w14:paraId="35A67ADE" w14:textId="3E066287" w:rsidR="20C8D10F" w:rsidRDefault="20C8D10F" w:rsidP="29C64288">
      <w:pPr>
        <w:ind w:firstLine="0"/>
        <w:jc w:val="center"/>
      </w:pPr>
      <w:r w:rsidRPr="29C64288">
        <w:rPr>
          <w:b/>
          <w:bCs/>
          <w:lang w:val="en-GB"/>
        </w:rPr>
        <w:t>Lecturer Name:</w:t>
      </w:r>
      <w:r w:rsidRPr="29C64288">
        <w:rPr>
          <w:lang w:val="en-GB"/>
        </w:rPr>
        <w:t xml:space="preserve"> Sukhpreet GREWAL</w:t>
      </w:r>
    </w:p>
    <w:p w14:paraId="4AD30951" w14:textId="46217F92" w:rsidR="66616D98" w:rsidRDefault="66616D98" w:rsidP="29C64288">
      <w:pPr>
        <w:ind w:firstLine="0"/>
        <w:jc w:val="center"/>
        <w:sectPr w:rsidR="66616D98" w:rsidSect="00264C7B">
          <w:pgSz w:w="11909" w:h="16834"/>
          <w:pgMar w:top="1440" w:right="1440" w:bottom="1440" w:left="1440" w:header="720" w:footer="720" w:gutter="0"/>
          <w:cols w:space="720"/>
          <w:docGrid w:linePitch="360"/>
        </w:sectPr>
      </w:pPr>
      <w:r w:rsidRPr="29C64288">
        <w:rPr>
          <w:lang w:val="en-GB"/>
        </w:rPr>
        <w:t>Submitted o</w:t>
      </w:r>
      <w:r w:rsidR="005DD069" w:rsidRPr="29C64288">
        <w:rPr>
          <w:lang w:val="en-GB"/>
        </w:rPr>
        <w:t>n 20</w:t>
      </w:r>
      <w:r w:rsidR="005DD069" w:rsidRPr="29C64288">
        <w:rPr>
          <w:vertAlign w:val="superscript"/>
          <w:lang w:val="en-GB"/>
        </w:rPr>
        <w:t>th</w:t>
      </w:r>
      <w:r w:rsidR="005DD069" w:rsidRPr="29C64288">
        <w:rPr>
          <w:lang w:val="en-GB"/>
        </w:rPr>
        <w:t xml:space="preserve"> August 2026</w:t>
      </w:r>
    </w:p>
    <w:sdt>
      <w:sdtPr>
        <w:rPr>
          <w:rFonts w:eastAsia="Arial" w:cstheme="minorBidi"/>
          <w:b w:val="0"/>
          <w:bCs w:val="0"/>
          <w:i w:val="0"/>
          <w:szCs w:val="22"/>
          <w:lang w:val="en-GB"/>
        </w:rPr>
        <w:id w:val="-987173973"/>
        <w:docPartObj>
          <w:docPartGallery w:val="Table of Contents"/>
          <w:docPartUnique/>
        </w:docPartObj>
      </w:sdtPr>
      <w:sdtEndPr>
        <w:rPr>
          <w:noProof/>
        </w:rPr>
      </w:sdtEndPr>
      <w:sdtContent>
        <w:p w14:paraId="44D0BAC8" w14:textId="5E2F9095" w:rsidR="000B397D" w:rsidRPr="0061789F" w:rsidRDefault="000B397D" w:rsidP="000B397D">
          <w:pPr>
            <w:pStyle w:val="TOCHeading"/>
            <w:jc w:val="center"/>
            <w:rPr>
              <w:i w:val="0"/>
              <w:iCs/>
              <w:lang w:val="en-GB"/>
            </w:rPr>
          </w:pPr>
          <w:r w:rsidRPr="0061789F">
            <w:rPr>
              <w:i w:val="0"/>
              <w:iCs/>
              <w:lang w:val="en-GB"/>
            </w:rPr>
            <w:t>TABLE OF CONTENTS</w:t>
          </w:r>
        </w:p>
        <w:p w14:paraId="6E56A74C" w14:textId="516DB492" w:rsidR="000A1A21" w:rsidRDefault="000B397D">
          <w:pPr>
            <w:pStyle w:val="TOC1"/>
            <w:tabs>
              <w:tab w:val="right" w:leader="dot" w:pos="9019"/>
            </w:tabs>
            <w:rPr>
              <w:rFonts w:asciiTheme="minorHAnsi" w:eastAsiaTheme="minorEastAsia" w:hAnsiTheme="minorHAnsi"/>
              <w:noProof/>
              <w:kern w:val="2"/>
              <w:sz w:val="24"/>
              <w:szCs w:val="24"/>
              <w:lang w:val="en-GB" w:eastAsia="en-GB"/>
              <w14:ligatures w14:val="standardContextual"/>
            </w:rPr>
          </w:pPr>
          <w:r w:rsidRPr="0061789F">
            <w:rPr>
              <w:lang w:val="en-GB"/>
            </w:rPr>
            <w:fldChar w:fldCharType="begin"/>
          </w:r>
          <w:r w:rsidRPr="0061789F">
            <w:rPr>
              <w:lang w:val="en-GB"/>
            </w:rPr>
            <w:instrText xml:space="preserve"> TOC \o "1-3" \h \z \u </w:instrText>
          </w:r>
          <w:r w:rsidRPr="0061789F">
            <w:rPr>
              <w:lang w:val="en-GB"/>
            </w:rPr>
            <w:fldChar w:fldCharType="separate"/>
          </w:r>
          <w:hyperlink w:anchor="_Toc237108252" w:history="1">
            <w:r w:rsidR="000A1A21" w:rsidRPr="007F6890">
              <w:rPr>
                <w:rStyle w:val="Hyperlink"/>
                <w:noProof/>
                <w:lang w:val="en-GB"/>
              </w:rPr>
              <w:t>Introduction</w:t>
            </w:r>
            <w:r w:rsidR="000A1A21">
              <w:rPr>
                <w:noProof/>
                <w:webHidden/>
              </w:rPr>
              <w:tab/>
            </w:r>
            <w:r w:rsidR="000A1A21">
              <w:rPr>
                <w:noProof/>
                <w:webHidden/>
              </w:rPr>
              <w:fldChar w:fldCharType="begin"/>
            </w:r>
            <w:r w:rsidR="000A1A21">
              <w:rPr>
                <w:noProof/>
                <w:webHidden/>
              </w:rPr>
              <w:instrText xml:space="preserve"> PAGEREF _Toc237108252 \h </w:instrText>
            </w:r>
            <w:r w:rsidR="000A1A21">
              <w:rPr>
                <w:noProof/>
                <w:webHidden/>
              </w:rPr>
            </w:r>
            <w:r w:rsidR="000A1A21">
              <w:rPr>
                <w:noProof/>
                <w:webHidden/>
              </w:rPr>
              <w:fldChar w:fldCharType="separate"/>
            </w:r>
            <w:r w:rsidR="000A1A21">
              <w:rPr>
                <w:noProof/>
                <w:webHidden/>
              </w:rPr>
              <w:t>2</w:t>
            </w:r>
            <w:r w:rsidR="000A1A21">
              <w:rPr>
                <w:noProof/>
                <w:webHidden/>
              </w:rPr>
              <w:fldChar w:fldCharType="end"/>
            </w:r>
          </w:hyperlink>
        </w:p>
        <w:p w14:paraId="0D5CF7AA" w14:textId="56F2D4F8"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3" w:history="1">
            <w:r w:rsidRPr="007F6890">
              <w:rPr>
                <w:rStyle w:val="Hyperlink"/>
                <w:noProof/>
                <w:lang w:val="en-GB"/>
              </w:rPr>
              <w:t>1. Explanation of Key Organisational Factors</w:t>
            </w:r>
            <w:r>
              <w:rPr>
                <w:noProof/>
                <w:webHidden/>
              </w:rPr>
              <w:tab/>
            </w:r>
            <w:r>
              <w:rPr>
                <w:noProof/>
                <w:webHidden/>
              </w:rPr>
              <w:fldChar w:fldCharType="begin"/>
            </w:r>
            <w:r>
              <w:rPr>
                <w:noProof/>
                <w:webHidden/>
              </w:rPr>
              <w:instrText xml:space="preserve"> PAGEREF _Toc237108253 \h </w:instrText>
            </w:r>
            <w:r>
              <w:rPr>
                <w:noProof/>
                <w:webHidden/>
              </w:rPr>
            </w:r>
            <w:r>
              <w:rPr>
                <w:noProof/>
                <w:webHidden/>
              </w:rPr>
              <w:fldChar w:fldCharType="separate"/>
            </w:r>
            <w:r>
              <w:rPr>
                <w:noProof/>
                <w:webHidden/>
              </w:rPr>
              <w:t>2</w:t>
            </w:r>
            <w:r>
              <w:rPr>
                <w:noProof/>
                <w:webHidden/>
              </w:rPr>
              <w:fldChar w:fldCharType="end"/>
            </w:r>
          </w:hyperlink>
        </w:p>
        <w:p w14:paraId="4295DB59" w14:textId="237B0526"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4" w:history="1">
            <w:r w:rsidRPr="007F6890">
              <w:rPr>
                <w:rStyle w:val="Hyperlink"/>
                <w:noProof/>
                <w:lang w:val="en-GB"/>
              </w:rPr>
              <w:t>1.1 Adapting to technological advancement</w:t>
            </w:r>
            <w:r>
              <w:rPr>
                <w:noProof/>
                <w:webHidden/>
              </w:rPr>
              <w:tab/>
            </w:r>
            <w:r>
              <w:rPr>
                <w:noProof/>
                <w:webHidden/>
              </w:rPr>
              <w:fldChar w:fldCharType="begin"/>
            </w:r>
            <w:r>
              <w:rPr>
                <w:noProof/>
                <w:webHidden/>
              </w:rPr>
              <w:instrText xml:space="preserve"> PAGEREF _Toc237108254 \h </w:instrText>
            </w:r>
            <w:r>
              <w:rPr>
                <w:noProof/>
                <w:webHidden/>
              </w:rPr>
            </w:r>
            <w:r>
              <w:rPr>
                <w:noProof/>
                <w:webHidden/>
              </w:rPr>
              <w:fldChar w:fldCharType="separate"/>
            </w:r>
            <w:r>
              <w:rPr>
                <w:noProof/>
                <w:webHidden/>
              </w:rPr>
              <w:t>2</w:t>
            </w:r>
            <w:r>
              <w:rPr>
                <w:noProof/>
                <w:webHidden/>
              </w:rPr>
              <w:fldChar w:fldCharType="end"/>
            </w:r>
          </w:hyperlink>
        </w:p>
        <w:p w14:paraId="0A0CADB7" w14:textId="17C3DA89"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5" w:history="1">
            <w:r w:rsidRPr="007F6890">
              <w:rPr>
                <w:rStyle w:val="Hyperlink"/>
                <w:noProof/>
                <w:lang w:val="en-GB"/>
              </w:rPr>
              <w:t>1.2 Talent acquisition and retention</w:t>
            </w:r>
            <w:r>
              <w:rPr>
                <w:noProof/>
                <w:webHidden/>
              </w:rPr>
              <w:tab/>
            </w:r>
            <w:r>
              <w:rPr>
                <w:noProof/>
                <w:webHidden/>
              </w:rPr>
              <w:fldChar w:fldCharType="begin"/>
            </w:r>
            <w:r>
              <w:rPr>
                <w:noProof/>
                <w:webHidden/>
              </w:rPr>
              <w:instrText xml:space="preserve"> PAGEREF _Toc237108255 \h </w:instrText>
            </w:r>
            <w:r>
              <w:rPr>
                <w:noProof/>
                <w:webHidden/>
              </w:rPr>
            </w:r>
            <w:r>
              <w:rPr>
                <w:noProof/>
                <w:webHidden/>
              </w:rPr>
              <w:fldChar w:fldCharType="separate"/>
            </w:r>
            <w:r>
              <w:rPr>
                <w:noProof/>
                <w:webHidden/>
              </w:rPr>
              <w:t>2</w:t>
            </w:r>
            <w:r>
              <w:rPr>
                <w:noProof/>
                <w:webHidden/>
              </w:rPr>
              <w:fldChar w:fldCharType="end"/>
            </w:r>
          </w:hyperlink>
        </w:p>
        <w:p w14:paraId="23710ACB" w14:textId="4B975C13"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6" w:history="1">
            <w:r w:rsidRPr="007F6890">
              <w:rPr>
                <w:rStyle w:val="Hyperlink"/>
                <w:noProof/>
                <w:lang w:val="en-GB"/>
              </w:rPr>
              <w:t>1.3 Diversity, equity and inclusion</w:t>
            </w:r>
            <w:r>
              <w:rPr>
                <w:noProof/>
                <w:webHidden/>
              </w:rPr>
              <w:tab/>
            </w:r>
            <w:r>
              <w:rPr>
                <w:noProof/>
                <w:webHidden/>
              </w:rPr>
              <w:fldChar w:fldCharType="begin"/>
            </w:r>
            <w:r>
              <w:rPr>
                <w:noProof/>
                <w:webHidden/>
              </w:rPr>
              <w:instrText xml:space="preserve"> PAGEREF _Toc237108256 \h </w:instrText>
            </w:r>
            <w:r>
              <w:rPr>
                <w:noProof/>
                <w:webHidden/>
              </w:rPr>
            </w:r>
            <w:r>
              <w:rPr>
                <w:noProof/>
                <w:webHidden/>
              </w:rPr>
              <w:fldChar w:fldCharType="separate"/>
            </w:r>
            <w:r>
              <w:rPr>
                <w:noProof/>
                <w:webHidden/>
              </w:rPr>
              <w:t>3</w:t>
            </w:r>
            <w:r>
              <w:rPr>
                <w:noProof/>
                <w:webHidden/>
              </w:rPr>
              <w:fldChar w:fldCharType="end"/>
            </w:r>
          </w:hyperlink>
        </w:p>
        <w:p w14:paraId="42B7C1E5" w14:textId="03735506"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7" w:history="1">
            <w:r w:rsidRPr="007F6890">
              <w:rPr>
                <w:rStyle w:val="Hyperlink"/>
                <w:noProof/>
                <w:lang w:val="en-GB"/>
              </w:rPr>
              <w:t>2. Evaluation of Contemporary HR Practices</w:t>
            </w:r>
            <w:r>
              <w:rPr>
                <w:noProof/>
                <w:webHidden/>
              </w:rPr>
              <w:tab/>
            </w:r>
            <w:r>
              <w:rPr>
                <w:noProof/>
                <w:webHidden/>
              </w:rPr>
              <w:fldChar w:fldCharType="begin"/>
            </w:r>
            <w:r>
              <w:rPr>
                <w:noProof/>
                <w:webHidden/>
              </w:rPr>
              <w:instrText xml:space="preserve"> PAGEREF _Toc237108257 \h </w:instrText>
            </w:r>
            <w:r>
              <w:rPr>
                <w:noProof/>
                <w:webHidden/>
              </w:rPr>
            </w:r>
            <w:r>
              <w:rPr>
                <w:noProof/>
                <w:webHidden/>
              </w:rPr>
              <w:fldChar w:fldCharType="separate"/>
            </w:r>
            <w:r>
              <w:rPr>
                <w:noProof/>
                <w:webHidden/>
              </w:rPr>
              <w:t>3</w:t>
            </w:r>
            <w:r>
              <w:rPr>
                <w:noProof/>
                <w:webHidden/>
              </w:rPr>
              <w:fldChar w:fldCharType="end"/>
            </w:r>
          </w:hyperlink>
        </w:p>
        <w:p w14:paraId="1E965838" w14:textId="3A1B50B4"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8" w:history="1">
            <w:r w:rsidRPr="007F6890">
              <w:rPr>
                <w:rStyle w:val="Hyperlink"/>
                <w:noProof/>
                <w:lang w:val="en-GB"/>
              </w:rPr>
              <w:t>2.1 Digital HR systems, workforce analytics and responsible AI</w:t>
            </w:r>
            <w:r>
              <w:rPr>
                <w:noProof/>
                <w:webHidden/>
              </w:rPr>
              <w:tab/>
            </w:r>
            <w:r>
              <w:rPr>
                <w:noProof/>
                <w:webHidden/>
              </w:rPr>
              <w:fldChar w:fldCharType="begin"/>
            </w:r>
            <w:r>
              <w:rPr>
                <w:noProof/>
                <w:webHidden/>
              </w:rPr>
              <w:instrText xml:space="preserve"> PAGEREF _Toc237108258 \h </w:instrText>
            </w:r>
            <w:r>
              <w:rPr>
                <w:noProof/>
                <w:webHidden/>
              </w:rPr>
            </w:r>
            <w:r>
              <w:rPr>
                <w:noProof/>
                <w:webHidden/>
              </w:rPr>
              <w:fldChar w:fldCharType="separate"/>
            </w:r>
            <w:r>
              <w:rPr>
                <w:noProof/>
                <w:webHidden/>
              </w:rPr>
              <w:t>3</w:t>
            </w:r>
            <w:r>
              <w:rPr>
                <w:noProof/>
                <w:webHidden/>
              </w:rPr>
              <w:fldChar w:fldCharType="end"/>
            </w:r>
          </w:hyperlink>
        </w:p>
        <w:p w14:paraId="08C310A6" w14:textId="5B55A09F"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59" w:history="1">
            <w:r w:rsidRPr="007F6890">
              <w:rPr>
                <w:rStyle w:val="Hyperlink"/>
                <w:noProof/>
                <w:lang w:val="en-GB"/>
              </w:rPr>
              <w:t>2.2 Strategic workforce planning, employer branding and inclusive talent development</w:t>
            </w:r>
            <w:r>
              <w:rPr>
                <w:noProof/>
                <w:webHidden/>
              </w:rPr>
              <w:tab/>
            </w:r>
            <w:r>
              <w:rPr>
                <w:noProof/>
                <w:webHidden/>
              </w:rPr>
              <w:fldChar w:fldCharType="begin"/>
            </w:r>
            <w:r>
              <w:rPr>
                <w:noProof/>
                <w:webHidden/>
              </w:rPr>
              <w:instrText xml:space="preserve"> PAGEREF _Toc237108259 \h </w:instrText>
            </w:r>
            <w:r>
              <w:rPr>
                <w:noProof/>
                <w:webHidden/>
              </w:rPr>
            </w:r>
            <w:r>
              <w:rPr>
                <w:noProof/>
                <w:webHidden/>
              </w:rPr>
              <w:fldChar w:fldCharType="separate"/>
            </w:r>
            <w:r>
              <w:rPr>
                <w:noProof/>
                <w:webHidden/>
              </w:rPr>
              <w:t>4</w:t>
            </w:r>
            <w:r>
              <w:rPr>
                <w:noProof/>
                <w:webHidden/>
              </w:rPr>
              <w:fldChar w:fldCharType="end"/>
            </w:r>
          </w:hyperlink>
        </w:p>
        <w:p w14:paraId="3E625B8A" w14:textId="38E682F1" w:rsidR="000A1A21" w:rsidRDefault="000A1A21">
          <w:pPr>
            <w:pStyle w:val="TOC2"/>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60" w:history="1">
            <w:r w:rsidRPr="007F6890">
              <w:rPr>
                <w:rStyle w:val="Hyperlink"/>
                <w:noProof/>
                <w:lang w:val="en-GB"/>
              </w:rPr>
              <w:t>2.3 Inclusive recruitment and inclusive leadership</w:t>
            </w:r>
            <w:r>
              <w:rPr>
                <w:noProof/>
                <w:webHidden/>
              </w:rPr>
              <w:tab/>
            </w:r>
            <w:r>
              <w:rPr>
                <w:noProof/>
                <w:webHidden/>
              </w:rPr>
              <w:fldChar w:fldCharType="begin"/>
            </w:r>
            <w:r>
              <w:rPr>
                <w:noProof/>
                <w:webHidden/>
              </w:rPr>
              <w:instrText xml:space="preserve"> PAGEREF _Toc237108260 \h </w:instrText>
            </w:r>
            <w:r>
              <w:rPr>
                <w:noProof/>
                <w:webHidden/>
              </w:rPr>
            </w:r>
            <w:r>
              <w:rPr>
                <w:noProof/>
                <w:webHidden/>
              </w:rPr>
              <w:fldChar w:fldCharType="separate"/>
            </w:r>
            <w:r>
              <w:rPr>
                <w:noProof/>
                <w:webHidden/>
              </w:rPr>
              <w:t>4</w:t>
            </w:r>
            <w:r>
              <w:rPr>
                <w:noProof/>
                <w:webHidden/>
              </w:rPr>
              <w:fldChar w:fldCharType="end"/>
            </w:r>
          </w:hyperlink>
        </w:p>
        <w:p w14:paraId="5E5E8F8D" w14:textId="19859B01"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61" w:history="1">
            <w:r w:rsidRPr="007F6890">
              <w:rPr>
                <w:rStyle w:val="Hyperlink"/>
                <w:noProof/>
                <w:lang w:val="en-GB"/>
              </w:rPr>
              <w:t>3. Critical Evaluation of Managerial Implementation</w:t>
            </w:r>
            <w:r>
              <w:rPr>
                <w:noProof/>
                <w:webHidden/>
              </w:rPr>
              <w:tab/>
            </w:r>
            <w:r>
              <w:rPr>
                <w:noProof/>
                <w:webHidden/>
              </w:rPr>
              <w:fldChar w:fldCharType="begin"/>
            </w:r>
            <w:r>
              <w:rPr>
                <w:noProof/>
                <w:webHidden/>
              </w:rPr>
              <w:instrText xml:space="preserve"> PAGEREF _Toc237108261 \h </w:instrText>
            </w:r>
            <w:r>
              <w:rPr>
                <w:noProof/>
                <w:webHidden/>
              </w:rPr>
            </w:r>
            <w:r>
              <w:rPr>
                <w:noProof/>
                <w:webHidden/>
              </w:rPr>
              <w:fldChar w:fldCharType="separate"/>
            </w:r>
            <w:r>
              <w:rPr>
                <w:noProof/>
                <w:webHidden/>
              </w:rPr>
              <w:t>5</w:t>
            </w:r>
            <w:r>
              <w:rPr>
                <w:noProof/>
                <w:webHidden/>
              </w:rPr>
              <w:fldChar w:fldCharType="end"/>
            </w:r>
          </w:hyperlink>
        </w:p>
        <w:p w14:paraId="6CB60CEE" w14:textId="2958124C"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62" w:history="1">
            <w:r w:rsidRPr="007F6890">
              <w:rPr>
                <w:rStyle w:val="Hyperlink"/>
                <w:noProof/>
                <w:lang w:val="en-GB"/>
              </w:rPr>
              <w:t>4. Recommendations</w:t>
            </w:r>
            <w:r>
              <w:rPr>
                <w:noProof/>
                <w:webHidden/>
              </w:rPr>
              <w:tab/>
            </w:r>
            <w:r>
              <w:rPr>
                <w:noProof/>
                <w:webHidden/>
              </w:rPr>
              <w:fldChar w:fldCharType="begin"/>
            </w:r>
            <w:r>
              <w:rPr>
                <w:noProof/>
                <w:webHidden/>
              </w:rPr>
              <w:instrText xml:space="preserve"> PAGEREF _Toc237108262 \h </w:instrText>
            </w:r>
            <w:r>
              <w:rPr>
                <w:noProof/>
                <w:webHidden/>
              </w:rPr>
            </w:r>
            <w:r>
              <w:rPr>
                <w:noProof/>
                <w:webHidden/>
              </w:rPr>
              <w:fldChar w:fldCharType="separate"/>
            </w:r>
            <w:r>
              <w:rPr>
                <w:noProof/>
                <w:webHidden/>
              </w:rPr>
              <w:t>6</w:t>
            </w:r>
            <w:r>
              <w:rPr>
                <w:noProof/>
                <w:webHidden/>
              </w:rPr>
              <w:fldChar w:fldCharType="end"/>
            </w:r>
          </w:hyperlink>
        </w:p>
        <w:p w14:paraId="1F1AF834" w14:textId="7211BEFC"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63" w:history="1">
            <w:r w:rsidRPr="007F6890">
              <w:rPr>
                <w:rStyle w:val="Hyperlink"/>
                <w:noProof/>
                <w:lang w:val="en-GB"/>
              </w:rPr>
              <w:t>Conclusion</w:t>
            </w:r>
            <w:r>
              <w:rPr>
                <w:noProof/>
                <w:webHidden/>
              </w:rPr>
              <w:tab/>
            </w:r>
            <w:r>
              <w:rPr>
                <w:noProof/>
                <w:webHidden/>
              </w:rPr>
              <w:fldChar w:fldCharType="begin"/>
            </w:r>
            <w:r>
              <w:rPr>
                <w:noProof/>
                <w:webHidden/>
              </w:rPr>
              <w:instrText xml:space="preserve"> PAGEREF _Toc237108263 \h </w:instrText>
            </w:r>
            <w:r>
              <w:rPr>
                <w:noProof/>
                <w:webHidden/>
              </w:rPr>
            </w:r>
            <w:r>
              <w:rPr>
                <w:noProof/>
                <w:webHidden/>
              </w:rPr>
              <w:fldChar w:fldCharType="separate"/>
            </w:r>
            <w:r>
              <w:rPr>
                <w:noProof/>
                <w:webHidden/>
              </w:rPr>
              <w:t>6</w:t>
            </w:r>
            <w:r>
              <w:rPr>
                <w:noProof/>
                <w:webHidden/>
              </w:rPr>
              <w:fldChar w:fldCharType="end"/>
            </w:r>
          </w:hyperlink>
        </w:p>
        <w:p w14:paraId="68B0B28A" w14:textId="70C09C7E" w:rsidR="000A1A21" w:rsidRDefault="000A1A21">
          <w:pPr>
            <w:pStyle w:val="TOC1"/>
            <w:tabs>
              <w:tab w:val="right" w:leader="dot" w:pos="9019"/>
            </w:tabs>
            <w:rPr>
              <w:rFonts w:asciiTheme="minorHAnsi" w:eastAsiaTheme="minorEastAsia" w:hAnsiTheme="minorHAnsi"/>
              <w:noProof/>
              <w:kern w:val="2"/>
              <w:sz w:val="24"/>
              <w:szCs w:val="24"/>
              <w:lang w:val="en-GB" w:eastAsia="en-GB"/>
              <w14:ligatures w14:val="standardContextual"/>
            </w:rPr>
          </w:pPr>
          <w:hyperlink w:anchor="_Toc237108264" w:history="1">
            <w:r w:rsidRPr="007F6890">
              <w:rPr>
                <w:rStyle w:val="Hyperlink"/>
                <w:noProof/>
                <w:lang w:val="en-GB"/>
              </w:rPr>
              <w:t>References</w:t>
            </w:r>
            <w:r>
              <w:rPr>
                <w:noProof/>
                <w:webHidden/>
              </w:rPr>
              <w:tab/>
            </w:r>
            <w:r>
              <w:rPr>
                <w:noProof/>
                <w:webHidden/>
              </w:rPr>
              <w:fldChar w:fldCharType="begin"/>
            </w:r>
            <w:r>
              <w:rPr>
                <w:noProof/>
                <w:webHidden/>
              </w:rPr>
              <w:instrText xml:space="preserve"> PAGEREF _Toc237108264 \h </w:instrText>
            </w:r>
            <w:r>
              <w:rPr>
                <w:noProof/>
                <w:webHidden/>
              </w:rPr>
            </w:r>
            <w:r>
              <w:rPr>
                <w:noProof/>
                <w:webHidden/>
              </w:rPr>
              <w:fldChar w:fldCharType="separate"/>
            </w:r>
            <w:r>
              <w:rPr>
                <w:noProof/>
                <w:webHidden/>
              </w:rPr>
              <w:t>7</w:t>
            </w:r>
            <w:r>
              <w:rPr>
                <w:noProof/>
                <w:webHidden/>
              </w:rPr>
              <w:fldChar w:fldCharType="end"/>
            </w:r>
          </w:hyperlink>
        </w:p>
        <w:p w14:paraId="169A725C" w14:textId="5DBE3531" w:rsidR="000B397D" w:rsidRPr="0061789F" w:rsidRDefault="000B397D">
          <w:pPr>
            <w:rPr>
              <w:lang w:val="en-GB"/>
            </w:rPr>
          </w:pPr>
          <w:r w:rsidRPr="0061789F">
            <w:rPr>
              <w:b/>
              <w:bCs/>
              <w:noProof/>
              <w:lang w:val="en-GB"/>
            </w:rPr>
            <w:fldChar w:fldCharType="end"/>
          </w:r>
        </w:p>
      </w:sdtContent>
    </w:sdt>
    <w:p w14:paraId="09D6CC34" w14:textId="77777777" w:rsidR="00264C7B" w:rsidRPr="0061789F" w:rsidRDefault="00264C7B" w:rsidP="000B397D">
      <w:pPr>
        <w:ind w:firstLine="0"/>
        <w:rPr>
          <w:lang w:val="en-GB"/>
        </w:rPr>
      </w:pPr>
    </w:p>
    <w:p w14:paraId="7DBF11EC" w14:textId="77777777" w:rsidR="000B397D" w:rsidRPr="0061789F" w:rsidRDefault="000B397D">
      <w:pPr>
        <w:spacing w:before="0" w:after="200" w:line="276" w:lineRule="auto"/>
        <w:ind w:firstLine="0"/>
        <w:jc w:val="left"/>
        <w:rPr>
          <w:rFonts w:asciiTheme="majorHAnsi" w:eastAsiaTheme="majorEastAsia" w:hAnsiTheme="majorHAnsi" w:cstheme="majorBidi"/>
          <w:b/>
          <w:bCs/>
          <w:i/>
          <w:szCs w:val="28"/>
          <w:lang w:val="en-GB"/>
        </w:rPr>
      </w:pPr>
      <w:r w:rsidRPr="0061789F">
        <w:rPr>
          <w:lang w:val="en-GB"/>
        </w:rPr>
        <w:br w:type="page"/>
      </w:r>
    </w:p>
    <w:p w14:paraId="32A1789B" w14:textId="6C5115D2" w:rsidR="009C2C31" w:rsidRPr="0061789F" w:rsidRDefault="009602B9">
      <w:pPr>
        <w:pStyle w:val="Heading1"/>
        <w:jc w:val="left"/>
        <w:rPr>
          <w:lang w:val="en-GB"/>
        </w:rPr>
      </w:pPr>
      <w:bookmarkStart w:id="0" w:name="_Toc237108252"/>
      <w:r w:rsidRPr="0061789F">
        <w:rPr>
          <w:lang w:val="en-GB"/>
        </w:rPr>
        <w:t>Introduction</w:t>
      </w:r>
      <w:bookmarkEnd w:id="0"/>
    </w:p>
    <w:p w14:paraId="074EDC90" w14:textId="44D0A3CD" w:rsidR="00FC0E5B" w:rsidRPr="0061789F" w:rsidRDefault="00FC0E5B" w:rsidP="00083115">
      <w:pPr>
        <w:rPr>
          <w:lang w:val="en-GB"/>
        </w:rPr>
      </w:pPr>
      <w:r w:rsidRPr="29C64288">
        <w:rPr>
          <w:lang w:val="en-GB"/>
        </w:rPr>
        <w:t>Jaguar Land Rover (JLR)</w:t>
      </w:r>
      <w:r w:rsidR="4E861337" w:rsidRPr="29C64288">
        <w:rPr>
          <w:lang w:val="en-GB"/>
        </w:rPr>
        <w:t xml:space="preserve"> a</w:t>
      </w:r>
      <w:r w:rsidR="35CDF5C2" w:rsidRPr="29C64288">
        <w:rPr>
          <w:lang w:val="en-GB"/>
        </w:rPr>
        <w:t xml:space="preserve"> </w:t>
      </w:r>
      <w:r w:rsidR="4E861337" w:rsidRPr="29C64288">
        <w:rPr>
          <w:lang w:val="en-GB"/>
        </w:rPr>
        <w:t>prominent British multinational luxury automotive</w:t>
      </w:r>
      <w:r w:rsidR="3EEB7230" w:rsidRPr="29C64288">
        <w:rPr>
          <w:lang w:val="en-GB"/>
        </w:rPr>
        <w:t xml:space="preserve"> manufacturer</w:t>
      </w:r>
      <w:r w:rsidRPr="29C64288">
        <w:rPr>
          <w:lang w:val="en-GB"/>
        </w:rPr>
        <w:t xml:space="preserve"> is headed towards an electrified, software-enabled modern-luxury vehicle as it rebounds </w:t>
      </w:r>
      <w:r w:rsidR="00B54E19" w:rsidRPr="29C64288">
        <w:rPr>
          <w:lang w:val="en-GB"/>
        </w:rPr>
        <w:t>from</w:t>
      </w:r>
      <w:r w:rsidRPr="29C64288">
        <w:rPr>
          <w:lang w:val="en-GB"/>
        </w:rPr>
        <w:t xml:space="preserve"> cyber disruption. This report is a critical analysis of the modern HR practices and the managerial mechanisms that need to be implemented urgently. The analysis correlates human-resource planning, performance management and people development to sustainable business performance (Lu et al., 2023). JLR is evaluated using the Resource-Based View (RBV), Social Exchange Theory (SET), the Ability-Motivation-Opportunity (AMO) framework and inclusive-leadership study.</w:t>
      </w:r>
    </w:p>
    <w:p w14:paraId="77703762" w14:textId="77777777" w:rsidR="00FC0E5B" w:rsidRPr="0061789F" w:rsidRDefault="00FC0E5B" w:rsidP="00C10A9F">
      <w:pPr>
        <w:pStyle w:val="Heading1"/>
        <w:rPr>
          <w:lang w:val="en-GB"/>
        </w:rPr>
      </w:pPr>
      <w:bookmarkStart w:id="1" w:name="_Toc237108253"/>
      <w:r w:rsidRPr="0061789F">
        <w:rPr>
          <w:lang w:val="en-GB"/>
        </w:rPr>
        <w:t>1. Explanation of Key Organisational Factors</w:t>
      </w:r>
      <w:bookmarkEnd w:id="1"/>
    </w:p>
    <w:p w14:paraId="270997D9" w14:textId="77777777" w:rsidR="00FC0E5B" w:rsidRPr="0061789F" w:rsidRDefault="00FC0E5B" w:rsidP="00C10A9F">
      <w:pPr>
        <w:pStyle w:val="Heading2"/>
        <w:rPr>
          <w:lang w:val="en-GB"/>
        </w:rPr>
      </w:pPr>
      <w:bookmarkStart w:id="2" w:name="_Toc237108254"/>
      <w:r w:rsidRPr="0061789F">
        <w:rPr>
          <w:lang w:val="en-GB"/>
        </w:rPr>
        <w:t>1.1 Adapting to technological advancement</w:t>
      </w:r>
      <w:bookmarkEnd w:id="2"/>
    </w:p>
    <w:p w14:paraId="36133361" w14:textId="371EC8A1" w:rsidR="00FC0E5B" w:rsidRPr="0061789F" w:rsidRDefault="00FC0E5B" w:rsidP="00FC0E5B">
      <w:pPr>
        <w:rPr>
          <w:lang w:val="en-GB"/>
        </w:rPr>
      </w:pPr>
      <w:r w:rsidRPr="0061789F">
        <w:rPr>
          <w:lang w:val="en-GB"/>
        </w:rPr>
        <w:t xml:space="preserve">Technology is both the path of competitiveness of JLR and a source of organisational vulnerability. In FY25/26, a </w:t>
      </w:r>
      <w:r w:rsidR="00083115" w:rsidRPr="0061789F">
        <w:rPr>
          <w:lang w:val="en-GB"/>
        </w:rPr>
        <w:t>cyber-attack</w:t>
      </w:r>
      <w:r w:rsidRPr="0061789F">
        <w:rPr>
          <w:lang w:val="en-GB"/>
        </w:rPr>
        <w:t xml:space="preserve"> led to a hiatus in production, only to resume normal levels mid-November, and full-year revenue dropped to £22.911 billion</w:t>
      </w:r>
      <w:r w:rsidR="00B54E19">
        <w:rPr>
          <w:lang w:val="en-GB"/>
        </w:rPr>
        <w:t>,</w:t>
      </w:r>
      <w:r w:rsidRPr="0061789F">
        <w:rPr>
          <w:lang w:val="en-GB"/>
        </w:rPr>
        <w:t xml:space="preserve"> and adjusted EBIT was 0.7% (Jaguar Land Rover, 2026). The HR learning is not merely to hire more digital experts. Digital transformation alters employment, decision rights and skill demands, making poor reskilling a source of a capability gap, anxiety and opposition despite the technical soundness of technology. Minbaeva (2021) states that digitalisation causes a shift in the nature of work and HR itself, whereas the meta-analysis by Theresa and Strohmeier (2023) shows a positive correlation between digital HRM and performance. But that fact is not an assurance of worth at JLR: </w:t>
      </w:r>
      <w:r w:rsidR="00B54E19">
        <w:rPr>
          <w:lang w:val="en-GB"/>
        </w:rPr>
        <w:t>concentrated</w:t>
      </w:r>
      <w:r w:rsidRPr="0061789F">
        <w:rPr>
          <w:lang w:val="en-GB"/>
        </w:rPr>
        <w:t xml:space="preserve"> data systems also enhance confidentiality, cybersecurity and algorithmic-governance threats. The Future Skills Programme of 2024/25 had equipped 20,000 </w:t>
      </w:r>
      <w:r w:rsidR="00F10EAF">
        <w:t xml:space="preserve">JLR </w:t>
      </w:r>
      <w:r w:rsidRPr="0061789F">
        <w:rPr>
          <w:lang w:val="en-GB"/>
        </w:rPr>
        <w:t>colleagues and partners</w:t>
      </w:r>
      <w:r w:rsidR="00B54E19">
        <w:rPr>
          <w:lang w:val="en-GB"/>
        </w:rPr>
        <w:t>,</w:t>
      </w:r>
      <w:r w:rsidRPr="0061789F">
        <w:rPr>
          <w:lang w:val="en-GB"/>
        </w:rPr>
        <w:t xml:space="preserve"> and another 11,000 </w:t>
      </w:r>
      <w:r w:rsidR="00F10EAF">
        <w:t xml:space="preserve">JLR </w:t>
      </w:r>
      <w:r w:rsidRPr="0061789F">
        <w:rPr>
          <w:lang w:val="en-GB"/>
        </w:rPr>
        <w:t xml:space="preserve">manufacturing colleagues had started training (Jaguar Land Rover, 2025). It is a good thing, but the rest of the training </w:t>
      </w:r>
      <w:r w:rsidR="00B54E19">
        <w:rPr>
          <w:lang w:val="en-GB"/>
        </w:rPr>
        <w:t>needs indicate that electrification is an ongoing workforce-planning issue for</w:t>
      </w:r>
      <w:r w:rsidRPr="0061789F">
        <w:rPr>
          <w:lang w:val="en-GB"/>
        </w:rPr>
        <w:t xml:space="preserve"> plants and engineering crews and not an initiative that is finished. When skills are below par, the capital investment may increase the cost without increasing the productivity since the human capability is the limiting factor.</w:t>
      </w:r>
    </w:p>
    <w:p w14:paraId="19A6D806" w14:textId="77777777" w:rsidR="00FC0E5B" w:rsidRPr="0061789F" w:rsidRDefault="00FC0E5B" w:rsidP="00C10A9F">
      <w:pPr>
        <w:pStyle w:val="Heading2"/>
        <w:rPr>
          <w:lang w:val="en-GB"/>
        </w:rPr>
      </w:pPr>
      <w:bookmarkStart w:id="3" w:name="_Toc237108255"/>
      <w:r w:rsidRPr="0061789F">
        <w:rPr>
          <w:lang w:val="en-GB"/>
        </w:rPr>
        <w:t>1.2 Talent acquisition and retention</w:t>
      </w:r>
      <w:bookmarkEnd w:id="3"/>
    </w:p>
    <w:p w14:paraId="30BA121B" w14:textId="20E1BC7F" w:rsidR="00FC0E5B" w:rsidRPr="0061789F" w:rsidRDefault="00FC0E5B" w:rsidP="00FC0E5B">
      <w:pPr>
        <w:rPr>
          <w:lang w:val="en-GB"/>
        </w:rPr>
      </w:pPr>
      <w:r w:rsidRPr="0061789F">
        <w:rPr>
          <w:lang w:val="en-GB"/>
        </w:rPr>
        <w:t xml:space="preserve">JLR will need to compete over limited software, battery, data, AI and advanced-manufacturing skills and retain tacit engineering and manufacturing knowledge. Under </w:t>
      </w:r>
      <w:r w:rsidR="00B54E19">
        <w:rPr>
          <w:lang w:val="en-GB"/>
        </w:rPr>
        <w:t>Barney</w:t>
      </w:r>
      <w:r w:rsidR="00F528E0">
        <w:rPr>
          <w:lang w:val="en-GB"/>
        </w:rPr>
        <w:t>’</w:t>
      </w:r>
      <w:r w:rsidR="00B54E19">
        <w:rPr>
          <w:lang w:val="en-GB"/>
        </w:rPr>
        <w:t xml:space="preserve">s RBV (1991), sustainable advantage is based on valuable, rare and impossible-to-replicate capabilities; thus, losing skilled staff in the process of technological change devastates the knowledge that cannot be duplicated by </w:t>
      </w:r>
      <w:r w:rsidRPr="0061789F">
        <w:rPr>
          <w:lang w:val="en-GB"/>
        </w:rPr>
        <w:t xml:space="preserve">competitors in a short time. However, indiscriminate retention is also a poor strategy since legacy skills might lose value with the changing vehicle architecture. The more robust HR reaction is discriminatory retention and speedy redeployment and reskilling. Kumar (2022) </w:t>
      </w:r>
      <w:r w:rsidR="00D351FD" w:rsidRPr="0061789F">
        <w:rPr>
          <w:lang w:val="en-GB"/>
        </w:rPr>
        <w:t>found</w:t>
      </w:r>
      <w:r w:rsidRPr="0061789F">
        <w:rPr>
          <w:lang w:val="en-GB"/>
        </w:rPr>
        <w:t xml:space="preserve"> that retention intentions are affected by career growth and talent-management practices, whereas Ahmed et al. (2022) indicate that internal employer branding, job design and career progression are related to engagement and retention. In the case of JLR, the real mobility, learning and meaningful work should thus be reflected as the evidence of employer branding, rather than the recruitment messages themselves. Otherwise, external vow of innovation may run counter to the internal experience of the employees, which escalates the psychological-contract violation and turnover when the company requires continuity.</w:t>
      </w:r>
    </w:p>
    <w:p w14:paraId="6D556AED" w14:textId="77777777" w:rsidR="00FC0E5B" w:rsidRPr="0061789F" w:rsidRDefault="00FC0E5B" w:rsidP="00C10A9F">
      <w:pPr>
        <w:pStyle w:val="Heading2"/>
        <w:rPr>
          <w:lang w:val="en-GB"/>
        </w:rPr>
      </w:pPr>
      <w:bookmarkStart w:id="4" w:name="_Toc237108256"/>
      <w:r w:rsidRPr="0061789F">
        <w:rPr>
          <w:lang w:val="en-GB"/>
        </w:rPr>
        <w:t>1.3 Diversity, equity and inclusion</w:t>
      </w:r>
      <w:bookmarkEnd w:id="4"/>
    </w:p>
    <w:p w14:paraId="00F3ED21" w14:textId="6D21ADE8" w:rsidR="00FC0E5B" w:rsidRPr="0061789F" w:rsidRDefault="00FC0E5B" w:rsidP="00FC0E5B">
      <w:pPr>
        <w:rPr>
          <w:lang w:val="en-GB"/>
        </w:rPr>
      </w:pPr>
      <w:r w:rsidRPr="0061789F">
        <w:rPr>
          <w:lang w:val="en-GB"/>
        </w:rPr>
        <w:t xml:space="preserve">DEI does not exist outside of the challenge of skills at JLR since opening access increases the talent pool in the future and enhances the validity of workforce decisions. The statutory snapshot indicates that women earned 3.2% more on the median hourly pay than men, but women comprised 17.3% of the reported workers and 19.2% of the </w:t>
      </w:r>
      <w:r w:rsidR="00B54E19">
        <w:rPr>
          <w:lang w:val="en-GB"/>
        </w:rPr>
        <w:t>higher-paying</w:t>
      </w:r>
      <w:r w:rsidRPr="0061789F">
        <w:rPr>
          <w:lang w:val="en-GB"/>
        </w:rPr>
        <w:t xml:space="preserve"> 20</w:t>
      </w:r>
      <w:r w:rsidR="00C94164" w:rsidRPr="0061789F">
        <w:rPr>
          <w:lang w:val="en-GB"/>
        </w:rPr>
        <w:t>%</w:t>
      </w:r>
      <w:r w:rsidRPr="0061789F">
        <w:rPr>
          <w:lang w:val="en-GB"/>
        </w:rPr>
        <w:t xml:space="preserve"> (UK Government, 2026). Any positive pay-gap number must not be confused with workforce equality: it tells us little about occupational segregation, hiring patterns, or promotion figures or whose voice is taken into account when making technical decisions. Jeronymo et al. (2022) </w:t>
      </w:r>
      <w:r w:rsidR="00D351FD" w:rsidRPr="0061789F">
        <w:rPr>
          <w:lang w:val="en-GB"/>
        </w:rPr>
        <w:t>analysed</w:t>
      </w:r>
      <w:r w:rsidRPr="0061789F">
        <w:rPr>
          <w:lang w:val="en-GB"/>
        </w:rPr>
        <w:t xml:space="preserve"> that inclusion aids the transformation of diversity practices into engagement, and Nishii and Leroy (2022) maintain that inclusive leadership transforms the general organisational intentions into day-to-day inclusion. The symbolic DEI is the critical risk to JLR as there are policies in place, and the change in representation and employee experience is slow. This would dilute engagement and limit access to skills, both of which undermine sustainable performance and the authenticity of </w:t>
      </w:r>
      <w:r w:rsidR="00B54E19">
        <w:rPr>
          <w:lang w:val="en-GB"/>
        </w:rPr>
        <w:t>JLR</w:t>
      </w:r>
      <w:r w:rsidR="00F528E0">
        <w:rPr>
          <w:lang w:val="en-GB"/>
        </w:rPr>
        <w:t>’</w:t>
      </w:r>
      <w:r w:rsidR="00B54E19">
        <w:rPr>
          <w:lang w:val="en-GB"/>
        </w:rPr>
        <w:t>s</w:t>
      </w:r>
      <w:r w:rsidRPr="0061789F">
        <w:rPr>
          <w:lang w:val="en-GB"/>
        </w:rPr>
        <w:t xml:space="preserve"> modern-luxury change.</w:t>
      </w:r>
    </w:p>
    <w:p w14:paraId="28DCB52D" w14:textId="77777777" w:rsidR="00FC0E5B" w:rsidRPr="0061789F" w:rsidRDefault="00FC0E5B" w:rsidP="00C10A9F">
      <w:pPr>
        <w:pStyle w:val="Heading1"/>
        <w:rPr>
          <w:lang w:val="en-GB"/>
        </w:rPr>
      </w:pPr>
      <w:bookmarkStart w:id="5" w:name="_Toc237108257"/>
      <w:r w:rsidRPr="0061789F">
        <w:rPr>
          <w:lang w:val="en-GB"/>
        </w:rPr>
        <w:t>2. Evaluation of Contemporary HR Practices</w:t>
      </w:r>
      <w:bookmarkEnd w:id="5"/>
    </w:p>
    <w:p w14:paraId="361F3CF1" w14:textId="77777777" w:rsidR="00FC0E5B" w:rsidRPr="0061789F" w:rsidRDefault="00FC0E5B" w:rsidP="00C10A9F">
      <w:pPr>
        <w:pStyle w:val="Heading2"/>
        <w:rPr>
          <w:lang w:val="en-GB"/>
        </w:rPr>
      </w:pPr>
      <w:bookmarkStart w:id="6" w:name="_Toc237108258"/>
      <w:r w:rsidRPr="0061789F">
        <w:rPr>
          <w:lang w:val="en-GB"/>
        </w:rPr>
        <w:t>2.1 Digital HR systems, workforce analytics and responsible AI</w:t>
      </w:r>
      <w:bookmarkEnd w:id="6"/>
    </w:p>
    <w:p w14:paraId="6771B45D" w14:textId="2005946A" w:rsidR="00FC0E5B" w:rsidRPr="0061789F" w:rsidRDefault="00FC0E5B" w:rsidP="00FC0E5B">
      <w:pPr>
        <w:rPr>
          <w:lang w:val="en-GB"/>
        </w:rPr>
      </w:pPr>
      <w:r w:rsidRPr="0061789F">
        <w:rPr>
          <w:lang w:val="en-GB"/>
        </w:rPr>
        <w:t xml:space="preserve">JLR can combine skills inventories and workforce analytics and learning data to predict capability shortages by plant, function and programme and bridge those gaps to recruitment, internal mobility and Future Skills investment. Theres and Strohmeier (2023) show that digital HRM is associated with operational, relational and transformational performance outcomes, supporting this approach. An example of how workforce analytics would help is to </w:t>
      </w:r>
      <w:r w:rsidR="001729A8">
        <w:rPr>
          <w:lang w:val="en-GB"/>
        </w:rPr>
        <w:t>realise</w:t>
      </w:r>
      <w:r w:rsidRPr="0061789F">
        <w:rPr>
          <w:lang w:val="en-GB"/>
        </w:rPr>
        <w:t xml:space="preserve"> the low levels of EV-readiness prior to it being a production bottleneck. Talent acquisition can be enhanced by AI, as well, to enhance the speed of screening and matching at scale, yet Roppelt et al. (2024) demonstrate effective adoption is contingent on organisational factors and not solely on the technology. Hunkenschroer and Luetge (2022) caution that AI recruitment may cause issues of lack of fairness, transparency, and accountability. JLR should thus consider a human-in-the-loop model, test algorithms </w:t>
      </w:r>
      <w:r w:rsidR="001729A8">
        <w:rPr>
          <w:lang w:val="en-GB"/>
        </w:rPr>
        <w:t>for</w:t>
      </w:r>
      <w:r w:rsidRPr="0061789F">
        <w:rPr>
          <w:lang w:val="en-GB"/>
        </w:rPr>
        <w:t xml:space="preserve"> adverse impact and reduce unwarranted candidate data. This trades off a bit of automation speed, but the trade-off is worth it since biased or opaque systems would harm employer trust, and might recreate the very talent inequalities that DEI policy is meant to alleviate.</w:t>
      </w:r>
    </w:p>
    <w:p w14:paraId="10214EF8" w14:textId="77777777" w:rsidR="00FC0E5B" w:rsidRPr="0061789F" w:rsidRDefault="00FC0E5B" w:rsidP="00C10A9F">
      <w:pPr>
        <w:pStyle w:val="Heading2"/>
        <w:rPr>
          <w:lang w:val="en-GB"/>
        </w:rPr>
      </w:pPr>
      <w:bookmarkStart w:id="7" w:name="_Toc237108259"/>
      <w:r w:rsidRPr="0061789F">
        <w:rPr>
          <w:lang w:val="en-GB"/>
        </w:rPr>
        <w:t>2.2 Strategic workforce planning, employer branding and inclusive talent development</w:t>
      </w:r>
      <w:bookmarkEnd w:id="7"/>
    </w:p>
    <w:p w14:paraId="68DF4B3F" w14:textId="5024D63C" w:rsidR="00FC0E5B" w:rsidRPr="0061789F" w:rsidRDefault="001729A8" w:rsidP="00FC0E5B">
      <w:pPr>
        <w:rPr>
          <w:lang w:val="en-GB"/>
        </w:rPr>
      </w:pPr>
      <w:r>
        <w:rPr>
          <w:lang w:val="en-GB"/>
        </w:rPr>
        <w:t>A more powerful talent system would involve strategic workforce planning and the build-before-buy</w:t>
      </w:r>
      <w:r w:rsidR="00FC0E5B" w:rsidRPr="0061789F">
        <w:rPr>
          <w:lang w:val="en-GB"/>
        </w:rPr>
        <w:t xml:space="preserve"> principle. The mapping of critical roles to future product programmes, succession risk and internal skill adjacency should be done to enable JLR </w:t>
      </w:r>
      <w:r>
        <w:rPr>
          <w:lang w:val="en-GB"/>
        </w:rPr>
        <w:t xml:space="preserve">to </w:t>
      </w:r>
      <w:r w:rsidR="00FC0E5B" w:rsidRPr="0061789F">
        <w:rPr>
          <w:lang w:val="en-GB"/>
        </w:rPr>
        <w:t xml:space="preserve">make decisions on whether or not to reskill, redeploy, recruit or use partners. This is the RBV in that the benefits of such capability lie in the creation of firm-specific capability, rather than buying scarce labour on a costly external market (Barney, 1991). Kaliannan et al. (2023) suggest that talent development should be inclusive instead of focusing development on a small high-potential elite; this is especially true during electrification since thousands of manufacturing jobs need to change collectively. Verified development opportunities should then be communicated by employer branding with the support of transparent career pathways and in-house vacancies. According to Ahmed et al. (2022), internal employer-brand antecedents can boost retention, but the evidence provided by Kumar (2022) is situational, and JLR cannot assume that a generic retention package will be effective in retaining engineers, software specialists and production workers. Employee listening and turnover analytics need to be segmented accordingly to differentiate between pay problems and career, management or work-design problems. The segmentation also spares the excessive payment of limited external recruitment where the </w:t>
      </w:r>
      <w:r>
        <w:rPr>
          <w:lang w:val="en-GB"/>
        </w:rPr>
        <w:t>neighbouring</w:t>
      </w:r>
      <w:r w:rsidR="00FC0E5B" w:rsidRPr="0061789F">
        <w:rPr>
          <w:lang w:val="en-GB"/>
        </w:rPr>
        <w:t xml:space="preserve"> internal competencies can be transformed into a more sustainable form.</w:t>
      </w:r>
    </w:p>
    <w:p w14:paraId="595690D8" w14:textId="77777777" w:rsidR="00FC0E5B" w:rsidRPr="0061789F" w:rsidRDefault="00FC0E5B" w:rsidP="00C10A9F">
      <w:pPr>
        <w:pStyle w:val="Heading2"/>
        <w:rPr>
          <w:lang w:val="en-GB"/>
        </w:rPr>
      </w:pPr>
      <w:bookmarkStart w:id="8" w:name="_Toc237108260"/>
      <w:r w:rsidRPr="0061789F">
        <w:rPr>
          <w:lang w:val="en-GB"/>
        </w:rPr>
        <w:t>2.3 Inclusive recruitment and inclusive leadership</w:t>
      </w:r>
      <w:bookmarkEnd w:id="8"/>
    </w:p>
    <w:p w14:paraId="68FF89F4" w14:textId="1F92AA60" w:rsidR="00FC0E5B" w:rsidRPr="0061789F" w:rsidRDefault="00FC0E5B" w:rsidP="00FC0E5B">
      <w:pPr>
        <w:rPr>
          <w:lang w:val="en-GB"/>
        </w:rPr>
      </w:pPr>
      <w:r w:rsidRPr="0061789F">
        <w:rPr>
          <w:lang w:val="en-GB"/>
        </w:rPr>
        <w:t xml:space="preserve">JLR needs to reposition DEI as a part of selection and promotion architecture. Discretionary bias can be </w:t>
      </w:r>
      <w:r w:rsidR="001729A8">
        <w:rPr>
          <w:lang w:val="en-GB"/>
        </w:rPr>
        <w:t>minimised</w:t>
      </w:r>
      <w:r w:rsidRPr="0061789F">
        <w:rPr>
          <w:lang w:val="en-GB"/>
        </w:rPr>
        <w:t xml:space="preserve"> by using skills-based job specifications, structured interviewing, using diverse panels, making promotion decisions that are calibrated and shortlists that are monitored and ensuring the appointments remain merit-based. According to Jeronimo et al. (2022), diversity practices create a more powerful engagement when employees feel that they are included</w:t>
      </w:r>
      <w:r w:rsidR="001729A8">
        <w:rPr>
          <w:lang w:val="en-GB"/>
        </w:rPr>
        <w:t>; thus,</w:t>
      </w:r>
      <w:r w:rsidRPr="0061789F">
        <w:rPr>
          <w:lang w:val="en-GB"/>
        </w:rPr>
        <w:t xml:space="preserve"> recruitment targets in isolation are not enough. Nishii and Leroy (2022) also locate managers as the interpreters of inclusion </w:t>
      </w:r>
      <w:r w:rsidR="001729A8">
        <w:rPr>
          <w:lang w:val="en-GB"/>
        </w:rPr>
        <w:t>in</w:t>
      </w:r>
      <w:r w:rsidRPr="0061789F">
        <w:rPr>
          <w:lang w:val="en-GB"/>
        </w:rPr>
        <w:t xml:space="preserve"> team processes, including voice, access to information and equitable distribution of development. This renders inclusive-leadership capacity a performance matter and not a choose-to-know awareness training. However, numerical targets may cause gaming or unfairness where managers can be rewarded based on the headline alone. JLR ought </w:t>
      </w:r>
      <w:r w:rsidR="001729A8">
        <w:rPr>
          <w:lang w:val="en-GB"/>
        </w:rPr>
        <w:t>thus to</w:t>
      </w:r>
      <w:r w:rsidRPr="0061789F">
        <w:rPr>
          <w:lang w:val="en-GB"/>
        </w:rPr>
        <w:t xml:space="preserve"> track the entire talent flow by grade and function, application-offer percentages, promotion equality, access to learning, regretted turnover and employee voice. Mor Barak et al. (2022) caution against policy-practice disconnect, and outcome evidence is more valid than merely </w:t>
      </w:r>
      <w:r w:rsidR="001729A8">
        <w:rPr>
          <w:lang w:val="en-GB"/>
        </w:rPr>
        <w:t>enumerating</w:t>
      </w:r>
      <w:r w:rsidRPr="0061789F">
        <w:rPr>
          <w:lang w:val="en-GB"/>
        </w:rPr>
        <w:t xml:space="preserve"> DEI activities.</w:t>
      </w:r>
    </w:p>
    <w:p w14:paraId="2E5C4D87" w14:textId="77777777" w:rsidR="00FC0E5B" w:rsidRPr="0061789F" w:rsidRDefault="00FC0E5B" w:rsidP="00FC0E5B">
      <w:pPr>
        <w:pStyle w:val="Heading1"/>
        <w:rPr>
          <w:lang w:val="en-GB"/>
        </w:rPr>
      </w:pPr>
      <w:bookmarkStart w:id="9" w:name="_Toc237108261"/>
      <w:r w:rsidRPr="0061789F">
        <w:rPr>
          <w:lang w:val="en-GB"/>
        </w:rPr>
        <w:t>3. Critical Evaluation of Managerial Implementation</w:t>
      </w:r>
      <w:bookmarkEnd w:id="9"/>
    </w:p>
    <w:p w14:paraId="2616FF7F" w14:textId="18267479" w:rsidR="00FC0E5B" w:rsidRPr="0061789F" w:rsidRDefault="00FC0E5B" w:rsidP="00FC0E5B">
      <w:pPr>
        <w:rPr>
          <w:lang w:val="en-GB"/>
        </w:rPr>
      </w:pPr>
      <w:r w:rsidRPr="0061789F">
        <w:rPr>
          <w:lang w:val="en-GB"/>
        </w:rPr>
        <w:t>The place where HR architecture is converted to employee experience is at the departmental managers. The AMO framework, created by Appelbaum et al. (2000)</w:t>
      </w:r>
      <w:r w:rsidR="001729A8">
        <w:rPr>
          <w:lang w:val="en-GB"/>
        </w:rPr>
        <w:t>,</w:t>
      </w:r>
      <w:r w:rsidRPr="0061789F">
        <w:rPr>
          <w:lang w:val="en-GB"/>
        </w:rPr>
        <w:t xml:space="preserve"> can be helpful since the managers must be capable of implementing new practices, motivated to give them priority and opportunity through time, authority and usable systems. Salvador-Gomez et al. (2023) </w:t>
      </w:r>
      <w:r w:rsidR="00D351FD" w:rsidRPr="0061789F">
        <w:rPr>
          <w:lang w:val="en-GB"/>
        </w:rPr>
        <w:t>analysed</w:t>
      </w:r>
      <w:r w:rsidRPr="0061789F">
        <w:rPr>
          <w:lang w:val="en-GB"/>
        </w:rPr>
        <w:t xml:space="preserve"> that HR programs have the capacity to boost line-manager capacity, motivation and opportunity, and managerial opportunity is particularly critical in the effectiveness of implementation. JLR should not then consider the addition of dashboards, recruitment controls or DEI responsibilities without eliminating competing administrative burden. Workforce management requires the ability to plan the workforce, interpret data, select and coach fairly, but training is ineffective when production goals are met by rewarding short-term performance and the development process is met by limited time. Even-handed targets ought to consolidate conveyance with expertise preparedness, in-house fill rates, learning application, remorseful turnover and incorporation. This connects the HR implementation to performance.</w:t>
      </w:r>
    </w:p>
    <w:p w14:paraId="5B54819A" w14:textId="33FF9CED" w:rsidR="00FC0E5B" w:rsidRPr="0061789F" w:rsidRDefault="00FC0E5B" w:rsidP="00FC0E5B">
      <w:pPr>
        <w:rPr>
          <w:lang w:val="en-GB"/>
        </w:rPr>
      </w:pPr>
      <w:r w:rsidRPr="0061789F">
        <w:rPr>
          <w:lang w:val="en-GB"/>
        </w:rPr>
        <w:t xml:space="preserve">Sequencing is also needed due to urgency. During the initial 90 days, departments are expected to baseline the key skills, vacancies, turnover, learning readiness and flows of DEI; within three to six months, managers are expected to pilot interventions of the most at-risk functioning before scaling. The change model by Kotter (1996) works well in urgency and visible wins, yet its logical nature is too linear and fixed to the dynamic cyber, tariff and technology environment of JLR. Managers ought to test, learn and revise. Communication should clarify the purpose of using data, limits of algorithms and decisions not to be made by algorithms. The research </w:t>
      </w:r>
      <w:r w:rsidR="001729A8">
        <w:rPr>
          <w:lang w:val="en-GB"/>
        </w:rPr>
        <w:t>hypothesises that employees will respond to fair treatment with increased contribution (SET) (Blau, 1964), whereas Kilroy et al. (2023) demonstrate that frontline managers are at the centre</w:t>
      </w:r>
      <w:r w:rsidRPr="0061789F">
        <w:rPr>
          <w:lang w:val="en-GB"/>
        </w:rPr>
        <w:t xml:space="preserve"> of the reciprocity. Punitive analytics or inconsistent communication would thus decrease trust instead of enhancing performance.</w:t>
      </w:r>
    </w:p>
    <w:p w14:paraId="53FCE250" w14:textId="6A90B1D2" w:rsidR="00FC0E5B" w:rsidRPr="0061789F" w:rsidRDefault="00FD729C" w:rsidP="00FC0E5B">
      <w:pPr>
        <w:rPr>
          <w:lang w:val="en-GB"/>
        </w:rPr>
      </w:pPr>
      <w:r w:rsidRPr="0061789F">
        <w:rPr>
          <w:lang w:val="en-GB"/>
        </w:rPr>
        <w:t xml:space="preserve">Policy-practice separation, interdepartmental, is the greatest implementation risk. Mor Barak et al. (2022) state that inclusive leadership </w:t>
      </w:r>
      <w:r w:rsidR="001729A8">
        <w:rPr>
          <w:lang w:val="en-GB"/>
        </w:rPr>
        <w:t>minimises</w:t>
      </w:r>
      <w:r w:rsidRPr="0061789F">
        <w:rPr>
          <w:lang w:val="en-GB"/>
        </w:rPr>
        <w:t xml:space="preserve"> the difference between the formal inclusion policy and the climate as experienced by the employees. JLR should thus have cross-functional governance with HR, digital/cyber, legal, employee representatives and operational leaders</w:t>
      </w:r>
      <w:r w:rsidR="001729A8">
        <w:rPr>
          <w:lang w:val="en-GB"/>
        </w:rPr>
        <w:t>,</w:t>
      </w:r>
      <w:r w:rsidRPr="0061789F">
        <w:rPr>
          <w:lang w:val="en-GB"/>
        </w:rPr>
        <w:t xml:space="preserve"> with one responsible owner of each workforce risk. Both leading and lagging indicators should be displayed in quarterly dashboards, including Future Skills completion and candidate-pipeline diversity on the one hand, and quality, absence, turnover and representation by grade on the other </w:t>
      </w:r>
      <w:r w:rsidR="001729A8">
        <w:rPr>
          <w:lang w:val="en-GB"/>
        </w:rPr>
        <w:t>hand</w:t>
      </w:r>
      <w:r w:rsidRPr="0061789F">
        <w:rPr>
          <w:lang w:val="en-GB"/>
        </w:rPr>
        <w:t>. Indicators should be diagnostic, not targets that are subject to manipulation. According to Lu et al. (2023), sustainable HRM is associated with resilience, engagement and performance, which helps to balance productivity and employee capability and wellbeing. In the case of JLR, sustainable implementation implies that managers are not able to relieve an immediate production pressure by the delay of learning, inclusion or workforce renewal; otherwise, the risk is simply pushed into the next rollout, and the lack of capability will be replicated.</w:t>
      </w:r>
    </w:p>
    <w:p w14:paraId="2782EA16" w14:textId="77777777" w:rsidR="00FC0E5B" w:rsidRPr="0061789F" w:rsidRDefault="00FC0E5B" w:rsidP="00FC0E5B">
      <w:pPr>
        <w:pStyle w:val="Heading1"/>
        <w:rPr>
          <w:lang w:val="en-GB"/>
        </w:rPr>
      </w:pPr>
      <w:bookmarkStart w:id="10" w:name="_Toc237108262"/>
      <w:r w:rsidRPr="0061789F">
        <w:rPr>
          <w:lang w:val="en-GB"/>
        </w:rPr>
        <w:t>4. Recommendations</w:t>
      </w:r>
      <w:bookmarkEnd w:id="10"/>
    </w:p>
    <w:p w14:paraId="645B0B5B" w14:textId="4B8EAEA9" w:rsidR="00FC0E5B" w:rsidRPr="0061789F" w:rsidRDefault="00FC0E5B" w:rsidP="00FC0E5B">
      <w:pPr>
        <w:rPr>
          <w:lang w:val="en-GB"/>
        </w:rPr>
      </w:pPr>
      <w:r w:rsidRPr="0061789F">
        <w:rPr>
          <w:lang w:val="en-GB"/>
        </w:rPr>
        <w:t xml:space="preserve">To begin with, Hunkenschroer and Luetge (2022) </w:t>
      </w:r>
      <w:r w:rsidR="001729A8">
        <w:rPr>
          <w:lang w:val="en-GB"/>
        </w:rPr>
        <w:t>legitimise</w:t>
      </w:r>
      <w:r w:rsidRPr="0061789F">
        <w:rPr>
          <w:lang w:val="en-GB"/>
        </w:rPr>
        <w:t xml:space="preserve"> human control over AI-controlled selection. JLR needs to create a skills risk map based on HR and learning and programme data within 90 days</w:t>
      </w:r>
      <w:r w:rsidR="001729A8">
        <w:rPr>
          <w:lang w:val="en-GB"/>
        </w:rPr>
        <w:t>,</w:t>
      </w:r>
      <w:r w:rsidRPr="0061789F">
        <w:rPr>
          <w:lang w:val="en-GB"/>
        </w:rPr>
        <w:t xml:space="preserve"> with each gap being assigned a manager, a build-buy-borrow decision and human review of recommendations.</w:t>
      </w:r>
    </w:p>
    <w:p w14:paraId="13CF9933" w14:textId="77777777" w:rsidR="00FC0E5B" w:rsidRPr="0061789F" w:rsidRDefault="00FC0E5B" w:rsidP="00FC0E5B">
      <w:pPr>
        <w:rPr>
          <w:lang w:val="en-GB"/>
        </w:rPr>
      </w:pPr>
      <w:r w:rsidRPr="0061789F">
        <w:rPr>
          <w:lang w:val="en-GB"/>
        </w:rPr>
        <w:t>Second, inclusive talent development in Kaliannan et al. (2023) is encouraged. In six months, JLR ought to sign an interim talent compact of build before buy with internal vacancies, EV/digital routes, shielded learning and time and external recruitment where ability cannot be matched to aptitude or time.</w:t>
      </w:r>
    </w:p>
    <w:p w14:paraId="1E34E5AA" w14:textId="77777777" w:rsidR="00FC0E5B" w:rsidRPr="0061789F" w:rsidRDefault="00FC0E5B" w:rsidP="00FC0E5B">
      <w:pPr>
        <w:rPr>
          <w:lang w:val="en-GB"/>
        </w:rPr>
      </w:pPr>
      <w:r w:rsidRPr="0061789F">
        <w:rPr>
          <w:lang w:val="en-GB"/>
        </w:rPr>
        <w:t>Third, Nishii and Leroy (2022) demonstrate that DEI needs to extend to the team processes. JLR needs to audit selection algorithms and track recruitment, promotion, access to development and regretted turnover by grade and function, where managers need to justify differences instead of depending on pay-gap headlines.</w:t>
      </w:r>
    </w:p>
    <w:p w14:paraId="6E5B5DB5" w14:textId="0FF23852" w:rsidR="00FC0E5B" w:rsidRPr="0061789F" w:rsidRDefault="00FC0E5B" w:rsidP="00FC0E5B">
      <w:pPr>
        <w:rPr>
          <w:lang w:val="en-GB"/>
        </w:rPr>
      </w:pPr>
      <w:r w:rsidRPr="0061789F">
        <w:rPr>
          <w:lang w:val="en-GB"/>
        </w:rPr>
        <w:t>Lastly, Salvador-Gomez et al. (2023) demonstrate that line-manager AMO is important to implementation. JLR should offer people-data training, safeguarded implementation time and balanced scorecards with delivery, skills, retention and inclusion</w:t>
      </w:r>
      <w:r w:rsidR="001729A8">
        <w:rPr>
          <w:lang w:val="en-GB"/>
        </w:rPr>
        <w:t>,</w:t>
      </w:r>
      <w:r w:rsidRPr="0061789F">
        <w:rPr>
          <w:lang w:val="en-GB"/>
        </w:rPr>
        <w:t xml:space="preserve"> with quarterly reviews to cause correction of weaknesses before an operational failure occurs.</w:t>
      </w:r>
    </w:p>
    <w:p w14:paraId="4226D660" w14:textId="77777777" w:rsidR="00FC0E5B" w:rsidRPr="0061789F" w:rsidRDefault="00FC0E5B" w:rsidP="00FC0E5B">
      <w:pPr>
        <w:pStyle w:val="Heading1"/>
        <w:rPr>
          <w:lang w:val="en-GB"/>
        </w:rPr>
      </w:pPr>
      <w:bookmarkStart w:id="11" w:name="_Toc237108263"/>
      <w:r w:rsidRPr="0061789F">
        <w:rPr>
          <w:lang w:val="en-GB"/>
        </w:rPr>
        <w:t>Conclusion</w:t>
      </w:r>
      <w:bookmarkEnd w:id="11"/>
    </w:p>
    <w:p w14:paraId="2C589971" w14:textId="5B3C6B27" w:rsidR="009C2C31" w:rsidRPr="0061789F" w:rsidRDefault="00FC0E5B" w:rsidP="00FC0E5B">
      <w:pPr>
        <w:rPr>
          <w:lang w:val="en-GB"/>
        </w:rPr>
      </w:pPr>
      <w:r w:rsidRPr="0061789F">
        <w:rPr>
          <w:lang w:val="en-GB"/>
        </w:rPr>
        <w:t xml:space="preserve">The HR issue of JLR is not a set of three independent problems, but a system of capabilities. Technology generates value when individuals can safely make use of it; talent is maintained when development and management </w:t>
      </w:r>
      <w:r w:rsidR="001729A8">
        <w:rPr>
          <w:lang w:val="en-GB"/>
        </w:rPr>
        <w:t>are credible,</w:t>
      </w:r>
      <w:r w:rsidRPr="0061789F">
        <w:rPr>
          <w:lang w:val="en-GB"/>
        </w:rPr>
        <w:t xml:space="preserve"> and diversity plays a role when inclusion alters access, voice and progression. This progresses the module outcomes, linking individual and team development, performance management and sustainable organisational capability.</w:t>
      </w:r>
    </w:p>
    <w:p w14:paraId="5E0342EA" w14:textId="77777777" w:rsidR="009C2C31" w:rsidRPr="0061789F" w:rsidRDefault="009602B9">
      <w:pPr>
        <w:rPr>
          <w:lang w:val="en-GB"/>
        </w:rPr>
      </w:pPr>
      <w:r w:rsidRPr="0061789F">
        <w:rPr>
          <w:lang w:val="en-GB"/>
        </w:rPr>
        <w:br w:type="page"/>
      </w:r>
    </w:p>
    <w:p w14:paraId="3E2AF40F" w14:textId="6F4C9E28" w:rsidR="009C2C31" w:rsidRPr="0061789F" w:rsidRDefault="009602B9">
      <w:pPr>
        <w:pStyle w:val="Heading1"/>
        <w:jc w:val="left"/>
        <w:rPr>
          <w:lang w:val="en-GB"/>
        </w:rPr>
      </w:pPr>
      <w:bookmarkStart w:id="12" w:name="_Toc237108264"/>
      <w:r w:rsidRPr="0061789F">
        <w:rPr>
          <w:lang w:val="en-GB"/>
        </w:rPr>
        <w:t>Reference</w:t>
      </w:r>
      <w:r w:rsidR="00E770BB" w:rsidRPr="0061789F">
        <w:rPr>
          <w:lang w:val="en-GB"/>
        </w:rPr>
        <w:t>s</w:t>
      </w:r>
      <w:bookmarkEnd w:id="12"/>
    </w:p>
    <w:p w14:paraId="10E1B041" w14:textId="2956B4E0" w:rsidR="009C2C31" w:rsidRPr="0061789F" w:rsidRDefault="009602B9" w:rsidP="000A5798">
      <w:pPr>
        <w:keepLines/>
        <w:ind w:left="720" w:hanging="720"/>
        <w:jc w:val="left"/>
        <w:rPr>
          <w:lang w:val="en-GB"/>
        </w:rPr>
      </w:pPr>
      <w:r w:rsidRPr="0061789F">
        <w:rPr>
          <w:lang w:val="en-GB"/>
        </w:rPr>
        <w:t>Ahmed, R.R., Azam, M., Qureshi, J.A., Hashem</w:t>
      </w:r>
      <w:r w:rsidR="001729A8">
        <w:rPr>
          <w:lang w:val="en-GB"/>
        </w:rPr>
        <w:t>,</w:t>
      </w:r>
      <w:r w:rsidRPr="0061789F">
        <w:rPr>
          <w:lang w:val="en-GB"/>
        </w:rPr>
        <w:t xml:space="preserve"> E</w:t>
      </w:r>
      <w:r w:rsidR="001729A8">
        <w:rPr>
          <w:lang w:val="en-GB"/>
        </w:rPr>
        <w:t>.</w:t>
      </w:r>
      <w:r w:rsidRPr="0061789F">
        <w:rPr>
          <w:lang w:val="en-GB"/>
        </w:rPr>
        <w:t xml:space="preserve"> A.R., Parmar, V. and Md Salleh, N.Z. (2022) </w:t>
      </w:r>
      <w:r w:rsidR="00F528E0">
        <w:rPr>
          <w:lang w:val="en-GB"/>
        </w:rPr>
        <w:t>‘</w:t>
      </w:r>
      <w:r w:rsidRPr="0061789F">
        <w:rPr>
          <w:lang w:val="en-GB"/>
        </w:rPr>
        <w:t>The relationship between internal employer branding and talent retention: A theoretical investigation for the development of a conceptual framework</w:t>
      </w:r>
      <w:r w:rsidR="00F528E0">
        <w:rPr>
          <w:lang w:val="en-GB"/>
        </w:rPr>
        <w:t>’</w:t>
      </w:r>
      <w:r w:rsidRPr="0061789F">
        <w:rPr>
          <w:lang w:val="en-GB"/>
        </w:rPr>
        <w:t>, Frontiers in Psychology, 13, 859614.</w:t>
      </w:r>
    </w:p>
    <w:p w14:paraId="3D33680F" w14:textId="77777777" w:rsidR="009C2C31" w:rsidRPr="0061789F" w:rsidRDefault="009602B9" w:rsidP="00E770BB">
      <w:pPr>
        <w:keepLines/>
        <w:ind w:left="720" w:hanging="720"/>
        <w:jc w:val="left"/>
        <w:rPr>
          <w:lang w:val="en-GB"/>
        </w:rPr>
      </w:pPr>
      <w:r w:rsidRPr="0061789F">
        <w:rPr>
          <w:lang w:val="en-GB"/>
        </w:rPr>
        <w:t>Appelbaum, E., Bailey, T., Berg, P. and Kalleberg, A.L. (2000) Manufacturing Advantage: Why High-Performance Work Systems Pay Off. Ithaca, NY: Cornell University Press.</w:t>
      </w:r>
    </w:p>
    <w:p w14:paraId="782BD4FF" w14:textId="4387E5B6" w:rsidR="009C2C31" w:rsidRPr="0061789F" w:rsidRDefault="009602B9" w:rsidP="000A5798">
      <w:pPr>
        <w:keepLines/>
        <w:ind w:left="720" w:hanging="720"/>
        <w:jc w:val="left"/>
        <w:rPr>
          <w:lang w:val="en-GB"/>
        </w:rPr>
      </w:pPr>
      <w:r w:rsidRPr="0061789F">
        <w:rPr>
          <w:lang w:val="en-GB"/>
        </w:rPr>
        <w:t xml:space="preserve">Barney, J. (1991) </w:t>
      </w:r>
      <w:r w:rsidR="00F528E0">
        <w:rPr>
          <w:lang w:val="en-GB"/>
        </w:rPr>
        <w:t>‘</w:t>
      </w:r>
      <w:r w:rsidRPr="0061789F">
        <w:rPr>
          <w:lang w:val="en-GB"/>
        </w:rPr>
        <w:t>Firm resources and sustained competitive advantage</w:t>
      </w:r>
      <w:r w:rsidR="00F528E0">
        <w:rPr>
          <w:lang w:val="en-GB"/>
        </w:rPr>
        <w:t>’</w:t>
      </w:r>
      <w:r w:rsidRPr="0061789F">
        <w:rPr>
          <w:lang w:val="en-GB"/>
        </w:rPr>
        <w:t xml:space="preserve">, Journal of Management, 17(1), pp. 99-120. </w:t>
      </w:r>
    </w:p>
    <w:p w14:paraId="44973AC4" w14:textId="77777777" w:rsidR="009C2C31" w:rsidRPr="0061789F" w:rsidRDefault="009602B9" w:rsidP="00E770BB">
      <w:pPr>
        <w:keepLines/>
        <w:ind w:left="720" w:hanging="720"/>
        <w:jc w:val="left"/>
        <w:rPr>
          <w:lang w:val="en-GB"/>
        </w:rPr>
      </w:pPr>
      <w:r w:rsidRPr="0061789F">
        <w:rPr>
          <w:lang w:val="en-GB"/>
        </w:rPr>
        <w:t>Blau, P.M. (1964) Exchange and Power in Social Life. New York: Wiley.</w:t>
      </w:r>
    </w:p>
    <w:p w14:paraId="78B63C0E" w14:textId="0772DD4E" w:rsidR="009C2C31" w:rsidRPr="0061789F" w:rsidRDefault="009602B9" w:rsidP="000A5798">
      <w:pPr>
        <w:keepLines/>
        <w:ind w:left="720" w:hanging="720"/>
        <w:jc w:val="left"/>
        <w:rPr>
          <w:lang w:val="en-GB"/>
        </w:rPr>
      </w:pPr>
      <w:r w:rsidRPr="0061789F">
        <w:rPr>
          <w:lang w:val="en-GB"/>
        </w:rPr>
        <w:t xml:space="preserve">Hunkenschroer, A.L. and Luetge, C. (2022) </w:t>
      </w:r>
      <w:r w:rsidR="00F528E0">
        <w:rPr>
          <w:lang w:val="en-GB"/>
        </w:rPr>
        <w:t>‘</w:t>
      </w:r>
      <w:r w:rsidRPr="0061789F">
        <w:rPr>
          <w:lang w:val="en-GB"/>
        </w:rPr>
        <w:t>Ethics of AI-enabled recruiting and selection: A review and research agenda</w:t>
      </w:r>
      <w:r w:rsidR="00F528E0">
        <w:rPr>
          <w:lang w:val="en-GB"/>
        </w:rPr>
        <w:t>’</w:t>
      </w:r>
      <w:r w:rsidRPr="0061789F">
        <w:rPr>
          <w:lang w:val="en-GB"/>
        </w:rPr>
        <w:t>, Journal of Business Ethics, 178, pp. 977-1007</w:t>
      </w:r>
      <w:r w:rsidR="000A5798">
        <w:rPr>
          <w:lang w:val="en-GB"/>
        </w:rPr>
        <w:t>.</w:t>
      </w:r>
    </w:p>
    <w:p w14:paraId="022AD08A" w14:textId="598332C3" w:rsidR="009C2C31" w:rsidRPr="0061789F" w:rsidRDefault="009602B9" w:rsidP="00E770BB">
      <w:pPr>
        <w:keepLines/>
        <w:ind w:left="720" w:hanging="720"/>
        <w:jc w:val="left"/>
        <w:rPr>
          <w:lang w:val="en-GB"/>
        </w:rPr>
      </w:pPr>
      <w:r w:rsidRPr="0061789F">
        <w:rPr>
          <w:lang w:val="en-GB"/>
        </w:rPr>
        <w:t xml:space="preserve">Jaguar Land Rover (2025) Annual Report 2025. Available at: </w:t>
      </w:r>
      <w:hyperlink r:id="rId8" w:history="1">
        <w:r w:rsidRPr="000A5798">
          <w:rPr>
            <w:rStyle w:val="Hyperlink"/>
            <w:lang w:val="en-GB"/>
          </w:rPr>
          <w:t>https://www.jlr.com/annual-report-2025</w:t>
        </w:r>
      </w:hyperlink>
      <w:r w:rsidR="00FE23E3">
        <w:rPr>
          <w:lang w:val="en-GB"/>
        </w:rPr>
        <w:t xml:space="preserve"> </w:t>
      </w:r>
      <w:r w:rsidRPr="0061789F">
        <w:rPr>
          <w:lang w:val="en-GB"/>
        </w:rPr>
        <w:t>(Accessed: 8 August 2026).</w:t>
      </w:r>
    </w:p>
    <w:p w14:paraId="3F8EDD87" w14:textId="1A1B9411" w:rsidR="009C2C31" w:rsidRPr="0061789F" w:rsidRDefault="009602B9" w:rsidP="00E770BB">
      <w:pPr>
        <w:keepLines/>
        <w:ind w:left="720" w:hanging="720"/>
        <w:jc w:val="left"/>
        <w:rPr>
          <w:lang w:val="en-GB"/>
        </w:rPr>
      </w:pPr>
      <w:r w:rsidRPr="0061789F">
        <w:rPr>
          <w:lang w:val="en-GB"/>
        </w:rPr>
        <w:t xml:space="preserve">Jaguar Land Rover (2026) Annual Report 2026. Available at: </w:t>
      </w:r>
      <w:hyperlink r:id="rId9" w:history="1">
        <w:r w:rsidRPr="000072A8">
          <w:rPr>
            <w:rStyle w:val="Hyperlink"/>
            <w:lang w:val="en-GB"/>
          </w:rPr>
          <w:t>https://www.jlr.com/annual-report-2026</w:t>
        </w:r>
      </w:hyperlink>
      <w:r w:rsidRPr="0061789F">
        <w:rPr>
          <w:lang w:val="en-GB"/>
        </w:rPr>
        <w:t xml:space="preserve"> (Accessed: 8 August 2026).</w:t>
      </w:r>
    </w:p>
    <w:p w14:paraId="66D56201" w14:textId="18CA2326" w:rsidR="009C2C31" w:rsidRPr="0061789F" w:rsidRDefault="009602B9" w:rsidP="000072A8">
      <w:pPr>
        <w:keepLines/>
        <w:ind w:left="720" w:hanging="720"/>
        <w:jc w:val="left"/>
        <w:rPr>
          <w:lang w:val="en-GB"/>
        </w:rPr>
      </w:pPr>
      <w:r w:rsidRPr="0061789F">
        <w:rPr>
          <w:lang w:val="en-GB"/>
        </w:rPr>
        <w:t xml:space="preserve">Jerónimo, H.M., Henriques, P.L. and Carvalho, S.I. (2022) </w:t>
      </w:r>
      <w:r w:rsidR="00F528E0">
        <w:rPr>
          <w:lang w:val="en-GB"/>
        </w:rPr>
        <w:t>‘</w:t>
      </w:r>
      <w:r w:rsidRPr="0061789F">
        <w:rPr>
          <w:lang w:val="en-GB"/>
        </w:rPr>
        <w:t>Being inclusive boosts impact of diversity practices on employee engagement</w:t>
      </w:r>
      <w:r w:rsidR="00F528E0">
        <w:rPr>
          <w:lang w:val="en-GB"/>
        </w:rPr>
        <w:t>’</w:t>
      </w:r>
      <w:r w:rsidRPr="0061789F">
        <w:rPr>
          <w:lang w:val="en-GB"/>
        </w:rPr>
        <w:t>, Managemen</w:t>
      </w:r>
      <w:r w:rsidR="000072A8">
        <w:rPr>
          <w:lang w:val="en-GB"/>
        </w:rPr>
        <w:t>t Research, 20(2), pp. 129-147.</w:t>
      </w:r>
    </w:p>
    <w:p w14:paraId="231DA8AA" w14:textId="102BA66D" w:rsidR="009C2C31" w:rsidRPr="0061789F" w:rsidRDefault="009602B9" w:rsidP="003A4B25">
      <w:pPr>
        <w:keepLines/>
        <w:ind w:left="720" w:hanging="720"/>
        <w:jc w:val="left"/>
        <w:rPr>
          <w:lang w:val="en-GB"/>
        </w:rPr>
      </w:pPr>
      <w:r w:rsidRPr="0061789F">
        <w:rPr>
          <w:lang w:val="en-GB"/>
        </w:rPr>
        <w:t xml:space="preserve">Kaliannan, M., Darmalinggam, D., Dorasamy, M. and Abraham, M. (2023) </w:t>
      </w:r>
      <w:r w:rsidR="00F528E0">
        <w:rPr>
          <w:lang w:val="en-GB"/>
        </w:rPr>
        <w:t>‘</w:t>
      </w:r>
      <w:r w:rsidRPr="0061789F">
        <w:rPr>
          <w:lang w:val="en-GB"/>
        </w:rPr>
        <w:t>Inclusive talent development as a key talent management approach: A systematic literature review</w:t>
      </w:r>
      <w:r w:rsidR="00F528E0">
        <w:rPr>
          <w:lang w:val="en-GB"/>
        </w:rPr>
        <w:t>’</w:t>
      </w:r>
      <w:r w:rsidRPr="0061789F">
        <w:rPr>
          <w:lang w:val="en-GB"/>
        </w:rPr>
        <w:t>, Human Resource Ma</w:t>
      </w:r>
      <w:r w:rsidR="003A4B25">
        <w:rPr>
          <w:lang w:val="en-GB"/>
        </w:rPr>
        <w:t>nagement Review, 33(1), 100926.</w:t>
      </w:r>
    </w:p>
    <w:p w14:paraId="43DC559A" w14:textId="69B0AC0B" w:rsidR="009C2C31" w:rsidRPr="0061789F" w:rsidRDefault="009602B9" w:rsidP="003A4B25">
      <w:pPr>
        <w:keepLines/>
        <w:ind w:left="720" w:hanging="720"/>
        <w:jc w:val="left"/>
        <w:rPr>
          <w:lang w:val="en-GB"/>
        </w:rPr>
      </w:pPr>
      <w:r w:rsidRPr="0061789F">
        <w:rPr>
          <w:lang w:val="en-GB"/>
        </w:rPr>
        <w:t xml:space="preserve">Kilroy, J., Dundon, T. and Townsend, K. (2023) </w:t>
      </w:r>
      <w:r w:rsidR="00F528E0">
        <w:rPr>
          <w:lang w:val="en-GB"/>
        </w:rPr>
        <w:t>‘</w:t>
      </w:r>
      <w:r w:rsidRPr="0061789F">
        <w:rPr>
          <w:lang w:val="en-GB"/>
        </w:rPr>
        <w:t>Embedding reciprocity in human resource management: A social exchange theory of the role of frontline managers</w:t>
      </w:r>
      <w:r w:rsidR="00F528E0">
        <w:rPr>
          <w:lang w:val="en-GB"/>
        </w:rPr>
        <w:t>’</w:t>
      </w:r>
      <w:r w:rsidRPr="0061789F">
        <w:rPr>
          <w:lang w:val="en-GB"/>
        </w:rPr>
        <w:t>, Human Resource Manageme</w:t>
      </w:r>
      <w:r w:rsidR="003A4B25">
        <w:rPr>
          <w:lang w:val="en-GB"/>
        </w:rPr>
        <w:t>nt Journal, 33(2), pp. 511-531.</w:t>
      </w:r>
    </w:p>
    <w:p w14:paraId="76CCD899" w14:textId="77777777" w:rsidR="009C2C31" w:rsidRPr="0061789F" w:rsidRDefault="009602B9" w:rsidP="00E770BB">
      <w:pPr>
        <w:keepLines/>
        <w:ind w:left="720" w:hanging="720"/>
        <w:jc w:val="left"/>
        <w:rPr>
          <w:lang w:val="en-GB"/>
        </w:rPr>
      </w:pPr>
      <w:r w:rsidRPr="0061789F">
        <w:rPr>
          <w:lang w:val="en-GB"/>
        </w:rPr>
        <w:t>Kotter, J.P. (1996) Leading Change. Boston, MA: Harvard Business School Press.</w:t>
      </w:r>
    </w:p>
    <w:p w14:paraId="2B9E55C0" w14:textId="6314430B" w:rsidR="009C2C31" w:rsidRPr="0061789F" w:rsidRDefault="009602B9" w:rsidP="003A4B25">
      <w:pPr>
        <w:keepLines/>
        <w:ind w:left="720" w:hanging="720"/>
        <w:jc w:val="left"/>
        <w:rPr>
          <w:lang w:val="en-GB"/>
        </w:rPr>
      </w:pPr>
      <w:r w:rsidRPr="0061789F">
        <w:rPr>
          <w:lang w:val="en-GB"/>
        </w:rPr>
        <w:t xml:space="preserve">Kumar, S. (2022) </w:t>
      </w:r>
      <w:r w:rsidR="00F528E0">
        <w:rPr>
          <w:lang w:val="en-GB"/>
        </w:rPr>
        <w:t>‘</w:t>
      </w:r>
      <w:r w:rsidRPr="0061789F">
        <w:rPr>
          <w:lang w:val="en-GB"/>
        </w:rPr>
        <w:t>The impact of talent management practices on employee turnover and retention intentions</w:t>
      </w:r>
      <w:r w:rsidR="00F528E0">
        <w:rPr>
          <w:lang w:val="en-GB"/>
        </w:rPr>
        <w:t>’</w:t>
      </w:r>
      <w:r w:rsidRPr="0061789F">
        <w:rPr>
          <w:lang w:val="en-GB"/>
        </w:rPr>
        <w:t xml:space="preserve">, Global Business and </w:t>
      </w:r>
      <w:r w:rsidR="001729A8">
        <w:rPr>
          <w:lang w:val="en-GB"/>
        </w:rPr>
        <w:t>Organisational</w:t>
      </w:r>
      <w:r w:rsidRPr="0061789F">
        <w:rPr>
          <w:lang w:val="en-GB"/>
        </w:rPr>
        <w:t xml:space="preserve"> Excellence, 41(2), p</w:t>
      </w:r>
      <w:r w:rsidR="003A4B25">
        <w:rPr>
          <w:lang w:val="en-GB"/>
        </w:rPr>
        <w:t>p. 21-34.</w:t>
      </w:r>
    </w:p>
    <w:p w14:paraId="744C7D70" w14:textId="3846BA0B" w:rsidR="009C2C31" w:rsidRPr="0061789F" w:rsidRDefault="009602B9" w:rsidP="003A4B25">
      <w:pPr>
        <w:keepLines/>
        <w:ind w:left="720" w:hanging="720"/>
        <w:jc w:val="left"/>
        <w:rPr>
          <w:lang w:val="en-GB"/>
        </w:rPr>
      </w:pPr>
      <w:r w:rsidRPr="0061789F">
        <w:rPr>
          <w:lang w:val="en-GB"/>
        </w:rPr>
        <w:t xml:space="preserve">Lu, Y., Zhang, M.M., Yang, M.M. and Wang, Y. (2023) </w:t>
      </w:r>
      <w:r w:rsidR="00F528E0">
        <w:rPr>
          <w:lang w:val="en-GB"/>
        </w:rPr>
        <w:t>‘</w:t>
      </w:r>
      <w:r w:rsidRPr="0061789F">
        <w:rPr>
          <w:lang w:val="en-GB"/>
        </w:rPr>
        <w:t>Sustainable human resource management practices, employee resilience, and employee outcomes: Toward common good values</w:t>
      </w:r>
      <w:r w:rsidR="00F528E0">
        <w:rPr>
          <w:lang w:val="en-GB"/>
        </w:rPr>
        <w:t>’</w:t>
      </w:r>
      <w:r w:rsidRPr="0061789F">
        <w:rPr>
          <w:lang w:val="en-GB"/>
        </w:rPr>
        <w:t>, Human Resource Management, 62(3), pp.</w:t>
      </w:r>
      <w:r w:rsidR="003A4B25">
        <w:rPr>
          <w:lang w:val="en-GB"/>
        </w:rPr>
        <w:t xml:space="preserve"> 331-353.</w:t>
      </w:r>
    </w:p>
    <w:p w14:paraId="357537F6" w14:textId="7246E12F" w:rsidR="009C2C31" w:rsidRPr="0061789F" w:rsidRDefault="009602B9" w:rsidP="000072A8">
      <w:pPr>
        <w:keepLines/>
        <w:ind w:left="720" w:hanging="720"/>
        <w:jc w:val="left"/>
        <w:rPr>
          <w:lang w:val="en-GB"/>
        </w:rPr>
      </w:pPr>
      <w:r w:rsidRPr="0061789F">
        <w:rPr>
          <w:lang w:val="en-GB"/>
        </w:rPr>
        <w:t xml:space="preserve">Minbaeva, D. (2021) </w:t>
      </w:r>
      <w:r w:rsidR="00F528E0">
        <w:rPr>
          <w:lang w:val="en-GB"/>
        </w:rPr>
        <w:t>‘</w:t>
      </w:r>
      <w:r w:rsidRPr="0061789F">
        <w:rPr>
          <w:lang w:val="en-GB"/>
        </w:rPr>
        <w:t>Disrupted HR?</w:t>
      </w:r>
      <w:r w:rsidR="00F528E0">
        <w:rPr>
          <w:lang w:val="en-GB"/>
        </w:rPr>
        <w:t>’</w:t>
      </w:r>
      <w:r w:rsidRPr="0061789F">
        <w:rPr>
          <w:lang w:val="en-GB"/>
        </w:rPr>
        <w:t>, Human Resource Ma</w:t>
      </w:r>
      <w:r w:rsidR="000072A8">
        <w:rPr>
          <w:lang w:val="en-GB"/>
        </w:rPr>
        <w:t>nagement Review, 31(4), 100820.</w:t>
      </w:r>
    </w:p>
    <w:p w14:paraId="6CF09F06" w14:textId="23E32C8C" w:rsidR="009C2C31" w:rsidRPr="0061789F" w:rsidRDefault="009602B9" w:rsidP="003A4B25">
      <w:pPr>
        <w:keepLines/>
        <w:ind w:left="720" w:hanging="720"/>
        <w:jc w:val="left"/>
        <w:rPr>
          <w:lang w:val="en-GB"/>
        </w:rPr>
      </w:pPr>
      <w:r w:rsidRPr="0061789F">
        <w:rPr>
          <w:lang w:val="en-GB"/>
        </w:rPr>
        <w:t xml:space="preserve">Mor Barak, M.E., Luria, G. and Brimhall, K.C. (2022) </w:t>
      </w:r>
      <w:r w:rsidR="00F528E0">
        <w:rPr>
          <w:lang w:val="en-GB"/>
        </w:rPr>
        <w:t>‘</w:t>
      </w:r>
      <w:r w:rsidRPr="0061789F">
        <w:rPr>
          <w:lang w:val="en-GB"/>
        </w:rPr>
        <w:t>What leaders say versus what they do: Inclusive leadership, policy-practice decoupling, and the anomaly of climate for inclusion</w:t>
      </w:r>
      <w:r w:rsidR="00F528E0">
        <w:rPr>
          <w:lang w:val="en-GB"/>
        </w:rPr>
        <w:t>’</w:t>
      </w:r>
      <w:r w:rsidRPr="0061789F">
        <w:rPr>
          <w:lang w:val="en-GB"/>
        </w:rPr>
        <w:t xml:space="preserve">, Group &amp; </w:t>
      </w:r>
      <w:r w:rsidR="001729A8">
        <w:rPr>
          <w:lang w:val="en-GB"/>
        </w:rPr>
        <w:t>Organisation</w:t>
      </w:r>
      <w:r w:rsidRPr="0061789F">
        <w:rPr>
          <w:lang w:val="en-GB"/>
        </w:rPr>
        <w:t xml:space="preserve"> </w:t>
      </w:r>
      <w:r w:rsidR="003A4B25">
        <w:rPr>
          <w:lang w:val="en-GB"/>
        </w:rPr>
        <w:t>Management, 47(4), pp. 840-871.</w:t>
      </w:r>
    </w:p>
    <w:p w14:paraId="66118E08" w14:textId="487D26A2" w:rsidR="009C2C31" w:rsidRPr="0061789F" w:rsidRDefault="009602B9" w:rsidP="003A4B25">
      <w:pPr>
        <w:keepLines/>
        <w:ind w:left="720" w:hanging="720"/>
        <w:jc w:val="left"/>
        <w:rPr>
          <w:lang w:val="en-GB"/>
        </w:rPr>
      </w:pPr>
      <w:r w:rsidRPr="0061789F">
        <w:rPr>
          <w:lang w:val="en-GB"/>
        </w:rPr>
        <w:t xml:space="preserve">Nishii, L.H. and Leroy, H. (2022) </w:t>
      </w:r>
      <w:r w:rsidR="00F528E0">
        <w:rPr>
          <w:lang w:val="en-GB"/>
        </w:rPr>
        <w:t>‘</w:t>
      </w:r>
      <w:r w:rsidRPr="0061789F">
        <w:rPr>
          <w:lang w:val="en-GB"/>
        </w:rPr>
        <w:t xml:space="preserve">A multi-level framework of inclusive leadership in </w:t>
      </w:r>
      <w:r w:rsidR="001729A8">
        <w:rPr>
          <w:lang w:val="en-GB"/>
        </w:rPr>
        <w:t>organisations</w:t>
      </w:r>
      <w:r w:rsidR="00F528E0">
        <w:rPr>
          <w:lang w:val="en-GB"/>
        </w:rPr>
        <w:t>’</w:t>
      </w:r>
      <w:r w:rsidR="001729A8">
        <w:rPr>
          <w:lang w:val="en-GB"/>
        </w:rPr>
        <w:t>, Group &amp; Organisation</w:t>
      </w:r>
      <w:r w:rsidRPr="0061789F">
        <w:rPr>
          <w:lang w:val="en-GB"/>
        </w:rPr>
        <w:t xml:space="preserve"> </w:t>
      </w:r>
      <w:r w:rsidR="003A4B25">
        <w:rPr>
          <w:lang w:val="en-GB"/>
        </w:rPr>
        <w:t>Management, 47(4), pp. 683-722.</w:t>
      </w:r>
    </w:p>
    <w:p w14:paraId="4A82B5A0" w14:textId="11515CFB" w:rsidR="009C2C31" w:rsidRPr="0061789F" w:rsidRDefault="009602B9" w:rsidP="003A4B25">
      <w:pPr>
        <w:keepLines/>
        <w:ind w:left="720" w:hanging="720"/>
        <w:jc w:val="left"/>
        <w:rPr>
          <w:lang w:val="en-GB"/>
        </w:rPr>
      </w:pPr>
      <w:r w:rsidRPr="0061789F">
        <w:rPr>
          <w:lang w:val="en-GB"/>
        </w:rPr>
        <w:t xml:space="preserve">Roppelt, J.S., Greimel, N.S., Kanbach, D.K., Stubner, S. and Maran, T.K. (2024) </w:t>
      </w:r>
      <w:r w:rsidR="00F528E0">
        <w:rPr>
          <w:lang w:val="en-GB"/>
        </w:rPr>
        <w:t>‘</w:t>
      </w:r>
      <w:r w:rsidRPr="0061789F">
        <w:rPr>
          <w:lang w:val="en-GB"/>
        </w:rPr>
        <w:t>Artificial intelligence in talent acquisition: A multiple case study on multi-national corporations</w:t>
      </w:r>
      <w:r w:rsidR="00F528E0">
        <w:rPr>
          <w:lang w:val="en-GB"/>
        </w:rPr>
        <w:t>’</w:t>
      </w:r>
      <w:r w:rsidRPr="0061789F">
        <w:rPr>
          <w:lang w:val="en-GB"/>
        </w:rPr>
        <w:t>, Management D</w:t>
      </w:r>
      <w:r w:rsidR="003A4B25">
        <w:rPr>
          <w:lang w:val="en-GB"/>
        </w:rPr>
        <w:t>ecision, 62(10), pp. 2986-3007.</w:t>
      </w:r>
    </w:p>
    <w:p w14:paraId="137EAA79" w14:textId="7D08303A" w:rsidR="009C2C31" w:rsidRPr="0061789F" w:rsidRDefault="009602B9" w:rsidP="003A4B25">
      <w:pPr>
        <w:keepLines/>
        <w:ind w:left="720" w:hanging="720"/>
        <w:jc w:val="left"/>
        <w:rPr>
          <w:lang w:val="en-GB"/>
        </w:rPr>
      </w:pPr>
      <w:r w:rsidRPr="0061789F">
        <w:rPr>
          <w:lang w:val="en-GB"/>
        </w:rPr>
        <w:t xml:space="preserve">Salvador-Gómez, A., Bou-Llusar, J.C. and Beltrán-Martín, I. (2023) </w:t>
      </w:r>
      <w:r w:rsidR="00F528E0">
        <w:rPr>
          <w:lang w:val="en-GB"/>
        </w:rPr>
        <w:t>‘</w:t>
      </w:r>
      <w:r w:rsidRPr="0061789F">
        <w:rPr>
          <w:lang w:val="en-GB"/>
        </w:rPr>
        <w:t>A multi-actor perspective on the effectiveness of human resource management implementation: An empirical analysis based on the ability-motivation-opportunity framework</w:t>
      </w:r>
      <w:r w:rsidR="00F528E0">
        <w:rPr>
          <w:lang w:val="en-GB"/>
        </w:rPr>
        <w:t>’</w:t>
      </w:r>
      <w:r w:rsidRPr="0061789F">
        <w:rPr>
          <w:lang w:val="en-GB"/>
        </w:rPr>
        <w:t>, The International Journal of Human Resource Man</w:t>
      </w:r>
      <w:r w:rsidR="003A4B25">
        <w:rPr>
          <w:lang w:val="en-GB"/>
        </w:rPr>
        <w:t>agement, 34(20), pp. 3963-4002.</w:t>
      </w:r>
    </w:p>
    <w:p w14:paraId="7D5E9448" w14:textId="67B8C479" w:rsidR="009C2C31" w:rsidRPr="0061789F" w:rsidRDefault="009602B9" w:rsidP="003A4B25">
      <w:pPr>
        <w:keepLines/>
        <w:ind w:left="720" w:hanging="720"/>
        <w:jc w:val="left"/>
        <w:rPr>
          <w:lang w:val="en-GB"/>
        </w:rPr>
      </w:pPr>
      <w:r w:rsidRPr="0061789F">
        <w:rPr>
          <w:lang w:val="en-GB"/>
        </w:rPr>
        <w:t xml:space="preserve">Theres, C. and Strohmeier, S. (2023) </w:t>
      </w:r>
      <w:r w:rsidR="00F528E0">
        <w:rPr>
          <w:lang w:val="en-GB"/>
        </w:rPr>
        <w:t>‘</w:t>
      </w:r>
      <w:r w:rsidRPr="0061789F">
        <w:rPr>
          <w:lang w:val="en-GB"/>
        </w:rPr>
        <w:t>Met the expectations? A meta-analysis of the performance consequences of digital HRM</w:t>
      </w:r>
      <w:r w:rsidR="00F528E0">
        <w:rPr>
          <w:lang w:val="en-GB"/>
        </w:rPr>
        <w:t>’</w:t>
      </w:r>
      <w:r w:rsidRPr="0061789F">
        <w:rPr>
          <w:lang w:val="en-GB"/>
        </w:rPr>
        <w:t>, The International Journal of Human Resource Man</w:t>
      </w:r>
      <w:r w:rsidR="000072A8">
        <w:rPr>
          <w:lang w:val="en-GB"/>
        </w:rPr>
        <w:t>agement, 34(20), pp. 3857-3892.</w:t>
      </w:r>
    </w:p>
    <w:p w14:paraId="306B946E" w14:textId="2229997A" w:rsidR="009C2C31" w:rsidRPr="0061789F" w:rsidRDefault="009602B9" w:rsidP="00E770BB">
      <w:pPr>
        <w:keepLines/>
        <w:ind w:left="720" w:hanging="720"/>
        <w:jc w:val="left"/>
        <w:rPr>
          <w:lang w:val="en-GB"/>
        </w:rPr>
      </w:pPr>
      <w:r w:rsidRPr="0061789F">
        <w:rPr>
          <w:lang w:val="en-GB"/>
        </w:rPr>
        <w:t xml:space="preserve">UK Government (2026) Jaguar Land Rover Limited gender pay gap report: 2025 to 2026 reporting year. Available at: </w:t>
      </w:r>
      <w:hyperlink r:id="rId10" w:history="1">
        <w:r w:rsidRPr="000072A8">
          <w:rPr>
            <w:rStyle w:val="Hyperlink"/>
            <w:lang w:val="en-GB"/>
          </w:rPr>
          <w:t>https://gender-pay-gap.service.gov.uk/employers/6897/reporting-year-2025/gender-pay-gap-report</w:t>
        </w:r>
      </w:hyperlink>
      <w:r w:rsidR="000A1A21">
        <w:rPr>
          <w:lang w:val="en-GB"/>
        </w:rPr>
        <w:t xml:space="preserve"> </w:t>
      </w:r>
      <w:r w:rsidRPr="0061789F">
        <w:rPr>
          <w:lang w:val="en-GB"/>
        </w:rPr>
        <w:t>(Accessed: 8 August 2026).</w:t>
      </w:r>
    </w:p>
    <w:sectPr w:rsidR="009C2C31" w:rsidRPr="0061789F" w:rsidSect="00264C7B">
      <w:footerReference w:type="default" r:id="rId11"/>
      <w:pgSz w:w="11909" w:h="16834"/>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2F671" w14:textId="77777777" w:rsidR="00FB6C00" w:rsidRDefault="00FB6C00">
      <w:pPr>
        <w:spacing w:before="0" w:after="0" w:line="240" w:lineRule="auto"/>
      </w:pPr>
      <w:r>
        <w:separator/>
      </w:r>
    </w:p>
  </w:endnote>
  <w:endnote w:type="continuationSeparator" w:id="0">
    <w:p w14:paraId="255D2AC7" w14:textId="77777777" w:rsidR="00FB6C00" w:rsidRDefault="00FB6C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CD5E1" w14:textId="7747D192" w:rsidR="009C2C31" w:rsidRDefault="009602B9">
    <w:pPr>
      <w:pStyle w:val="Footer"/>
      <w:jc w:val="center"/>
    </w:pPr>
    <w:r>
      <w:t xml:space="preserve">Page </w:t>
    </w:r>
    <w:r>
      <w:fldChar w:fldCharType="begin"/>
    </w:r>
    <w:r>
      <w:instrText xml:space="preserve"> PAGE </w:instrText>
    </w:r>
    <w:r>
      <w:fldChar w:fldCharType="separate"/>
    </w:r>
    <w:r w:rsidR="000072A8">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F1302" w14:textId="77777777" w:rsidR="00FB6C00" w:rsidRDefault="00FB6C00">
      <w:pPr>
        <w:spacing w:before="0" w:after="0" w:line="240" w:lineRule="auto"/>
      </w:pPr>
      <w:r>
        <w:separator/>
      </w:r>
    </w:p>
  </w:footnote>
  <w:footnote w:type="continuationSeparator" w:id="0">
    <w:p w14:paraId="7E22A4A4" w14:textId="77777777" w:rsidR="00FB6C00" w:rsidRDefault="00FB6C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67335256">
    <w:abstractNumId w:val="8"/>
  </w:num>
  <w:num w:numId="2" w16cid:durableId="1107308340">
    <w:abstractNumId w:val="6"/>
  </w:num>
  <w:num w:numId="3" w16cid:durableId="996031243">
    <w:abstractNumId w:val="5"/>
  </w:num>
  <w:num w:numId="4" w16cid:durableId="803622165">
    <w:abstractNumId w:val="4"/>
  </w:num>
  <w:num w:numId="5" w16cid:durableId="877427549">
    <w:abstractNumId w:val="7"/>
  </w:num>
  <w:num w:numId="6" w16cid:durableId="1044984567">
    <w:abstractNumId w:val="3"/>
  </w:num>
  <w:num w:numId="7" w16cid:durableId="969895972">
    <w:abstractNumId w:val="2"/>
  </w:num>
  <w:num w:numId="8" w16cid:durableId="940989906">
    <w:abstractNumId w:val="1"/>
  </w:num>
  <w:num w:numId="9" w16cid:durableId="195135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72A8"/>
    <w:rsid w:val="00034616"/>
    <w:rsid w:val="0006063C"/>
    <w:rsid w:val="00063B13"/>
    <w:rsid w:val="00083115"/>
    <w:rsid w:val="000A1A21"/>
    <w:rsid w:val="000A5798"/>
    <w:rsid w:val="000B397D"/>
    <w:rsid w:val="00117361"/>
    <w:rsid w:val="0015074B"/>
    <w:rsid w:val="001729A8"/>
    <w:rsid w:val="001866E3"/>
    <w:rsid w:val="00262220"/>
    <w:rsid w:val="00264C7B"/>
    <w:rsid w:val="00283892"/>
    <w:rsid w:val="0029639D"/>
    <w:rsid w:val="00326F90"/>
    <w:rsid w:val="003A4B25"/>
    <w:rsid w:val="003A70CF"/>
    <w:rsid w:val="004846C9"/>
    <w:rsid w:val="005DD069"/>
    <w:rsid w:val="00606B86"/>
    <w:rsid w:val="0061789F"/>
    <w:rsid w:val="00685642"/>
    <w:rsid w:val="009602B9"/>
    <w:rsid w:val="009C2C31"/>
    <w:rsid w:val="00AA1D8D"/>
    <w:rsid w:val="00B13BAD"/>
    <w:rsid w:val="00B47730"/>
    <w:rsid w:val="00B54E19"/>
    <w:rsid w:val="00B57267"/>
    <w:rsid w:val="00BC53C8"/>
    <w:rsid w:val="00BF7AA5"/>
    <w:rsid w:val="00C10A9F"/>
    <w:rsid w:val="00C243E3"/>
    <w:rsid w:val="00C33286"/>
    <w:rsid w:val="00C8412B"/>
    <w:rsid w:val="00C94164"/>
    <w:rsid w:val="00CB0664"/>
    <w:rsid w:val="00CF2F82"/>
    <w:rsid w:val="00D15587"/>
    <w:rsid w:val="00D351FD"/>
    <w:rsid w:val="00E67030"/>
    <w:rsid w:val="00E770BB"/>
    <w:rsid w:val="00F02769"/>
    <w:rsid w:val="00F10EAF"/>
    <w:rsid w:val="00F37B78"/>
    <w:rsid w:val="00F528E0"/>
    <w:rsid w:val="00FB6C00"/>
    <w:rsid w:val="00FC0E5B"/>
    <w:rsid w:val="00FC693F"/>
    <w:rsid w:val="00FD729C"/>
    <w:rsid w:val="00FE23E3"/>
    <w:rsid w:val="16D59491"/>
    <w:rsid w:val="20C8D10F"/>
    <w:rsid w:val="29C64288"/>
    <w:rsid w:val="35CDF5C2"/>
    <w:rsid w:val="3EEB7230"/>
    <w:rsid w:val="426B8EDA"/>
    <w:rsid w:val="4E861337"/>
    <w:rsid w:val="511005E7"/>
    <w:rsid w:val="66616D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0CE25C"/>
  <w14:defaultImageDpi w14:val="300"/>
  <w15:docId w15:val="{36D87A43-C9FA-4E85-BA76-A88CD346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97D"/>
    <w:pPr>
      <w:spacing w:before="120" w:after="120" w:line="360" w:lineRule="auto"/>
      <w:ind w:firstLine="720"/>
      <w:jc w:val="both"/>
    </w:pPr>
    <w:rPr>
      <w:rFonts w:ascii="Arial" w:eastAsia="Arial" w:hAnsi="Arial"/>
    </w:rPr>
  </w:style>
  <w:style w:type="paragraph" w:styleId="Heading1">
    <w:name w:val="heading 1"/>
    <w:basedOn w:val="Normal"/>
    <w:next w:val="Normal"/>
    <w:link w:val="Heading1Char"/>
    <w:uiPriority w:val="9"/>
    <w:qFormat/>
    <w:rsid w:val="00C243E3"/>
    <w:pPr>
      <w:keepNext/>
      <w:keepLines/>
      <w:ind w:firstLine="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C243E3"/>
    <w:pPr>
      <w:keepNext/>
      <w:keepLines/>
      <w:ind w:firstLine="0"/>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rsid w:val="00FC693F"/>
    <w:pPr>
      <w:spacing w:after="0" w:line="240" w:lineRule="auto"/>
    </w:pPr>
  </w:style>
  <w:style w:type="character" w:customStyle="1" w:styleId="Heading1Char">
    <w:name w:val="Heading 1 Char"/>
    <w:basedOn w:val="DefaultParagraphFont"/>
    <w:link w:val="Heading1"/>
    <w:uiPriority w:val="9"/>
    <w:rsid w:val="00C243E3"/>
    <w:rPr>
      <w:rFonts w:ascii="Arial" w:eastAsiaTheme="majorEastAsia" w:hAnsi="Arial" w:cstheme="majorBidi"/>
      <w:b/>
      <w:bCs/>
      <w:i/>
      <w:szCs w:val="28"/>
    </w:rPr>
  </w:style>
  <w:style w:type="character" w:customStyle="1" w:styleId="Heading2Char">
    <w:name w:val="Heading 2 Char"/>
    <w:basedOn w:val="DefaultParagraphFont"/>
    <w:link w:val="Heading2"/>
    <w:uiPriority w:val="9"/>
    <w:rsid w:val="00C243E3"/>
    <w:rPr>
      <w:rFonts w:ascii="Arial" w:eastAsiaTheme="majorEastAsia" w:hAnsi="Arial" w:cstheme="majorBidi"/>
      <w:bCs/>
      <w:i/>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72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Label">
    <w:name w:val="Cover Label"/>
    <w:pPr>
      <w:spacing w:after="160"/>
    </w:pPr>
    <w:rPr>
      <w:rFonts w:ascii="Arial" w:eastAsia="Arial" w:hAnsi="Arial"/>
    </w:rPr>
  </w:style>
  <w:style w:type="paragraph" w:styleId="TOC1">
    <w:name w:val="toc 1"/>
    <w:basedOn w:val="Normal"/>
    <w:next w:val="Normal"/>
    <w:autoRedefine/>
    <w:uiPriority w:val="39"/>
    <w:unhideWhenUsed/>
    <w:rsid w:val="000B397D"/>
    <w:pPr>
      <w:spacing w:after="100"/>
    </w:pPr>
  </w:style>
  <w:style w:type="paragraph" w:styleId="TOC2">
    <w:name w:val="toc 2"/>
    <w:basedOn w:val="Normal"/>
    <w:next w:val="Normal"/>
    <w:autoRedefine/>
    <w:uiPriority w:val="39"/>
    <w:unhideWhenUsed/>
    <w:rsid w:val="000B397D"/>
    <w:pPr>
      <w:spacing w:after="100"/>
      <w:ind w:left="220"/>
    </w:pPr>
  </w:style>
  <w:style w:type="character" w:styleId="Hyperlink">
    <w:name w:val="Hyperlink"/>
    <w:basedOn w:val="DefaultParagraphFont"/>
    <w:uiPriority w:val="99"/>
    <w:unhideWhenUsed/>
    <w:rsid w:val="000B397D"/>
    <w:rPr>
      <w:color w:val="0000FF" w:themeColor="hyperlink"/>
      <w:u w:val="single"/>
    </w:rPr>
  </w:style>
  <w:style w:type="character" w:customStyle="1" w:styleId="UnresolvedMention1">
    <w:name w:val="Unresolved Mention1"/>
    <w:basedOn w:val="DefaultParagraphFont"/>
    <w:uiPriority w:val="99"/>
    <w:semiHidden/>
    <w:unhideWhenUsed/>
    <w:rsid w:val="00FE23E3"/>
    <w:rPr>
      <w:color w:val="605E5C"/>
      <w:shd w:val="clear" w:color="auto" w:fill="E1DFDD"/>
    </w:rPr>
  </w:style>
  <w:style w:type="character" w:styleId="FollowedHyperlink">
    <w:name w:val="FollowedHyperlink"/>
    <w:basedOn w:val="DefaultParagraphFont"/>
    <w:uiPriority w:val="99"/>
    <w:semiHidden/>
    <w:unhideWhenUsed/>
    <w:rsid w:val="00FE23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lr.com/annual-report-20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ender-pay-gap.service.gov.uk/employers/6897/reporting-year-2025/gender-pay-gap-report" TargetMode="External"/><Relationship Id="rId4" Type="http://schemas.openxmlformats.org/officeDocument/2006/relationships/settings" Target="settings.xml"/><Relationship Id="rId9" Type="http://schemas.openxmlformats.org/officeDocument/2006/relationships/hyperlink" Target="https://www.jlr.com/annual-repor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A77CB-1058-43FA-8E1B-0C92DF45E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2953</Words>
  <Characters>16833</Characters>
  <Application>Microsoft Office Word</Application>
  <DocSecurity>4</DocSecurity>
  <Lines>140</Lines>
  <Paragraphs>39</Paragraphs>
  <ScaleCrop>false</ScaleCrop>
  <Manager/>
  <Company/>
  <LinksUpToDate>false</LinksUpToDate>
  <CharactersWithSpaces>19747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Ali Kouadio (2442205)</cp:lastModifiedBy>
  <cp:revision>4</cp:revision>
  <dcterms:created xsi:type="dcterms:W3CDTF">2026-08-20T00:01:00Z</dcterms:created>
  <dcterms:modified xsi:type="dcterms:W3CDTF">2026-08-20T00:18:00Z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d248ba7a-4625-4fb1-bfab-1a0b532429d4</vt:lpwstr>
  </property>
</Properties>
</file>