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47359" w14:textId="41FE2673" w:rsidR="00D70287" w:rsidRPr="00E013E5" w:rsidRDefault="00AA3E3A" w:rsidP="0081323C">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4E15EE2E" wp14:editId="6E816FF4">
            <wp:extent cx="5943600" cy="7292975"/>
            <wp:effectExtent l="0" t="0" r="0" b="0"/>
            <wp:docPr id="1479589562" name="Picture 2" descr="A close-up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589562" name="Picture 2" descr="A close-up of a tes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943600" cy="7292975"/>
                    </a:xfrm>
                    <a:prstGeom prst="rect">
                      <a:avLst/>
                    </a:prstGeom>
                  </pic:spPr>
                </pic:pic>
              </a:graphicData>
            </a:graphic>
          </wp:inline>
        </w:drawing>
      </w:r>
    </w:p>
    <w:p w14:paraId="32EC8C3B" w14:textId="77777777" w:rsidR="00D70287" w:rsidRPr="00E013E5" w:rsidRDefault="00D70287" w:rsidP="0081323C">
      <w:pPr>
        <w:spacing w:line="360" w:lineRule="auto"/>
        <w:jc w:val="both"/>
        <w:rPr>
          <w:rFonts w:ascii="Times New Roman" w:hAnsi="Times New Roman" w:cs="Times New Roman"/>
        </w:rPr>
      </w:pPr>
    </w:p>
    <w:p w14:paraId="7AE829CC" w14:textId="77777777" w:rsidR="00AA3E3A" w:rsidRDefault="00AA3E3A" w:rsidP="0081323C">
      <w:pPr>
        <w:spacing w:line="360" w:lineRule="auto"/>
        <w:jc w:val="both"/>
        <w:rPr>
          <w:rFonts w:ascii="Times New Roman" w:hAnsi="Times New Roman" w:cs="Times New Roman"/>
        </w:rPr>
      </w:pPr>
    </w:p>
    <w:p w14:paraId="2F04ADEC" w14:textId="76B0E257" w:rsidR="00D70287" w:rsidRPr="00AA3E3A" w:rsidRDefault="00D70287" w:rsidP="0081323C">
      <w:pPr>
        <w:spacing w:line="360" w:lineRule="auto"/>
        <w:jc w:val="both"/>
        <w:rPr>
          <w:rFonts w:ascii="Times New Roman" w:hAnsi="Times New Roman" w:cs="Times New Roman"/>
          <w:b/>
          <w:bCs/>
        </w:rPr>
      </w:pPr>
      <w:r w:rsidRPr="00AA3E3A">
        <w:rPr>
          <w:rFonts w:ascii="Times New Roman" w:hAnsi="Times New Roman" w:cs="Times New Roman"/>
          <w:b/>
          <w:bCs/>
        </w:rPr>
        <w:lastRenderedPageBreak/>
        <w:t xml:space="preserve">Title </w:t>
      </w:r>
    </w:p>
    <w:p w14:paraId="65DBB8D4" w14:textId="2864404A" w:rsidR="00D70287" w:rsidRPr="00E013E5" w:rsidRDefault="00052D2A" w:rsidP="0081323C">
      <w:pPr>
        <w:spacing w:line="360" w:lineRule="auto"/>
        <w:jc w:val="both"/>
        <w:rPr>
          <w:rFonts w:ascii="Times New Roman" w:hAnsi="Times New Roman" w:cs="Times New Roman"/>
        </w:rPr>
      </w:pPr>
      <w:r w:rsidRPr="00E013E5">
        <w:rPr>
          <w:rFonts w:ascii="Times New Roman" w:hAnsi="Times New Roman" w:cs="Times New Roman"/>
        </w:rPr>
        <w:t>Investigating</w:t>
      </w:r>
      <w:r w:rsidR="00D70287" w:rsidRPr="00E013E5">
        <w:rPr>
          <w:rFonts w:ascii="Times New Roman" w:hAnsi="Times New Roman" w:cs="Times New Roman"/>
        </w:rPr>
        <w:t xml:space="preserve"> the Impact of Technology on </w:t>
      </w:r>
      <w:r w:rsidR="007956B7" w:rsidRPr="00E013E5">
        <w:rPr>
          <w:rFonts w:ascii="Times New Roman" w:hAnsi="Times New Roman" w:cs="Times New Roman"/>
        </w:rPr>
        <w:t xml:space="preserve">Elderly </w:t>
      </w:r>
      <w:r w:rsidR="00D70287" w:rsidRPr="00E013E5">
        <w:rPr>
          <w:rFonts w:ascii="Times New Roman" w:hAnsi="Times New Roman" w:cs="Times New Roman"/>
        </w:rPr>
        <w:t>Patient Engagement and Satisfaction: An Application of the Unified Theory of Acceptance and Use of Technology (UTAUT</w:t>
      </w:r>
      <w:r w:rsidR="00CB5E37" w:rsidRPr="00E013E5">
        <w:rPr>
          <w:rFonts w:ascii="Times New Roman" w:hAnsi="Times New Roman" w:cs="Times New Roman"/>
        </w:rPr>
        <w:t xml:space="preserve">) in </w:t>
      </w:r>
      <w:r w:rsidR="004B27D2">
        <w:rPr>
          <w:rFonts w:ascii="Times New Roman" w:hAnsi="Times New Roman" w:cs="Times New Roman"/>
        </w:rPr>
        <w:t xml:space="preserve">Home based </w:t>
      </w:r>
      <w:r w:rsidR="00CB5E37" w:rsidRPr="00E013E5">
        <w:rPr>
          <w:rFonts w:ascii="Times New Roman" w:hAnsi="Times New Roman" w:cs="Times New Roman"/>
        </w:rPr>
        <w:t>Tele-rehabilitation in Hong Kong</w:t>
      </w:r>
    </w:p>
    <w:p w14:paraId="03CE220E" w14:textId="77777777" w:rsidR="00D70287" w:rsidRPr="00E013E5" w:rsidRDefault="00D70287" w:rsidP="0081323C">
      <w:pPr>
        <w:spacing w:line="360" w:lineRule="auto"/>
        <w:jc w:val="both"/>
        <w:rPr>
          <w:rFonts w:ascii="Times New Roman" w:hAnsi="Times New Roman" w:cs="Times New Roman"/>
        </w:rPr>
      </w:pPr>
    </w:p>
    <w:p w14:paraId="12A64690" w14:textId="223716D2" w:rsidR="00D70287" w:rsidRPr="00F8372F" w:rsidRDefault="00D70287" w:rsidP="0081323C">
      <w:pPr>
        <w:spacing w:line="360" w:lineRule="auto"/>
        <w:jc w:val="both"/>
        <w:rPr>
          <w:rFonts w:ascii="Times New Roman" w:hAnsi="Times New Roman" w:cs="Times New Roman"/>
          <w:b/>
          <w:bCs/>
        </w:rPr>
      </w:pPr>
      <w:r w:rsidRPr="00F8372F">
        <w:rPr>
          <w:rFonts w:ascii="Times New Roman" w:hAnsi="Times New Roman" w:cs="Times New Roman"/>
          <w:b/>
          <w:bCs/>
        </w:rPr>
        <w:t>Introduction</w:t>
      </w:r>
    </w:p>
    <w:p w14:paraId="40C6EB18" w14:textId="77777777" w:rsidR="00CF3ABE" w:rsidRPr="00CF3ABE" w:rsidRDefault="00CF3ABE" w:rsidP="00CF3ABE">
      <w:pPr>
        <w:spacing w:line="360" w:lineRule="auto"/>
        <w:jc w:val="both"/>
        <w:rPr>
          <w:rFonts w:ascii="Times New Roman" w:hAnsi="Times New Roman" w:cs="Times New Roman"/>
        </w:rPr>
      </w:pPr>
      <w:r w:rsidRPr="00CF3ABE">
        <w:rPr>
          <w:rFonts w:ascii="Times New Roman" w:hAnsi="Times New Roman" w:cs="Times New Roman"/>
        </w:rPr>
        <w:t>Hong Kong is experiencing a rapid and significant aging population trend that is expected to accelerate in the coming decades.</w:t>
      </w:r>
    </w:p>
    <w:p w14:paraId="2A35CBDE" w14:textId="77777777" w:rsidR="00CF3ABE" w:rsidRPr="00CF3ABE" w:rsidRDefault="00CF3ABE" w:rsidP="00CF3ABE">
      <w:pPr>
        <w:spacing w:line="360" w:lineRule="auto"/>
        <w:jc w:val="both"/>
        <w:rPr>
          <w:rFonts w:ascii="Times New Roman" w:hAnsi="Times New Roman" w:cs="Times New Roman"/>
        </w:rPr>
      </w:pPr>
    </w:p>
    <w:p w14:paraId="6CDAC1E9" w14:textId="77777777" w:rsidR="00CF3ABE" w:rsidRPr="00CF3ABE" w:rsidRDefault="00CF3ABE" w:rsidP="00CF3ABE">
      <w:pPr>
        <w:spacing w:line="360" w:lineRule="auto"/>
        <w:jc w:val="both"/>
        <w:rPr>
          <w:rFonts w:ascii="Times New Roman" w:hAnsi="Times New Roman" w:cs="Times New Roman"/>
        </w:rPr>
      </w:pPr>
      <w:r w:rsidRPr="00CF3ABE">
        <w:rPr>
          <w:rFonts w:ascii="Times New Roman" w:hAnsi="Times New Roman" w:cs="Times New Roman"/>
        </w:rPr>
        <w:t>This rapidly aging population, coupled with the rising prevalence of chronic diseases and increased care needs among the elderly, is driving a significant increase in the demand for rehabilitation services. This trend necessitates proactive planning and investment in rehabilitation services to meet the growing needs of older adults in Hong Kong.</w:t>
      </w:r>
    </w:p>
    <w:p w14:paraId="1F4E05AD" w14:textId="77777777" w:rsidR="00CF3ABE" w:rsidRPr="00CF3ABE" w:rsidRDefault="00CF3ABE" w:rsidP="00CF3ABE">
      <w:pPr>
        <w:spacing w:line="360" w:lineRule="auto"/>
        <w:jc w:val="both"/>
        <w:rPr>
          <w:rFonts w:ascii="Times New Roman" w:hAnsi="Times New Roman" w:cs="Times New Roman"/>
        </w:rPr>
      </w:pPr>
    </w:p>
    <w:p w14:paraId="0F3C8542" w14:textId="77777777" w:rsidR="00CF3ABE" w:rsidRPr="00CF3ABE" w:rsidRDefault="00CF3ABE" w:rsidP="00CF3ABE">
      <w:pPr>
        <w:spacing w:line="360" w:lineRule="auto"/>
        <w:jc w:val="both"/>
        <w:rPr>
          <w:rFonts w:ascii="Times New Roman" w:hAnsi="Times New Roman" w:cs="Times New Roman"/>
        </w:rPr>
      </w:pPr>
      <w:r w:rsidRPr="00CF3ABE">
        <w:rPr>
          <w:rFonts w:ascii="Times New Roman" w:hAnsi="Times New Roman" w:cs="Times New Roman"/>
        </w:rPr>
        <w:t>Growing Elderly Population</w:t>
      </w:r>
    </w:p>
    <w:p w14:paraId="1FD0EC6D" w14:textId="77777777" w:rsidR="00CF3ABE" w:rsidRPr="00CF3ABE" w:rsidRDefault="00CF3ABE" w:rsidP="00CF3ABE">
      <w:pPr>
        <w:spacing w:line="360" w:lineRule="auto"/>
        <w:jc w:val="both"/>
        <w:rPr>
          <w:rFonts w:ascii="Times New Roman" w:hAnsi="Times New Roman" w:cs="Times New Roman"/>
        </w:rPr>
      </w:pPr>
      <w:r w:rsidRPr="00CF3ABE">
        <w:rPr>
          <w:rFonts w:ascii="Times New Roman" w:hAnsi="Times New Roman" w:cs="Times New Roman"/>
        </w:rPr>
        <w:t>Hong Kong’s elderly population is increasing at an accelerated rate. In 2023, there were approximately 1.68 million people aged 65 and above, representing 22.4% of the total population. By 2033, this number is projected to increase to 2.3 million, or 29.1% of the total population.</w:t>
      </w:r>
    </w:p>
    <w:p w14:paraId="2D0AD4F6" w14:textId="77777777" w:rsidR="00CF3ABE" w:rsidRPr="00CF3ABE" w:rsidRDefault="00CF3ABE" w:rsidP="00CF3ABE">
      <w:pPr>
        <w:spacing w:line="360" w:lineRule="auto"/>
        <w:jc w:val="both"/>
        <w:rPr>
          <w:rFonts w:ascii="Times New Roman" w:hAnsi="Times New Roman" w:cs="Times New Roman"/>
        </w:rPr>
      </w:pPr>
    </w:p>
    <w:p w14:paraId="1398A029" w14:textId="77777777" w:rsidR="00CF3ABE" w:rsidRPr="00CF3ABE" w:rsidRDefault="00CF3ABE" w:rsidP="00CF3ABE">
      <w:pPr>
        <w:spacing w:line="360" w:lineRule="auto"/>
        <w:jc w:val="both"/>
        <w:rPr>
          <w:rFonts w:ascii="Times New Roman" w:hAnsi="Times New Roman" w:cs="Times New Roman"/>
        </w:rPr>
      </w:pPr>
      <w:r w:rsidRPr="00CF3ABE">
        <w:rPr>
          <w:rFonts w:ascii="Times New Roman" w:hAnsi="Times New Roman" w:cs="Times New Roman"/>
        </w:rPr>
        <w:t>Rising Chronic Disease Prevalence</w:t>
      </w:r>
    </w:p>
    <w:p w14:paraId="6145009C" w14:textId="77777777" w:rsidR="00CF3ABE" w:rsidRPr="00CF3ABE" w:rsidRDefault="00CF3ABE" w:rsidP="00CF3ABE">
      <w:pPr>
        <w:spacing w:line="360" w:lineRule="auto"/>
        <w:jc w:val="both"/>
        <w:rPr>
          <w:rFonts w:ascii="Times New Roman" w:hAnsi="Times New Roman" w:cs="Times New Roman"/>
        </w:rPr>
      </w:pPr>
      <w:r w:rsidRPr="00CF3ABE">
        <w:rPr>
          <w:rFonts w:ascii="Times New Roman" w:hAnsi="Times New Roman" w:cs="Times New Roman"/>
        </w:rPr>
        <w:t>Older adults have a higher prevalence of chronic conditions requiring rehabilitation. According to the Population Census 2021, approximately 306,000, or 28% of the elderly population, indicated a need for long-term care due to chronic diseases and various levels of disabilities.</w:t>
      </w:r>
    </w:p>
    <w:p w14:paraId="2F3557F6" w14:textId="77777777" w:rsidR="00CF3ABE" w:rsidRPr="00CF3ABE" w:rsidRDefault="00CF3ABE" w:rsidP="00CF3ABE">
      <w:pPr>
        <w:spacing w:line="360" w:lineRule="auto"/>
        <w:jc w:val="both"/>
        <w:rPr>
          <w:rFonts w:ascii="Times New Roman" w:hAnsi="Times New Roman" w:cs="Times New Roman"/>
        </w:rPr>
      </w:pPr>
    </w:p>
    <w:p w14:paraId="2C7C3270" w14:textId="77777777" w:rsidR="00CF3ABE" w:rsidRPr="00CF3ABE" w:rsidRDefault="00CF3ABE" w:rsidP="00CF3ABE">
      <w:pPr>
        <w:spacing w:line="360" w:lineRule="auto"/>
        <w:jc w:val="both"/>
        <w:rPr>
          <w:rFonts w:ascii="Times New Roman" w:hAnsi="Times New Roman" w:cs="Times New Roman"/>
        </w:rPr>
      </w:pPr>
      <w:r w:rsidRPr="00CF3ABE">
        <w:rPr>
          <w:rFonts w:ascii="Times New Roman" w:hAnsi="Times New Roman" w:cs="Times New Roman"/>
        </w:rPr>
        <w:t>Increased Care Needs</w:t>
      </w:r>
    </w:p>
    <w:p w14:paraId="33A7C3C3" w14:textId="77777777" w:rsidR="00CF3ABE" w:rsidRPr="00CF3ABE" w:rsidRDefault="00CF3ABE" w:rsidP="00CF3ABE">
      <w:pPr>
        <w:spacing w:line="360" w:lineRule="auto"/>
        <w:jc w:val="both"/>
        <w:rPr>
          <w:rFonts w:ascii="Times New Roman" w:hAnsi="Times New Roman" w:cs="Times New Roman"/>
        </w:rPr>
      </w:pPr>
      <w:r w:rsidRPr="00CF3ABE">
        <w:rPr>
          <w:rFonts w:ascii="Times New Roman" w:hAnsi="Times New Roman" w:cs="Times New Roman"/>
        </w:rPr>
        <w:lastRenderedPageBreak/>
        <w:t>As people age, their need for long-term care and rehabilitation services increases significantly. The number of patients with chronic diseases under the care of the Hospital Authority is projected to reach 3 million by 2039.</w:t>
      </w:r>
    </w:p>
    <w:p w14:paraId="460DD7D9" w14:textId="77777777" w:rsidR="00CF3ABE" w:rsidRPr="00CF3ABE" w:rsidRDefault="00CF3ABE" w:rsidP="00CF3ABE">
      <w:pPr>
        <w:spacing w:line="360" w:lineRule="auto"/>
        <w:jc w:val="both"/>
        <w:rPr>
          <w:rFonts w:ascii="Times New Roman" w:hAnsi="Times New Roman" w:cs="Times New Roman"/>
        </w:rPr>
      </w:pPr>
    </w:p>
    <w:p w14:paraId="1C1E68AA" w14:textId="77777777" w:rsidR="00CF3ABE" w:rsidRPr="00CF3ABE" w:rsidRDefault="00CF3ABE" w:rsidP="00CF3ABE">
      <w:pPr>
        <w:spacing w:line="360" w:lineRule="auto"/>
        <w:jc w:val="both"/>
        <w:rPr>
          <w:rFonts w:ascii="Times New Roman" w:hAnsi="Times New Roman" w:cs="Times New Roman"/>
        </w:rPr>
      </w:pPr>
      <w:r w:rsidRPr="00CF3ABE">
        <w:rPr>
          <w:rFonts w:ascii="Times New Roman" w:hAnsi="Times New Roman" w:cs="Times New Roman"/>
        </w:rPr>
        <w:t>Projected Demand Increase</w:t>
      </w:r>
    </w:p>
    <w:p w14:paraId="1E989EC5" w14:textId="01A5E680" w:rsidR="00D03387" w:rsidRPr="00E013E5" w:rsidRDefault="00CF3ABE" w:rsidP="0081323C">
      <w:pPr>
        <w:spacing w:line="360" w:lineRule="auto"/>
        <w:jc w:val="both"/>
        <w:rPr>
          <w:rFonts w:ascii="Times New Roman" w:hAnsi="Times New Roman" w:cs="Times New Roman"/>
        </w:rPr>
      </w:pPr>
      <w:r w:rsidRPr="00CF3ABE">
        <w:rPr>
          <w:rFonts w:ascii="Times New Roman" w:hAnsi="Times New Roman" w:cs="Times New Roman"/>
        </w:rPr>
        <w:t xml:space="preserve">Several projections indicate a significant rise in the demand for rehabilitation services in Hong Kong. By 2050, it is estimated that 48.3% of Hong Kong’s population will be 60 years or older, compared to just 29.8% in 2023. </w:t>
      </w:r>
      <w:r>
        <w:rPr>
          <w:rFonts w:ascii="Times New Roman" w:hAnsi="Times New Roman" w:cs="Times New Roman"/>
        </w:rPr>
        <w:t>Consequentially</w:t>
      </w:r>
      <w:r w:rsidRPr="00CF3ABE">
        <w:rPr>
          <w:rFonts w:ascii="Times New Roman" w:hAnsi="Times New Roman" w:cs="Times New Roman"/>
        </w:rPr>
        <w:t>, the average waiting time for subsidized residential care services has been increasing.</w:t>
      </w:r>
    </w:p>
    <w:p w14:paraId="103162B0" w14:textId="54886290" w:rsidR="00CF3ABE" w:rsidRPr="00CF3ABE" w:rsidRDefault="00CF3ABE" w:rsidP="00CF3ABE">
      <w:pPr>
        <w:spacing w:line="360" w:lineRule="auto"/>
        <w:jc w:val="both"/>
        <w:rPr>
          <w:rFonts w:ascii="Times New Roman" w:hAnsi="Times New Roman" w:cs="Times New Roman"/>
        </w:rPr>
      </w:pPr>
      <w:r w:rsidRPr="00CF3ABE">
        <w:rPr>
          <w:rFonts w:ascii="Times New Roman" w:hAnsi="Times New Roman" w:cs="Times New Roman"/>
        </w:rPr>
        <w:t xml:space="preserve">Hong Kong is renowned for its highly efficient health system, world-class medical professionals, and affordable healthcare services for its citizens. The city ranks highly in global healthcare systems, as evidenced by indicators such as </w:t>
      </w:r>
      <w:r w:rsidRPr="00CF3ABE">
        <w:rPr>
          <w:rFonts w:ascii="Times New Roman" w:hAnsi="Times New Roman" w:cs="Times New Roman"/>
        </w:rPr>
        <w:t>long-life</w:t>
      </w:r>
      <w:r w:rsidRPr="00CF3ABE">
        <w:rPr>
          <w:rFonts w:ascii="Times New Roman" w:hAnsi="Times New Roman" w:cs="Times New Roman"/>
        </w:rPr>
        <w:t xml:space="preserve"> expectancy and low infant mortality rates.</w:t>
      </w:r>
    </w:p>
    <w:p w14:paraId="51A3B2BB" w14:textId="77777777" w:rsidR="00CF3ABE" w:rsidRPr="00CF3ABE" w:rsidRDefault="00CF3ABE" w:rsidP="00CF3ABE">
      <w:pPr>
        <w:spacing w:line="360" w:lineRule="auto"/>
        <w:jc w:val="both"/>
        <w:rPr>
          <w:rFonts w:ascii="Times New Roman" w:hAnsi="Times New Roman" w:cs="Times New Roman"/>
        </w:rPr>
      </w:pPr>
      <w:r w:rsidRPr="00CF3ABE">
        <w:rPr>
          <w:rFonts w:ascii="Times New Roman" w:hAnsi="Times New Roman" w:cs="Times New Roman"/>
        </w:rPr>
        <w:t xml:space="preserve">In Hong Kong, </w:t>
      </w:r>
      <w:proofErr w:type="gramStart"/>
      <w:r w:rsidRPr="00CF3ABE">
        <w:rPr>
          <w:rFonts w:ascii="Times New Roman" w:hAnsi="Times New Roman" w:cs="Times New Roman"/>
        </w:rPr>
        <w:t>the majority of</w:t>
      </w:r>
      <w:proofErr w:type="gramEnd"/>
      <w:r w:rsidRPr="00CF3ABE">
        <w:rPr>
          <w:rFonts w:ascii="Times New Roman" w:hAnsi="Times New Roman" w:cs="Times New Roman"/>
        </w:rPr>
        <w:t xml:space="preserve"> healthcare services are provided by the public system, delivered through hospitals and care facilities managed by the Hospital Authority and the Department of Health, with support from the private sector.</w:t>
      </w:r>
    </w:p>
    <w:p w14:paraId="100CA400" w14:textId="77777777" w:rsidR="00CF3ABE" w:rsidRPr="00CF3ABE" w:rsidRDefault="00CF3ABE" w:rsidP="00CF3ABE">
      <w:pPr>
        <w:spacing w:line="360" w:lineRule="auto"/>
        <w:jc w:val="both"/>
        <w:rPr>
          <w:rFonts w:ascii="Times New Roman" w:hAnsi="Times New Roman" w:cs="Times New Roman"/>
        </w:rPr>
      </w:pPr>
    </w:p>
    <w:p w14:paraId="6DC0EC5D" w14:textId="77777777" w:rsidR="00CF3ABE" w:rsidRPr="00CF3ABE" w:rsidRDefault="00CF3ABE" w:rsidP="00CF3ABE">
      <w:pPr>
        <w:spacing w:line="360" w:lineRule="auto"/>
        <w:jc w:val="both"/>
        <w:rPr>
          <w:rFonts w:ascii="Times New Roman" w:hAnsi="Times New Roman" w:cs="Times New Roman"/>
        </w:rPr>
      </w:pPr>
      <w:r w:rsidRPr="00CF3ABE">
        <w:rPr>
          <w:rFonts w:ascii="Times New Roman" w:hAnsi="Times New Roman" w:cs="Times New Roman"/>
        </w:rPr>
        <w:t>The public healthcare system is highly subsidized, accessible, and affordable for its citizens. However, public healthcare services are always in high demand. This over-reliance on the public system has led to excessive waiting times for non-emergency procedures. The projected increase in demand has prompted the need for more innovative solutions to enhance the throughput and efficiency of the system.</w:t>
      </w:r>
    </w:p>
    <w:p w14:paraId="1D38A7DE" w14:textId="77777777" w:rsidR="00CF3ABE" w:rsidRPr="00CF3ABE" w:rsidRDefault="00CF3ABE" w:rsidP="00CF3ABE">
      <w:pPr>
        <w:spacing w:line="360" w:lineRule="auto"/>
        <w:jc w:val="both"/>
        <w:rPr>
          <w:rFonts w:ascii="Times New Roman" w:hAnsi="Times New Roman" w:cs="Times New Roman"/>
        </w:rPr>
      </w:pPr>
    </w:p>
    <w:p w14:paraId="24A309A9" w14:textId="77777777" w:rsidR="006F2B8B" w:rsidRDefault="00CF3ABE" w:rsidP="00CF3ABE">
      <w:pPr>
        <w:spacing w:line="360" w:lineRule="auto"/>
        <w:jc w:val="both"/>
        <w:rPr>
          <w:rFonts w:ascii="Times New Roman" w:hAnsi="Times New Roman" w:cs="Times New Roman"/>
        </w:rPr>
      </w:pPr>
      <w:r w:rsidRPr="00CF3ABE">
        <w:rPr>
          <w:rFonts w:ascii="Times New Roman" w:hAnsi="Times New Roman" w:cs="Times New Roman"/>
        </w:rPr>
        <w:t xml:space="preserve">Inpatient care and rehabilitation often function as a continuum of care, each closely connected and dependent on the other. In the patient journey, individuals are often transferred from acute inpatient care to rehabilitation services for conditions such as stroke and hip fractures. In 2013, 38% of stroke patients and 70% of hip fracture patients were transferred to extended care hospitals for rehabilitation after acute admissions. However, inadequate ambulatory rehabilitation service placements and long wait times for services can hinder the flow of patients from acute hospitals to </w:t>
      </w:r>
      <w:r w:rsidRPr="00CF3ABE">
        <w:rPr>
          <w:rFonts w:ascii="Times New Roman" w:hAnsi="Times New Roman" w:cs="Times New Roman"/>
        </w:rPr>
        <w:lastRenderedPageBreak/>
        <w:t>extended care hospitals. Coupled with the aging population, the patient population of the Hospital Authority with chronic diseases is projected to reach 3 million per year, increasing pressure on both inpatient and rehabilitation services (Ku et al., 2021).</w:t>
      </w:r>
    </w:p>
    <w:p w14:paraId="7ADBFE61" w14:textId="77777777" w:rsidR="006F2B8B" w:rsidRDefault="006F2B8B" w:rsidP="00CF3ABE">
      <w:pPr>
        <w:spacing w:line="360" w:lineRule="auto"/>
        <w:jc w:val="both"/>
        <w:rPr>
          <w:rFonts w:ascii="Times New Roman" w:hAnsi="Times New Roman" w:cs="Times New Roman"/>
        </w:rPr>
      </w:pPr>
    </w:p>
    <w:p w14:paraId="192623D7" w14:textId="77777777"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The Hospital Authority currently offers rehabilitation services to patients suffering from disabilities due to injury or illness. These rehabilitation services primarily take place in inpatient rehabilitation care within acute and extended care hospitals, as well as through ambulatory services such as geriatric day hospitals (GDHs), rehabilitation day programs, allied health outpatient services (AHOP), and community outreach services. Traditionally, rehabilitation services and the related manpower have been prioritized for inpatient care. For example, in 2016, 86% of stroke patients received inpatient rehabilitation compared to only 20% for day services in facilities such as day centers and 19% for outpatient services.</w:t>
      </w:r>
    </w:p>
    <w:p w14:paraId="6739BF80" w14:textId="77777777" w:rsidR="006F2B8B" w:rsidRPr="006F2B8B" w:rsidRDefault="006F2B8B" w:rsidP="006F2B8B">
      <w:pPr>
        <w:spacing w:line="360" w:lineRule="auto"/>
        <w:jc w:val="both"/>
        <w:rPr>
          <w:rFonts w:ascii="Times New Roman" w:hAnsi="Times New Roman" w:cs="Times New Roman"/>
        </w:rPr>
      </w:pPr>
    </w:p>
    <w:p w14:paraId="2D748DE2" w14:textId="77777777"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From a long-term sustainability perspective, the traditional hospital-centric service model needs to be complemented more by convalescent or community-based facilities. The current heavy reliance on inpatient services hampers the reintegration of patients into the community and unnecessarily prolongs the healing process.</w:t>
      </w:r>
    </w:p>
    <w:p w14:paraId="6B73DEA8" w14:textId="77777777" w:rsidR="006F2B8B" w:rsidRPr="006F2B8B" w:rsidRDefault="006F2B8B" w:rsidP="006F2B8B">
      <w:pPr>
        <w:spacing w:line="360" w:lineRule="auto"/>
        <w:jc w:val="both"/>
        <w:rPr>
          <w:rFonts w:ascii="Times New Roman" w:hAnsi="Times New Roman" w:cs="Times New Roman"/>
        </w:rPr>
      </w:pPr>
    </w:p>
    <w:p w14:paraId="5731BEC7" w14:textId="77777777"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Rehabilitation care occurs at both the patient and system levels. At the patient level, effective rehabilitation can improve functional outcomes, reduce patient mortality, and shorten hospital bed usage. At the system level, effective rehabilitation can alleviate pressure on acute hospital care, reduce the need to maintain stability in the community, and consequently lower overall healthcare costs.</w:t>
      </w:r>
    </w:p>
    <w:p w14:paraId="2A70B9C7" w14:textId="77777777" w:rsidR="006F2B8B" w:rsidRPr="006F2B8B" w:rsidRDefault="006F2B8B" w:rsidP="006F2B8B">
      <w:pPr>
        <w:spacing w:line="360" w:lineRule="auto"/>
        <w:jc w:val="both"/>
        <w:rPr>
          <w:rFonts w:ascii="Times New Roman" w:hAnsi="Times New Roman" w:cs="Times New Roman"/>
        </w:rPr>
      </w:pPr>
    </w:p>
    <w:p w14:paraId="6FF93AF2" w14:textId="77777777" w:rsidR="006F2B8B" w:rsidRDefault="006F2B8B" w:rsidP="006F2B8B">
      <w:pPr>
        <w:spacing w:line="360" w:lineRule="auto"/>
        <w:jc w:val="both"/>
        <w:rPr>
          <w:rFonts w:ascii="Times New Roman" w:hAnsi="Times New Roman" w:cs="Times New Roman"/>
        </w:rPr>
      </w:pPr>
      <w:proofErr w:type="gramStart"/>
      <w:r w:rsidRPr="006F2B8B">
        <w:rPr>
          <w:rFonts w:ascii="Times New Roman" w:hAnsi="Times New Roman" w:cs="Times New Roman"/>
        </w:rPr>
        <w:t>In light of</w:t>
      </w:r>
      <w:proofErr w:type="gramEnd"/>
      <w:r w:rsidRPr="006F2B8B">
        <w:rPr>
          <w:rFonts w:ascii="Times New Roman" w:hAnsi="Times New Roman" w:cs="Times New Roman"/>
        </w:rPr>
        <w:t xml:space="preserve"> the soaring demand for rehabilitation services due to population growth and aging, as well as the healthcare demand for improved clinical outcomes, there is an increasing urgency for healthcare providers to incorporate technology and innovation to enhance the efficiency and effectiveness of patient care management.</w:t>
      </w:r>
    </w:p>
    <w:p w14:paraId="785C7F03" w14:textId="77777777" w:rsidR="006F2B8B" w:rsidRDefault="006F2B8B" w:rsidP="006F2B8B">
      <w:pPr>
        <w:spacing w:line="360" w:lineRule="auto"/>
        <w:jc w:val="both"/>
        <w:rPr>
          <w:rFonts w:ascii="Times New Roman" w:hAnsi="Times New Roman" w:cs="Times New Roman"/>
        </w:rPr>
      </w:pPr>
    </w:p>
    <w:p w14:paraId="74DB170B" w14:textId="77777777"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In Hong Kong, the rate of technology adoption in the healthcare system is considered slow compared to other developed economies, such as Singapore. The ever-increasing demand for services has put pressure on the introduction and adoption of technology in tele-rehabilitation to improve access and alleviate pressure on inpatient facilities. This rate of adoption has been further accelerated by the COVID-19 pandemic. The pandemic has expedited the development, implementation, and adoption of technology and innovation in healthcare settings due to the inaccessibility of healthcare services and healthcare workers during this time (Arntz et al., 2023; Ku et al., 2021).</w:t>
      </w:r>
    </w:p>
    <w:p w14:paraId="1410083F" w14:textId="77777777" w:rsidR="006F2B8B" w:rsidRPr="006F2B8B" w:rsidRDefault="006F2B8B" w:rsidP="006F2B8B">
      <w:pPr>
        <w:spacing w:line="360" w:lineRule="auto"/>
        <w:jc w:val="both"/>
        <w:rPr>
          <w:rFonts w:ascii="Times New Roman" w:hAnsi="Times New Roman" w:cs="Times New Roman"/>
        </w:rPr>
      </w:pPr>
    </w:p>
    <w:p w14:paraId="40C1F68C" w14:textId="77777777" w:rsid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It is the long-term strategic direction of the Hospital Authority, the largest provider of healthcare in Hong Kong, to introduce medical equipment and assistive technologies into its current service model to support effective rehabilitation care (‘Strategic Service Framework for Rehabilitation Services,’ 2016, p. 98). However, this introduction has not been systematic, nor has there been any comprehensive review of the impact of technology on improving patient satisfaction and engagement in rehabilitation.</w:t>
      </w:r>
    </w:p>
    <w:p w14:paraId="10E5EDCC" w14:textId="77777777" w:rsidR="006F2B8B" w:rsidRDefault="006F2B8B" w:rsidP="006F2B8B">
      <w:pPr>
        <w:spacing w:line="360" w:lineRule="auto"/>
        <w:jc w:val="both"/>
        <w:rPr>
          <w:rFonts w:ascii="Times New Roman" w:hAnsi="Times New Roman" w:cs="Times New Roman"/>
        </w:rPr>
      </w:pPr>
    </w:p>
    <w:p w14:paraId="7D93F1BB" w14:textId="77777777"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The current landscape of rehabilitation services suffers from a lack of structured assessment tools or criteria to effectively categorize patients' rehabilitation needs. This deficiency poses significant challenges for clinical teams and caregivers, making it difficult to understand individual patient requirements and monitor progress in developing tailored care plans. In the absence of a standardized assessment framework, patients with similar rehabilitation needs may not be allocated to the appropriate facilities, leading to resource mismatches and inconsistent care across different hospitals or clusters. Furthermore, the lack of common assessment standards hampers the adoption of innovative treatment modalities, as there is insufficient supporting data to demonstrate their efficacy and effectiveness.</w:t>
      </w:r>
    </w:p>
    <w:p w14:paraId="2FAD7CBC" w14:textId="77777777" w:rsidR="006F2B8B" w:rsidRPr="006F2B8B" w:rsidRDefault="006F2B8B" w:rsidP="006F2B8B">
      <w:pPr>
        <w:spacing w:line="360" w:lineRule="auto"/>
        <w:jc w:val="both"/>
        <w:rPr>
          <w:rFonts w:ascii="Times New Roman" w:hAnsi="Times New Roman" w:cs="Times New Roman"/>
        </w:rPr>
      </w:pPr>
    </w:p>
    <w:p w14:paraId="2D96FE0E" w14:textId="77777777"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lastRenderedPageBreak/>
        <w:t>To address these issues, it is essential to design technologies and service models that prioritize holistic rehabilitation plans, foster patient engagement, and accommodate the home environment. By focusing on these aspects, healthcare providers can enhance the quality of care and improve outcomes for patients in rehabilitation (Chen et al., 2020).</w:t>
      </w:r>
    </w:p>
    <w:p w14:paraId="149D3D0D" w14:textId="77777777" w:rsidR="006F2B8B" w:rsidRPr="006F2B8B" w:rsidRDefault="006F2B8B" w:rsidP="006F2B8B">
      <w:pPr>
        <w:spacing w:line="360" w:lineRule="auto"/>
        <w:jc w:val="both"/>
        <w:rPr>
          <w:rFonts w:ascii="Times New Roman" w:hAnsi="Times New Roman" w:cs="Times New Roman"/>
        </w:rPr>
      </w:pPr>
    </w:p>
    <w:p w14:paraId="4E74BB61" w14:textId="77777777" w:rsid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Information technology platforms can enhance patient engagement by positively influencing patient behavior (Chen et al., 2020). For example, telemedicine has increased healthcare access, particularly in underserved or remote areas. Mobile health technologies, typically in the form of apps, have empowered patients to actively manage and monitor their health (</w:t>
      </w:r>
      <w:proofErr w:type="spellStart"/>
      <w:r w:rsidRPr="006F2B8B">
        <w:rPr>
          <w:rFonts w:ascii="Times New Roman" w:hAnsi="Times New Roman" w:cs="Times New Roman"/>
        </w:rPr>
        <w:t>Alawiye</w:t>
      </w:r>
      <w:proofErr w:type="spellEnd"/>
      <w:r w:rsidRPr="006F2B8B">
        <w:rPr>
          <w:rFonts w:ascii="Times New Roman" w:hAnsi="Times New Roman" w:cs="Times New Roman"/>
        </w:rPr>
        <w:t>, 2024).</w:t>
      </w:r>
    </w:p>
    <w:p w14:paraId="54C61445" w14:textId="77777777" w:rsidR="006F2B8B" w:rsidRDefault="006F2B8B" w:rsidP="006F2B8B">
      <w:pPr>
        <w:spacing w:line="360" w:lineRule="auto"/>
        <w:jc w:val="both"/>
        <w:rPr>
          <w:rFonts w:ascii="Times New Roman" w:hAnsi="Times New Roman" w:cs="Times New Roman"/>
        </w:rPr>
      </w:pPr>
    </w:p>
    <w:p w14:paraId="00C8B1C6" w14:textId="77777777"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In the global healthcare landscape, several innovative technologies are commonly recognized for enhancing rehabilitation services. Examples include teleconferencing, smartphone health apps, wearables, motion sensors, artificial intelligence, and robotics, all of which have been introduced to improve service levels (</w:t>
      </w:r>
      <w:proofErr w:type="spellStart"/>
      <w:r w:rsidRPr="006F2B8B">
        <w:rPr>
          <w:rFonts w:ascii="Times New Roman" w:hAnsi="Times New Roman" w:cs="Times New Roman"/>
        </w:rPr>
        <w:t>Pramuka</w:t>
      </w:r>
      <w:proofErr w:type="spellEnd"/>
      <w:r w:rsidRPr="006F2B8B">
        <w:rPr>
          <w:rFonts w:ascii="Times New Roman" w:hAnsi="Times New Roman" w:cs="Times New Roman"/>
        </w:rPr>
        <w:t xml:space="preserve"> and van </w:t>
      </w:r>
      <w:proofErr w:type="spellStart"/>
      <w:r w:rsidRPr="006F2B8B">
        <w:rPr>
          <w:rFonts w:ascii="Times New Roman" w:hAnsi="Times New Roman" w:cs="Times New Roman"/>
        </w:rPr>
        <w:t>Roosmalen</w:t>
      </w:r>
      <w:proofErr w:type="spellEnd"/>
      <w:r w:rsidRPr="006F2B8B">
        <w:rPr>
          <w:rFonts w:ascii="Times New Roman" w:hAnsi="Times New Roman" w:cs="Times New Roman"/>
        </w:rPr>
        <w:t>, 2009).</w:t>
      </w:r>
    </w:p>
    <w:p w14:paraId="2E58B912" w14:textId="77777777" w:rsidR="006F2B8B" w:rsidRPr="006F2B8B" w:rsidRDefault="006F2B8B" w:rsidP="006F2B8B">
      <w:pPr>
        <w:spacing w:line="360" w:lineRule="auto"/>
        <w:jc w:val="both"/>
        <w:rPr>
          <w:rFonts w:ascii="Times New Roman" w:hAnsi="Times New Roman" w:cs="Times New Roman"/>
        </w:rPr>
      </w:pPr>
    </w:p>
    <w:p w14:paraId="1CC0AD9A" w14:textId="77777777"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Telehealth and Remote Monitoring: Telehealth allows seniors to access healthcare services from the comfort of their homes.</w:t>
      </w:r>
    </w:p>
    <w:p w14:paraId="26D0A58E" w14:textId="77777777" w:rsidR="006F2B8B" w:rsidRPr="006F2B8B" w:rsidRDefault="006F2B8B" w:rsidP="006F2B8B">
      <w:pPr>
        <w:spacing w:line="360" w:lineRule="auto"/>
        <w:jc w:val="both"/>
        <w:rPr>
          <w:rFonts w:ascii="Times New Roman" w:hAnsi="Times New Roman" w:cs="Times New Roman"/>
        </w:rPr>
      </w:pPr>
    </w:p>
    <w:p w14:paraId="2D6C080D" w14:textId="77777777"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Wearables: Wearable devices are widely used for health tracking among adults. These devices can monitor vital signs such as heart rate, electrocardiogram (ECG), respiration rate, body temperature, blood pressure, physical activity, sleep patterns, and other health parameters (‘Technologies in Care for Older People,’ 2016).</w:t>
      </w:r>
    </w:p>
    <w:p w14:paraId="247D932F" w14:textId="77777777" w:rsidR="006F2B8B" w:rsidRPr="006F2B8B" w:rsidRDefault="006F2B8B" w:rsidP="006F2B8B">
      <w:pPr>
        <w:spacing w:line="360" w:lineRule="auto"/>
        <w:jc w:val="both"/>
        <w:rPr>
          <w:rFonts w:ascii="Times New Roman" w:hAnsi="Times New Roman" w:cs="Times New Roman"/>
        </w:rPr>
      </w:pPr>
    </w:p>
    <w:p w14:paraId="0084339A" w14:textId="77777777"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 xml:space="preserve">Smartphone Apps: Mobile health (mHealth) applications designed to monitor vital signs and physical activities, such as exercise tracking, nutrition monitoring, weight management, and sleep tracking, are increasingly popular among older adults. In other developed countries, smartphone ownership among older adults is still lower compared to younger age groups. In the US, </w:t>
      </w:r>
      <w:r w:rsidRPr="006F2B8B">
        <w:rPr>
          <w:rFonts w:ascii="Times New Roman" w:hAnsi="Times New Roman" w:cs="Times New Roman"/>
        </w:rPr>
        <w:lastRenderedPageBreak/>
        <w:t>smartphone ownership among adults aged 65 and older is around 76%, while in Hong Kong, over 90.7% of citizens aged 65 and older own a smartphone. The internet usage rate among the elderly population aged 65 and over is 84.2% in 2023 (Thematic Household Survey Report No. 80, published 2024).</w:t>
      </w:r>
    </w:p>
    <w:p w14:paraId="6ABC5BA5" w14:textId="77777777" w:rsidR="006F2B8B" w:rsidRPr="006F2B8B" w:rsidRDefault="006F2B8B" w:rsidP="006F2B8B">
      <w:pPr>
        <w:spacing w:line="360" w:lineRule="auto"/>
        <w:jc w:val="both"/>
        <w:rPr>
          <w:rFonts w:ascii="Times New Roman" w:hAnsi="Times New Roman" w:cs="Times New Roman"/>
        </w:rPr>
      </w:pPr>
    </w:p>
    <w:p w14:paraId="13D63391" w14:textId="77777777"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Smart Home Technologies: Smart home systems and Internet of Things (IoT) devices are being adopted to help seniors maintain independence and safety at home. Examples include voice-activated assistants, automated lighting and temperature control, fall detection and prevention sensors, and medication reminders.</w:t>
      </w:r>
    </w:p>
    <w:p w14:paraId="1B8501F8" w14:textId="77777777" w:rsidR="006F2B8B" w:rsidRPr="006F2B8B" w:rsidRDefault="006F2B8B" w:rsidP="006F2B8B">
      <w:pPr>
        <w:spacing w:line="360" w:lineRule="auto"/>
        <w:jc w:val="both"/>
        <w:rPr>
          <w:rFonts w:ascii="Times New Roman" w:hAnsi="Times New Roman" w:cs="Times New Roman"/>
        </w:rPr>
      </w:pPr>
    </w:p>
    <w:p w14:paraId="58A934B9" w14:textId="77777777"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Understanding the impact of technology on patient engagement and satisfaction is a crucial area of research, particularly as healthcare systems increasingly adopt digital solutions. The Unified Theory of Acceptance and Use of Technology (UTAUT) provides a comprehensive framework for examining this impact.</w:t>
      </w:r>
    </w:p>
    <w:p w14:paraId="6E588ECC" w14:textId="77777777" w:rsidR="006F2B8B" w:rsidRPr="006F2B8B" w:rsidRDefault="006F2B8B" w:rsidP="006F2B8B">
      <w:pPr>
        <w:spacing w:line="360" w:lineRule="auto"/>
        <w:jc w:val="both"/>
        <w:rPr>
          <w:rFonts w:ascii="Times New Roman" w:hAnsi="Times New Roman" w:cs="Times New Roman"/>
        </w:rPr>
      </w:pPr>
    </w:p>
    <w:p w14:paraId="0C3737F9" w14:textId="566B1009" w:rsidR="0081323C" w:rsidRDefault="006F2B8B" w:rsidP="006F2B8B">
      <w:pPr>
        <w:spacing w:line="360" w:lineRule="auto"/>
        <w:jc w:val="both"/>
        <w:rPr>
          <w:rFonts w:ascii="Times New Roman" w:hAnsi="Times New Roman" w:cs="Times New Roman"/>
        </w:rPr>
      </w:pPr>
      <w:r w:rsidRPr="006F2B8B">
        <w:rPr>
          <w:rFonts w:ascii="Times New Roman" w:hAnsi="Times New Roman" w:cs="Times New Roman"/>
        </w:rPr>
        <w:t>Given this context, there is a need for a study to understand patients’ engagement and satisfaction with digital health solutions. By examining these aspects through the lens of UTAUT, researchers can gain valuable insights into how technology shapes patient engagement and satisfaction in healthcare settings.</w:t>
      </w:r>
    </w:p>
    <w:p w14:paraId="5F4F1EFB" w14:textId="77777777" w:rsidR="006F2B8B" w:rsidRPr="00E013E5" w:rsidRDefault="006F2B8B" w:rsidP="006F2B8B">
      <w:pPr>
        <w:spacing w:line="360" w:lineRule="auto"/>
        <w:jc w:val="both"/>
        <w:rPr>
          <w:rFonts w:ascii="Times New Roman" w:hAnsi="Times New Roman" w:cs="Times New Roman"/>
        </w:rPr>
      </w:pPr>
    </w:p>
    <w:p w14:paraId="0D8DBD41" w14:textId="5B781139" w:rsidR="00E9461E" w:rsidRPr="000C23D6" w:rsidRDefault="00D70287" w:rsidP="0081323C">
      <w:pPr>
        <w:spacing w:line="360" w:lineRule="auto"/>
        <w:jc w:val="both"/>
        <w:rPr>
          <w:rFonts w:ascii="Times New Roman" w:hAnsi="Times New Roman" w:cs="Times New Roman"/>
          <w:b/>
          <w:bCs/>
        </w:rPr>
      </w:pPr>
      <w:r w:rsidRPr="000C23D6">
        <w:rPr>
          <w:rFonts w:ascii="Times New Roman" w:hAnsi="Times New Roman" w:cs="Times New Roman"/>
          <w:b/>
          <w:bCs/>
        </w:rPr>
        <w:t>Literature Review</w:t>
      </w:r>
    </w:p>
    <w:p w14:paraId="1CC424A9" w14:textId="77777777" w:rsidR="006F2B8B" w:rsidRDefault="006F2B8B" w:rsidP="0081323C">
      <w:pPr>
        <w:spacing w:line="360" w:lineRule="auto"/>
        <w:jc w:val="both"/>
        <w:rPr>
          <w:rFonts w:ascii="Times New Roman" w:hAnsi="Times New Roman" w:cs="Times New Roman"/>
        </w:rPr>
      </w:pPr>
    </w:p>
    <w:p w14:paraId="5756CCB5" w14:textId="77777777"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Technology adoption research has been a crucial field of study aimed at understanding and predicting how individuals and organizations accept and use new technologies. Over time, significant evolutions have occurred, and several key models have emerged to explain the complex process of technology adoption.</w:t>
      </w:r>
    </w:p>
    <w:p w14:paraId="37F80EB3" w14:textId="77777777" w:rsidR="006F2B8B" w:rsidRPr="006F2B8B" w:rsidRDefault="006F2B8B" w:rsidP="006F2B8B">
      <w:pPr>
        <w:spacing w:line="360" w:lineRule="auto"/>
        <w:jc w:val="both"/>
        <w:rPr>
          <w:rFonts w:ascii="Times New Roman" w:hAnsi="Times New Roman" w:cs="Times New Roman"/>
        </w:rPr>
      </w:pPr>
    </w:p>
    <w:p w14:paraId="4258C5CA" w14:textId="77777777"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lastRenderedPageBreak/>
        <w:t>The Technology Acceptance Model (TAM) (Davis, 1985) is one of the earliest and most influential models. TAM posits that perceived usefulness and perceived ease of use are the primary factors influencing an individual’s intention to use a technology. This model has been widely applied and validated across various contexts.</w:t>
      </w:r>
    </w:p>
    <w:p w14:paraId="62A8AB46" w14:textId="77777777" w:rsidR="006F2B8B" w:rsidRPr="006F2B8B" w:rsidRDefault="006F2B8B" w:rsidP="006F2B8B">
      <w:pPr>
        <w:spacing w:line="360" w:lineRule="auto"/>
        <w:jc w:val="both"/>
        <w:rPr>
          <w:rFonts w:ascii="Times New Roman" w:hAnsi="Times New Roman" w:cs="Times New Roman"/>
        </w:rPr>
      </w:pPr>
    </w:p>
    <w:p w14:paraId="7BBF94E9" w14:textId="77777777"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Building on TAM, the Theory of Planned Behavior (TPB) by Ajzen (1991) expanded the scope by incorporating subjective norms and perceived behavioral control as additional factors influencing technology adoption. TPB suggests that attitudes, subjective norms, and perceived control collectively shape an individual’s behavioral intentions and actual behavior.</w:t>
      </w:r>
    </w:p>
    <w:p w14:paraId="7FC0B1D7" w14:textId="77777777" w:rsidR="006F2B8B" w:rsidRPr="006F2B8B" w:rsidRDefault="006F2B8B" w:rsidP="006F2B8B">
      <w:pPr>
        <w:spacing w:line="360" w:lineRule="auto"/>
        <w:jc w:val="both"/>
        <w:rPr>
          <w:rFonts w:ascii="Times New Roman" w:hAnsi="Times New Roman" w:cs="Times New Roman"/>
        </w:rPr>
      </w:pPr>
    </w:p>
    <w:p w14:paraId="1E738768" w14:textId="77777777"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In 2003, the Unified Theory of Acceptance and Use of Technology (UTAUT) (Venkatesh et al., 2003) synthesized elements from eight previous models, including TAM and TPB. UTAUT identifies four key constructs: performance expectancy, effort expectancy, social influence, and facilitating conditions. It also considers moderating factors such as age, gender, experience, and voluntariness of use.</w:t>
      </w:r>
    </w:p>
    <w:p w14:paraId="511E75D3" w14:textId="77777777" w:rsidR="006F2B8B" w:rsidRPr="006F2B8B" w:rsidRDefault="006F2B8B" w:rsidP="006F2B8B">
      <w:pPr>
        <w:spacing w:line="360" w:lineRule="auto"/>
        <w:jc w:val="both"/>
        <w:rPr>
          <w:rFonts w:ascii="Times New Roman" w:hAnsi="Times New Roman" w:cs="Times New Roman"/>
        </w:rPr>
      </w:pPr>
    </w:p>
    <w:p w14:paraId="189AFFB7" w14:textId="77777777"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These models have provided valuable frameworks for understanding technology adoption, guiding research and practical applications across various domains, from information systems to consumer behavior and organizational change.</w:t>
      </w:r>
    </w:p>
    <w:p w14:paraId="0D50BDB7" w14:textId="77777777" w:rsidR="006F2B8B" w:rsidRPr="006F2B8B" w:rsidRDefault="006F2B8B" w:rsidP="006F2B8B">
      <w:pPr>
        <w:spacing w:line="360" w:lineRule="auto"/>
        <w:jc w:val="both"/>
        <w:rPr>
          <w:rFonts w:ascii="Times New Roman" w:hAnsi="Times New Roman" w:cs="Times New Roman"/>
        </w:rPr>
      </w:pPr>
    </w:p>
    <w:p w14:paraId="6D8ACBBA" w14:textId="77777777"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Adopting new technology can be challenging for most people, and this situation is even more pronounced in the healthcare industry, despite health being considered one of the most important aspects of life. Many factors influence people's choices regarding technology acceptance in the healthcare sector.</w:t>
      </w:r>
    </w:p>
    <w:p w14:paraId="00B68BE5" w14:textId="77777777" w:rsidR="006F2B8B" w:rsidRPr="006F2B8B" w:rsidRDefault="006F2B8B" w:rsidP="006F2B8B">
      <w:pPr>
        <w:spacing w:line="360" w:lineRule="auto"/>
        <w:jc w:val="both"/>
        <w:rPr>
          <w:rFonts w:ascii="Times New Roman" w:hAnsi="Times New Roman" w:cs="Times New Roman"/>
        </w:rPr>
      </w:pPr>
    </w:p>
    <w:p w14:paraId="76218443" w14:textId="77777777"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 xml:space="preserve">Older individuals are typically less adaptive to changes than younger generations. When faced with technology, older adults may have lower literacy levels, which can induce anxiety. Models </w:t>
      </w:r>
      <w:r w:rsidRPr="006F2B8B">
        <w:rPr>
          <w:rFonts w:ascii="Times New Roman" w:hAnsi="Times New Roman" w:cs="Times New Roman"/>
        </w:rPr>
        <w:lastRenderedPageBreak/>
        <w:t xml:space="preserve">such as TAM suggest that older adults’ willingness to adopt technology is determined by their perceptions of three aspects of the technologies: the perceived value of the technologies, the perceived improvement in quality of life attainable from the technologies, and their confidence in being able to use the technologies. These three factors are facilitated or hindered by the perceived effort required to learn, a positive attitude towards adoption (i.e., technology readiness), and the perceived help required to learn (Niehaves and Plattfaut, 2014; Moxley, </w:t>
      </w:r>
      <w:proofErr w:type="spellStart"/>
      <w:r w:rsidRPr="006F2B8B">
        <w:rPr>
          <w:rFonts w:ascii="Times New Roman" w:hAnsi="Times New Roman" w:cs="Times New Roman"/>
        </w:rPr>
        <w:t>Sharit</w:t>
      </w:r>
      <w:proofErr w:type="spellEnd"/>
      <w:r w:rsidRPr="006F2B8B">
        <w:rPr>
          <w:rFonts w:ascii="Times New Roman" w:hAnsi="Times New Roman" w:cs="Times New Roman"/>
        </w:rPr>
        <w:t>, and Czaja, 2022).</w:t>
      </w:r>
    </w:p>
    <w:p w14:paraId="7EDC07C2" w14:textId="77777777" w:rsidR="006F2B8B" w:rsidRPr="006F2B8B" w:rsidRDefault="006F2B8B" w:rsidP="006F2B8B">
      <w:pPr>
        <w:spacing w:line="360" w:lineRule="auto"/>
        <w:jc w:val="both"/>
        <w:rPr>
          <w:rFonts w:ascii="Times New Roman" w:hAnsi="Times New Roman" w:cs="Times New Roman"/>
        </w:rPr>
      </w:pPr>
    </w:p>
    <w:p w14:paraId="5A2287CC" w14:textId="77777777"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 xml:space="preserve">Building on the foundation of TAM, UTAUT has proliferated and demonstrated strong predictive power in healthcare settings, potentially explaining as much as 70% of the variation in intention (Chakraborty and </w:t>
      </w:r>
      <w:proofErr w:type="spellStart"/>
      <w:r w:rsidRPr="006F2B8B">
        <w:rPr>
          <w:rFonts w:ascii="Times New Roman" w:hAnsi="Times New Roman" w:cs="Times New Roman"/>
        </w:rPr>
        <w:t>Rashdi</w:t>
      </w:r>
      <w:proofErr w:type="spellEnd"/>
      <w:r w:rsidRPr="006F2B8B">
        <w:rPr>
          <w:rFonts w:ascii="Times New Roman" w:hAnsi="Times New Roman" w:cs="Times New Roman"/>
        </w:rPr>
        <w:t>, 2018). As a result, the model has been frequently used in the healthcare sector to examine technology innovations such as electronic health records, telemedicine, and mobile apps.</w:t>
      </w:r>
    </w:p>
    <w:p w14:paraId="79C093B8" w14:textId="77777777" w:rsidR="006F2B8B" w:rsidRPr="006F2B8B" w:rsidRDefault="006F2B8B" w:rsidP="006F2B8B">
      <w:pPr>
        <w:spacing w:line="360" w:lineRule="auto"/>
        <w:jc w:val="both"/>
        <w:rPr>
          <w:rFonts w:ascii="Times New Roman" w:hAnsi="Times New Roman" w:cs="Times New Roman"/>
        </w:rPr>
      </w:pPr>
    </w:p>
    <w:p w14:paraId="7A507985" w14:textId="6BEFE849" w:rsidR="00741B78" w:rsidRPr="00E013E5" w:rsidRDefault="006F2B8B" w:rsidP="006F2B8B">
      <w:pPr>
        <w:spacing w:line="360" w:lineRule="auto"/>
        <w:jc w:val="both"/>
        <w:rPr>
          <w:rFonts w:ascii="Times New Roman" w:hAnsi="Times New Roman" w:cs="Times New Roman"/>
        </w:rPr>
      </w:pPr>
      <w:r w:rsidRPr="006F2B8B">
        <w:rPr>
          <w:rFonts w:ascii="Times New Roman" w:hAnsi="Times New Roman" w:cs="Times New Roman"/>
        </w:rPr>
        <w:t>The Unified Theory of Acceptance and Use of Technology (UTAUT) provides a comprehensive framework for understanding patient engagement with healthcare technologies (</w:t>
      </w:r>
      <w:proofErr w:type="spellStart"/>
      <w:r w:rsidRPr="006F2B8B">
        <w:rPr>
          <w:rFonts w:ascii="Times New Roman" w:hAnsi="Times New Roman" w:cs="Times New Roman"/>
        </w:rPr>
        <w:t>Rondan</w:t>
      </w:r>
      <w:proofErr w:type="spellEnd"/>
      <w:r w:rsidRPr="006F2B8B">
        <w:rPr>
          <w:rFonts w:ascii="Times New Roman" w:hAnsi="Times New Roman" w:cs="Times New Roman"/>
        </w:rPr>
        <w:t>-Cataluña, Arenas-Gaitán, and Ramírez-Correa, 2015).</w:t>
      </w:r>
    </w:p>
    <w:p w14:paraId="0F3AA1BE" w14:textId="575BC153" w:rsidR="00741B78" w:rsidRPr="00E013E5" w:rsidRDefault="00741B78" w:rsidP="0081323C">
      <w:pPr>
        <w:spacing w:line="360" w:lineRule="auto"/>
        <w:jc w:val="both"/>
        <w:rPr>
          <w:rFonts w:ascii="Times New Roman" w:hAnsi="Times New Roman" w:cs="Times New Roman"/>
        </w:rPr>
      </w:pPr>
      <w:r w:rsidRPr="00E013E5">
        <w:rPr>
          <w:rFonts w:ascii="Times New Roman" w:hAnsi="Times New Roman" w:cs="Times New Roman"/>
        </w:rPr>
        <w:lastRenderedPageBreak/>
        <w:fldChar w:fldCharType="begin"/>
      </w:r>
      <w:r w:rsidRPr="00E013E5">
        <w:rPr>
          <w:rFonts w:ascii="Times New Roman" w:hAnsi="Times New Roman" w:cs="Times New Roman"/>
        </w:rPr>
        <w:instrText xml:space="preserve"> INCLUDEPICTURE "/Users/yvonnelai/Library/Group Containers/UBF8T346G9.ms/WebArchiveCopyPasteTempFiles/com.microsoft.Word/497534_1_En_6_Fig1_HTML.jpg" \* MERGEFORMATINET </w:instrText>
      </w:r>
      <w:r w:rsidRPr="00E013E5">
        <w:rPr>
          <w:rFonts w:ascii="Times New Roman" w:hAnsi="Times New Roman" w:cs="Times New Roman"/>
        </w:rPr>
        <w:fldChar w:fldCharType="separate"/>
      </w:r>
      <w:r w:rsidRPr="00E013E5">
        <w:rPr>
          <w:rFonts w:ascii="Times New Roman" w:hAnsi="Times New Roman" w:cs="Times New Roman"/>
          <w:noProof/>
        </w:rPr>
        <w:drawing>
          <wp:inline distT="0" distB="0" distL="0" distR="0" wp14:anchorId="76147C0B" wp14:editId="0AE7AB9C">
            <wp:extent cx="5943600" cy="3644265"/>
            <wp:effectExtent l="0" t="0" r="0" b="635"/>
            <wp:docPr id="1230370072" name="Picture 1"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1" descr="Fig.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644265"/>
                    </a:xfrm>
                    <a:prstGeom prst="rect">
                      <a:avLst/>
                    </a:prstGeom>
                    <a:noFill/>
                    <a:ln>
                      <a:noFill/>
                    </a:ln>
                  </pic:spPr>
                </pic:pic>
              </a:graphicData>
            </a:graphic>
          </wp:inline>
        </w:drawing>
      </w:r>
      <w:r w:rsidRPr="00E013E5">
        <w:rPr>
          <w:rFonts w:ascii="Times New Roman" w:hAnsi="Times New Roman" w:cs="Times New Roman"/>
        </w:rPr>
        <w:fldChar w:fldCharType="end"/>
      </w:r>
    </w:p>
    <w:p w14:paraId="51E019B1" w14:textId="500E9106" w:rsidR="00741B78" w:rsidRPr="00E013E5" w:rsidRDefault="00741B78" w:rsidP="0081323C">
      <w:pPr>
        <w:spacing w:line="360" w:lineRule="auto"/>
        <w:jc w:val="both"/>
        <w:rPr>
          <w:rFonts w:ascii="Times New Roman" w:hAnsi="Times New Roman" w:cs="Times New Roman"/>
        </w:rPr>
      </w:pPr>
      <w:r w:rsidRPr="00E013E5">
        <w:rPr>
          <w:rFonts w:ascii="Times New Roman" w:hAnsi="Times New Roman" w:cs="Times New Roman"/>
          <w:color w:val="1B1B1B"/>
          <w:shd w:val="clear" w:color="auto" w:fill="FFFCF0"/>
        </w:rPr>
        <w:t xml:space="preserve">Unified theory of acceptance and use of technology   </w:t>
      </w:r>
      <w:r w:rsidRPr="00E013E5">
        <w:rPr>
          <w:rFonts w:ascii="Times New Roman" w:hAnsi="Times New Roman" w:cs="Times New Roman"/>
          <w:color w:val="1B1B1B"/>
          <w:shd w:val="clear" w:color="auto" w:fill="FFFCF0"/>
        </w:rPr>
        <w:fldChar w:fldCharType="begin"/>
      </w:r>
      <w:r w:rsidRPr="00E013E5">
        <w:rPr>
          <w:rFonts w:ascii="Times New Roman" w:hAnsi="Times New Roman" w:cs="Times New Roman"/>
          <w:color w:val="1B1B1B"/>
          <w:shd w:val="clear" w:color="auto" w:fill="FFFCF0"/>
        </w:rPr>
        <w:instrText xml:space="preserve"> ADDIN ZOTERO_TEMP </w:instrText>
      </w:r>
      <w:r w:rsidRPr="00E013E5">
        <w:rPr>
          <w:rFonts w:ascii="Times New Roman" w:hAnsi="Times New Roman" w:cs="Times New Roman"/>
          <w:color w:val="1B1B1B"/>
          <w:shd w:val="clear" w:color="auto" w:fill="FFFCF0"/>
        </w:rPr>
        <w:fldChar w:fldCharType="separate"/>
      </w:r>
      <w:r w:rsidR="00DD30C8" w:rsidRPr="00E013E5">
        <w:rPr>
          <w:rFonts w:ascii="Times New Roman" w:hAnsi="Times New Roman" w:cs="Times New Roman"/>
          <w:noProof/>
          <w:color w:val="1B1B1B"/>
          <w:shd w:val="clear" w:color="auto" w:fill="FFFCF0"/>
        </w:rPr>
        <w:t xml:space="preserve">(Vanketesh et al. (2003) </w:t>
      </w:r>
      <w:r w:rsidRPr="00E013E5">
        <w:rPr>
          <w:rFonts w:ascii="Times New Roman" w:hAnsi="Times New Roman" w:cs="Times New Roman"/>
          <w:noProof/>
          <w:color w:val="1B1B1B"/>
          <w:shd w:val="clear" w:color="auto" w:fill="FFFCF0"/>
        </w:rPr>
        <w:t>}</w:t>
      </w:r>
      <w:r w:rsidRPr="00E013E5">
        <w:rPr>
          <w:rFonts w:ascii="Times New Roman" w:hAnsi="Times New Roman" w:cs="Times New Roman"/>
          <w:color w:val="1B1B1B"/>
          <w:shd w:val="clear" w:color="auto" w:fill="FFFCF0"/>
        </w:rPr>
        <w:fldChar w:fldCharType="end"/>
      </w:r>
    </w:p>
    <w:p w14:paraId="7F2A9768" w14:textId="77777777" w:rsidR="00741B78" w:rsidRPr="00E013E5" w:rsidRDefault="00741B78" w:rsidP="0081323C">
      <w:pPr>
        <w:spacing w:line="360" w:lineRule="auto"/>
        <w:jc w:val="both"/>
        <w:rPr>
          <w:rFonts w:ascii="Times New Roman" w:hAnsi="Times New Roman" w:cs="Times New Roman"/>
        </w:rPr>
      </w:pPr>
    </w:p>
    <w:p w14:paraId="5FBE49C7" w14:textId="77777777"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Performance Expectancy: Performance expectancy is a key factor in driving patient engagement, referring to how useful the technology is perceived by the patient in helping them achieve their desired results. Patients are more likely to adopt technology that they believe will benefit their health outcomes. For example, patients who believe that using a mobile health app or a wearable health device (such as an Apple Watch) will help them manage their daily health activities are more likely to use it continuously. Performance expectancy is a key construct in the UTAUT theory and has a significant influence on users’ intentions to adopt and engage with healthcare technologies, including telerehabilitation and mobile health applications. It is consistently found to be one of the strongest predictors of behavioral intention to use healthcare technologies (Diel et al., 2023).</w:t>
      </w:r>
    </w:p>
    <w:p w14:paraId="222138ED" w14:textId="77777777" w:rsidR="006F2B8B" w:rsidRPr="006F2B8B" w:rsidRDefault="006F2B8B" w:rsidP="006F2B8B">
      <w:pPr>
        <w:spacing w:line="360" w:lineRule="auto"/>
        <w:jc w:val="both"/>
        <w:rPr>
          <w:rFonts w:ascii="Times New Roman" w:hAnsi="Times New Roman" w:cs="Times New Roman"/>
        </w:rPr>
      </w:pPr>
    </w:p>
    <w:p w14:paraId="6F91A992" w14:textId="77777777"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 xml:space="preserve">Effort Expectancy: Effort expectancy refers to the perceived ease of use of a particular technology. This factor is particularly relevant for elderly patients. There is a notable gap between older adults and younger generations in terms of access to, use of, and proficiency with digital technologies </w:t>
      </w:r>
      <w:r w:rsidRPr="006F2B8B">
        <w:rPr>
          <w:rFonts w:ascii="Times New Roman" w:hAnsi="Times New Roman" w:cs="Times New Roman"/>
        </w:rPr>
        <w:lastRenderedPageBreak/>
        <w:t>and the internet. Older adults are likely to have less access to digital devices and internet connections compared to younger generations (</w:t>
      </w:r>
      <w:proofErr w:type="spellStart"/>
      <w:r w:rsidRPr="006F2B8B">
        <w:rPr>
          <w:rFonts w:ascii="Times New Roman" w:hAnsi="Times New Roman" w:cs="Times New Roman"/>
        </w:rPr>
        <w:t>Kutsal</w:t>
      </w:r>
      <w:proofErr w:type="spellEnd"/>
      <w:r w:rsidRPr="006F2B8B">
        <w:rPr>
          <w:rFonts w:ascii="Times New Roman" w:hAnsi="Times New Roman" w:cs="Times New Roman"/>
        </w:rPr>
        <w:t xml:space="preserve">, 2023; Yang, Gao, and Jiang, 2024). Even when they have access, older adults tend to use digital technologies and the internet less frequently and for fewer purposes than younger people. This is compounded by their lower levels of digital literacy and the skills needed to effectively use modern technologies (Ma, Chan, and </w:t>
      </w:r>
      <w:proofErr w:type="spellStart"/>
      <w:r w:rsidRPr="006F2B8B">
        <w:rPr>
          <w:rFonts w:ascii="Times New Roman" w:hAnsi="Times New Roman" w:cs="Times New Roman"/>
        </w:rPr>
        <w:t>Teh</w:t>
      </w:r>
      <w:proofErr w:type="spellEnd"/>
      <w:r w:rsidRPr="006F2B8B">
        <w:rPr>
          <w:rFonts w:ascii="Times New Roman" w:hAnsi="Times New Roman" w:cs="Times New Roman"/>
        </w:rPr>
        <w:t xml:space="preserve">, 2020). Consequently, many older adults develop negative perceptions or anxiety about using technology, which can further widen the digital divide. This divide is often exacerbated by socioeconomic factors such as income, education level, and race/ethnicity. The digital divide observed in the aging population impacts their willingness or intention to adopt technology (Niehaves and Plattfaut, 2014; Moxley, </w:t>
      </w:r>
      <w:proofErr w:type="spellStart"/>
      <w:r w:rsidRPr="006F2B8B">
        <w:rPr>
          <w:rFonts w:ascii="Times New Roman" w:hAnsi="Times New Roman" w:cs="Times New Roman"/>
        </w:rPr>
        <w:t>Sharit</w:t>
      </w:r>
      <w:proofErr w:type="spellEnd"/>
      <w:r w:rsidRPr="006F2B8B">
        <w:rPr>
          <w:rFonts w:ascii="Times New Roman" w:hAnsi="Times New Roman" w:cs="Times New Roman"/>
        </w:rPr>
        <w:t>, and Czaja, 2022).</w:t>
      </w:r>
    </w:p>
    <w:p w14:paraId="42233F33" w14:textId="77777777" w:rsidR="006F2B8B" w:rsidRPr="006F2B8B" w:rsidRDefault="006F2B8B" w:rsidP="006F2B8B">
      <w:pPr>
        <w:spacing w:line="360" w:lineRule="auto"/>
        <w:jc w:val="both"/>
        <w:rPr>
          <w:rFonts w:ascii="Times New Roman" w:hAnsi="Times New Roman" w:cs="Times New Roman"/>
        </w:rPr>
      </w:pPr>
    </w:p>
    <w:p w14:paraId="5D3C566D" w14:textId="5D98547B" w:rsidR="006F2B8B" w:rsidRPr="006F2B8B" w:rsidRDefault="006F2B8B" w:rsidP="006F2B8B">
      <w:pPr>
        <w:spacing w:line="360" w:lineRule="auto"/>
        <w:jc w:val="both"/>
        <w:rPr>
          <w:rFonts w:ascii="Times New Roman" w:hAnsi="Times New Roman" w:cs="Times New Roman"/>
        </w:rPr>
      </w:pPr>
      <w:r w:rsidRPr="006F2B8B">
        <w:rPr>
          <w:rFonts w:ascii="Times New Roman" w:hAnsi="Times New Roman" w:cs="Times New Roman"/>
        </w:rPr>
        <w:t>Social Influence: The opinions and support of others</w:t>
      </w:r>
      <w:r w:rsidR="002C5214">
        <w:rPr>
          <w:rFonts w:ascii="Times New Roman" w:hAnsi="Times New Roman" w:cs="Times New Roman"/>
        </w:rPr>
        <w:t xml:space="preserve">, </w:t>
      </w:r>
      <w:r w:rsidRPr="006F2B8B">
        <w:rPr>
          <w:rFonts w:ascii="Times New Roman" w:hAnsi="Times New Roman" w:cs="Times New Roman"/>
        </w:rPr>
        <w:t>particularly family, friends, caregivers, and healthcare providers</w:t>
      </w:r>
      <w:r w:rsidR="002C5214">
        <w:rPr>
          <w:rFonts w:ascii="Times New Roman" w:hAnsi="Times New Roman" w:cs="Times New Roman"/>
        </w:rPr>
        <w:t xml:space="preserve">, </w:t>
      </w:r>
      <w:r w:rsidRPr="006F2B8B">
        <w:rPr>
          <w:rFonts w:ascii="Times New Roman" w:hAnsi="Times New Roman" w:cs="Times New Roman"/>
        </w:rPr>
        <w:t>can positively influence patients' acceptance and satisfaction with using technology.</w:t>
      </w:r>
    </w:p>
    <w:p w14:paraId="6ECC77B3" w14:textId="77777777" w:rsidR="006F2B8B" w:rsidRPr="006F2B8B" w:rsidRDefault="006F2B8B" w:rsidP="006F2B8B">
      <w:pPr>
        <w:spacing w:line="360" w:lineRule="auto"/>
        <w:jc w:val="both"/>
        <w:rPr>
          <w:rFonts w:ascii="Times New Roman" w:hAnsi="Times New Roman" w:cs="Times New Roman"/>
        </w:rPr>
      </w:pPr>
    </w:p>
    <w:p w14:paraId="73BF9201" w14:textId="351901A5" w:rsidR="000D51C4" w:rsidRDefault="006F2B8B" w:rsidP="006F2B8B">
      <w:pPr>
        <w:spacing w:line="360" w:lineRule="auto"/>
        <w:jc w:val="both"/>
        <w:rPr>
          <w:rFonts w:ascii="Times New Roman" w:hAnsi="Times New Roman" w:cs="Times New Roman"/>
        </w:rPr>
      </w:pPr>
      <w:r w:rsidRPr="006F2B8B">
        <w:rPr>
          <w:rFonts w:ascii="Times New Roman" w:hAnsi="Times New Roman" w:cs="Times New Roman"/>
        </w:rPr>
        <w:t>Facilitating Conditions: The availability of organizational and technical infrastructure supporting technology use can influence patient satisfaction. This includes technical support or assistance to address any issues, as well as the provision of an adequate physical environment for using rehabilitation technologies in home or nursing care facilities (Chen et al., 2020).</w:t>
      </w:r>
    </w:p>
    <w:p w14:paraId="3958DC04" w14:textId="77777777" w:rsidR="002C5214" w:rsidRDefault="002C5214" w:rsidP="006F2B8B">
      <w:pPr>
        <w:spacing w:line="360" w:lineRule="auto"/>
        <w:jc w:val="both"/>
        <w:rPr>
          <w:rFonts w:ascii="Times New Roman" w:hAnsi="Times New Roman" w:cs="Times New Roman"/>
        </w:rPr>
      </w:pPr>
    </w:p>
    <w:p w14:paraId="31A84427" w14:textId="77777777" w:rsidR="002C5214" w:rsidRPr="00E013E5" w:rsidRDefault="002C5214" w:rsidP="006F2B8B">
      <w:pPr>
        <w:spacing w:line="360" w:lineRule="auto"/>
        <w:jc w:val="both"/>
        <w:rPr>
          <w:rFonts w:ascii="Times New Roman" w:hAnsi="Times New Roman" w:cs="Times New Roman"/>
        </w:rPr>
      </w:pPr>
    </w:p>
    <w:p w14:paraId="3C9D86E6" w14:textId="1CDB5C51" w:rsidR="00A704B2" w:rsidRPr="006C4FBD" w:rsidRDefault="00977FF3" w:rsidP="0081323C">
      <w:pPr>
        <w:spacing w:line="360" w:lineRule="auto"/>
        <w:jc w:val="both"/>
        <w:rPr>
          <w:rFonts w:ascii="Times New Roman" w:hAnsi="Times New Roman" w:cs="Times New Roman"/>
          <w:u w:val="single"/>
        </w:rPr>
      </w:pPr>
      <w:r w:rsidRPr="006C4FBD">
        <w:rPr>
          <w:rFonts w:ascii="Times New Roman" w:hAnsi="Times New Roman" w:cs="Times New Roman"/>
          <w:u w:val="single"/>
        </w:rPr>
        <w:t>Applications of the UTAUT theory in healthcare industry research</w:t>
      </w:r>
    </w:p>
    <w:p w14:paraId="5A06E8AC"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The study reviewed in this paper employs the UTAUT theory as its theoretical framework. The research aims to gather healthcare-related studies utilizing UTAUT theory to analyze and determine the parameters, characteristics, and perspectives of its application in the healthcare industry. The literature review will focus on research studies published in the past five years (2019-2024) to ensure the timeliness and relevance of the findings.</w:t>
      </w:r>
    </w:p>
    <w:p w14:paraId="5618F01D" w14:textId="77777777" w:rsidR="002C5214" w:rsidRPr="002C5214" w:rsidRDefault="002C5214" w:rsidP="002C5214">
      <w:pPr>
        <w:spacing w:line="360" w:lineRule="auto"/>
        <w:jc w:val="both"/>
        <w:rPr>
          <w:rFonts w:ascii="Times New Roman" w:hAnsi="Times New Roman" w:cs="Times New Roman"/>
        </w:rPr>
      </w:pPr>
    </w:p>
    <w:p w14:paraId="15C07C61"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lastRenderedPageBreak/>
        <w:t>As highlighted by Chen et al. (2024), older adults with chronic diseases frequently experience a digital divide that hampers their effective use of digital health technologies. This demographic often exhibits technology anxiety, negatively influencing their behavioral intention to adopt new technologies. Specifically, older patients with lower education levels tend to have reduced digital literacy, further impeding their access to digital health resources and exacerbating technology anxiety. To mitigate these challenges, it is essential to enhance facilitating conditions, improve the user experience of devices, and encourage engagement among groups with lower educational attainment. Such strategies can help alleviate technology anxiety and foster greater acceptance and adoption of digital health solutions among older adults. Furthermore, product designers must prioritize the user experience for elderly individuals, ensuring that technology is accessible and user-friendly to lower the barriers associated with technology knowledge (Chen et al., 2024).</w:t>
      </w:r>
    </w:p>
    <w:p w14:paraId="147041AC" w14:textId="77777777" w:rsidR="002C5214" w:rsidRPr="002C5214" w:rsidRDefault="002C5214" w:rsidP="002C5214">
      <w:pPr>
        <w:spacing w:line="360" w:lineRule="auto"/>
        <w:jc w:val="both"/>
        <w:rPr>
          <w:rFonts w:ascii="Times New Roman" w:hAnsi="Times New Roman" w:cs="Times New Roman"/>
        </w:rPr>
      </w:pPr>
    </w:p>
    <w:p w14:paraId="3194324F"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In 2022, Kang et al. explored the factors influencing the acceptance of smart home health care services (SHHSs) in South Korea, particularly in the context of the COVID-19 pandemic. Utilizing an integrated model of the Unified Theory of Acceptance and Use of Technology (UTAUT) and Task–Technology Fit (TTF), the findings indicated that the integrated model explained significant variance in behavioral intention (55.2%), adoption (44.9%), and continuous use (62.5%) of smart home healthcare services. Key determinants of behavioral intention included performance expectancy, effort expectancy, social influence, and facilitating conditions. However, it is worth noting that task–technology fit notably influenced performance expectancy and behavioral intention in designing a new digital healthcare experience.</w:t>
      </w:r>
    </w:p>
    <w:p w14:paraId="1D5ADDD6" w14:textId="77777777" w:rsidR="002C5214" w:rsidRPr="002C5214" w:rsidRDefault="002C5214" w:rsidP="002C5214">
      <w:pPr>
        <w:spacing w:line="360" w:lineRule="auto"/>
        <w:jc w:val="both"/>
        <w:rPr>
          <w:rFonts w:ascii="Times New Roman" w:hAnsi="Times New Roman" w:cs="Times New Roman"/>
        </w:rPr>
      </w:pPr>
    </w:p>
    <w:p w14:paraId="41FD2C1D"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 xml:space="preserve">Yu and Chen (2024) investigated the factors influencing the acceptance of chatbots in healthcare delivery among older adults, utilizing an extended UTAUT model. In addition to the parameters in UTAUT—such as performance expectancy, effort expectancy, social influence, and facilitating conditions—the model incorporated aging-related factors such as perceived physical condition, self-actualization needs, and technology anxiety. The study demonstrated that performance expectancy, effort expectancy, and social influence significantly affected older adults' behavioral intentions to use chatbots. Additionally, facilitating conditions, self-actualization needs, and perceived physical condition significantly influenced the actual usage behavior of chatbots among </w:t>
      </w:r>
      <w:r w:rsidRPr="002C5214">
        <w:rPr>
          <w:rFonts w:ascii="Times New Roman" w:hAnsi="Times New Roman" w:cs="Times New Roman"/>
        </w:rPr>
        <w:lastRenderedPageBreak/>
        <w:t>the elderly. Interestingly, technology anxiety did not show a significant effect on usage behavior (Yu and Chen, 2024).</w:t>
      </w:r>
    </w:p>
    <w:p w14:paraId="2892386B" w14:textId="77777777" w:rsidR="002C5214" w:rsidRPr="002C5214" w:rsidRDefault="002C5214" w:rsidP="002C5214">
      <w:pPr>
        <w:spacing w:line="360" w:lineRule="auto"/>
        <w:jc w:val="both"/>
        <w:rPr>
          <w:rFonts w:ascii="Times New Roman" w:hAnsi="Times New Roman" w:cs="Times New Roman"/>
        </w:rPr>
      </w:pPr>
    </w:p>
    <w:p w14:paraId="0C8B1938"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Meng and Guo (2024) examined the factors influencing users’ intention to continue using mobile medical apps within the framework of the UTAUT model. In addition to the determinants suggested by UTAUT—performance expectancy, social influence, and facilitating conditions—the research found that doctor-patient trust also significantly impacted users’ intention to utilize mobile medical apps.</w:t>
      </w:r>
    </w:p>
    <w:p w14:paraId="4F534399" w14:textId="77777777" w:rsidR="002C5214" w:rsidRPr="002C5214" w:rsidRDefault="002C5214" w:rsidP="002C5214">
      <w:pPr>
        <w:spacing w:line="360" w:lineRule="auto"/>
        <w:jc w:val="both"/>
        <w:rPr>
          <w:rFonts w:ascii="Times New Roman" w:hAnsi="Times New Roman" w:cs="Times New Roman"/>
        </w:rPr>
      </w:pPr>
    </w:p>
    <w:p w14:paraId="48551EA5"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The research conducted by Wang et al. echoed the UTAUT theory in influencing the adoption of smart aged-care products by the elderly in China. Structural equation modeling (SEM) analysis revealed several key findings regarding seniors' acceptance of smart aged-care products. Most importantly, performance expectancy, effort expectancy, and social influence were positively associated with seniors' behavioral intention to use these products. In contrast, perceived cost and perceived risk negatively impacted their intention to adopt smart aged-care solutions. Additionally, perceived risk was found to indirectly affect usage behavior through its influence on behavioral intentions. Interestingly, facilitating conditions did not significantly affect the actual use behavior of seniors when adopting smart aged-care products. These findings highlight the importance of perceived benefits and social factors in promoting the acceptance of technology among older adults while also emphasizing the barriers posed by cost and risk perceptions (Wang et al., 2023).</w:t>
      </w:r>
    </w:p>
    <w:p w14:paraId="04858686" w14:textId="77777777" w:rsidR="002C5214" w:rsidRPr="002C5214" w:rsidRDefault="002C5214" w:rsidP="002C5214">
      <w:pPr>
        <w:spacing w:line="360" w:lineRule="auto"/>
        <w:jc w:val="both"/>
        <w:rPr>
          <w:rFonts w:ascii="Times New Roman" w:hAnsi="Times New Roman" w:cs="Times New Roman"/>
        </w:rPr>
      </w:pPr>
    </w:p>
    <w:p w14:paraId="11866959"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In 2019, Tsai introduced a research model grounded in the dual-factor framework of "enablers" and "inhibitors" to elucidate users' intentions regarding telehealth utilization. The Technology Acceptance Model was adopted alongside the concept of technology anxiety to measure users’ intentions to adopt healthcare technologies. Key enablers included service availability and perceived usefulness, which significantly encouraged individuals to embrace telehealth solutions. Conversely, technology anxiety and transition costs emerged as critical inhibitors that deter users from utilizing telehealth. Notably, technology anxiety could be mitigated through the perceived usefulness of telehealth services, thereby promoting greater adoption (Tsai et al., 2019).</w:t>
      </w:r>
    </w:p>
    <w:p w14:paraId="6C842451" w14:textId="77777777" w:rsidR="002C5214" w:rsidRPr="002C5214" w:rsidRDefault="002C5214" w:rsidP="002C5214">
      <w:pPr>
        <w:spacing w:line="360" w:lineRule="auto"/>
        <w:jc w:val="both"/>
        <w:rPr>
          <w:rFonts w:ascii="Times New Roman" w:hAnsi="Times New Roman" w:cs="Times New Roman"/>
        </w:rPr>
      </w:pPr>
    </w:p>
    <w:p w14:paraId="34350142" w14:textId="77777777" w:rsid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Kim and Han (2023) suggested that due to the COVID-19 pandemic, interest in telemedicine has increased, confirming the effect of perceived usefulness on acceptance. For wearable healthcare devices, usefulness is also a powerful predictor of acceptance intention. However, while older adults may find telemedicine useful for providing healthcare, they may not immediately relate it to their personal health management. With the prevalence of the internet and smartphones, baby boomers have heightened demands for high-quality health information via digital technology.</w:t>
      </w:r>
    </w:p>
    <w:p w14:paraId="2DE0B7BE" w14:textId="77777777" w:rsidR="002C5214" w:rsidRDefault="002C5214" w:rsidP="002C5214">
      <w:pPr>
        <w:spacing w:line="360" w:lineRule="auto"/>
        <w:jc w:val="both"/>
        <w:rPr>
          <w:rFonts w:ascii="Times New Roman" w:hAnsi="Times New Roman" w:cs="Times New Roman"/>
        </w:rPr>
      </w:pPr>
    </w:p>
    <w:p w14:paraId="432DC532" w14:textId="707E0708" w:rsidR="005C0F9D" w:rsidRPr="006C4FBD" w:rsidRDefault="005C0F9D" w:rsidP="002C5214">
      <w:pPr>
        <w:spacing w:line="360" w:lineRule="auto"/>
        <w:jc w:val="both"/>
        <w:rPr>
          <w:rFonts w:ascii="Times New Roman" w:hAnsi="Times New Roman" w:cs="Times New Roman"/>
          <w:b/>
          <w:bCs/>
        </w:rPr>
      </w:pPr>
      <w:r w:rsidRPr="006C4FBD">
        <w:rPr>
          <w:rFonts w:ascii="Times New Roman" w:hAnsi="Times New Roman" w:cs="Times New Roman"/>
          <w:b/>
          <w:bCs/>
        </w:rPr>
        <w:t>Research Purpos</w:t>
      </w:r>
      <w:r w:rsidR="006C4FBD">
        <w:rPr>
          <w:rFonts w:ascii="Times New Roman" w:hAnsi="Times New Roman" w:cs="Times New Roman"/>
          <w:b/>
          <w:bCs/>
        </w:rPr>
        <w:t>e, Aims and Objectives</w:t>
      </w:r>
    </w:p>
    <w:p w14:paraId="00D2D88F"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The purpose of this research is to investigate the technology adoption model for telerehabilitation in Hong Kong, focusing on the challenges and opportunities presented by the city’s rapidly aging population and the increasing prevalence of chronic diseases. Hong Kong is experiencing one of the fastest rates of population aging globally, with the proportion of elderly persons aged 65 and over projected to rise from 20% in 2021 to 31% by 2039. This demographic shift is accompanied by a growing burden of chronic diseases, which accounted for approximately 55% of all registered deaths in 2016.</w:t>
      </w:r>
    </w:p>
    <w:p w14:paraId="33CA9E5F" w14:textId="77777777" w:rsidR="002C5214" w:rsidRPr="002C5214" w:rsidRDefault="002C5214" w:rsidP="002C5214">
      <w:pPr>
        <w:spacing w:line="360" w:lineRule="auto"/>
        <w:jc w:val="both"/>
        <w:rPr>
          <w:rFonts w:ascii="Times New Roman" w:hAnsi="Times New Roman" w:cs="Times New Roman"/>
        </w:rPr>
      </w:pPr>
    </w:p>
    <w:p w14:paraId="7F2A73BB"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Simultaneously, Hong Kong faces a significant digital divide, particularly among older adults, which may impede the effective adoption and utilization of telerehabilitation technologies. Through a set of telerehabilitation games, this research aims to examine how technology acceptance models can be applied and adapted to understand the factors influencing the adoption of telerehabilitation services among Hong Kong’s diverse population.</w:t>
      </w:r>
    </w:p>
    <w:p w14:paraId="1AA6D4BE" w14:textId="77777777" w:rsidR="002C5214" w:rsidRPr="002C5214" w:rsidRDefault="002C5214" w:rsidP="002C5214">
      <w:pPr>
        <w:spacing w:line="360" w:lineRule="auto"/>
        <w:jc w:val="both"/>
        <w:rPr>
          <w:rFonts w:ascii="Times New Roman" w:hAnsi="Times New Roman" w:cs="Times New Roman"/>
        </w:rPr>
      </w:pPr>
    </w:p>
    <w:p w14:paraId="3B2A2CEB" w14:textId="77777777" w:rsid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This study seeks to identify strategies to enhance the effectiveness of telerehabilitation across the entire healthcare cycle. The findings of this research will be crucial for informing policy decisions and guiding the development of targeted interventions to promote equitable access to telerehabilitation services, ultimately improving health outcomes for Hong Kong’s aging population.</w:t>
      </w:r>
    </w:p>
    <w:p w14:paraId="0A72ADBB" w14:textId="77777777" w:rsidR="002C5214" w:rsidRDefault="002C5214" w:rsidP="002C5214">
      <w:pPr>
        <w:spacing w:line="360" w:lineRule="auto"/>
        <w:jc w:val="both"/>
        <w:rPr>
          <w:rFonts w:ascii="Times New Roman" w:hAnsi="Times New Roman" w:cs="Times New Roman"/>
        </w:rPr>
      </w:pPr>
    </w:p>
    <w:p w14:paraId="1CD8CA8F"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The researcher operates a start-up company in providing elderly care products, and telerehabilitation software is one of the products.  Understanding the factors affecting users' intention to adopt technology is crucial for a business owner for several reasons:</w:t>
      </w:r>
    </w:p>
    <w:p w14:paraId="43DF80F4"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 xml:space="preserve">Product Development and Design: Business owners can customize the software products by identifying and understanding what influences user acceptance-such as perceived usefulness, ease of use, and social influence.  The development of user-friendly and effective solutions that resonate with target audiences is crucial for business to survive. </w:t>
      </w:r>
    </w:p>
    <w:p w14:paraId="7062E289"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Market Positioning: Knowledge of adoption factors allows business owners to position their products effectively in the market. By addressing specific user concerns, such as technology anxiety or perceived risks, businesses can differentiate themselves from competitors and enhance their value proposition.</w:t>
      </w:r>
    </w:p>
    <w:p w14:paraId="1C999011"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User Engagement and Retention: Drivers of adoption are big determinants in attracting new users but also retain existing ones. On the other hand, addressing barriers to adoption, such as perceived costs or usability issues, businesses can avoid service inadequacies, ensure consistent quality and ultimately foster a loyal customer base.</w:t>
      </w:r>
    </w:p>
    <w:p w14:paraId="4A389E0A"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Effective Marketing Strategies: user intentions can directly offer insights to business owners to formulate appropriate strategies and devise marketing campaigns. By emphasizing the benefits that align with users' motivations and addressing their key concerns in adoption, businesses can improve their marketing effectiveness and reach the right audience.</w:t>
      </w:r>
    </w:p>
    <w:p w14:paraId="7913B282"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Risk Management: Risk exposure is one key factor for a business, especially a start-up.  Recognizing potential inhibitors to adoption, such as technology anxiety or resistance to change, allows business owners to proactively address these issues, especially in the product design and implementation phases. Risk mitigation is one very important area for business owners to prevent product failure.</w:t>
      </w:r>
    </w:p>
    <w:p w14:paraId="03B40D02"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 xml:space="preserve">Feedback and Continuous Improvement:  Feedback is important for business to monitor the quality of its product offerings.  Understanding user intentions provides a framework for gathering </w:t>
      </w:r>
      <w:r w:rsidRPr="002C5214">
        <w:rPr>
          <w:rFonts w:ascii="Times New Roman" w:hAnsi="Times New Roman" w:cs="Times New Roman"/>
        </w:rPr>
        <w:lastRenderedPageBreak/>
        <w:t>feedback and so that continuous improvement is possible. The process of continuous improvement will help business to understand users' experiences and challenges and lead to innovation.</w:t>
      </w:r>
    </w:p>
    <w:p w14:paraId="2D63A8DF"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Strategic Planning: Knowledge of technology adoption factors aids in strategic planning and decision-making. In the process of decision making, business owners are often challenged with the issues such as effective resources allocation, key product feature prioritization and market penetration strategies.  The knowledge can help business owners make informed decisions about future developments or market expansions.</w:t>
      </w:r>
    </w:p>
    <w:p w14:paraId="63522DC1"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Comprehending the factors influencing technology adoption empowers software business owners better to create products that meet user needs, respond timelier to market demands, enhance market competitiveness, and foster company's long-term success.</w:t>
      </w:r>
    </w:p>
    <w:p w14:paraId="62B22E89"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Setting foot in Hong Kong, the objective of the investigative study is to examine how the parameters adopted in UTAUT models affect patients' behavioral intentions and as a result the user behavior for patients to adopt technologies in the rehabilitation process. It is hoped to identify gaps in the applications, healthcare providers, care givers, and family members some insights in ensuring and achieving good healthcare outcomes.</w:t>
      </w:r>
    </w:p>
    <w:p w14:paraId="38D3FB9F" w14:textId="77777777" w:rsidR="002A7039" w:rsidRPr="00E013E5" w:rsidRDefault="002A7039" w:rsidP="0081323C">
      <w:pPr>
        <w:spacing w:line="360" w:lineRule="auto"/>
        <w:jc w:val="both"/>
        <w:rPr>
          <w:rFonts w:ascii="Times New Roman" w:hAnsi="Times New Roman" w:cs="Times New Roman"/>
        </w:rPr>
      </w:pPr>
    </w:p>
    <w:p w14:paraId="7CD8FC29" w14:textId="7D318E2B" w:rsidR="00170E7A" w:rsidRDefault="00C73FFF" w:rsidP="0081323C">
      <w:pPr>
        <w:spacing w:line="360" w:lineRule="auto"/>
        <w:jc w:val="both"/>
        <w:rPr>
          <w:rFonts w:ascii="Times New Roman" w:hAnsi="Times New Roman" w:cs="Times New Roman"/>
        </w:rPr>
      </w:pPr>
      <w:r w:rsidRPr="006C4FBD">
        <w:rPr>
          <w:rFonts w:ascii="Times New Roman" w:hAnsi="Times New Roman" w:cs="Times New Roman"/>
        </w:rPr>
        <w:t>Research Questions</w:t>
      </w:r>
    </w:p>
    <w:p w14:paraId="16A84680"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The research is designed to address the four research questions:</w:t>
      </w:r>
    </w:p>
    <w:p w14:paraId="50A5500D"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What is the impact of perceived usefulness on the intention of geriatric patients to adopt distance training and e-learning platforms for rehabilitation?</w:t>
      </w:r>
    </w:p>
    <w:p w14:paraId="70FCDB5C"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How does the perceived ease of use of the technology influence the behavioral intention of patients to engage with smart geriatric day hospital services?</w:t>
      </w:r>
    </w:p>
    <w:p w14:paraId="2F78540E"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To what extent does social influence from healthcare providers and family members affect the acceptance of tele-rehabilitation technologies among geriatric patients?</w:t>
      </w:r>
    </w:p>
    <w:p w14:paraId="363D6BB0" w14:textId="77777777" w:rsidR="002C5214" w:rsidRPr="002C5214" w:rsidRDefault="002C5214" w:rsidP="002C5214">
      <w:pPr>
        <w:spacing w:line="360" w:lineRule="auto"/>
        <w:jc w:val="both"/>
        <w:rPr>
          <w:rFonts w:ascii="Times New Roman" w:hAnsi="Times New Roman" w:cs="Times New Roman"/>
        </w:rPr>
      </w:pPr>
      <w:r w:rsidRPr="002C5214">
        <w:rPr>
          <w:rFonts w:ascii="Times New Roman" w:hAnsi="Times New Roman" w:cs="Times New Roman"/>
        </w:rPr>
        <w:t>What facilitating conditions are necessary for geriatric patients to effectively utilize the e-learning platform and distance training in their rehabilitation process?</w:t>
      </w:r>
    </w:p>
    <w:p w14:paraId="223369C4" w14:textId="77777777" w:rsidR="002C349A" w:rsidRPr="00E013E5" w:rsidRDefault="002C349A" w:rsidP="0081323C">
      <w:pPr>
        <w:spacing w:line="360" w:lineRule="auto"/>
        <w:jc w:val="both"/>
        <w:rPr>
          <w:rFonts w:ascii="Times New Roman" w:hAnsi="Times New Roman" w:cs="Times New Roman"/>
        </w:rPr>
      </w:pPr>
    </w:p>
    <w:p w14:paraId="1D98E0DB" w14:textId="7127F457" w:rsidR="00D70287" w:rsidRPr="006C4FBD" w:rsidRDefault="002C349A" w:rsidP="0081323C">
      <w:pPr>
        <w:spacing w:line="360" w:lineRule="auto"/>
        <w:jc w:val="both"/>
        <w:rPr>
          <w:rFonts w:ascii="Times New Roman" w:hAnsi="Times New Roman" w:cs="Times New Roman"/>
          <w:b/>
          <w:bCs/>
        </w:rPr>
      </w:pPr>
      <w:r w:rsidRPr="006C4FBD">
        <w:rPr>
          <w:rFonts w:ascii="Times New Roman" w:hAnsi="Times New Roman" w:cs="Times New Roman"/>
          <w:b/>
          <w:bCs/>
        </w:rPr>
        <w:lastRenderedPageBreak/>
        <w:t>Research</w:t>
      </w:r>
      <w:r w:rsidR="003B472B" w:rsidRPr="006C4FBD">
        <w:rPr>
          <w:rFonts w:ascii="Times New Roman" w:hAnsi="Times New Roman" w:cs="Times New Roman"/>
          <w:b/>
          <w:bCs/>
        </w:rPr>
        <w:t xml:space="preserve"> Methodology</w:t>
      </w:r>
      <w:r w:rsidRPr="006C4FBD">
        <w:rPr>
          <w:rFonts w:ascii="Times New Roman" w:hAnsi="Times New Roman" w:cs="Times New Roman"/>
          <w:b/>
          <w:bCs/>
        </w:rPr>
        <w:t xml:space="preserve">, </w:t>
      </w:r>
      <w:r w:rsidR="006C4FBD">
        <w:rPr>
          <w:rFonts w:ascii="Times New Roman" w:hAnsi="Times New Roman" w:cs="Times New Roman"/>
          <w:b/>
          <w:bCs/>
        </w:rPr>
        <w:t>P</w:t>
      </w:r>
      <w:r w:rsidRPr="006C4FBD">
        <w:rPr>
          <w:rFonts w:ascii="Times New Roman" w:hAnsi="Times New Roman" w:cs="Times New Roman"/>
          <w:b/>
          <w:bCs/>
        </w:rPr>
        <w:t xml:space="preserve">lan of work and </w:t>
      </w:r>
      <w:r w:rsidR="006C4FBD">
        <w:rPr>
          <w:rFonts w:ascii="Times New Roman" w:hAnsi="Times New Roman" w:cs="Times New Roman"/>
          <w:b/>
          <w:bCs/>
        </w:rPr>
        <w:t>T</w:t>
      </w:r>
      <w:r w:rsidRPr="006C4FBD">
        <w:rPr>
          <w:rFonts w:ascii="Times New Roman" w:hAnsi="Times New Roman" w:cs="Times New Roman"/>
          <w:b/>
          <w:bCs/>
        </w:rPr>
        <w:t>imetable</w:t>
      </w:r>
    </w:p>
    <w:p w14:paraId="17CC89A6" w14:textId="77777777" w:rsidR="004937AC" w:rsidRPr="004937AC" w:rsidRDefault="004937AC" w:rsidP="004937AC">
      <w:pPr>
        <w:spacing w:line="360" w:lineRule="auto"/>
        <w:jc w:val="both"/>
        <w:rPr>
          <w:rFonts w:ascii="Times New Roman" w:hAnsi="Times New Roman" w:cs="Times New Roman"/>
        </w:rPr>
      </w:pPr>
      <w:r w:rsidRPr="004937AC">
        <w:rPr>
          <w:rFonts w:ascii="Times New Roman" w:hAnsi="Times New Roman" w:cs="Times New Roman"/>
        </w:rPr>
        <w:t>Pok Oi Hospital, established in 1919, is a prominent healthcare institution in Hong Kong, renowned for its commitment to providing high-quality medical services to the community. As a member of the Hospital Authority, it offers a comprehensive range of healthcare services, with a particular focus on geriatric care. The hospital's Geriatric Day Care Service is designed to support the health and well-being of elderly patients, facilitating rehabilitation and promoting independence through tailored programs. This service emphasizes a holistic approach, integrating medical care, therapy, and social support to address the unique needs of older adults.</w:t>
      </w:r>
    </w:p>
    <w:p w14:paraId="1CC96CCA" w14:textId="77777777" w:rsidR="004937AC" w:rsidRPr="004937AC" w:rsidRDefault="004937AC" w:rsidP="004937AC">
      <w:pPr>
        <w:spacing w:line="360" w:lineRule="auto"/>
        <w:jc w:val="both"/>
        <w:rPr>
          <w:rFonts w:ascii="Times New Roman" w:hAnsi="Times New Roman" w:cs="Times New Roman"/>
        </w:rPr>
      </w:pPr>
    </w:p>
    <w:p w14:paraId="765F3FCC" w14:textId="77777777" w:rsidR="004937AC" w:rsidRPr="004937AC" w:rsidRDefault="004937AC" w:rsidP="004937AC">
      <w:pPr>
        <w:spacing w:line="360" w:lineRule="auto"/>
        <w:jc w:val="both"/>
        <w:rPr>
          <w:rFonts w:ascii="Times New Roman" w:hAnsi="Times New Roman" w:cs="Times New Roman"/>
        </w:rPr>
      </w:pPr>
      <w:r w:rsidRPr="004937AC">
        <w:rPr>
          <w:rFonts w:ascii="Times New Roman" w:hAnsi="Times New Roman" w:cs="Times New Roman"/>
        </w:rPr>
        <w:t>Recently, Pok Oi Hospital launched an innovative initiative—a smart geriatric day hospital project, a pilot scheme supported by the Hong Kong Jockey Club, which incorporates distance training and e-learning platforms. Through a video game-based telerehabilitation program, equipment, and portable motion-sensing devices, these advancements aim to enhance the effectiveness of rehabilitation training, allowing elderly patients to engage in self-directed care and improve their quality of life while reducing the need for frequent hospital visits. The initiative allows patients to borrow equipment for rehabilitation exercises at home, thereby promoting self-rehabilitation. As part of this program, the hospital provides tablets, smartwatches, and specialized equipment for various exercises and games, enabling medical staff to monitor patients' performance remotely. This innovative approach has increased the annual number of patients served from 520 to 650, reflecting a 25% increase in capacity, even during the trial stage. The program, which began in mid-February 2024, has already benefited more than 122 patients. Further studies are warranted to validate this model before planning for the next level of scale-up and roll-out to other clinical settings, elderly care facilities, or even home settings. If proven successful, telerehabilitation can serve as an innovative example of how technology can increase hospital throughput without compromising the quality of care.</w:t>
      </w:r>
    </w:p>
    <w:p w14:paraId="3F1F5AB6" w14:textId="77777777" w:rsidR="004937AC" w:rsidRPr="004937AC" w:rsidRDefault="004937AC" w:rsidP="004937AC">
      <w:pPr>
        <w:spacing w:line="360" w:lineRule="auto"/>
        <w:jc w:val="both"/>
        <w:rPr>
          <w:rFonts w:ascii="Times New Roman" w:hAnsi="Times New Roman" w:cs="Times New Roman"/>
        </w:rPr>
      </w:pPr>
    </w:p>
    <w:p w14:paraId="30E7DDA5" w14:textId="77777777" w:rsidR="004937AC" w:rsidRPr="004937AC" w:rsidRDefault="004937AC" w:rsidP="004937AC">
      <w:pPr>
        <w:spacing w:line="360" w:lineRule="auto"/>
        <w:jc w:val="both"/>
        <w:rPr>
          <w:rFonts w:ascii="Times New Roman" w:hAnsi="Times New Roman" w:cs="Times New Roman"/>
        </w:rPr>
      </w:pPr>
      <w:r w:rsidRPr="004937AC">
        <w:rPr>
          <w:rFonts w:ascii="Times New Roman" w:hAnsi="Times New Roman" w:cs="Times New Roman"/>
        </w:rPr>
        <w:t>Study Design</w:t>
      </w:r>
    </w:p>
    <w:p w14:paraId="4A2EE180" w14:textId="77777777" w:rsidR="004937AC" w:rsidRPr="004937AC" w:rsidRDefault="004937AC" w:rsidP="004937AC">
      <w:pPr>
        <w:spacing w:line="360" w:lineRule="auto"/>
        <w:jc w:val="both"/>
        <w:rPr>
          <w:rFonts w:ascii="Times New Roman" w:hAnsi="Times New Roman" w:cs="Times New Roman"/>
        </w:rPr>
      </w:pPr>
      <w:r w:rsidRPr="004937AC">
        <w:rPr>
          <w:rFonts w:ascii="Times New Roman" w:hAnsi="Times New Roman" w:cs="Times New Roman"/>
        </w:rPr>
        <w:t xml:space="preserve">This study employs a qualitative design involving semi-structured interviews with 30 patients at Pok Oi Hospital who have rehabilitation needs, often related to musculoskeletal disorders or </w:t>
      </w:r>
      <w:r w:rsidRPr="004937AC">
        <w:rPr>
          <w:rFonts w:ascii="Times New Roman" w:hAnsi="Times New Roman" w:cs="Times New Roman"/>
        </w:rPr>
        <w:lastRenderedPageBreak/>
        <w:t xml:space="preserve">cognitive impairments. Patients prescribed a </w:t>
      </w:r>
      <w:proofErr w:type="gramStart"/>
      <w:r w:rsidRPr="004937AC">
        <w:rPr>
          <w:rFonts w:ascii="Times New Roman" w:hAnsi="Times New Roman" w:cs="Times New Roman"/>
        </w:rPr>
        <w:t>4+4 week</w:t>
      </w:r>
      <w:proofErr w:type="gramEnd"/>
      <w:r w:rsidRPr="004937AC">
        <w:rPr>
          <w:rFonts w:ascii="Times New Roman" w:hAnsi="Times New Roman" w:cs="Times New Roman"/>
        </w:rPr>
        <w:t xml:space="preserve"> rehabilitation program (a total of 8 weeks) will be recruited, with the first four weeks consisting of hospital-based treatment and the second four weeks focusing on home-based rehabilitation.</w:t>
      </w:r>
    </w:p>
    <w:p w14:paraId="038DCE2F" w14:textId="77777777" w:rsidR="004937AC" w:rsidRPr="004937AC" w:rsidRDefault="004937AC" w:rsidP="004937AC">
      <w:pPr>
        <w:spacing w:line="360" w:lineRule="auto"/>
        <w:jc w:val="both"/>
        <w:rPr>
          <w:rFonts w:ascii="Times New Roman" w:hAnsi="Times New Roman" w:cs="Times New Roman"/>
        </w:rPr>
      </w:pPr>
    </w:p>
    <w:p w14:paraId="722B9D04" w14:textId="77777777" w:rsidR="004937AC" w:rsidRPr="004937AC" w:rsidRDefault="004937AC" w:rsidP="004937AC">
      <w:pPr>
        <w:spacing w:line="360" w:lineRule="auto"/>
        <w:jc w:val="both"/>
        <w:rPr>
          <w:rFonts w:ascii="Times New Roman" w:hAnsi="Times New Roman" w:cs="Times New Roman"/>
        </w:rPr>
      </w:pPr>
      <w:r w:rsidRPr="004937AC">
        <w:rPr>
          <w:rFonts w:ascii="Times New Roman" w:hAnsi="Times New Roman" w:cs="Times New Roman"/>
        </w:rPr>
        <w:t>Intervention: A video game-based telerehabilitation system will be prescribed to patients. The telerehabilitation system comprises four main components: games, exercises, education, and telecommunication. The system delivers treatment sessions in the form of gamified guided rehabilitation games, exercises, and stroke education in the patient’s home. In this trial, members of the research team will deliver the telerehabilitation system to the subject’s home, set it up, confirm functionality, and review its use with the subject.</w:t>
      </w:r>
    </w:p>
    <w:p w14:paraId="0E338849" w14:textId="77777777" w:rsidR="004937AC" w:rsidRPr="004937AC" w:rsidRDefault="004937AC" w:rsidP="004937AC">
      <w:pPr>
        <w:spacing w:line="360" w:lineRule="auto"/>
        <w:jc w:val="both"/>
        <w:rPr>
          <w:rFonts w:ascii="Times New Roman" w:hAnsi="Times New Roman" w:cs="Times New Roman"/>
        </w:rPr>
      </w:pPr>
    </w:p>
    <w:p w14:paraId="6A00064C" w14:textId="77777777" w:rsidR="004937AC" w:rsidRPr="004937AC" w:rsidRDefault="004937AC" w:rsidP="004937AC">
      <w:pPr>
        <w:spacing w:line="360" w:lineRule="auto"/>
        <w:jc w:val="both"/>
        <w:rPr>
          <w:rFonts w:ascii="Times New Roman" w:hAnsi="Times New Roman" w:cs="Times New Roman"/>
        </w:rPr>
      </w:pPr>
      <w:r w:rsidRPr="004937AC">
        <w:rPr>
          <w:rFonts w:ascii="Times New Roman" w:hAnsi="Times New Roman" w:cs="Times New Roman"/>
        </w:rPr>
        <w:t>Patients in need of rehabilitation services are sent to the geriatric day care, where they receive an initial assessment from physiotherapists or occupational therapists. The rehabilitation process for patients typically follows these steps after being prescribed by doctors and assessed by therapists:</w:t>
      </w:r>
    </w:p>
    <w:p w14:paraId="1DFE9124" w14:textId="77777777" w:rsidR="004937AC" w:rsidRPr="004937AC" w:rsidRDefault="004937AC" w:rsidP="004937AC">
      <w:pPr>
        <w:spacing w:line="360" w:lineRule="auto"/>
        <w:jc w:val="both"/>
        <w:rPr>
          <w:rFonts w:ascii="Times New Roman" w:hAnsi="Times New Roman" w:cs="Times New Roman"/>
        </w:rPr>
      </w:pPr>
    </w:p>
    <w:p w14:paraId="4A12CB66" w14:textId="77777777" w:rsidR="004937AC" w:rsidRPr="004937AC" w:rsidRDefault="004937AC" w:rsidP="004937AC">
      <w:pPr>
        <w:spacing w:line="360" w:lineRule="auto"/>
        <w:jc w:val="both"/>
        <w:rPr>
          <w:rFonts w:ascii="Times New Roman" w:hAnsi="Times New Roman" w:cs="Times New Roman"/>
        </w:rPr>
      </w:pPr>
      <w:r w:rsidRPr="004937AC">
        <w:rPr>
          <w:rFonts w:ascii="Times New Roman" w:hAnsi="Times New Roman" w:cs="Times New Roman"/>
        </w:rPr>
        <w:t>Initial Assessment and Planning: Occupational therapists and physiotherapists conduct a full assessment of the patient’s condition and functional abilities. Based on the patients’ therapeutic needs, the therapists will develop a rehabilitation plan guided by patient-centered goals. A short-term and long-term occupational therapy plan is designed based on the assessment results.</w:t>
      </w:r>
    </w:p>
    <w:p w14:paraId="4E11E02B" w14:textId="77777777" w:rsidR="004937AC" w:rsidRPr="004937AC" w:rsidRDefault="004937AC" w:rsidP="004937AC">
      <w:pPr>
        <w:spacing w:line="360" w:lineRule="auto"/>
        <w:jc w:val="both"/>
        <w:rPr>
          <w:rFonts w:ascii="Times New Roman" w:hAnsi="Times New Roman" w:cs="Times New Roman"/>
        </w:rPr>
      </w:pPr>
    </w:p>
    <w:p w14:paraId="1ED1C2D7" w14:textId="77777777" w:rsidR="004937AC" w:rsidRPr="004937AC" w:rsidRDefault="004937AC" w:rsidP="004937AC">
      <w:pPr>
        <w:spacing w:line="360" w:lineRule="auto"/>
        <w:jc w:val="both"/>
        <w:rPr>
          <w:rFonts w:ascii="Times New Roman" w:hAnsi="Times New Roman" w:cs="Times New Roman"/>
        </w:rPr>
      </w:pPr>
      <w:r w:rsidRPr="004937AC">
        <w:rPr>
          <w:rFonts w:ascii="Times New Roman" w:hAnsi="Times New Roman" w:cs="Times New Roman"/>
        </w:rPr>
        <w:t>Rehabilitation Program: The rehabilitation program is divided into two blocks of 4-week therapy sessions. The first 4-week in-hospital program is conducted under the personal supervision of therapists according to the prescribed plan. Patients will receive close monitoring to improve their physical condition and are taught self-management techniques.</w:t>
      </w:r>
    </w:p>
    <w:p w14:paraId="702C7730" w14:textId="77777777" w:rsidR="004937AC" w:rsidRPr="004937AC" w:rsidRDefault="004937AC" w:rsidP="004937AC">
      <w:pPr>
        <w:spacing w:line="360" w:lineRule="auto"/>
        <w:jc w:val="both"/>
        <w:rPr>
          <w:rFonts w:ascii="Times New Roman" w:hAnsi="Times New Roman" w:cs="Times New Roman"/>
        </w:rPr>
      </w:pPr>
    </w:p>
    <w:p w14:paraId="74E55868" w14:textId="77777777" w:rsidR="004937AC" w:rsidRPr="004937AC" w:rsidRDefault="004937AC" w:rsidP="004937AC">
      <w:pPr>
        <w:spacing w:line="360" w:lineRule="auto"/>
        <w:jc w:val="both"/>
        <w:rPr>
          <w:rFonts w:ascii="Times New Roman" w:hAnsi="Times New Roman" w:cs="Times New Roman"/>
        </w:rPr>
      </w:pPr>
      <w:r w:rsidRPr="004937AC">
        <w:rPr>
          <w:rFonts w:ascii="Times New Roman" w:hAnsi="Times New Roman" w:cs="Times New Roman"/>
        </w:rPr>
        <w:t xml:space="preserve">During the first 4-week in-hospital program, patients undergo supervised rehabilitation sessions in the hospital setting. The program includes face-to-face, individually tailored therapeutic exercises. </w:t>
      </w:r>
      <w:r w:rsidRPr="004937AC">
        <w:rPr>
          <w:rFonts w:ascii="Times New Roman" w:hAnsi="Times New Roman" w:cs="Times New Roman"/>
        </w:rPr>
        <w:lastRenderedPageBreak/>
        <w:t>Patients are monitored while practicing functional tasks. Therapists work with patients to improve core strength, flexibility, balance, and range of motion. They also receive education on self-management techniques.</w:t>
      </w:r>
    </w:p>
    <w:p w14:paraId="1D7D843F" w14:textId="77777777" w:rsidR="004937AC" w:rsidRPr="004937AC" w:rsidRDefault="004937AC" w:rsidP="004937AC">
      <w:pPr>
        <w:spacing w:line="360" w:lineRule="auto"/>
        <w:jc w:val="both"/>
        <w:rPr>
          <w:rFonts w:ascii="Times New Roman" w:hAnsi="Times New Roman" w:cs="Times New Roman"/>
        </w:rPr>
      </w:pPr>
    </w:p>
    <w:p w14:paraId="73471F1A" w14:textId="77777777" w:rsidR="004937AC" w:rsidRPr="004937AC" w:rsidRDefault="004937AC" w:rsidP="004937AC">
      <w:pPr>
        <w:spacing w:line="360" w:lineRule="auto"/>
        <w:jc w:val="both"/>
        <w:rPr>
          <w:rFonts w:ascii="Times New Roman" w:hAnsi="Times New Roman" w:cs="Times New Roman"/>
        </w:rPr>
      </w:pPr>
      <w:r w:rsidRPr="004937AC">
        <w:rPr>
          <w:rFonts w:ascii="Times New Roman" w:hAnsi="Times New Roman" w:cs="Times New Roman"/>
        </w:rPr>
        <w:t>Transition to Home-Based Telerehabilitation: Before discharge, patients and caregivers receive training on using the telerehabilitation system. The telerehabilitation setup is installed and tested at the patient’s home. While a Wi-Fi connection at the patient’s home is preferred, it is not necessary. Patients are loaned necessary equipment, such as tablets for the video-gamified telerehabilitation program and assistive devices. Patients' clinical data can be uploaded in real-time via home Wi-Fi, or if an internet connection is not available, clinical data can be uploaded when the patients return the tablets to the hospital. Therapists will educate the patients and caregivers on how to access the telerehabilitation games before the patients begin home-based rehabilitation sessions.</w:t>
      </w:r>
    </w:p>
    <w:p w14:paraId="0A812DD2" w14:textId="77777777" w:rsidR="004937AC" w:rsidRPr="004937AC" w:rsidRDefault="004937AC" w:rsidP="004937AC">
      <w:pPr>
        <w:spacing w:line="360" w:lineRule="auto"/>
        <w:jc w:val="both"/>
        <w:rPr>
          <w:rFonts w:ascii="Times New Roman" w:hAnsi="Times New Roman" w:cs="Times New Roman"/>
        </w:rPr>
      </w:pPr>
    </w:p>
    <w:p w14:paraId="18C7910E" w14:textId="77777777" w:rsidR="004937AC" w:rsidRPr="004937AC" w:rsidRDefault="004937AC" w:rsidP="004937AC">
      <w:pPr>
        <w:spacing w:line="360" w:lineRule="auto"/>
        <w:jc w:val="both"/>
        <w:rPr>
          <w:rFonts w:ascii="Times New Roman" w:hAnsi="Times New Roman" w:cs="Times New Roman"/>
        </w:rPr>
      </w:pPr>
      <w:r w:rsidRPr="004937AC">
        <w:rPr>
          <w:rFonts w:ascii="Times New Roman" w:hAnsi="Times New Roman" w:cs="Times New Roman"/>
        </w:rPr>
        <w:t>Home-Based Telerehabilitation Program: In the second 4-week home-based telerehabilitation program, patients continue their rehabilitation at home using telerehabilitation technologies. Patients are required to comply with daily exercises prescribed through an online platform or mobile app. Motion sensors will capture, store, and upload clinical data for compliance, accuracy, and progress tracking. Weekly video consultations with therapists will review progress and adjust the program as needed. Sensor-based data collection will help therapists assess recovery and prescribe appropriate exercises. As a result, therapists can monitor patient progress remotely and make necessary adjustments to the rehabilitation plan.</w:t>
      </w:r>
    </w:p>
    <w:p w14:paraId="3B148FAB" w14:textId="77777777" w:rsidR="004937AC" w:rsidRPr="004937AC" w:rsidRDefault="004937AC" w:rsidP="004937AC">
      <w:pPr>
        <w:spacing w:line="360" w:lineRule="auto"/>
        <w:jc w:val="both"/>
        <w:rPr>
          <w:rFonts w:ascii="Times New Roman" w:hAnsi="Times New Roman" w:cs="Times New Roman"/>
        </w:rPr>
      </w:pPr>
    </w:p>
    <w:p w14:paraId="1ED854D6" w14:textId="77777777" w:rsidR="004937AC" w:rsidRPr="004937AC" w:rsidRDefault="004937AC" w:rsidP="004937AC">
      <w:pPr>
        <w:spacing w:line="360" w:lineRule="auto"/>
        <w:jc w:val="both"/>
        <w:rPr>
          <w:rFonts w:ascii="Times New Roman" w:hAnsi="Times New Roman" w:cs="Times New Roman"/>
        </w:rPr>
      </w:pPr>
      <w:r w:rsidRPr="004937AC">
        <w:rPr>
          <w:rFonts w:ascii="Times New Roman" w:hAnsi="Times New Roman" w:cs="Times New Roman"/>
        </w:rPr>
        <w:t>Throughout the process, patients will receive ongoing support and evaluation. The telerehabilitation platform will generate reports so that therapists can track the patient’s rehabilitation history. The effectiveness of the telerehabilitation program will be evaluated through compliance metrics, clinical indicators, and patient satisfaction surveys. If needed, therapists can arrange follow-up care or recommend continued rehabilitation.</w:t>
      </w:r>
    </w:p>
    <w:p w14:paraId="6C3B54AE" w14:textId="77777777" w:rsidR="004937AC" w:rsidRPr="004937AC" w:rsidRDefault="004937AC" w:rsidP="004937AC">
      <w:pPr>
        <w:spacing w:line="360" w:lineRule="auto"/>
        <w:jc w:val="both"/>
        <w:rPr>
          <w:rFonts w:ascii="Times New Roman" w:hAnsi="Times New Roman" w:cs="Times New Roman"/>
        </w:rPr>
      </w:pPr>
    </w:p>
    <w:p w14:paraId="36503897" w14:textId="77777777" w:rsidR="004937AC" w:rsidRDefault="004937AC" w:rsidP="004937AC">
      <w:pPr>
        <w:spacing w:line="360" w:lineRule="auto"/>
        <w:jc w:val="both"/>
        <w:rPr>
          <w:rFonts w:ascii="Times New Roman" w:hAnsi="Times New Roman" w:cs="Times New Roman"/>
        </w:rPr>
      </w:pPr>
      <w:r w:rsidRPr="004937AC">
        <w:rPr>
          <w:rFonts w:ascii="Times New Roman" w:hAnsi="Times New Roman" w:cs="Times New Roman"/>
        </w:rPr>
        <w:t>This combined approach of in-hospital and home-based telerehabilitation aims to provide continuous care, improve access to rehabilitation services, and facilitate a smooth transition from hospital to home for patients requiring ongoing rehabilitation.</w:t>
      </w:r>
    </w:p>
    <w:p w14:paraId="5E7E2ABC" w14:textId="77777777" w:rsidR="004937AC" w:rsidRDefault="004937AC" w:rsidP="004937AC">
      <w:pPr>
        <w:spacing w:line="360" w:lineRule="auto"/>
        <w:jc w:val="both"/>
        <w:rPr>
          <w:rFonts w:ascii="Times New Roman" w:hAnsi="Times New Roman" w:cs="Times New Roman"/>
        </w:rPr>
      </w:pPr>
    </w:p>
    <w:p w14:paraId="7096A73E" w14:textId="3E97BEC4" w:rsidR="00732FA5" w:rsidRDefault="00732FA5" w:rsidP="004937AC">
      <w:pPr>
        <w:spacing w:line="360" w:lineRule="auto"/>
        <w:jc w:val="both"/>
        <w:rPr>
          <w:rFonts w:ascii="Times New Roman" w:hAnsi="Times New Roman" w:cs="Times New Roman"/>
        </w:rPr>
      </w:pPr>
      <w:r>
        <w:rPr>
          <w:rFonts w:ascii="Times New Roman" w:hAnsi="Times New Roman" w:cs="Times New Roman"/>
        </w:rPr>
        <w:t xml:space="preserve">Key </w:t>
      </w:r>
      <w:r w:rsidR="003B472B">
        <w:rPr>
          <w:rFonts w:ascii="Times New Roman" w:hAnsi="Times New Roman" w:cs="Times New Roman"/>
        </w:rPr>
        <w:t>equipment and software set up</w:t>
      </w:r>
      <w:r>
        <w:rPr>
          <w:rFonts w:ascii="Times New Roman" w:hAnsi="Times New Roman" w:cs="Times New Roman"/>
        </w:rPr>
        <w:t xml:space="preserve"> of the system: </w:t>
      </w:r>
    </w:p>
    <w:p w14:paraId="7A1978F0" w14:textId="36F6DA33" w:rsidR="00732FA5" w:rsidRPr="003B472B" w:rsidRDefault="00732FA5" w:rsidP="0081323C">
      <w:pPr>
        <w:pStyle w:val="ListParagraph"/>
        <w:numPr>
          <w:ilvl w:val="0"/>
          <w:numId w:val="5"/>
        </w:numPr>
        <w:spacing w:line="360" w:lineRule="auto"/>
        <w:jc w:val="both"/>
        <w:rPr>
          <w:rFonts w:ascii="Times New Roman" w:hAnsi="Times New Roman" w:cs="Times New Roman"/>
        </w:rPr>
      </w:pPr>
      <w:r w:rsidRPr="003B472B">
        <w:rPr>
          <w:rFonts w:ascii="Times New Roman" w:hAnsi="Times New Roman" w:cs="Times New Roman"/>
        </w:rPr>
        <w:t>A chair</w:t>
      </w:r>
    </w:p>
    <w:p w14:paraId="067A350D" w14:textId="690545F4" w:rsidR="00732FA5" w:rsidRPr="003B472B" w:rsidRDefault="00732FA5" w:rsidP="0081323C">
      <w:pPr>
        <w:pStyle w:val="ListParagraph"/>
        <w:numPr>
          <w:ilvl w:val="0"/>
          <w:numId w:val="5"/>
        </w:numPr>
        <w:spacing w:line="360" w:lineRule="auto"/>
        <w:jc w:val="both"/>
        <w:rPr>
          <w:rFonts w:ascii="Times New Roman" w:hAnsi="Times New Roman" w:cs="Times New Roman"/>
        </w:rPr>
      </w:pPr>
      <w:r w:rsidRPr="003B472B">
        <w:rPr>
          <w:rFonts w:ascii="Times New Roman" w:hAnsi="Times New Roman" w:cs="Times New Roman"/>
        </w:rPr>
        <w:t xml:space="preserve">A tablet (Apple </w:t>
      </w:r>
      <w:r w:rsidR="003B472B" w:rsidRPr="003B472B">
        <w:rPr>
          <w:rFonts w:ascii="Times New Roman" w:hAnsi="Times New Roman" w:cs="Times New Roman"/>
        </w:rPr>
        <w:t>iPad</w:t>
      </w:r>
      <w:r w:rsidRPr="003B472B">
        <w:rPr>
          <w:rFonts w:ascii="Times New Roman" w:hAnsi="Times New Roman" w:cs="Times New Roman"/>
        </w:rPr>
        <w:t>)</w:t>
      </w:r>
      <w:r w:rsidR="006F560A" w:rsidRPr="003B472B">
        <w:rPr>
          <w:rFonts w:ascii="Times New Roman" w:hAnsi="Times New Roman" w:cs="Times New Roman"/>
        </w:rPr>
        <w:t xml:space="preserve"> with telerehabilitation games from one given supplier downloaded</w:t>
      </w:r>
    </w:p>
    <w:p w14:paraId="003D022E" w14:textId="0E2FA1C3" w:rsidR="00732FA5" w:rsidRPr="003B472B" w:rsidRDefault="00732FA5" w:rsidP="0081323C">
      <w:pPr>
        <w:pStyle w:val="ListParagraph"/>
        <w:numPr>
          <w:ilvl w:val="0"/>
          <w:numId w:val="5"/>
        </w:numPr>
        <w:spacing w:line="360" w:lineRule="auto"/>
        <w:jc w:val="both"/>
        <w:rPr>
          <w:rFonts w:ascii="Times New Roman" w:hAnsi="Times New Roman" w:cs="Times New Roman"/>
        </w:rPr>
      </w:pPr>
      <w:r w:rsidRPr="003B472B">
        <w:rPr>
          <w:rFonts w:ascii="Times New Roman" w:hAnsi="Times New Roman" w:cs="Times New Roman"/>
        </w:rPr>
        <w:t>Wi</w:t>
      </w:r>
      <w:r w:rsidR="00BF1066">
        <w:rPr>
          <w:rFonts w:ascii="Times New Roman" w:hAnsi="Times New Roman" w:cs="Times New Roman"/>
        </w:rPr>
        <w:t>-</w:t>
      </w:r>
      <w:r w:rsidRPr="003B472B">
        <w:rPr>
          <w:rFonts w:ascii="Times New Roman" w:hAnsi="Times New Roman" w:cs="Times New Roman"/>
        </w:rPr>
        <w:t>fi connection</w:t>
      </w:r>
      <w:r w:rsidR="003B472B" w:rsidRPr="003B472B">
        <w:rPr>
          <w:rFonts w:ascii="Times New Roman" w:hAnsi="Times New Roman" w:cs="Times New Roman"/>
        </w:rPr>
        <w:t xml:space="preserve"> </w:t>
      </w:r>
      <w:r w:rsidR="004A58E3">
        <w:rPr>
          <w:rFonts w:ascii="Times New Roman" w:hAnsi="Times New Roman" w:cs="Times New Roman"/>
        </w:rPr>
        <w:t xml:space="preserve">preferred but </w:t>
      </w:r>
      <w:r w:rsidR="00BF1066">
        <w:rPr>
          <w:rFonts w:ascii="Times New Roman" w:hAnsi="Times New Roman" w:cs="Times New Roman"/>
        </w:rPr>
        <w:t>not necessary</w:t>
      </w:r>
      <w:r w:rsidR="004A58E3">
        <w:rPr>
          <w:rFonts w:ascii="Times New Roman" w:hAnsi="Times New Roman" w:cs="Times New Roman"/>
        </w:rPr>
        <w:t xml:space="preserve"> </w:t>
      </w:r>
      <w:r w:rsidR="003B472B" w:rsidRPr="003B472B">
        <w:rPr>
          <w:rFonts w:ascii="Times New Roman" w:hAnsi="Times New Roman" w:cs="Times New Roman"/>
        </w:rPr>
        <w:t>(for uploading data to the IT server dedicated for the study)</w:t>
      </w:r>
    </w:p>
    <w:p w14:paraId="532ABF8C" w14:textId="08D6DABF" w:rsidR="00732FA5" w:rsidRPr="003B472B" w:rsidRDefault="00732FA5" w:rsidP="0081323C">
      <w:pPr>
        <w:pStyle w:val="ListParagraph"/>
        <w:numPr>
          <w:ilvl w:val="0"/>
          <w:numId w:val="5"/>
        </w:numPr>
        <w:spacing w:line="360" w:lineRule="auto"/>
        <w:jc w:val="both"/>
        <w:rPr>
          <w:rFonts w:ascii="Times New Roman" w:hAnsi="Times New Roman" w:cs="Times New Roman"/>
        </w:rPr>
      </w:pPr>
      <w:r w:rsidRPr="003B472B">
        <w:rPr>
          <w:rFonts w:ascii="Times New Roman" w:hAnsi="Times New Roman" w:cs="Times New Roman"/>
        </w:rPr>
        <w:t xml:space="preserve">Assistive physiotherapy equipment </w:t>
      </w:r>
      <w:r w:rsidR="00186DEC">
        <w:rPr>
          <w:rFonts w:ascii="Times New Roman" w:hAnsi="Times New Roman" w:cs="Times New Roman"/>
        </w:rPr>
        <w:t xml:space="preserve">with different resistance levels, </w:t>
      </w:r>
      <w:r w:rsidRPr="003B472B">
        <w:rPr>
          <w:rFonts w:ascii="Times New Roman" w:hAnsi="Times New Roman" w:cs="Times New Roman"/>
        </w:rPr>
        <w:t>such as pulley, lifting rod or cycle paddle</w:t>
      </w:r>
      <w:r w:rsidR="004B27D2">
        <w:rPr>
          <w:rFonts w:ascii="Times New Roman" w:hAnsi="Times New Roman" w:cs="Times New Roman"/>
        </w:rPr>
        <w:t xml:space="preserve">, depending on the programme prescribed by the therapists for the </w:t>
      </w:r>
      <w:r w:rsidR="00BF1066">
        <w:rPr>
          <w:rFonts w:ascii="Times New Roman" w:hAnsi="Times New Roman" w:cs="Times New Roman"/>
        </w:rPr>
        <w:t>patients’</w:t>
      </w:r>
      <w:r w:rsidR="004B27D2">
        <w:rPr>
          <w:rFonts w:ascii="Times New Roman" w:hAnsi="Times New Roman" w:cs="Times New Roman"/>
        </w:rPr>
        <w:t xml:space="preserve"> recovery</w:t>
      </w:r>
    </w:p>
    <w:p w14:paraId="73CFD25B" w14:textId="5FFE661B" w:rsidR="00732FA5" w:rsidRDefault="00854B9F" w:rsidP="0081323C">
      <w:pPr>
        <w:spacing w:line="360" w:lineRule="auto"/>
        <w:jc w:val="both"/>
        <w:rPr>
          <w:rFonts w:ascii="Times New Roman" w:hAnsi="Times New Roman" w:cs="Times New Roman"/>
        </w:rPr>
      </w:pPr>
      <w:r>
        <w:rPr>
          <w:rFonts w:ascii="Times New Roman" w:hAnsi="Times New Roman" w:cs="Times New Roman"/>
        </w:rPr>
        <w:t xml:space="preserve"> </w:t>
      </w:r>
      <w:r w:rsidR="005F1037">
        <w:rPr>
          <w:rFonts w:ascii="Times New Roman" w:hAnsi="Times New Roman" w:cs="Times New Roman"/>
          <w:noProof/>
        </w:rPr>
        <w:drawing>
          <wp:inline distT="0" distB="0" distL="0" distR="0" wp14:anchorId="3DA0010F" wp14:editId="72D466F1">
            <wp:extent cx="5943600" cy="3316605"/>
            <wp:effectExtent l="0" t="0" r="0" b="0"/>
            <wp:docPr id="724999057" name="Picture 5" descr="A person holding a yellow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999057" name="Picture 5" descr="A person holding a yellow ba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316605"/>
                    </a:xfrm>
                    <a:prstGeom prst="rect">
                      <a:avLst/>
                    </a:prstGeom>
                  </pic:spPr>
                </pic:pic>
              </a:graphicData>
            </a:graphic>
          </wp:inline>
        </w:drawing>
      </w:r>
    </w:p>
    <w:p w14:paraId="549E73A6" w14:textId="77777777" w:rsidR="005F1037" w:rsidRDefault="005F1037" w:rsidP="0081323C">
      <w:pPr>
        <w:spacing w:line="360" w:lineRule="auto"/>
        <w:jc w:val="both"/>
        <w:rPr>
          <w:rFonts w:ascii="Times New Roman" w:hAnsi="Times New Roman" w:cs="Times New Roman"/>
        </w:rPr>
      </w:pPr>
    </w:p>
    <w:p w14:paraId="300F9F62" w14:textId="5A63B27D" w:rsidR="004937AC" w:rsidRPr="004937AC" w:rsidRDefault="004937AC" w:rsidP="004937AC">
      <w:pPr>
        <w:spacing w:line="360" w:lineRule="auto"/>
        <w:jc w:val="both"/>
        <w:rPr>
          <w:rFonts w:ascii="Times New Roman" w:hAnsi="Times New Roman" w:cs="Times New Roman"/>
        </w:rPr>
      </w:pPr>
      <w:r w:rsidRPr="004937AC">
        <w:rPr>
          <w:rFonts w:ascii="Times New Roman" w:hAnsi="Times New Roman" w:cs="Times New Roman"/>
        </w:rPr>
        <w:lastRenderedPageBreak/>
        <w:t>Patient Recruitment: The study will be conducted at a hospital with geriatric rehabilitation services within the Hospital Authority in Hong Kong. Pok Oi Hospital in Yuen Long is the first public sector hospital to introduce telerehabilitation services, making it the primary site for this research. As the service expands to other hospitals, the study can also be extended to include those facilities.</w:t>
      </w:r>
    </w:p>
    <w:p w14:paraId="6262488B" w14:textId="77777777" w:rsidR="004937AC" w:rsidRPr="004937AC" w:rsidRDefault="004937AC" w:rsidP="004937AC">
      <w:pPr>
        <w:spacing w:line="360" w:lineRule="auto"/>
        <w:jc w:val="both"/>
        <w:rPr>
          <w:rFonts w:ascii="Times New Roman" w:hAnsi="Times New Roman" w:cs="Times New Roman"/>
        </w:rPr>
      </w:pPr>
    </w:p>
    <w:p w14:paraId="2F73B757" w14:textId="77777777" w:rsidR="004937AC" w:rsidRDefault="004937AC" w:rsidP="004937AC">
      <w:pPr>
        <w:spacing w:line="360" w:lineRule="auto"/>
        <w:jc w:val="both"/>
        <w:rPr>
          <w:rFonts w:ascii="Times New Roman" w:hAnsi="Times New Roman" w:cs="Times New Roman"/>
        </w:rPr>
      </w:pPr>
      <w:r w:rsidRPr="004937AC">
        <w:rPr>
          <w:rFonts w:ascii="Times New Roman" w:hAnsi="Times New Roman" w:cs="Times New Roman"/>
        </w:rPr>
        <w:t>Participants will be recruited voluntarily and will undergo an assessment of their functional abilities related to motor skills by a licensed doctor, physiotherapist, or occupational therapist who is part of the geriatric rehabilitation team. This assessment will determine their suitability for home-based telerehabilitation.</w:t>
      </w:r>
    </w:p>
    <w:p w14:paraId="01D16840" w14:textId="77777777" w:rsidR="004937AC" w:rsidRDefault="004937AC" w:rsidP="004937AC">
      <w:pPr>
        <w:spacing w:line="360" w:lineRule="auto"/>
        <w:jc w:val="both"/>
        <w:rPr>
          <w:rFonts w:ascii="Times New Roman" w:hAnsi="Times New Roman" w:cs="Times New Roman"/>
        </w:rPr>
      </w:pPr>
    </w:p>
    <w:p w14:paraId="2C3872A5" w14:textId="054D4EB7" w:rsidR="008371C5" w:rsidRDefault="008371C5" w:rsidP="004937AC">
      <w:pPr>
        <w:spacing w:line="360" w:lineRule="auto"/>
        <w:jc w:val="both"/>
        <w:rPr>
          <w:rFonts w:ascii="Times New Roman" w:hAnsi="Times New Roman" w:cs="Times New Roman"/>
        </w:rPr>
      </w:pPr>
      <w:r>
        <w:rPr>
          <w:rFonts w:ascii="Times New Roman" w:hAnsi="Times New Roman" w:cs="Times New Roman"/>
        </w:rPr>
        <w:t>Inclusion criteria</w:t>
      </w:r>
    </w:p>
    <w:p w14:paraId="7AC8F9BC" w14:textId="2F9BAD2E" w:rsidR="008371C5" w:rsidRDefault="008371C5" w:rsidP="0081323C">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Age 60+ at the time of study</w:t>
      </w:r>
    </w:p>
    <w:p w14:paraId="40CF40E8" w14:textId="768310A4" w:rsidR="008371C5" w:rsidRDefault="008371C5" w:rsidP="0081323C">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Prescribed physiotherapy or occupational therapy programme by a licensed doctor in Hong Kong and assessed suitable to undertake the home-based rehabilitation by a licensed physiotherapy/ occupational therapist in Hong Kong</w:t>
      </w:r>
    </w:p>
    <w:p w14:paraId="490D7BD7" w14:textId="1F63D988" w:rsidR="008371C5" w:rsidRDefault="008371C5" w:rsidP="0081323C">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Have some cognitive ability to understand the instruction of the video game training and the ability to complete the training on their own or with the assistance of carers</w:t>
      </w:r>
    </w:p>
    <w:p w14:paraId="05814B9D" w14:textId="77777777" w:rsidR="00963187" w:rsidRDefault="00963187" w:rsidP="0081323C">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Able to communicate and express themselves</w:t>
      </w:r>
    </w:p>
    <w:p w14:paraId="2D17B4B7" w14:textId="12F53021" w:rsidR="005F0727" w:rsidRPr="0081323C" w:rsidRDefault="008371C5" w:rsidP="0081323C">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Informed consent signed</w:t>
      </w:r>
    </w:p>
    <w:p w14:paraId="46C714C7" w14:textId="6952F939" w:rsidR="008371C5" w:rsidRDefault="008371C5" w:rsidP="0081323C">
      <w:pPr>
        <w:spacing w:line="360" w:lineRule="auto"/>
        <w:jc w:val="both"/>
        <w:rPr>
          <w:rFonts w:ascii="Times New Roman" w:hAnsi="Times New Roman" w:cs="Times New Roman"/>
        </w:rPr>
      </w:pPr>
      <w:r>
        <w:rPr>
          <w:rFonts w:ascii="Times New Roman" w:hAnsi="Times New Roman" w:cs="Times New Roman"/>
        </w:rPr>
        <w:t>Exclusion criteria</w:t>
      </w:r>
    </w:p>
    <w:p w14:paraId="5A228CD9" w14:textId="27AF3D63" w:rsidR="008371C5" w:rsidRPr="00963187" w:rsidRDefault="008371C5" w:rsidP="0081323C">
      <w:pPr>
        <w:pStyle w:val="ListParagraph"/>
        <w:numPr>
          <w:ilvl w:val="0"/>
          <w:numId w:val="4"/>
        </w:numPr>
        <w:spacing w:line="360" w:lineRule="auto"/>
        <w:jc w:val="both"/>
        <w:rPr>
          <w:rFonts w:ascii="Times New Roman" w:hAnsi="Times New Roman" w:cs="Times New Roman"/>
        </w:rPr>
      </w:pPr>
      <w:r w:rsidRPr="00963187">
        <w:rPr>
          <w:rFonts w:ascii="Times New Roman" w:hAnsi="Times New Roman" w:cs="Times New Roman"/>
        </w:rPr>
        <w:t xml:space="preserve">Patients with severe cognitive impairment or complete loss of mobility </w:t>
      </w:r>
    </w:p>
    <w:p w14:paraId="0C5CE797" w14:textId="6A81C2EC" w:rsidR="008371C5" w:rsidRPr="00963187" w:rsidRDefault="008371C5" w:rsidP="0081323C">
      <w:pPr>
        <w:pStyle w:val="ListParagraph"/>
        <w:numPr>
          <w:ilvl w:val="0"/>
          <w:numId w:val="4"/>
        </w:numPr>
        <w:spacing w:line="360" w:lineRule="auto"/>
        <w:jc w:val="both"/>
        <w:rPr>
          <w:rFonts w:ascii="Times New Roman" w:hAnsi="Times New Roman" w:cs="Times New Roman"/>
        </w:rPr>
      </w:pPr>
      <w:r w:rsidRPr="00963187">
        <w:rPr>
          <w:rFonts w:ascii="Times New Roman" w:hAnsi="Times New Roman" w:cs="Times New Roman"/>
        </w:rPr>
        <w:t>A major, active, coexistent neurological, psychiatric disease, or severe depression</w:t>
      </w:r>
    </w:p>
    <w:p w14:paraId="5239148B" w14:textId="76429CDC" w:rsidR="008371C5" w:rsidRPr="0081323C" w:rsidRDefault="008371C5" w:rsidP="0081323C">
      <w:pPr>
        <w:pStyle w:val="ListParagraph"/>
        <w:numPr>
          <w:ilvl w:val="0"/>
          <w:numId w:val="4"/>
        </w:numPr>
        <w:spacing w:line="360" w:lineRule="auto"/>
        <w:jc w:val="both"/>
        <w:rPr>
          <w:rFonts w:ascii="Times New Roman" w:hAnsi="Times New Roman" w:cs="Times New Roman"/>
        </w:rPr>
      </w:pPr>
      <w:r w:rsidRPr="00963187">
        <w:rPr>
          <w:rFonts w:ascii="Times New Roman" w:hAnsi="Times New Roman" w:cs="Times New Roman"/>
        </w:rPr>
        <w:t>A major medical disorder that may substantially affect the likelihood of the subject to comply with the instruction thus complete the study</w:t>
      </w:r>
    </w:p>
    <w:p w14:paraId="64019EA1" w14:textId="74889E6D" w:rsidR="00963187" w:rsidRDefault="00963187" w:rsidP="0081323C">
      <w:pPr>
        <w:spacing w:line="360" w:lineRule="auto"/>
        <w:jc w:val="both"/>
        <w:rPr>
          <w:rFonts w:ascii="Times New Roman" w:hAnsi="Times New Roman" w:cs="Times New Roman"/>
        </w:rPr>
      </w:pPr>
      <w:r>
        <w:rPr>
          <w:rFonts w:ascii="Times New Roman" w:hAnsi="Times New Roman" w:cs="Times New Roman"/>
        </w:rPr>
        <w:t xml:space="preserve">Patient’s data such as gender, age, education level, living conditions (home or </w:t>
      </w:r>
      <w:r w:rsidR="004B27D2">
        <w:rPr>
          <w:rFonts w:ascii="Times New Roman" w:hAnsi="Times New Roman" w:cs="Times New Roman"/>
        </w:rPr>
        <w:t>long-term</w:t>
      </w:r>
      <w:r>
        <w:rPr>
          <w:rFonts w:ascii="Times New Roman" w:hAnsi="Times New Roman" w:cs="Times New Roman"/>
        </w:rPr>
        <w:t xml:space="preserve"> </w:t>
      </w:r>
      <w:r w:rsidR="00854B9F">
        <w:rPr>
          <w:rFonts w:ascii="Times New Roman" w:hAnsi="Times New Roman" w:cs="Times New Roman"/>
        </w:rPr>
        <w:t xml:space="preserve">daycare </w:t>
      </w:r>
      <w:r>
        <w:rPr>
          <w:rFonts w:ascii="Times New Roman" w:hAnsi="Times New Roman" w:cs="Times New Roman"/>
        </w:rPr>
        <w:t>facility), availability of carer will be recorded during the interview.</w:t>
      </w:r>
    </w:p>
    <w:p w14:paraId="4E150A71" w14:textId="77777777" w:rsidR="004937AC" w:rsidRPr="004937AC" w:rsidRDefault="004937AC" w:rsidP="004937AC">
      <w:pPr>
        <w:spacing w:line="360" w:lineRule="auto"/>
        <w:jc w:val="both"/>
        <w:rPr>
          <w:rFonts w:ascii="Times New Roman" w:hAnsi="Times New Roman" w:cs="Times New Roman"/>
        </w:rPr>
      </w:pPr>
      <w:r w:rsidRPr="004937AC">
        <w:rPr>
          <w:rFonts w:ascii="Times New Roman" w:hAnsi="Times New Roman" w:cs="Times New Roman"/>
        </w:rPr>
        <w:t xml:space="preserve">A questionnaire will be developed with open-ended questions to allow participants to share their experiences. The questions will cover all parameters of the research objectives, including patients’ </w:t>
      </w:r>
      <w:r w:rsidRPr="004937AC">
        <w:rPr>
          <w:rFonts w:ascii="Times New Roman" w:hAnsi="Times New Roman" w:cs="Times New Roman"/>
        </w:rPr>
        <w:lastRenderedPageBreak/>
        <w:t>experiences with telerehabilitation, perceived benefits and challenges, factors affecting adoption decisions, cultural and social influences, and comparisons with traditional one-on-one hospital-based rehabilitation methods. The questionnaire will be reviewed by experts in qualitative research, telehealth, and rehabilitation.</w:t>
      </w:r>
    </w:p>
    <w:p w14:paraId="183E76E2" w14:textId="77777777" w:rsidR="004937AC" w:rsidRPr="004937AC" w:rsidRDefault="004937AC" w:rsidP="004937AC">
      <w:pPr>
        <w:spacing w:line="360" w:lineRule="auto"/>
        <w:jc w:val="both"/>
        <w:rPr>
          <w:rFonts w:ascii="Times New Roman" w:hAnsi="Times New Roman" w:cs="Times New Roman"/>
        </w:rPr>
      </w:pPr>
    </w:p>
    <w:p w14:paraId="4BBDF6DF" w14:textId="2F637546" w:rsidR="0081323C" w:rsidRDefault="004937AC" w:rsidP="004937AC">
      <w:pPr>
        <w:spacing w:line="360" w:lineRule="auto"/>
        <w:jc w:val="both"/>
        <w:rPr>
          <w:rFonts w:ascii="Times New Roman" w:hAnsi="Times New Roman" w:cs="Times New Roman"/>
        </w:rPr>
      </w:pPr>
      <w:r w:rsidRPr="004937AC">
        <w:rPr>
          <w:rFonts w:ascii="Times New Roman" w:hAnsi="Times New Roman" w:cs="Times New Roman"/>
        </w:rPr>
        <w:t>Patients will be asked to sign a consent form before being interviewed by a team of experienced interviewers. They will be asked questions related to their medical history and treatment, their motivation for participating in the home-based telerehabilitation, their user experiences, perceived effectiveness, compliance, and ultimately the long-term sustainable use of telerehabilitation as a means of self-health management.</w:t>
      </w:r>
    </w:p>
    <w:p w14:paraId="549ADBC4" w14:textId="77777777" w:rsidR="004937AC" w:rsidRDefault="004937AC" w:rsidP="004937AC">
      <w:pPr>
        <w:spacing w:line="360" w:lineRule="auto"/>
        <w:jc w:val="both"/>
        <w:rPr>
          <w:rFonts w:ascii="Times New Roman" w:hAnsi="Times New Roman" w:cs="Times New Roman"/>
        </w:rPr>
      </w:pPr>
    </w:p>
    <w:p w14:paraId="1765D8E3" w14:textId="1712EA94" w:rsidR="00AA22E2" w:rsidRPr="0081323C" w:rsidRDefault="00AA22E2" w:rsidP="0081323C">
      <w:pPr>
        <w:spacing w:line="360" w:lineRule="auto"/>
        <w:jc w:val="both"/>
        <w:rPr>
          <w:rFonts w:ascii="Times New Roman" w:hAnsi="Times New Roman" w:cs="Times New Roman"/>
          <w:u w:val="single"/>
        </w:rPr>
      </w:pPr>
      <w:r w:rsidRPr="0081323C">
        <w:rPr>
          <w:rFonts w:ascii="Times New Roman" w:hAnsi="Times New Roman" w:cs="Times New Roman"/>
          <w:u w:val="single"/>
        </w:rPr>
        <w:t>Work plan and timeline</w:t>
      </w:r>
    </w:p>
    <w:p w14:paraId="621D1DBB" w14:textId="28372E83" w:rsidR="00A14FBA" w:rsidRDefault="00A14FBA" w:rsidP="0081323C">
      <w:pPr>
        <w:spacing w:line="360" w:lineRule="auto"/>
        <w:jc w:val="both"/>
        <w:rPr>
          <w:rFonts w:ascii="Times New Roman" w:hAnsi="Times New Roman" w:cs="Times New Roman"/>
        </w:rPr>
      </w:pPr>
      <w:r>
        <w:rPr>
          <w:rFonts w:ascii="Times New Roman" w:hAnsi="Times New Roman" w:cs="Times New Roman"/>
        </w:rPr>
        <w:t xml:space="preserve">Upon approval of the </w:t>
      </w:r>
      <w:r w:rsidR="001B5343">
        <w:rPr>
          <w:rFonts w:ascii="Times New Roman" w:hAnsi="Times New Roman" w:cs="Times New Roman"/>
        </w:rPr>
        <w:t>project,</w:t>
      </w:r>
      <w:r>
        <w:rPr>
          <w:rFonts w:ascii="Times New Roman" w:hAnsi="Times New Roman" w:cs="Times New Roman"/>
        </w:rPr>
        <w:t xml:space="preserve"> it is expected that the research study will take up to 12 months.  </w:t>
      </w:r>
    </w:p>
    <w:p w14:paraId="49D7A7F3"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Months 1-2: Preparation and Planning</w:t>
      </w:r>
    </w:p>
    <w:p w14:paraId="71530165"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1.</w:t>
      </w:r>
      <w:r w:rsidRPr="00A14FBA">
        <w:rPr>
          <w:rFonts w:ascii="Times New Roman" w:hAnsi="Times New Roman" w:cs="Times New Roman"/>
        </w:rPr>
        <w:tab/>
        <w:t>Literature Review and Proposal Development</w:t>
      </w:r>
    </w:p>
    <w:p w14:paraId="18698404"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Conduct a comprehensive review of existing literature</w:t>
      </w:r>
    </w:p>
    <w:p w14:paraId="22FA5EC1"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Develop a detailed research proposal</w:t>
      </w:r>
    </w:p>
    <w:p w14:paraId="7A11C8A8"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Define research questions and objectives</w:t>
      </w:r>
    </w:p>
    <w:p w14:paraId="174BDE3A"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2.</w:t>
      </w:r>
      <w:r w:rsidRPr="00A14FBA">
        <w:rPr>
          <w:rFonts w:ascii="Times New Roman" w:hAnsi="Times New Roman" w:cs="Times New Roman"/>
        </w:rPr>
        <w:tab/>
        <w:t>Ethics Approval</w:t>
      </w:r>
    </w:p>
    <w:p w14:paraId="54992106"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Prepare and submit ethics application to the Institutional Review Board (IRB)</w:t>
      </w:r>
    </w:p>
    <w:p w14:paraId="1194C7BD"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Address any feedback or concerns raised by the IRB</w:t>
      </w:r>
    </w:p>
    <w:p w14:paraId="13BF47FF"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3.</w:t>
      </w:r>
      <w:r w:rsidRPr="00A14FBA">
        <w:rPr>
          <w:rFonts w:ascii="Times New Roman" w:hAnsi="Times New Roman" w:cs="Times New Roman"/>
        </w:rPr>
        <w:tab/>
        <w:t>Methodology Refinement</w:t>
      </w:r>
    </w:p>
    <w:p w14:paraId="2C39CD2A"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Finalize the qualitative research design</w:t>
      </w:r>
    </w:p>
    <w:p w14:paraId="4080A1B2"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Develop interview guides and observation protocols</w:t>
      </w:r>
    </w:p>
    <w:p w14:paraId="21C7F08C"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Months 3-4: Instrument Development and Pilot Testing</w:t>
      </w:r>
    </w:p>
    <w:p w14:paraId="0E63FE42" w14:textId="34D41704"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lastRenderedPageBreak/>
        <w:tab/>
      </w:r>
      <w:r>
        <w:rPr>
          <w:rFonts w:ascii="Times New Roman" w:hAnsi="Times New Roman" w:cs="Times New Roman"/>
        </w:rPr>
        <w:t>1</w:t>
      </w:r>
      <w:r w:rsidRPr="00A14FBA">
        <w:rPr>
          <w:rFonts w:ascii="Times New Roman" w:hAnsi="Times New Roman" w:cs="Times New Roman"/>
        </w:rPr>
        <w:t>.</w:t>
      </w:r>
      <w:r w:rsidRPr="00A14FBA">
        <w:rPr>
          <w:rFonts w:ascii="Times New Roman" w:hAnsi="Times New Roman" w:cs="Times New Roman"/>
        </w:rPr>
        <w:tab/>
        <w:t>Questionnaire Development</w:t>
      </w:r>
    </w:p>
    <w:p w14:paraId="2D1DE3D3"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Create initial draft of interview questions</w:t>
      </w:r>
    </w:p>
    <w:p w14:paraId="6EB9D1D1"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Conduct expert review for content validity</w:t>
      </w:r>
    </w:p>
    <w:p w14:paraId="69B339A8"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Translate instruments into Cantonese and Traditional Chinese</w:t>
      </w:r>
    </w:p>
    <w:p w14:paraId="1BB7D01A"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Perform back-translation to ensure accuracy</w:t>
      </w:r>
    </w:p>
    <w:p w14:paraId="75B748C3"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2.</w:t>
      </w:r>
      <w:r w:rsidRPr="00A14FBA">
        <w:rPr>
          <w:rFonts w:ascii="Times New Roman" w:hAnsi="Times New Roman" w:cs="Times New Roman"/>
        </w:rPr>
        <w:tab/>
        <w:t>Pilot Testing</w:t>
      </w:r>
    </w:p>
    <w:p w14:paraId="136F6072"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Recruit a small sample (5-10 participants) for pilot interviews</w:t>
      </w:r>
    </w:p>
    <w:p w14:paraId="32D3B5C7"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Conduct pilot interviews and analyze feedback</w:t>
      </w:r>
    </w:p>
    <w:p w14:paraId="7EF16E41"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Refine interview questions based on pilot results</w:t>
      </w:r>
    </w:p>
    <w:p w14:paraId="0F1FA116"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3.</w:t>
      </w:r>
      <w:r w:rsidRPr="00A14FBA">
        <w:rPr>
          <w:rFonts w:ascii="Times New Roman" w:hAnsi="Times New Roman" w:cs="Times New Roman"/>
        </w:rPr>
        <w:tab/>
        <w:t>Sampling Strategy</w:t>
      </w:r>
    </w:p>
    <w:p w14:paraId="4B738B01"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Develop a purposive sampling strategy</w:t>
      </w:r>
    </w:p>
    <w:p w14:paraId="2AA8802E"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Identify key stakeholders and potential participants</w:t>
      </w:r>
    </w:p>
    <w:p w14:paraId="1D4A1DE2"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Months 5-8: Data Collection</w:t>
      </w:r>
    </w:p>
    <w:p w14:paraId="3F693148" w14:textId="0021F0E5"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r>
      <w:r w:rsidR="004937AC">
        <w:rPr>
          <w:rFonts w:ascii="Times New Roman" w:hAnsi="Times New Roman" w:cs="Times New Roman"/>
        </w:rPr>
        <w:t>1</w:t>
      </w:r>
      <w:r w:rsidRPr="00A14FBA">
        <w:rPr>
          <w:rFonts w:ascii="Times New Roman" w:hAnsi="Times New Roman" w:cs="Times New Roman"/>
        </w:rPr>
        <w:t>.</w:t>
      </w:r>
      <w:r w:rsidRPr="00A14FBA">
        <w:rPr>
          <w:rFonts w:ascii="Times New Roman" w:hAnsi="Times New Roman" w:cs="Times New Roman"/>
        </w:rPr>
        <w:tab/>
        <w:t>Participant Recruitment</w:t>
      </w:r>
    </w:p>
    <w:p w14:paraId="41946A41"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Reach out to healthcare facilities, patient groups, and relevant organizations</w:t>
      </w:r>
    </w:p>
    <w:p w14:paraId="75BD03F2"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Screen and select participants based on inclusion criteria</w:t>
      </w:r>
    </w:p>
    <w:p w14:paraId="6F4D4DED"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2.</w:t>
      </w:r>
      <w:r w:rsidRPr="00A14FBA">
        <w:rPr>
          <w:rFonts w:ascii="Times New Roman" w:hAnsi="Times New Roman" w:cs="Times New Roman"/>
        </w:rPr>
        <w:tab/>
        <w:t>In-depth Interviews</w:t>
      </w:r>
    </w:p>
    <w:p w14:paraId="03B37669"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Conduct 30-40 semi-structured interviews with patients, healthcare providers, and administrators</w:t>
      </w:r>
    </w:p>
    <w:p w14:paraId="16D2509F"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Transcribe interviews promptly after each session</w:t>
      </w:r>
    </w:p>
    <w:p w14:paraId="1D6B9943"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3.</w:t>
      </w:r>
      <w:r w:rsidRPr="00A14FBA">
        <w:rPr>
          <w:rFonts w:ascii="Times New Roman" w:hAnsi="Times New Roman" w:cs="Times New Roman"/>
        </w:rPr>
        <w:tab/>
        <w:t>Focus Groups</w:t>
      </w:r>
    </w:p>
    <w:p w14:paraId="43E36D57"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Organize and facilitate 4-6 focus group discussions</w:t>
      </w:r>
    </w:p>
    <w:p w14:paraId="06E67FD2"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Ensure diverse representation in each group</w:t>
      </w:r>
    </w:p>
    <w:p w14:paraId="53C24D44"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lastRenderedPageBreak/>
        <w:tab/>
        <w:t>4.</w:t>
      </w:r>
      <w:r w:rsidRPr="00A14FBA">
        <w:rPr>
          <w:rFonts w:ascii="Times New Roman" w:hAnsi="Times New Roman" w:cs="Times New Roman"/>
        </w:rPr>
        <w:tab/>
        <w:t>Participant Observation</w:t>
      </w:r>
    </w:p>
    <w:p w14:paraId="601B0976"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Observe 10-15 telerehabilitation sessions (with consent)</w:t>
      </w:r>
    </w:p>
    <w:p w14:paraId="0846D2F4"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Take detailed field notes during observations</w:t>
      </w:r>
    </w:p>
    <w:p w14:paraId="2017A160"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Months 9-11: Data Analysis</w:t>
      </w:r>
    </w:p>
    <w:p w14:paraId="4596A555" w14:textId="1ADAC07F"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r>
      <w:r w:rsidR="004937AC">
        <w:rPr>
          <w:rFonts w:ascii="Times New Roman" w:hAnsi="Times New Roman" w:cs="Times New Roman"/>
        </w:rPr>
        <w:t>1</w:t>
      </w:r>
      <w:r w:rsidRPr="00A14FBA">
        <w:rPr>
          <w:rFonts w:ascii="Times New Roman" w:hAnsi="Times New Roman" w:cs="Times New Roman"/>
        </w:rPr>
        <w:t>.</w:t>
      </w:r>
      <w:r w:rsidRPr="00A14FBA">
        <w:rPr>
          <w:rFonts w:ascii="Times New Roman" w:hAnsi="Times New Roman" w:cs="Times New Roman"/>
        </w:rPr>
        <w:tab/>
        <w:t>Data Preparation</w:t>
      </w:r>
    </w:p>
    <w:p w14:paraId="3F519654"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Complete transcription and translation of all interviews and focus groups</w:t>
      </w:r>
    </w:p>
    <w:p w14:paraId="3800F64C" w14:textId="312325E8"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 xml:space="preserve">Import data into qualitative analysis software </w:t>
      </w:r>
    </w:p>
    <w:p w14:paraId="17F59D06"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2.</w:t>
      </w:r>
      <w:r w:rsidRPr="00A14FBA">
        <w:rPr>
          <w:rFonts w:ascii="Times New Roman" w:hAnsi="Times New Roman" w:cs="Times New Roman"/>
        </w:rPr>
        <w:tab/>
        <w:t>Thematic Analysis</w:t>
      </w:r>
    </w:p>
    <w:p w14:paraId="4495B9BC"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Conduct initial coding of transcripts</w:t>
      </w:r>
    </w:p>
    <w:p w14:paraId="3F0330DF"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Identify emerging themes and subthemes</w:t>
      </w:r>
    </w:p>
    <w:p w14:paraId="7876B11A"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Refine and consolidate themes through team discussions</w:t>
      </w:r>
    </w:p>
    <w:p w14:paraId="7C752755"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3.</w:t>
      </w:r>
      <w:r w:rsidRPr="00A14FBA">
        <w:rPr>
          <w:rFonts w:ascii="Times New Roman" w:hAnsi="Times New Roman" w:cs="Times New Roman"/>
        </w:rPr>
        <w:tab/>
        <w:t>Interpretation and Validation</w:t>
      </w:r>
    </w:p>
    <w:p w14:paraId="3572CF81"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Conduct member checking with a subset of participants</w:t>
      </w:r>
    </w:p>
    <w:p w14:paraId="108F69CC"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Engage in peer debriefing sessions with research team</w:t>
      </w:r>
    </w:p>
    <w:p w14:paraId="68DA7A18"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Triangulate findings from different data sources</w:t>
      </w:r>
    </w:p>
    <w:p w14:paraId="208AD365"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Month 12: Reporting and Dissemination</w:t>
      </w:r>
    </w:p>
    <w:p w14:paraId="08DC9A05" w14:textId="683A7879"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r>
      <w:r w:rsidR="004937AC">
        <w:rPr>
          <w:rFonts w:ascii="Times New Roman" w:hAnsi="Times New Roman" w:cs="Times New Roman"/>
        </w:rPr>
        <w:t>1</w:t>
      </w:r>
      <w:r w:rsidRPr="00A14FBA">
        <w:rPr>
          <w:rFonts w:ascii="Times New Roman" w:hAnsi="Times New Roman" w:cs="Times New Roman"/>
        </w:rPr>
        <w:t>.</w:t>
      </w:r>
      <w:r w:rsidRPr="00A14FBA">
        <w:rPr>
          <w:rFonts w:ascii="Times New Roman" w:hAnsi="Times New Roman" w:cs="Times New Roman"/>
        </w:rPr>
        <w:tab/>
        <w:t>Report Writing</w:t>
      </w:r>
    </w:p>
    <w:p w14:paraId="120D5A81"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Draft a comprehensive research report</w:t>
      </w:r>
    </w:p>
    <w:p w14:paraId="2555D28B"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Prepare academic manuscripts for journal submission</w:t>
      </w:r>
    </w:p>
    <w:p w14:paraId="687AE381"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2.</w:t>
      </w:r>
      <w:r w:rsidRPr="00A14FBA">
        <w:rPr>
          <w:rFonts w:ascii="Times New Roman" w:hAnsi="Times New Roman" w:cs="Times New Roman"/>
        </w:rPr>
        <w:tab/>
        <w:t>Presentation Preparation</w:t>
      </w:r>
    </w:p>
    <w:p w14:paraId="4D76B0DE"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Develop presentations for academic conferences</w:t>
      </w:r>
    </w:p>
    <w:p w14:paraId="5D6C08CB"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Create summary reports for stakeholders and participants</w:t>
      </w:r>
    </w:p>
    <w:p w14:paraId="149A2CEA"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3.</w:t>
      </w:r>
      <w:r w:rsidRPr="00A14FBA">
        <w:rPr>
          <w:rFonts w:ascii="Times New Roman" w:hAnsi="Times New Roman" w:cs="Times New Roman"/>
        </w:rPr>
        <w:tab/>
        <w:t>Dissemination Planning</w:t>
      </w:r>
    </w:p>
    <w:p w14:paraId="79B9C653"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lastRenderedPageBreak/>
        <w:tab/>
        <w:t>•</w:t>
      </w:r>
      <w:r w:rsidRPr="00A14FBA">
        <w:rPr>
          <w:rFonts w:ascii="Times New Roman" w:hAnsi="Times New Roman" w:cs="Times New Roman"/>
        </w:rPr>
        <w:tab/>
        <w:t>Identify target journals and conferences for sharing results</w:t>
      </w:r>
    </w:p>
    <w:p w14:paraId="66FA5CA1" w14:textId="77777777"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t>•</w:t>
      </w:r>
      <w:r w:rsidRPr="00A14FBA">
        <w:rPr>
          <w:rFonts w:ascii="Times New Roman" w:hAnsi="Times New Roman" w:cs="Times New Roman"/>
        </w:rPr>
        <w:tab/>
        <w:t>Plan knowledge translation activities for healthcare practitioners and policymakers</w:t>
      </w:r>
    </w:p>
    <w:p w14:paraId="2FEDF6B7" w14:textId="6762DCDF" w:rsidR="00A14FBA" w:rsidRPr="00A14FBA" w:rsidRDefault="00A14FBA" w:rsidP="0081323C">
      <w:pPr>
        <w:spacing w:line="360" w:lineRule="auto"/>
        <w:jc w:val="both"/>
        <w:rPr>
          <w:rFonts w:ascii="Times New Roman" w:hAnsi="Times New Roman" w:cs="Times New Roman"/>
        </w:rPr>
      </w:pPr>
      <w:r w:rsidRPr="00A14FBA">
        <w:rPr>
          <w:rFonts w:ascii="Times New Roman" w:hAnsi="Times New Roman" w:cs="Times New Roman"/>
        </w:rPr>
        <w:t>Throughout the 12-month period:</w:t>
      </w:r>
      <w:r w:rsidR="00D87F14">
        <w:rPr>
          <w:rFonts w:ascii="Times New Roman" w:hAnsi="Times New Roman" w:cs="Times New Roman"/>
        </w:rPr>
        <w:t xml:space="preserve">  </w:t>
      </w:r>
      <w:r w:rsidRPr="00A14FBA">
        <w:rPr>
          <w:rFonts w:ascii="Times New Roman" w:hAnsi="Times New Roman" w:cs="Times New Roman"/>
        </w:rPr>
        <w:t xml:space="preserve">Regular </w:t>
      </w:r>
      <w:r w:rsidR="00BA7E63">
        <w:rPr>
          <w:rFonts w:ascii="Times New Roman" w:hAnsi="Times New Roman" w:cs="Times New Roman"/>
        </w:rPr>
        <w:t>t</w:t>
      </w:r>
      <w:r w:rsidRPr="00A14FBA">
        <w:rPr>
          <w:rFonts w:ascii="Times New Roman" w:hAnsi="Times New Roman" w:cs="Times New Roman"/>
        </w:rPr>
        <w:t xml:space="preserve">eam </w:t>
      </w:r>
      <w:r w:rsidR="00BA7E63">
        <w:rPr>
          <w:rFonts w:ascii="Times New Roman" w:hAnsi="Times New Roman" w:cs="Times New Roman"/>
        </w:rPr>
        <w:t>m</w:t>
      </w:r>
      <w:r w:rsidRPr="00A14FBA">
        <w:rPr>
          <w:rFonts w:ascii="Times New Roman" w:hAnsi="Times New Roman" w:cs="Times New Roman"/>
        </w:rPr>
        <w:t>eeting</w:t>
      </w:r>
      <w:r w:rsidR="00BA7E63">
        <w:rPr>
          <w:rFonts w:ascii="Times New Roman" w:hAnsi="Times New Roman" w:cs="Times New Roman"/>
        </w:rPr>
        <w:t>s</w:t>
      </w:r>
      <w:r w:rsidR="00D87F14">
        <w:rPr>
          <w:rFonts w:ascii="Times New Roman" w:hAnsi="Times New Roman" w:cs="Times New Roman"/>
        </w:rPr>
        <w:t xml:space="preserve"> will be held to </w:t>
      </w:r>
      <w:r w:rsidRPr="00A14FBA">
        <w:rPr>
          <w:rFonts w:ascii="Times New Roman" w:hAnsi="Times New Roman" w:cs="Times New Roman"/>
        </w:rPr>
        <w:t>discuss progress, challenges, and next steps</w:t>
      </w:r>
      <w:r w:rsidR="00D87F14">
        <w:rPr>
          <w:rFonts w:ascii="Times New Roman" w:hAnsi="Times New Roman" w:cs="Times New Roman"/>
        </w:rPr>
        <w:t>.  The research team will</w:t>
      </w:r>
      <w:r w:rsidRPr="00A14FBA">
        <w:rPr>
          <w:rFonts w:ascii="Times New Roman" w:hAnsi="Times New Roman" w:cs="Times New Roman"/>
        </w:rPr>
        <w:t xml:space="preserve"> monitor and ensure adherence to ethical guideline</w:t>
      </w:r>
      <w:r w:rsidR="00D87F14">
        <w:rPr>
          <w:rFonts w:ascii="Times New Roman" w:hAnsi="Times New Roman" w:cs="Times New Roman"/>
        </w:rPr>
        <w:t xml:space="preserve">. </w:t>
      </w:r>
    </w:p>
    <w:p w14:paraId="5EB5A384" w14:textId="7F24B2FD" w:rsidR="00D87F14" w:rsidRDefault="00A14FBA" w:rsidP="0081323C">
      <w:pPr>
        <w:spacing w:line="360" w:lineRule="auto"/>
        <w:jc w:val="both"/>
        <w:rPr>
          <w:rFonts w:ascii="Times New Roman" w:hAnsi="Times New Roman" w:cs="Times New Roman"/>
        </w:rPr>
      </w:pPr>
      <w:r w:rsidRPr="00A14FBA">
        <w:rPr>
          <w:rFonts w:ascii="Times New Roman" w:hAnsi="Times New Roman" w:cs="Times New Roman"/>
        </w:rPr>
        <w:tab/>
      </w:r>
    </w:p>
    <w:p w14:paraId="615FB424" w14:textId="794EDDE2" w:rsidR="00732FA5" w:rsidRPr="0081323C" w:rsidRDefault="00732FA5" w:rsidP="0081323C">
      <w:pPr>
        <w:spacing w:line="360" w:lineRule="auto"/>
        <w:jc w:val="both"/>
        <w:rPr>
          <w:rFonts w:ascii="Times New Roman" w:hAnsi="Times New Roman" w:cs="Times New Roman"/>
          <w:u w:val="single"/>
        </w:rPr>
      </w:pPr>
      <w:r w:rsidRPr="0081323C">
        <w:rPr>
          <w:rFonts w:ascii="Times New Roman" w:hAnsi="Times New Roman" w:cs="Times New Roman"/>
          <w:u w:val="single"/>
        </w:rPr>
        <w:t>Data analysis</w:t>
      </w:r>
    </w:p>
    <w:p w14:paraId="2CEAA069" w14:textId="77777777" w:rsidR="0059639E" w:rsidRPr="0059639E" w:rsidRDefault="0059639E" w:rsidP="0059639E">
      <w:pPr>
        <w:spacing w:line="360" w:lineRule="auto"/>
        <w:jc w:val="both"/>
        <w:rPr>
          <w:rFonts w:ascii="Times New Roman" w:hAnsi="Times New Roman" w:cs="Times New Roman"/>
        </w:rPr>
      </w:pPr>
      <w:r w:rsidRPr="0059639E">
        <w:rPr>
          <w:rFonts w:ascii="Times New Roman" w:hAnsi="Times New Roman" w:cs="Times New Roman"/>
        </w:rPr>
        <w:t>All interviews will be transcribed verbatim, and pseudonyms will be used to process personal data of patients to address privacy concerns. The transcribed data will be analyzed based on the Unified Theory of Acceptance and Use of Technology (UTAUT), focusing on the four basic parameters adopted in the model that affect technology adoption: performance expectancy, effort expectancy, social influence, and facilitating conditions.</w:t>
      </w:r>
    </w:p>
    <w:p w14:paraId="401898C3" w14:textId="77777777" w:rsidR="0059639E" w:rsidRPr="0059639E" w:rsidRDefault="0059639E" w:rsidP="0059639E">
      <w:pPr>
        <w:spacing w:line="360" w:lineRule="auto"/>
        <w:jc w:val="both"/>
        <w:rPr>
          <w:rFonts w:ascii="Times New Roman" w:hAnsi="Times New Roman" w:cs="Times New Roman"/>
        </w:rPr>
      </w:pPr>
    </w:p>
    <w:p w14:paraId="0AA948A9" w14:textId="77777777" w:rsidR="0059639E" w:rsidRPr="0059639E" w:rsidRDefault="0059639E" w:rsidP="0059639E">
      <w:pPr>
        <w:spacing w:line="360" w:lineRule="auto"/>
        <w:jc w:val="both"/>
        <w:rPr>
          <w:rFonts w:ascii="Times New Roman" w:hAnsi="Times New Roman" w:cs="Times New Roman"/>
        </w:rPr>
      </w:pPr>
      <w:r w:rsidRPr="0059639E">
        <w:rPr>
          <w:rFonts w:ascii="Times New Roman" w:hAnsi="Times New Roman" w:cs="Times New Roman"/>
        </w:rPr>
        <w:t>Qualitative research tools such as thematic analysis will be employed to categorize, define, analyze, and review the data according to identified themes. Findings will be triangulated and compared from different sources (e.g., interviews, observations) to enhance the validity of the analysis. Preliminary findings will be checked and verified with the patients interviewed to ensure an accurate representation of their experiences and perspectives.</w:t>
      </w:r>
    </w:p>
    <w:p w14:paraId="1B552A61" w14:textId="77777777" w:rsidR="0059639E" w:rsidRPr="0059639E" w:rsidRDefault="0059639E" w:rsidP="0059639E">
      <w:pPr>
        <w:spacing w:line="360" w:lineRule="auto"/>
        <w:jc w:val="both"/>
        <w:rPr>
          <w:rFonts w:ascii="Times New Roman" w:hAnsi="Times New Roman" w:cs="Times New Roman"/>
        </w:rPr>
      </w:pPr>
    </w:p>
    <w:p w14:paraId="60060C1E" w14:textId="2D477A72" w:rsidR="00E165D1" w:rsidRDefault="0059639E" w:rsidP="0059639E">
      <w:pPr>
        <w:spacing w:line="360" w:lineRule="auto"/>
        <w:jc w:val="both"/>
        <w:rPr>
          <w:rFonts w:ascii="Times New Roman" w:hAnsi="Times New Roman" w:cs="Times New Roman"/>
        </w:rPr>
      </w:pPr>
      <w:r w:rsidRPr="0059639E">
        <w:rPr>
          <w:rFonts w:ascii="Times New Roman" w:hAnsi="Times New Roman" w:cs="Times New Roman"/>
        </w:rPr>
        <w:t>By following this rigorous analysis process, meaningful insights will be extracted from the qualitative data, uncovering the complex factors influencing telerehabilitation adoption in Hong Kong’s healthcare context.</w:t>
      </w:r>
    </w:p>
    <w:p w14:paraId="3B5F91CA" w14:textId="77777777" w:rsidR="0059639E" w:rsidRDefault="0059639E" w:rsidP="0059639E">
      <w:pPr>
        <w:spacing w:line="360" w:lineRule="auto"/>
        <w:jc w:val="both"/>
        <w:rPr>
          <w:rFonts w:ascii="Times New Roman" w:hAnsi="Times New Roman" w:cs="Times New Roman"/>
        </w:rPr>
      </w:pPr>
    </w:p>
    <w:p w14:paraId="30D59691" w14:textId="77777777" w:rsidR="00854B9F" w:rsidRPr="00AA22E2" w:rsidRDefault="00854B9F" w:rsidP="0081323C">
      <w:pPr>
        <w:spacing w:line="360" w:lineRule="auto"/>
        <w:jc w:val="both"/>
        <w:rPr>
          <w:rFonts w:ascii="Times New Roman" w:hAnsi="Times New Roman" w:cs="Times New Roman"/>
          <w:b/>
          <w:bCs/>
        </w:rPr>
      </w:pPr>
      <w:r w:rsidRPr="00AA22E2">
        <w:rPr>
          <w:rFonts w:ascii="Times New Roman" w:hAnsi="Times New Roman" w:cs="Times New Roman"/>
          <w:b/>
          <w:bCs/>
        </w:rPr>
        <w:t>Expected outcomes and contributions</w:t>
      </w:r>
    </w:p>
    <w:p w14:paraId="0CFE0136" w14:textId="77777777" w:rsidR="00854B9F" w:rsidRPr="00E013E5" w:rsidRDefault="00854B9F" w:rsidP="0081323C">
      <w:pPr>
        <w:spacing w:line="360" w:lineRule="auto"/>
        <w:jc w:val="both"/>
        <w:rPr>
          <w:rFonts w:ascii="Times New Roman" w:hAnsi="Times New Roman" w:cs="Times New Roman"/>
        </w:rPr>
      </w:pPr>
    </w:p>
    <w:p w14:paraId="507F8381" w14:textId="77777777" w:rsidR="0059639E" w:rsidRPr="0059639E" w:rsidRDefault="0059639E" w:rsidP="0059639E">
      <w:pPr>
        <w:spacing w:line="360" w:lineRule="auto"/>
        <w:jc w:val="both"/>
        <w:rPr>
          <w:rFonts w:ascii="Times New Roman" w:hAnsi="Times New Roman" w:cs="Times New Roman"/>
        </w:rPr>
      </w:pPr>
      <w:r w:rsidRPr="0059639E">
        <w:rPr>
          <w:rFonts w:ascii="Times New Roman" w:hAnsi="Times New Roman" w:cs="Times New Roman"/>
        </w:rPr>
        <w:lastRenderedPageBreak/>
        <w:t>The research is expected to establish positive correlations between technology adoption and the parameters proposed above. Patients are anticipated to experience better healthcare outcomes after telerehabilitation, such as observed improvements in limb function, cognitive abilities, and emotional wellness, which in turn will reinforce patient engagement and satisfaction. If these factors are positively correlated, the UTAUT model will help explain that patients are more likely to accept and use rehabilitation technologies.</w:t>
      </w:r>
    </w:p>
    <w:p w14:paraId="46E4D43D" w14:textId="77777777" w:rsidR="0059639E" w:rsidRPr="0059639E" w:rsidRDefault="0059639E" w:rsidP="0059639E">
      <w:pPr>
        <w:spacing w:line="360" w:lineRule="auto"/>
        <w:jc w:val="both"/>
        <w:rPr>
          <w:rFonts w:ascii="Times New Roman" w:hAnsi="Times New Roman" w:cs="Times New Roman"/>
        </w:rPr>
      </w:pPr>
    </w:p>
    <w:p w14:paraId="0C83B5FD" w14:textId="53AF02F9" w:rsidR="00BC39FC" w:rsidRDefault="0059639E" w:rsidP="0059639E">
      <w:pPr>
        <w:spacing w:line="360" w:lineRule="auto"/>
        <w:jc w:val="both"/>
        <w:rPr>
          <w:rFonts w:ascii="Times New Roman" w:hAnsi="Times New Roman" w:cs="Times New Roman"/>
        </w:rPr>
      </w:pPr>
      <w:r w:rsidRPr="0059639E">
        <w:rPr>
          <w:rFonts w:ascii="Times New Roman" w:hAnsi="Times New Roman" w:cs="Times New Roman"/>
        </w:rPr>
        <w:t>As a result, healthcare providers can design and implement long-term sustainable strategies to incorporate healthcare technologies as part of the treatment care cycle, thereby strengthening the spectrum of care. Additionally, healthcare providers can use the framework to continuously assess performance and rates of adoption, regularly collecting feedback from users to address any potential inadequacies.</w:t>
      </w:r>
    </w:p>
    <w:p w14:paraId="564A7F74" w14:textId="77777777" w:rsidR="0059639E" w:rsidRPr="00E013E5" w:rsidRDefault="0059639E" w:rsidP="0059639E">
      <w:pPr>
        <w:spacing w:line="360" w:lineRule="auto"/>
        <w:jc w:val="both"/>
        <w:rPr>
          <w:rFonts w:ascii="Times New Roman" w:hAnsi="Times New Roman" w:cs="Times New Roman"/>
        </w:rPr>
      </w:pPr>
    </w:p>
    <w:p w14:paraId="02819BA6" w14:textId="5582FC0E" w:rsidR="00D06E23" w:rsidRPr="00D87F14" w:rsidRDefault="00D06E23" w:rsidP="0081323C">
      <w:pPr>
        <w:spacing w:line="360" w:lineRule="auto"/>
        <w:jc w:val="both"/>
        <w:rPr>
          <w:rFonts w:ascii="Times New Roman" w:hAnsi="Times New Roman" w:cs="Times New Roman"/>
          <w:b/>
          <w:bCs/>
        </w:rPr>
      </w:pPr>
      <w:r w:rsidRPr="00D87F14">
        <w:rPr>
          <w:rFonts w:ascii="Times New Roman" w:hAnsi="Times New Roman" w:cs="Times New Roman"/>
          <w:b/>
          <w:bCs/>
        </w:rPr>
        <w:t>Research Ethics</w:t>
      </w:r>
    </w:p>
    <w:p w14:paraId="06FD52C7" w14:textId="53495B87" w:rsidR="00D06E23" w:rsidRPr="00E013E5" w:rsidRDefault="003022A2" w:rsidP="0081323C">
      <w:pPr>
        <w:spacing w:line="360" w:lineRule="auto"/>
        <w:jc w:val="both"/>
        <w:rPr>
          <w:rFonts w:ascii="Times New Roman" w:hAnsi="Times New Roman" w:cs="Times New Roman"/>
        </w:rPr>
      </w:pPr>
      <w:r w:rsidRPr="003022A2">
        <w:rPr>
          <w:rFonts w:ascii="Times New Roman" w:hAnsi="Times New Roman" w:cs="Times New Roman"/>
        </w:rPr>
        <w:t>Ethical approval will be obtained from the relevant institutional review board</w:t>
      </w:r>
      <w:r>
        <w:rPr>
          <w:rFonts w:ascii="Times New Roman" w:hAnsi="Times New Roman" w:cs="Times New Roman"/>
        </w:rPr>
        <w:t xml:space="preserve"> including the research ethics committee of the Hospital Authority</w:t>
      </w:r>
      <w:r w:rsidRPr="003022A2">
        <w:rPr>
          <w:rFonts w:ascii="Times New Roman" w:hAnsi="Times New Roman" w:cs="Times New Roman"/>
        </w:rPr>
        <w:t xml:space="preserve">. Informed </w:t>
      </w:r>
      <w:r>
        <w:rPr>
          <w:rFonts w:ascii="Times New Roman" w:hAnsi="Times New Roman" w:cs="Times New Roman"/>
        </w:rPr>
        <w:t xml:space="preserve">written </w:t>
      </w:r>
      <w:r w:rsidRPr="003022A2">
        <w:rPr>
          <w:rFonts w:ascii="Times New Roman" w:hAnsi="Times New Roman" w:cs="Times New Roman"/>
        </w:rPr>
        <w:t xml:space="preserve">consent </w:t>
      </w:r>
      <w:r w:rsidR="00FB30BC">
        <w:rPr>
          <w:rFonts w:ascii="Times New Roman" w:hAnsi="Times New Roman" w:cs="Times New Roman"/>
        </w:rPr>
        <w:t xml:space="preserve">(in Chinese or English where appropriate) </w:t>
      </w:r>
      <w:r w:rsidRPr="003022A2">
        <w:rPr>
          <w:rFonts w:ascii="Times New Roman" w:hAnsi="Times New Roman" w:cs="Times New Roman"/>
        </w:rPr>
        <w:t>will be secured from all participants</w:t>
      </w:r>
      <w:r w:rsidR="00FB30BC">
        <w:rPr>
          <w:rFonts w:ascii="Times New Roman" w:hAnsi="Times New Roman" w:cs="Times New Roman"/>
        </w:rPr>
        <w:t>, after clearly explained to them the study’s purpose, procedures, risk and benefits.</w:t>
      </w:r>
      <w:r w:rsidRPr="003022A2">
        <w:rPr>
          <w:rFonts w:ascii="Times New Roman" w:hAnsi="Times New Roman" w:cs="Times New Roman"/>
        </w:rPr>
        <w:t xml:space="preserve"> </w:t>
      </w:r>
      <w:r w:rsidR="00FB30BC">
        <w:rPr>
          <w:rFonts w:ascii="Times New Roman" w:hAnsi="Times New Roman" w:cs="Times New Roman"/>
        </w:rPr>
        <w:t>C</w:t>
      </w:r>
      <w:r w:rsidRPr="003022A2">
        <w:rPr>
          <w:rFonts w:ascii="Times New Roman" w:hAnsi="Times New Roman" w:cs="Times New Roman"/>
        </w:rPr>
        <w:t>onfidentiality will be maintained throughout the research process</w:t>
      </w:r>
      <w:r w:rsidR="00FB30BC">
        <w:rPr>
          <w:rFonts w:ascii="Times New Roman" w:hAnsi="Times New Roman" w:cs="Times New Roman"/>
        </w:rPr>
        <w:t xml:space="preserve"> by implementing measures such as restricted access and encryption, usage of </w:t>
      </w:r>
      <w:r w:rsidR="009D3F67">
        <w:rPr>
          <w:rFonts w:ascii="Times New Roman" w:hAnsi="Times New Roman" w:cs="Times New Roman"/>
        </w:rPr>
        <w:t>pseudonym</w:t>
      </w:r>
      <w:r w:rsidR="00FB30BC">
        <w:rPr>
          <w:rFonts w:ascii="Times New Roman" w:hAnsi="Times New Roman" w:cs="Times New Roman"/>
        </w:rPr>
        <w:t xml:space="preserve"> to protect patients’ data privacy</w:t>
      </w:r>
      <w:r w:rsidRPr="003022A2">
        <w:rPr>
          <w:rFonts w:ascii="Times New Roman" w:hAnsi="Times New Roman" w:cs="Times New Roman"/>
        </w:rPr>
        <w:t>. Participants will be informed of their right to withdraw from the study at any time without consequences.</w:t>
      </w:r>
    </w:p>
    <w:p w14:paraId="724EA5F6" w14:textId="77777777" w:rsidR="00186DEC" w:rsidRDefault="00186DEC" w:rsidP="0081323C">
      <w:pPr>
        <w:spacing w:line="360" w:lineRule="auto"/>
        <w:jc w:val="both"/>
        <w:rPr>
          <w:rFonts w:ascii="Times New Roman" w:hAnsi="Times New Roman" w:cs="Times New Roman"/>
        </w:rPr>
      </w:pPr>
    </w:p>
    <w:p w14:paraId="5566B418" w14:textId="787D19AB" w:rsidR="00D06E23" w:rsidRPr="00D87F14" w:rsidRDefault="00D06E23" w:rsidP="0081323C">
      <w:pPr>
        <w:spacing w:line="360" w:lineRule="auto"/>
        <w:jc w:val="both"/>
        <w:rPr>
          <w:rFonts w:ascii="Times New Roman" w:hAnsi="Times New Roman" w:cs="Times New Roman"/>
          <w:b/>
          <w:bCs/>
        </w:rPr>
      </w:pPr>
      <w:r w:rsidRPr="00D87F14">
        <w:rPr>
          <w:rFonts w:ascii="Times New Roman" w:hAnsi="Times New Roman" w:cs="Times New Roman"/>
          <w:b/>
          <w:bCs/>
        </w:rPr>
        <w:t>Research Limitations</w:t>
      </w:r>
    </w:p>
    <w:p w14:paraId="3B86D7D5" w14:textId="77777777" w:rsidR="0027394F" w:rsidRDefault="00186DEC" w:rsidP="0081323C">
      <w:pPr>
        <w:spacing w:line="360" w:lineRule="auto"/>
        <w:jc w:val="both"/>
        <w:rPr>
          <w:rFonts w:ascii="Times New Roman" w:hAnsi="Times New Roman" w:cs="Times New Roman"/>
        </w:rPr>
      </w:pPr>
      <w:r w:rsidRPr="00186DEC">
        <w:rPr>
          <w:rFonts w:ascii="Times New Roman" w:hAnsi="Times New Roman" w:cs="Times New Roman"/>
        </w:rPr>
        <w:t xml:space="preserve">This research project on telerehabilitation adoption in Hong Kong faces several limitations that warrant careful consideration. </w:t>
      </w:r>
    </w:p>
    <w:p w14:paraId="2EB1B7AF" w14:textId="58DF3466" w:rsidR="00186DEC" w:rsidRDefault="0027394F" w:rsidP="0081323C">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Technology is an area which</w:t>
      </w:r>
      <w:r w:rsidR="00186DEC" w:rsidRPr="0027394F">
        <w:rPr>
          <w:rFonts w:ascii="Times New Roman" w:hAnsi="Times New Roman" w:cs="Times New Roman"/>
        </w:rPr>
        <w:t xml:space="preserve"> rapidly evolv</w:t>
      </w:r>
      <w:r>
        <w:rPr>
          <w:rFonts w:ascii="Times New Roman" w:hAnsi="Times New Roman" w:cs="Times New Roman"/>
        </w:rPr>
        <w:t xml:space="preserve">es.  The research result shall be significantly impacted by the evolution of telehealth technology. </w:t>
      </w:r>
      <w:r w:rsidR="00186DEC" w:rsidRPr="0027394F">
        <w:rPr>
          <w:rFonts w:ascii="Times New Roman" w:hAnsi="Times New Roman" w:cs="Times New Roman"/>
        </w:rPr>
        <w:t xml:space="preserve">As new platforms and tools </w:t>
      </w:r>
      <w:r>
        <w:rPr>
          <w:rFonts w:ascii="Times New Roman" w:hAnsi="Times New Roman" w:cs="Times New Roman"/>
        </w:rPr>
        <w:t>becomes more user friendly</w:t>
      </w:r>
      <w:r w:rsidR="00186DEC" w:rsidRPr="0027394F">
        <w:rPr>
          <w:rFonts w:ascii="Times New Roman" w:hAnsi="Times New Roman" w:cs="Times New Roman"/>
        </w:rPr>
        <w:t>,</w:t>
      </w:r>
      <w:r>
        <w:rPr>
          <w:rFonts w:ascii="Times New Roman" w:hAnsi="Times New Roman" w:cs="Times New Roman"/>
        </w:rPr>
        <w:t xml:space="preserve"> accurate, sensitive,</w:t>
      </w:r>
      <w:r w:rsidR="00186DEC" w:rsidRPr="0027394F">
        <w:rPr>
          <w:rFonts w:ascii="Times New Roman" w:hAnsi="Times New Roman" w:cs="Times New Roman"/>
        </w:rPr>
        <w:t xml:space="preserve"> findings from this study may become outdated quickly, </w:t>
      </w:r>
      <w:r w:rsidR="00186DEC" w:rsidRPr="0027394F">
        <w:rPr>
          <w:rFonts w:ascii="Times New Roman" w:hAnsi="Times New Roman" w:cs="Times New Roman"/>
        </w:rPr>
        <w:lastRenderedPageBreak/>
        <w:t>potentially limiting the long-term applicability of the results. This dynamic technological landscape necessitates ongoing research to keep pace with innovations in telerehabilitation.</w:t>
      </w:r>
    </w:p>
    <w:p w14:paraId="72E078C2" w14:textId="2FF57DC8" w:rsidR="00186DEC" w:rsidRDefault="0027394F" w:rsidP="0081323C">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T</w:t>
      </w:r>
      <w:r w:rsidR="00186DEC" w:rsidRPr="0027394F">
        <w:rPr>
          <w:rFonts w:ascii="Times New Roman" w:hAnsi="Times New Roman" w:cs="Times New Roman"/>
        </w:rPr>
        <w:t>he digital divide prevalent in Hong Kong, particularly among older adults and those from lower socioeconomic backgrounds, may introduce sampling bias. Participants who are more</w:t>
      </w:r>
      <w:r>
        <w:rPr>
          <w:rFonts w:ascii="Times New Roman" w:hAnsi="Times New Roman" w:cs="Times New Roman"/>
        </w:rPr>
        <w:t xml:space="preserve"> educated,</w:t>
      </w:r>
      <w:r w:rsidR="00186DEC" w:rsidRPr="0027394F">
        <w:rPr>
          <w:rFonts w:ascii="Times New Roman" w:hAnsi="Times New Roman" w:cs="Times New Roman"/>
        </w:rPr>
        <w:t xml:space="preserve"> technologically savvy or have better access to digital resources might be overrepresented or under-represented in the study. </w:t>
      </w:r>
      <w:r>
        <w:rPr>
          <w:rFonts w:ascii="Times New Roman" w:hAnsi="Times New Roman" w:cs="Times New Roman"/>
        </w:rPr>
        <w:t xml:space="preserve">The sampling of this study focus on patients in need of public hospital service and the patient’s </w:t>
      </w:r>
      <w:proofErr w:type="spellStart"/>
      <w:r>
        <w:rPr>
          <w:rFonts w:ascii="Times New Roman" w:hAnsi="Times New Roman" w:cs="Times New Roman"/>
        </w:rPr>
        <w:t>behaviour</w:t>
      </w:r>
      <w:proofErr w:type="spellEnd"/>
      <w:r>
        <w:rPr>
          <w:rFonts w:ascii="Times New Roman" w:hAnsi="Times New Roman" w:cs="Times New Roman"/>
        </w:rPr>
        <w:t xml:space="preserve"> may differ significantly from those private healthcare patrons. </w:t>
      </w:r>
      <w:r w:rsidR="00186DEC" w:rsidRPr="0027394F">
        <w:rPr>
          <w:rFonts w:ascii="Times New Roman" w:hAnsi="Times New Roman" w:cs="Times New Roman"/>
        </w:rPr>
        <w:t>This could lead to an incomplete understanding of the barriers faced by the wider population, especially those who might benefit most from telerehabilitation but face significant challenges in adopting it.</w:t>
      </w:r>
      <w:r>
        <w:rPr>
          <w:rFonts w:ascii="Times New Roman" w:hAnsi="Times New Roman" w:cs="Times New Roman"/>
        </w:rPr>
        <w:t xml:space="preserve"> An extended and comparative study in the private healthcare facility may help to address the over/under representation. </w:t>
      </w:r>
    </w:p>
    <w:p w14:paraId="28858F8E" w14:textId="77777777" w:rsidR="00186DEC" w:rsidRDefault="00186DEC" w:rsidP="0081323C">
      <w:pPr>
        <w:pStyle w:val="ListParagraph"/>
        <w:numPr>
          <w:ilvl w:val="0"/>
          <w:numId w:val="6"/>
        </w:numPr>
        <w:spacing w:line="360" w:lineRule="auto"/>
        <w:jc w:val="both"/>
        <w:rPr>
          <w:rFonts w:ascii="Times New Roman" w:hAnsi="Times New Roman" w:cs="Times New Roman"/>
        </w:rPr>
      </w:pPr>
      <w:r w:rsidRPr="0027394F">
        <w:rPr>
          <w:rFonts w:ascii="Times New Roman" w:hAnsi="Times New Roman" w:cs="Times New Roman"/>
        </w:rPr>
        <w:t>The study may also encounter difficulties in accurately assessing the quality of care provided through telerehabilitation compared to traditional face-to-face rehabilitation. Certain aspects of physical therapy, such as hands-on techniques or subtle physical cues, may be challenging to replicate or evaluate in a virtual environment. This limitation could affect the comprehensiveness of the study’s findings regarding the efficacy and appropriateness of telerehabilitation for various conditions.</w:t>
      </w:r>
    </w:p>
    <w:p w14:paraId="26E115C7" w14:textId="30D94E78" w:rsidR="00186DEC" w:rsidRDefault="0027394F" w:rsidP="0081323C">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T</w:t>
      </w:r>
      <w:r w:rsidR="00186DEC" w:rsidRPr="0027394F">
        <w:rPr>
          <w:rFonts w:ascii="Times New Roman" w:hAnsi="Times New Roman" w:cs="Times New Roman"/>
        </w:rPr>
        <w:t>echnical issues during data collection</w:t>
      </w:r>
      <w:r>
        <w:rPr>
          <w:rFonts w:ascii="Times New Roman" w:hAnsi="Times New Roman" w:cs="Times New Roman"/>
        </w:rPr>
        <w:t xml:space="preserve"> such as</w:t>
      </w:r>
      <w:r w:rsidR="00186DEC" w:rsidRPr="0027394F">
        <w:rPr>
          <w:rFonts w:ascii="Times New Roman" w:hAnsi="Times New Roman" w:cs="Times New Roman"/>
        </w:rPr>
        <w:t xml:space="preserve"> </w:t>
      </w:r>
      <w:r>
        <w:rPr>
          <w:rFonts w:ascii="Times New Roman" w:hAnsi="Times New Roman" w:cs="Times New Roman"/>
        </w:rPr>
        <w:t>u</w:t>
      </w:r>
      <w:r w:rsidR="00186DEC" w:rsidRPr="0027394F">
        <w:rPr>
          <w:rFonts w:ascii="Times New Roman" w:hAnsi="Times New Roman" w:cs="Times New Roman"/>
        </w:rPr>
        <w:t>nstable internet connections, equipment failures, or varying levels of technological proficiency among participants could impact the quality and consistency of the data gathered. These technical challenges might also influence participants’ experiences and perceptions of telerehabilitation, potentially skewing the results.</w:t>
      </w:r>
    </w:p>
    <w:p w14:paraId="240D28F2" w14:textId="25188D44" w:rsidR="00186DEC" w:rsidRDefault="0027394F" w:rsidP="0081323C">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 xml:space="preserve">The care spectrum is a complex, interdisciplinary, and multi-professional system. </w:t>
      </w:r>
      <w:r w:rsidR="00186DEC" w:rsidRPr="0027394F">
        <w:rPr>
          <w:rFonts w:ascii="Times New Roman" w:hAnsi="Times New Roman" w:cs="Times New Roman"/>
        </w:rPr>
        <w:t>The study’s focus on Hong Kong’s healthcare system, while providing valuable insights into this specific context, may limit the generalizability of findings to other countries with different healthcare structures, cultural norms, and technological infrastructures. The unique characteristics of Hong Kong’s healthcare landscape, including its public-private mix and dense urban population, may not be directly applicable to other settings.</w:t>
      </w:r>
    </w:p>
    <w:p w14:paraId="27E8817D" w14:textId="36979007" w:rsidR="00186DEC" w:rsidRDefault="0027394F" w:rsidP="0081323C">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T</w:t>
      </w:r>
      <w:r w:rsidR="00186DEC" w:rsidRPr="0027394F">
        <w:rPr>
          <w:rFonts w:ascii="Times New Roman" w:hAnsi="Times New Roman" w:cs="Times New Roman"/>
        </w:rPr>
        <w:t xml:space="preserve">he ongoing COVID-19 pandemic introduces a contextual factor that may significantly influence participants’ perceptions and attitudes towards telerehabilitation. The increased reliance on remote healthcare services during the pandemic might lead to temporary shifts in acceptance and adoption rates that may not persist in a post-pandemic environment. This </w:t>
      </w:r>
      <w:r w:rsidR="00186DEC" w:rsidRPr="0027394F">
        <w:rPr>
          <w:rFonts w:ascii="Times New Roman" w:hAnsi="Times New Roman" w:cs="Times New Roman"/>
        </w:rPr>
        <w:lastRenderedPageBreak/>
        <w:t>temporal context needs to be carefully considered when interpreting the study’s findings and their long-term implications.</w:t>
      </w:r>
    </w:p>
    <w:p w14:paraId="1B3412B2" w14:textId="77777777" w:rsidR="00327406" w:rsidRDefault="00186DEC" w:rsidP="0081323C">
      <w:pPr>
        <w:pStyle w:val="ListParagraph"/>
        <w:numPr>
          <w:ilvl w:val="0"/>
          <w:numId w:val="6"/>
        </w:numPr>
        <w:spacing w:line="360" w:lineRule="auto"/>
        <w:jc w:val="both"/>
        <w:rPr>
          <w:rFonts w:ascii="Times New Roman" w:hAnsi="Times New Roman" w:cs="Times New Roman"/>
        </w:rPr>
      </w:pPr>
      <w:r w:rsidRPr="00327406">
        <w:rPr>
          <w:rFonts w:ascii="Times New Roman" w:hAnsi="Times New Roman" w:cs="Times New Roman"/>
        </w:rPr>
        <w:t xml:space="preserve">The 4-week in-hospital and 4-week at-home program structure, </w:t>
      </w:r>
      <w:r w:rsidR="00327406">
        <w:rPr>
          <w:rFonts w:ascii="Times New Roman" w:hAnsi="Times New Roman" w:cs="Times New Roman"/>
        </w:rPr>
        <w:t>only captures one therapy routine and prescription.  W</w:t>
      </w:r>
      <w:r w:rsidRPr="00327406">
        <w:rPr>
          <w:rFonts w:ascii="Times New Roman" w:hAnsi="Times New Roman" w:cs="Times New Roman"/>
        </w:rPr>
        <w:t xml:space="preserve">hile providing a standardized framework for the study, </w:t>
      </w:r>
      <w:r w:rsidR="00327406">
        <w:rPr>
          <w:rFonts w:ascii="Times New Roman" w:hAnsi="Times New Roman" w:cs="Times New Roman"/>
        </w:rPr>
        <w:t xml:space="preserve">such structure selected </w:t>
      </w:r>
      <w:r w:rsidRPr="00327406">
        <w:rPr>
          <w:rFonts w:ascii="Times New Roman" w:hAnsi="Times New Roman" w:cs="Times New Roman"/>
        </w:rPr>
        <w:t>may not capture the full spectrum of rehabilitation needs and experiences. Some patients may require longer or shorter periods of intervention, and the fixed duration might not adequately represent the diverse rehabilitation journeys of all patients.</w:t>
      </w:r>
    </w:p>
    <w:p w14:paraId="60BCFB54" w14:textId="1001AF58" w:rsidR="00186DEC" w:rsidRPr="00327406" w:rsidRDefault="00327406" w:rsidP="0081323C">
      <w:pPr>
        <w:pStyle w:val="ListParagraph"/>
        <w:numPr>
          <w:ilvl w:val="0"/>
          <w:numId w:val="6"/>
        </w:numPr>
        <w:spacing w:line="360" w:lineRule="auto"/>
        <w:jc w:val="both"/>
        <w:rPr>
          <w:rFonts w:ascii="Times New Roman" w:hAnsi="Times New Roman" w:cs="Times New Roman"/>
        </w:rPr>
      </w:pPr>
      <w:r>
        <w:rPr>
          <w:rFonts w:ascii="Times New Roman" w:hAnsi="Times New Roman" w:cs="Times New Roman"/>
        </w:rPr>
        <w:t>T</w:t>
      </w:r>
      <w:r w:rsidR="00186DEC" w:rsidRPr="00327406">
        <w:rPr>
          <w:rFonts w:ascii="Times New Roman" w:hAnsi="Times New Roman" w:cs="Times New Roman"/>
        </w:rPr>
        <w:t>he study’s qualitative nature, while offering rich, in-depth insights, may be limited in its ability to provide quantitative metrics on the effectiveness and efficiency of telerehabilitation compared to traditional methods. This limitation suggests the need for complementary quantitative studies to provide a more comprehensive understanding of telerehabilitation’s impact on patient outcomes and healthcare resource utilization.</w:t>
      </w:r>
    </w:p>
    <w:p w14:paraId="796B2E81" w14:textId="5A3AFD2C" w:rsidR="00D06E23" w:rsidRPr="00E013E5" w:rsidRDefault="00186DEC" w:rsidP="0081323C">
      <w:pPr>
        <w:spacing w:line="360" w:lineRule="auto"/>
        <w:jc w:val="both"/>
        <w:rPr>
          <w:rFonts w:ascii="Times New Roman" w:hAnsi="Times New Roman" w:cs="Times New Roman"/>
        </w:rPr>
      </w:pPr>
      <w:r w:rsidRPr="00186DEC">
        <w:rPr>
          <w:rFonts w:ascii="Times New Roman" w:hAnsi="Times New Roman" w:cs="Times New Roman"/>
        </w:rPr>
        <w:t xml:space="preserve">These limitations highlight the need for cautious interpretation of the study’s findings and point to areas for future research. To address these constraints, subsequent studies could employ </w:t>
      </w:r>
      <w:r w:rsidR="00327406" w:rsidRPr="00186DEC">
        <w:rPr>
          <w:rFonts w:ascii="Times New Roman" w:hAnsi="Times New Roman" w:cs="Times New Roman"/>
        </w:rPr>
        <w:t>mixed methods</w:t>
      </w:r>
      <w:r w:rsidRPr="00186DEC">
        <w:rPr>
          <w:rFonts w:ascii="Times New Roman" w:hAnsi="Times New Roman" w:cs="Times New Roman"/>
        </w:rPr>
        <w:t xml:space="preserve"> approaches, longitudinal designs, and cross-cultural comparisons. </w:t>
      </w:r>
      <w:r w:rsidR="00327406">
        <w:rPr>
          <w:rFonts w:ascii="Times New Roman" w:hAnsi="Times New Roman" w:cs="Times New Roman"/>
        </w:rPr>
        <w:t>D</w:t>
      </w:r>
      <w:r w:rsidRPr="00186DEC">
        <w:rPr>
          <w:rFonts w:ascii="Times New Roman" w:hAnsi="Times New Roman" w:cs="Times New Roman"/>
        </w:rPr>
        <w:t>eveloping strategies to include more diverse participant groups, particularly those facing significant barriers to technology adoption, would enhance the comprehensiveness of future research. Despite these limitations, this study provides valuable insights into telerehabilitation adoption in Hong Kong and serves as a foundation for further exploration of this rapidly evolving field in healthcare delivery.</w:t>
      </w:r>
    </w:p>
    <w:p w14:paraId="53437C84" w14:textId="77777777" w:rsidR="00D70287" w:rsidRPr="00E013E5" w:rsidRDefault="00D70287" w:rsidP="0081323C">
      <w:pPr>
        <w:spacing w:line="360" w:lineRule="auto"/>
        <w:jc w:val="both"/>
        <w:rPr>
          <w:rFonts w:ascii="Times New Roman" w:hAnsi="Times New Roman" w:cs="Times New Roman"/>
        </w:rPr>
      </w:pPr>
    </w:p>
    <w:p w14:paraId="0576CAC8" w14:textId="3CBE9B96" w:rsidR="00D70287" w:rsidRPr="00E013E5" w:rsidRDefault="00D70287" w:rsidP="0081323C">
      <w:pPr>
        <w:spacing w:line="360" w:lineRule="auto"/>
        <w:jc w:val="both"/>
        <w:rPr>
          <w:rFonts w:ascii="Times New Roman" w:hAnsi="Times New Roman" w:cs="Times New Roman"/>
        </w:rPr>
      </w:pPr>
      <w:r w:rsidRPr="00E013E5">
        <w:rPr>
          <w:rFonts w:ascii="Times New Roman" w:hAnsi="Times New Roman" w:cs="Times New Roman"/>
        </w:rPr>
        <w:t>Bibliography</w:t>
      </w:r>
    </w:p>
    <w:p w14:paraId="4164693F" w14:textId="77777777" w:rsidR="00D70287" w:rsidRPr="00E013E5" w:rsidRDefault="00D70287" w:rsidP="0081323C">
      <w:pPr>
        <w:spacing w:line="360" w:lineRule="auto"/>
        <w:jc w:val="both"/>
        <w:rPr>
          <w:rFonts w:ascii="Times New Roman" w:hAnsi="Times New Roman" w:cs="Times New Roman"/>
        </w:rPr>
      </w:pPr>
    </w:p>
    <w:p w14:paraId="0BD9EA2A" w14:textId="77777777" w:rsidR="00F93A26" w:rsidRPr="00F93A26" w:rsidRDefault="0081323C" w:rsidP="00F93A26">
      <w:pPr>
        <w:pStyle w:val="Bibliography"/>
        <w:rPr>
          <w:rFonts w:ascii="Times New Roman" w:hAnsi="Times New Roman" w:cs="Times New Roman"/>
        </w:rPr>
      </w:pPr>
      <w:r>
        <w:fldChar w:fldCharType="begin"/>
      </w:r>
      <w:r w:rsidR="00F93A26">
        <w:instrText xml:space="preserve"> ADDIN ZOTERO_BIBL {"uncited":[],"omitted":[],"custom":[]} CSL_BIBLIOGRAPHY </w:instrText>
      </w:r>
      <w:r>
        <w:fldChar w:fldCharType="separate"/>
      </w:r>
      <w:proofErr w:type="spellStart"/>
      <w:r w:rsidR="00F93A26" w:rsidRPr="00F93A26">
        <w:rPr>
          <w:rFonts w:ascii="Times New Roman" w:hAnsi="Times New Roman" w:cs="Times New Roman"/>
        </w:rPr>
        <w:t>Alawiye</w:t>
      </w:r>
      <w:proofErr w:type="spellEnd"/>
      <w:r w:rsidR="00F93A26" w:rsidRPr="00F93A26">
        <w:rPr>
          <w:rFonts w:ascii="Times New Roman" w:hAnsi="Times New Roman" w:cs="Times New Roman"/>
        </w:rPr>
        <w:t xml:space="preserve">, T.R. (2024) ‘The Impact of Digital Technology on Healthcare Delivery and Patient Outcomes’, </w:t>
      </w:r>
      <w:r w:rsidR="00F93A26" w:rsidRPr="00F93A26">
        <w:rPr>
          <w:rFonts w:ascii="Times New Roman" w:hAnsi="Times New Roman" w:cs="Times New Roman"/>
          <w:i/>
          <w:iCs/>
        </w:rPr>
        <w:t>E-Health Telecommunication Systems and Networks</w:t>
      </w:r>
      <w:r w:rsidR="00F93A26" w:rsidRPr="00F93A26">
        <w:rPr>
          <w:rFonts w:ascii="Times New Roman" w:hAnsi="Times New Roman" w:cs="Times New Roman"/>
        </w:rPr>
        <w:t>, 13(2), pp. 13–22. Available at: https://doi.org/10.4236/etsn.2024.132002.</w:t>
      </w:r>
    </w:p>
    <w:p w14:paraId="41F9071A" w14:textId="77777777" w:rsidR="00F93A26" w:rsidRPr="00F93A26" w:rsidRDefault="00F93A26" w:rsidP="00F93A26">
      <w:pPr>
        <w:pStyle w:val="Bibliography"/>
        <w:rPr>
          <w:rFonts w:ascii="Times New Roman" w:hAnsi="Times New Roman" w:cs="Times New Roman"/>
        </w:rPr>
      </w:pPr>
      <w:r w:rsidRPr="00F93A26">
        <w:rPr>
          <w:rFonts w:ascii="Times New Roman" w:hAnsi="Times New Roman" w:cs="Times New Roman"/>
        </w:rPr>
        <w:t xml:space="preserve">Arntz, A. </w:t>
      </w:r>
      <w:r w:rsidRPr="00F93A26">
        <w:rPr>
          <w:rFonts w:ascii="Times New Roman" w:hAnsi="Times New Roman" w:cs="Times New Roman"/>
          <w:i/>
          <w:iCs/>
        </w:rPr>
        <w:t>et al.</w:t>
      </w:r>
      <w:r w:rsidRPr="00F93A26">
        <w:rPr>
          <w:rFonts w:ascii="Times New Roman" w:hAnsi="Times New Roman" w:cs="Times New Roman"/>
        </w:rPr>
        <w:t xml:space="preserve"> (2023) ‘Technologies in Home-Based Digital Rehabilitation: Scoping Review’, </w:t>
      </w:r>
      <w:r w:rsidRPr="00F93A26">
        <w:rPr>
          <w:rFonts w:ascii="Times New Roman" w:hAnsi="Times New Roman" w:cs="Times New Roman"/>
          <w:i/>
          <w:iCs/>
        </w:rPr>
        <w:t>JMIR Rehabilitation and Assistive Technologies</w:t>
      </w:r>
      <w:r w:rsidRPr="00F93A26">
        <w:rPr>
          <w:rFonts w:ascii="Times New Roman" w:hAnsi="Times New Roman" w:cs="Times New Roman"/>
        </w:rPr>
        <w:t>, 10, p. e43615. Available at: https://doi.org/10.2196/43615.</w:t>
      </w:r>
    </w:p>
    <w:p w14:paraId="099252FB" w14:textId="77777777" w:rsidR="00F93A26" w:rsidRPr="00F93A26" w:rsidRDefault="00F93A26" w:rsidP="00F93A26">
      <w:pPr>
        <w:pStyle w:val="Bibliography"/>
        <w:rPr>
          <w:rFonts w:ascii="Times New Roman" w:hAnsi="Times New Roman" w:cs="Times New Roman"/>
        </w:rPr>
      </w:pPr>
      <w:r w:rsidRPr="00F93A26">
        <w:rPr>
          <w:rFonts w:ascii="Times New Roman" w:hAnsi="Times New Roman" w:cs="Times New Roman"/>
        </w:rPr>
        <w:t xml:space="preserve">Chakraborty, M. and </w:t>
      </w:r>
      <w:proofErr w:type="spellStart"/>
      <w:r w:rsidRPr="00F93A26">
        <w:rPr>
          <w:rFonts w:ascii="Times New Roman" w:hAnsi="Times New Roman" w:cs="Times New Roman"/>
        </w:rPr>
        <w:t>Rashdi</w:t>
      </w:r>
      <w:proofErr w:type="spellEnd"/>
      <w:r w:rsidRPr="00F93A26">
        <w:rPr>
          <w:rFonts w:ascii="Times New Roman" w:hAnsi="Times New Roman" w:cs="Times New Roman"/>
        </w:rPr>
        <w:t xml:space="preserve">, S.A. (2018) ‘Venkatesh et al.’s Unified Theory of Acceptance and Use of Technology (UTAUT) (2003)’, in </w:t>
      </w:r>
      <w:r w:rsidRPr="00F93A26">
        <w:rPr>
          <w:rFonts w:ascii="Times New Roman" w:hAnsi="Times New Roman" w:cs="Times New Roman"/>
          <w:i/>
          <w:iCs/>
        </w:rPr>
        <w:t xml:space="preserve">Technology Adoption and Social Issues: Concepts, </w:t>
      </w:r>
      <w:r w:rsidRPr="00F93A26">
        <w:rPr>
          <w:rFonts w:ascii="Times New Roman" w:hAnsi="Times New Roman" w:cs="Times New Roman"/>
          <w:i/>
          <w:iCs/>
        </w:rPr>
        <w:lastRenderedPageBreak/>
        <w:t>Methodologies, Tools, and Applications</w:t>
      </w:r>
      <w:r w:rsidRPr="00F93A26">
        <w:rPr>
          <w:rFonts w:ascii="Times New Roman" w:hAnsi="Times New Roman" w:cs="Times New Roman"/>
        </w:rPr>
        <w:t>. IGI Global Scientific Publishing, pp. 1657–1674. Available at: https://doi.org/10.4018/978-1-5225-5201-7.ch077.</w:t>
      </w:r>
    </w:p>
    <w:p w14:paraId="4D861530" w14:textId="77777777" w:rsidR="00F93A26" w:rsidRPr="00F93A26" w:rsidRDefault="00F93A26" w:rsidP="00F93A26">
      <w:pPr>
        <w:pStyle w:val="Bibliography"/>
        <w:rPr>
          <w:rFonts w:ascii="Times New Roman" w:hAnsi="Times New Roman" w:cs="Times New Roman"/>
        </w:rPr>
      </w:pPr>
      <w:r w:rsidRPr="00F93A26">
        <w:rPr>
          <w:rFonts w:ascii="Times New Roman" w:hAnsi="Times New Roman" w:cs="Times New Roman"/>
        </w:rPr>
        <w:t xml:space="preserve">Chen, Yu </w:t>
      </w:r>
      <w:r w:rsidRPr="00F93A26">
        <w:rPr>
          <w:rFonts w:ascii="Times New Roman" w:hAnsi="Times New Roman" w:cs="Times New Roman"/>
          <w:i/>
          <w:iCs/>
        </w:rPr>
        <w:t>et al.</w:t>
      </w:r>
      <w:r w:rsidRPr="00F93A26">
        <w:rPr>
          <w:rFonts w:ascii="Times New Roman" w:hAnsi="Times New Roman" w:cs="Times New Roman"/>
        </w:rPr>
        <w:t xml:space="preserve"> (2020) ‘A qualitative study on user acceptance of a home-based stroke telerehabilitation system’, </w:t>
      </w:r>
      <w:r w:rsidRPr="00F93A26">
        <w:rPr>
          <w:rFonts w:ascii="Times New Roman" w:hAnsi="Times New Roman" w:cs="Times New Roman"/>
          <w:i/>
          <w:iCs/>
        </w:rPr>
        <w:t>Topics in Stroke Rehabilitation</w:t>
      </w:r>
      <w:r w:rsidRPr="00F93A26">
        <w:rPr>
          <w:rFonts w:ascii="Times New Roman" w:hAnsi="Times New Roman" w:cs="Times New Roman"/>
        </w:rPr>
        <w:t>, 27(2), pp. 81–92. Available at: https://doi.org/10.1080/10749357.2019.1683792.</w:t>
      </w:r>
    </w:p>
    <w:p w14:paraId="2BE7C082" w14:textId="77777777" w:rsidR="00F93A26" w:rsidRPr="00F93A26" w:rsidRDefault="00F93A26" w:rsidP="00F93A26">
      <w:pPr>
        <w:pStyle w:val="Bibliography"/>
        <w:rPr>
          <w:rFonts w:ascii="Times New Roman" w:hAnsi="Times New Roman" w:cs="Times New Roman"/>
        </w:rPr>
      </w:pPr>
      <w:r w:rsidRPr="00F93A26">
        <w:rPr>
          <w:rFonts w:ascii="Times New Roman" w:hAnsi="Times New Roman" w:cs="Times New Roman"/>
        </w:rPr>
        <w:t xml:space="preserve">Davis, F.D. (1985) </w:t>
      </w:r>
      <w:r w:rsidRPr="00F93A26">
        <w:rPr>
          <w:rFonts w:ascii="Times New Roman" w:hAnsi="Times New Roman" w:cs="Times New Roman"/>
          <w:i/>
          <w:iCs/>
        </w:rPr>
        <w:t xml:space="preserve">A technology acceptance model for empirically testing new end-user information </w:t>
      </w:r>
      <w:proofErr w:type="gramStart"/>
      <w:r w:rsidRPr="00F93A26">
        <w:rPr>
          <w:rFonts w:ascii="Times New Roman" w:hAnsi="Times New Roman" w:cs="Times New Roman"/>
          <w:i/>
          <w:iCs/>
        </w:rPr>
        <w:t>systems :</w:t>
      </w:r>
      <w:proofErr w:type="gramEnd"/>
      <w:r w:rsidRPr="00F93A26">
        <w:rPr>
          <w:rFonts w:ascii="Times New Roman" w:hAnsi="Times New Roman" w:cs="Times New Roman"/>
          <w:i/>
          <w:iCs/>
        </w:rPr>
        <w:t xml:space="preserve"> theory and results</w:t>
      </w:r>
      <w:r w:rsidRPr="00F93A26">
        <w:rPr>
          <w:rFonts w:ascii="Times New Roman" w:hAnsi="Times New Roman" w:cs="Times New Roman"/>
        </w:rPr>
        <w:t>. Thesis. Massachusetts Institute of Technology. Available at: https://dspace.mit.edu/handle/1721.1/15192 (Accessed: 15 February 2025).</w:t>
      </w:r>
    </w:p>
    <w:p w14:paraId="74D10E8B" w14:textId="77777777" w:rsidR="00F93A26" w:rsidRPr="00F93A26" w:rsidRDefault="00F93A26" w:rsidP="00F93A26">
      <w:pPr>
        <w:pStyle w:val="Bibliography"/>
        <w:rPr>
          <w:rFonts w:ascii="Times New Roman" w:hAnsi="Times New Roman" w:cs="Times New Roman"/>
        </w:rPr>
      </w:pPr>
      <w:r w:rsidRPr="00F93A26">
        <w:rPr>
          <w:rFonts w:ascii="Times New Roman" w:hAnsi="Times New Roman" w:cs="Times New Roman"/>
        </w:rPr>
        <w:t xml:space="preserve">Diel, S. </w:t>
      </w:r>
      <w:r w:rsidRPr="00F93A26">
        <w:rPr>
          <w:rFonts w:ascii="Times New Roman" w:hAnsi="Times New Roman" w:cs="Times New Roman"/>
          <w:i/>
          <w:iCs/>
        </w:rPr>
        <w:t>et al.</w:t>
      </w:r>
      <w:r w:rsidRPr="00F93A26">
        <w:rPr>
          <w:rFonts w:ascii="Times New Roman" w:hAnsi="Times New Roman" w:cs="Times New Roman"/>
        </w:rPr>
        <w:t xml:space="preserve"> (2023) ‘Examining supporting and constraining factors of physicians’ acceptance of telemedical online consultations: a survey study’, </w:t>
      </w:r>
      <w:r w:rsidRPr="00F93A26">
        <w:rPr>
          <w:rFonts w:ascii="Times New Roman" w:hAnsi="Times New Roman" w:cs="Times New Roman"/>
          <w:i/>
          <w:iCs/>
        </w:rPr>
        <w:t>BMC Health Services Research</w:t>
      </w:r>
      <w:r w:rsidRPr="00F93A26">
        <w:rPr>
          <w:rFonts w:ascii="Times New Roman" w:hAnsi="Times New Roman" w:cs="Times New Roman"/>
        </w:rPr>
        <w:t>, 23, p. 1128. Available at: https://doi.org/10.1186/s12913-023-10032-6.</w:t>
      </w:r>
    </w:p>
    <w:p w14:paraId="1327EA1A" w14:textId="77777777" w:rsidR="00F93A26" w:rsidRPr="00F93A26" w:rsidRDefault="00F93A26" w:rsidP="00F93A26">
      <w:pPr>
        <w:pStyle w:val="Bibliography"/>
        <w:rPr>
          <w:rFonts w:ascii="Times New Roman" w:hAnsi="Times New Roman" w:cs="Times New Roman"/>
        </w:rPr>
      </w:pPr>
      <w:r w:rsidRPr="00F93A26">
        <w:rPr>
          <w:rFonts w:ascii="Times New Roman" w:hAnsi="Times New Roman" w:cs="Times New Roman"/>
        </w:rPr>
        <w:t xml:space="preserve">Kim, E. and Han, S. (2023) ‘Investigating the digital health acceptance of Korean baby boomers: Comparative study of telemedicine and wearable healthcare devices’, </w:t>
      </w:r>
      <w:r w:rsidRPr="00F93A26">
        <w:rPr>
          <w:rFonts w:ascii="Times New Roman" w:hAnsi="Times New Roman" w:cs="Times New Roman"/>
          <w:i/>
          <w:iCs/>
        </w:rPr>
        <w:t>Health Policy and Technology</w:t>
      </w:r>
      <w:r w:rsidRPr="00F93A26">
        <w:rPr>
          <w:rFonts w:ascii="Times New Roman" w:hAnsi="Times New Roman" w:cs="Times New Roman"/>
        </w:rPr>
        <w:t>, 12(1), p. 100727. Available at: https://doi.org/10.1016/j.hlpt.2023.100727.</w:t>
      </w:r>
    </w:p>
    <w:p w14:paraId="7D4CA7CE" w14:textId="77777777" w:rsidR="00F93A26" w:rsidRPr="00F93A26" w:rsidRDefault="00F93A26" w:rsidP="00F93A26">
      <w:pPr>
        <w:pStyle w:val="Bibliography"/>
        <w:rPr>
          <w:rFonts w:ascii="Times New Roman" w:hAnsi="Times New Roman" w:cs="Times New Roman"/>
        </w:rPr>
      </w:pPr>
      <w:r w:rsidRPr="00F93A26">
        <w:rPr>
          <w:rFonts w:ascii="Times New Roman" w:hAnsi="Times New Roman" w:cs="Times New Roman"/>
        </w:rPr>
        <w:t xml:space="preserve">Ku, B.P.S. </w:t>
      </w:r>
      <w:r w:rsidRPr="00F93A26">
        <w:rPr>
          <w:rFonts w:ascii="Times New Roman" w:hAnsi="Times New Roman" w:cs="Times New Roman"/>
          <w:i/>
          <w:iCs/>
        </w:rPr>
        <w:t>et al.</w:t>
      </w:r>
      <w:r w:rsidRPr="00F93A26">
        <w:rPr>
          <w:rFonts w:ascii="Times New Roman" w:hAnsi="Times New Roman" w:cs="Times New Roman"/>
        </w:rPr>
        <w:t xml:space="preserve"> (2021) ‘Tele-Rehabilitation to Combat Rehabilitation Service Disruption During COVID-19 in Hong Kong: Observational Study’, </w:t>
      </w:r>
      <w:r w:rsidRPr="00F93A26">
        <w:rPr>
          <w:rFonts w:ascii="Times New Roman" w:hAnsi="Times New Roman" w:cs="Times New Roman"/>
          <w:i/>
          <w:iCs/>
        </w:rPr>
        <w:t>JMIR Rehabilitation and Assistive Technologies</w:t>
      </w:r>
      <w:r w:rsidRPr="00F93A26">
        <w:rPr>
          <w:rFonts w:ascii="Times New Roman" w:hAnsi="Times New Roman" w:cs="Times New Roman"/>
        </w:rPr>
        <w:t>, 8(3), p. e19946. Available at: https://doi.org/10.2196/19946.</w:t>
      </w:r>
    </w:p>
    <w:p w14:paraId="00CE8B2B" w14:textId="77777777" w:rsidR="00F93A26" w:rsidRPr="00F93A26" w:rsidRDefault="00F93A26" w:rsidP="00F93A26">
      <w:pPr>
        <w:pStyle w:val="Bibliography"/>
        <w:rPr>
          <w:rFonts w:ascii="Times New Roman" w:hAnsi="Times New Roman" w:cs="Times New Roman"/>
        </w:rPr>
      </w:pPr>
      <w:proofErr w:type="spellStart"/>
      <w:r w:rsidRPr="00F93A26">
        <w:rPr>
          <w:rFonts w:ascii="Times New Roman" w:hAnsi="Times New Roman" w:cs="Times New Roman"/>
        </w:rPr>
        <w:t>Kutsal</w:t>
      </w:r>
      <w:proofErr w:type="spellEnd"/>
      <w:r w:rsidRPr="00F93A26">
        <w:rPr>
          <w:rFonts w:ascii="Times New Roman" w:hAnsi="Times New Roman" w:cs="Times New Roman"/>
        </w:rPr>
        <w:t xml:space="preserve">, Y.G. (2023) ‘THE DIGITAL DIVIDE IN THIS AGING WORLD’, </w:t>
      </w:r>
      <w:r w:rsidRPr="00F93A26">
        <w:rPr>
          <w:rFonts w:ascii="Times New Roman" w:hAnsi="Times New Roman" w:cs="Times New Roman"/>
          <w:i/>
          <w:iCs/>
        </w:rPr>
        <w:t>Turkish journal of Geriatrics</w:t>
      </w:r>
      <w:r w:rsidRPr="00F93A26">
        <w:rPr>
          <w:rFonts w:ascii="Times New Roman" w:hAnsi="Times New Roman" w:cs="Times New Roman"/>
        </w:rPr>
        <w:t>, 26(4), pp. 347–351. Available at: https://doi.org/10.29400/tjgeri.2023.361.</w:t>
      </w:r>
    </w:p>
    <w:p w14:paraId="0EBD915E" w14:textId="77777777" w:rsidR="00F93A26" w:rsidRPr="00F93A26" w:rsidRDefault="00F93A26" w:rsidP="00F93A26">
      <w:pPr>
        <w:pStyle w:val="Bibliography"/>
        <w:rPr>
          <w:rFonts w:ascii="Times New Roman" w:hAnsi="Times New Roman" w:cs="Times New Roman"/>
        </w:rPr>
      </w:pPr>
      <w:r w:rsidRPr="00F93A26">
        <w:rPr>
          <w:rFonts w:ascii="Times New Roman" w:hAnsi="Times New Roman" w:cs="Times New Roman"/>
        </w:rPr>
        <w:t xml:space="preserve">Li, J. </w:t>
      </w:r>
      <w:r w:rsidRPr="00F93A26">
        <w:rPr>
          <w:rFonts w:ascii="Times New Roman" w:hAnsi="Times New Roman" w:cs="Times New Roman"/>
          <w:i/>
          <w:iCs/>
        </w:rPr>
        <w:t>et al.</w:t>
      </w:r>
      <w:r w:rsidRPr="00F93A26">
        <w:rPr>
          <w:rFonts w:ascii="Times New Roman" w:hAnsi="Times New Roman" w:cs="Times New Roman"/>
        </w:rPr>
        <w:t xml:space="preserve"> (2019) ‘Health monitoring through wearable technologies for older adults: Smart wearables acceptance model’, </w:t>
      </w:r>
      <w:r w:rsidRPr="00F93A26">
        <w:rPr>
          <w:rFonts w:ascii="Times New Roman" w:hAnsi="Times New Roman" w:cs="Times New Roman"/>
          <w:i/>
          <w:iCs/>
        </w:rPr>
        <w:t>Applied Ergonomics</w:t>
      </w:r>
      <w:r w:rsidRPr="00F93A26">
        <w:rPr>
          <w:rFonts w:ascii="Times New Roman" w:hAnsi="Times New Roman" w:cs="Times New Roman"/>
        </w:rPr>
        <w:t>, 75, pp. 162–169. Available at: https://doi.org/10.1016/j.apergo.2018.10.006.</w:t>
      </w:r>
    </w:p>
    <w:p w14:paraId="197E8517" w14:textId="77777777" w:rsidR="00F93A26" w:rsidRPr="00F93A26" w:rsidRDefault="00F93A26" w:rsidP="00F93A26">
      <w:pPr>
        <w:pStyle w:val="Bibliography"/>
        <w:rPr>
          <w:rFonts w:ascii="Times New Roman" w:hAnsi="Times New Roman" w:cs="Times New Roman"/>
        </w:rPr>
      </w:pPr>
      <w:r w:rsidRPr="00F93A26">
        <w:rPr>
          <w:rFonts w:ascii="Times New Roman" w:hAnsi="Times New Roman" w:cs="Times New Roman"/>
        </w:rPr>
        <w:t xml:space="preserve">Ma, Q., Chan, A.H.S. and </w:t>
      </w:r>
      <w:proofErr w:type="spellStart"/>
      <w:r w:rsidRPr="00F93A26">
        <w:rPr>
          <w:rFonts w:ascii="Times New Roman" w:hAnsi="Times New Roman" w:cs="Times New Roman"/>
        </w:rPr>
        <w:t>Teh</w:t>
      </w:r>
      <w:proofErr w:type="spellEnd"/>
      <w:r w:rsidRPr="00F93A26">
        <w:rPr>
          <w:rFonts w:ascii="Times New Roman" w:hAnsi="Times New Roman" w:cs="Times New Roman"/>
        </w:rPr>
        <w:t xml:space="preserve">, P.-L. (2020) ‘Bridging the Digital Divide for Older Adults via Observational Training: Effects of Model Identity from a Generational Perspective’, </w:t>
      </w:r>
      <w:r w:rsidRPr="00F93A26">
        <w:rPr>
          <w:rFonts w:ascii="Times New Roman" w:hAnsi="Times New Roman" w:cs="Times New Roman"/>
          <w:i/>
          <w:iCs/>
        </w:rPr>
        <w:t>Sustainability</w:t>
      </w:r>
      <w:r w:rsidRPr="00F93A26">
        <w:rPr>
          <w:rFonts w:ascii="Times New Roman" w:hAnsi="Times New Roman" w:cs="Times New Roman"/>
        </w:rPr>
        <w:t>, 12(11), p. 4555. Available at: https://doi.org/10.3390/su12114555.</w:t>
      </w:r>
    </w:p>
    <w:p w14:paraId="25C47C57" w14:textId="77777777" w:rsidR="00F93A26" w:rsidRPr="00F93A26" w:rsidRDefault="00F93A26" w:rsidP="00F93A26">
      <w:pPr>
        <w:pStyle w:val="Bibliography"/>
        <w:rPr>
          <w:rFonts w:ascii="Times New Roman" w:hAnsi="Times New Roman" w:cs="Times New Roman"/>
        </w:rPr>
      </w:pPr>
      <w:r w:rsidRPr="00F93A26">
        <w:rPr>
          <w:rFonts w:ascii="Times New Roman" w:hAnsi="Times New Roman" w:cs="Times New Roman"/>
        </w:rPr>
        <w:t xml:space="preserve">Meng, D. and Guo, Z. (2024) ‘Influence of doctor-patient trust on the adoption of mobile medical applications during the epidemic: a UTAUT-based analysis’, </w:t>
      </w:r>
      <w:r w:rsidRPr="00F93A26">
        <w:rPr>
          <w:rFonts w:ascii="Times New Roman" w:hAnsi="Times New Roman" w:cs="Times New Roman"/>
          <w:i/>
          <w:iCs/>
        </w:rPr>
        <w:t>Frontiers in Public Health</w:t>
      </w:r>
      <w:r w:rsidRPr="00F93A26">
        <w:rPr>
          <w:rFonts w:ascii="Times New Roman" w:hAnsi="Times New Roman" w:cs="Times New Roman"/>
        </w:rPr>
        <w:t>, 12. Available at: https://doi.org/10.3389/fpubh.2024.1414125.</w:t>
      </w:r>
    </w:p>
    <w:p w14:paraId="7DE2E18B" w14:textId="77777777" w:rsidR="00F93A26" w:rsidRPr="00F93A26" w:rsidRDefault="00F93A26" w:rsidP="00F93A26">
      <w:pPr>
        <w:pStyle w:val="Bibliography"/>
        <w:rPr>
          <w:rFonts w:ascii="Times New Roman" w:hAnsi="Times New Roman" w:cs="Times New Roman"/>
        </w:rPr>
      </w:pPr>
      <w:r w:rsidRPr="00F93A26">
        <w:rPr>
          <w:rFonts w:ascii="Times New Roman" w:hAnsi="Times New Roman" w:cs="Times New Roman"/>
        </w:rPr>
        <w:t xml:space="preserve">Moxley, J., </w:t>
      </w:r>
      <w:proofErr w:type="spellStart"/>
      <w:r w:rsidRPr="00F93A26">
        <w:rPr>
          <w:rFonts w:ascii="Times New Roman" w:hAnsi="Times New Roman" w:cs="Times New Roman"/>
        </w:rPr>
        <w:t>Sharit</w:t>
      </w:r>
      <w:proofErr w:type="spellEnd"/>
      <w:r w:rsidRPr="00F93A26">
        <w:rPr>
          <w:rFonts w:ascii="Times New Roman" w:hAnsi="Times New Roman" w:cs="Times New Roman"/>
        </w:rPr>
        <w:t xml:space="preserve">, J. and Czaja, S.J. (2022) ‘The Factors Influencing Older Adults’ Decisions Surrounding Adoption of Technology: Quantitative Experimental Study’, </w:t>
      </w:r>
      <w:r w:rsidRPr="00F93A26">
        <w:rPr>
          <w:rFonts w:ascii="Times New Roman" w:hAnsi="Times New Roman" w:cs="Times New Roman"/>
          <w:i/>
          <w:iCs/>
        </w:rPr>
        <w:t>JMIR Aging</w:t>
      </w:r>
      <w:r w:rsidRPr="00F93A26">
        <w:rPr>
          <w:rFonts w:ascii="Times New Roman" w:hAnsi="Times New Roman" w:cs="Times New Roman"/>
        </w:rPr>
        <w:t>, 5(4), p. e39890. Available at: https://doi.org/10.2196/39890.</w:t>
      </w:r>
    </w:p>
    <w:p w14:paraId="03F38214" w14:textId="77777777" w:rsidR="00F93A26" w:rsidRPr="00F93A26" w:rsidRDefault="00F93A26" w:rsidP="00F93A26">
      <w:pPr>
        <w:pStyle w:val="Bibliography"/>
        <w:rPr>
          <w:rFonts w:ascii="Times New Roman" w:hAnsi="Times New Roman" w:cs="Times New Roman"/>
        </w:rPr>
      </w:pPr>
      <w:r w:rsidRPr="00F93A26">
        <w:rPr>
          <w:rFonts w:ascii="Times New Roman" w:hAnsi="Times New Roman" w:cs="Times New Roman"/>
        </w:rPr>
        <w:t xml:space="preserve">Niehaves, B. and Plattfaut, R. (2014) ‘Internet adoption by the elderly: employing IS technology acceptance theories for understanding the age-related digital divide’, </w:t>
      </w:r>
      <w:r w:rsidRPr="00F93A26">
        <w:rPr>
          <w:rFonts w:ascii="Times New Roman" w:hAnsi="Times New Roman" w:cs="Times New Roman"/>
          <w:i/>
          <w:iCs/>
        </w:rPr>
        <w:t>European Journal of Information Systems</w:t>
      </w:r>
      <w:r w:rsidRPr="00F93A26">
        <w:rPr>
          <w:rFonts w:ascii="Times New Roman" w:hAnsi="Times New Roman" w:cs="Times New Roman"/>
        </w:rPr>
        <w:t>, 23(6), pp. 708–726. Available at: https://doi.org/10.1057/ejis.2013.19.</w:t>
      </w:r>
    </w:p>
    <w:p w14:paraId="2FD1FCA1" w14:textId="77777777" w:rsidR="00F93A26" w:rsidRPr="00F93A26" w:rsidRDefault="00F93A26" w:rsidP="00F93A26">
      <w:pPr>
        <w:pStyle w:val="Bibliography"/>
        <w:rPr>
          <w:rFonts w:ascii="Times New Roman" w:hAnsi="Times New Roman" w:cs="Times New Roman"/>
        </w:rPr>
      </w:pPr>
      <w:proofErr w:type="spellStart"/>
      <w:r w:rsidRPr="00F93A26">
        <w:rPr>
          <w:rFonts w:ascii="Times New Roman" w:hAnsi="Times New Roman" w:cs="Times New Roman"/>
        </w:rPr>
        <w:t>Pramuka</w:t>
      </w:r>
      <w:proofErr w:type="spellEnd"/>
      <w:r w:rsidRPr="00F93A26">
        <w:rPr>
          <w:rFonts w:ascii="Times New Roman" w:hAnsi="Times New Roman" w:cs="Times New Roman"/>
        </w:rPr>
        <w:t xml:space="preserve">, M. and van </w:t>
      </w:r>
      <w:proofErr w:type="spellStart"/>
      <w:r w:rsidRPr="00F93A26">
        <w:rPr>
          <w:rFonts w:ascii="Times New Roman" w:hAnsi="Times New Roman" w:cs="Times New Roman"/>
        </w:rPr>
        <w:t>Roosmalen</w:t>
      </w:r>
      <w:proofErr w:type="spellEnd"/>
      <w:r w:rsidRPr="00F93A26">
        <w:rPr>
          <w:rFonts w:ascii="Times New Roman" w:hAnsi="Times New Roman" w:cs="Times New Roman"/>
        </w:rPr>
        <w:t xml:space="preserve">, L. (2009) ‘Telerehabilitation Technologies: Accessibility and Usability’, </w:t>
      </w:r>
      <w:r w:rsidRPr="00F93A26">
        <w:rPr>
          <w:rFonts w:ascii="Times New Roman" w:hAnsi="Times New Roman" w:cs="Times New Roman"/>
          <w:i/>
          <w:iCs/>
        </w:rPr>
        <w:t>International Journal of Telerehabilitation</w:t>
      </w:r>
      <w:r w:rsidRPr="00F93A26">
        <w:rPr>
          <w:rFonts w:ascii="Times New Roman" w:hAnsi="Times New Roman" w:cs="Times New Roman"/>
        </w:rPr>
        <w:t>, 1(1), pp. 85–98.</w:t>
      </w:r>
    </w:p>
    <w:p w14:paraId="25D56B48" w14:textId="77777777" w:rsidR="00F93A26" w:rsidRPr="00F93A26" w:rsidRDefault="00F93A26" w:rsidP="00F93A26">
      <w:pPr>
        <w:pStyle w:val="Bibliography"/>
        <w:rPr>
          <w:rFonts w:ascii="Times New Roman" w:hAnsi="Times New Roman" w:cs="Times New Roman"/>
        </w:rPr>
      </w:pPr>
      <w:proofErr w:type="spellStart"/>
      <w:r w:rsidRPr="00F93A26">
        <w:rPr>
          <w:rFonts w:ascii="Times New Roman" w:hAnsi="Times New Roman" w:cs="Times New Roman"/>
        </w:rPr>
        <w:lastRenderedPageBreak/>
        <w:t>Rondan</w:t>
      </w:r>
      <w:proofErr w:type="spellEnd"/>
      <w:r w:rsidRPr="00F93A26">
        <w:rPr>
          <w:rFonts w:ascii="Times New Roman" w:hAnsi="Times New Roman" w:cs="Times New Roman"/>
        </w:rPr>
        <w:t xml:space="preserve">-Cataluña, F.J., Arenas-Gaitán, J. and Ramírez-Correa, P.E. (2015) ‘A comparison of the different versions of popular technology acceptance models: A non-linear perspective’, </w:t>
      </w:r>
      <w:proofErr w:type="spellStart"/>
      <w:r w:rsidRPr="00F93A26">
        <w:rPr>
          <w:rFonts w:ascii="Times New Roman" w:hAnsi="Times New Roman" w:cs="Times New Roman"/>
          <w:i/>
          <w:iCs/>
        </w:rPr>
        <w:t>Kybernetes</w:t>
      </w:r>
      <w:proofErr w:type="spellEnd"/>
      <w:r w:rsidRPr="00F93A26">
        <w:rPr>
          <w:rFonts w:ascii="Times New Roman" w:hAnsi="Times New Roman" w:cs="Times New Roman"/>
        </w:rPr>
        <w:t>, 44(5), pp. 788–805. Available at: https://doi.org/10.1108/K-09-2014-0184.</w:t>
      </w:r>
    </w:p>
    <w:p w14:paraId="078164E1" w14:textId="77777777" w:rsidR="00F93A26" w:rsidRPr="00F93A26" w:rsidRDefault="00F93A26" w:rsidP="00F93A26">
      <w:pPr>
        <w:pStyle w:val="Bibliography"/>
        <w:rPr>
          <w:rFonts w:ascii="Times New Roman" w:hAnsi="Times New Roman" w:cs="Times New Roman"/>
        </w:rPr>
      </w:pPr>
      <w:proofErr w:type="spellStart"/>
      <w:r w:rsidRPr="00F93A26">
        <w:rPr>
          <w:rFonts w:ascii="Times New Roman" w:hAnsi="Times New Roman" w:cs="Times New Roman"/>
        </w:rPr>
        <w:t>Sawesi</w:t>
      </w:r>
      <w:proofErr w:type="spellEnd"/>
      <w:r w:rsidRPr="00F93A26">
        <w:rPr>
          <w:rFonts w:ascii="Times New Roman" w:hAnsi="Times New Roman" w:cs="Times New Roman"/>
        </w:rPr>
        <w:t xml:space="preserve">, S. </w:t>
      </w:r>
      <w:r w:rsidRPr="00F93A26">
        <w:rPr>
          <w:rFonts w:ascii="Times New Roman" w:hAnsi="Times New Roman" w:cs="Times New Roman"/>
          <w:i/>
          <w:iCs/>
        </w:rPr>
        <w:t>et al.</w:t>
      </w:r>
      <w:r w:rsidRPr="00F93A26">
        <w:rPr>
          <w:rFonts w:ascii="Times New Roman" w:hAnsi="Times New Roman" w:cs="Times New Roman"/>
        </w:rPr>
        <w:t xml:space="preserve"> (2016) ‘The Impact of Information Technology on Patient Engagement and Health Behavior Change: A Systematic Review of the Literature’, </w:t>
      </w:r>
      <w:r w:rsidRPr="00F93A26">
        <w:rPr>
          <w:rFonts w:ascii="Times New Roman" w:hAnsi="Times New Roman" w:cs="Times New Roman"/>
          <w:i/>
          <w:iCs/>
        </w:rPr>
        <w:t>JMIR Medical Informatics</w:t>
      </w:r>
      <w:r w:rsidRPr="00F93A26">
        <w:rPr>
          <w:rFonts w:ascii="Times New Roman" w:hAnsi="Times New Roman" w:cs="Times New Roman"/>
        </w:rPr>
        <w:t>, 4(1), p. e1. Available at: https://doi.org/10.2196/medinform.4514.</w:t>
      </w:r>
    </w:p>
    <w:p w14:paraId="0A07B64D" w14:textId="6B4DB5A3" w:rsidR="00F93A26" w:rsidRPr="00F93A26" w:rsidRDefault="00F93A26" w:rsidP="00F93A26">
      <w:pPr>
        <w:pStyle w:val="Bibliography"/>
        <w:rPr>
          <w:rFonts w:ascii="Times New Roman" w:hAnsi="Times New Roman" w:cs="Times New Roman"/>
        </w:rPr>
      </w:pPr>
      <w:r w:rsidRPr="00F93A26">
        <w:rPr>
          <w:rFonts w:ascii="Times New Roman" w:hAnsi="Times New Roman" w:cs="Times New Roman"/>
        </w:rPr>
        <w:t>‘Strategic Service Framework for Rehabilitation Services’ (</w:t>
      </w:r>
      <w:r w:rsidR="00582BDA">
        <w:rPr>
          <w:rFonts w:ascii="Times New Roman" w:hAnsi="Times New Roman" w:cs="Times New Roman"/>
        </w:rPr>
        <w:t>2016)</w:t>
      </w:r>
      <w:r w:rsidRPr="00F93A26">
        <w:rPr>
          <w:rFonts w:ascii="Times New Roman" w:hAnsi="Times New Roman" w:cs="Times New Roman"/>
        </w:rPr>
        <w:t>. Available at: https://www.ha.org.hk/haho/ho/ap/HA-RehabSSF-01.pdf (Accessed: 5 February 2025).</w:t>
      </w:r>
    </w:p>
    <w:p w14:paraId="64E9620A" w14:textId="77777777" w:rsidR="00F93A26" w:rsidRPr="00F93A26" w:rsidRDefault="00F93A26" w:rsidP="00F93A26">
      <w:pPr>
        <w:pStyle w:val="Bibliography"/>
        <w:rPr>
          <w:rFonts w:ascii="Times New Roman" w:hAnsi="Times New Roman" w:cs="Times New Roman"/>
        </w:rPr>
      </w:pPr>
      <w:r w:rsidRPr="00F93A26">
        <w:rPr>
          <w:rFonts w:ascii="Times New Roman" w:hAnsi="Times New Roman" w:cs="Times New Roman"/>
          <w:i/>
          <w:iCs/>
        </w:rPr>
        <w:t>Thematic Household Survey Report No. 80 published</w:t>
      </w:r>
      <w:r w:rsidRPr="00F93A26">
        <w:rPr>
          <w:rFonts w:ascii="Times New Roman" w:hAnsi="Times New Roman" w:cs="Times New Roman"/>
        </w:rPr>
        <w:t xml:space="preserve"> (2024). Available at: https://www.info.gov.hk/gia/general/202406/27/P2024062700313.htm?t (Accessed: 8 February 2025).</w:t>
      </w:r>
    </w:p>
    <w:p w14:paraId="68631111" w14:textId="77777777" w:rsidR="00F93A26" w:rsidRPr="00F93A26" w:rsidRDefault="00F93A26" w:rsidP="00F93A26">
      <w:pPr>
        <w:pStyle w:val="Bibliography"/>
        <w:rPr>
          <w:rFonts w:ascii="Times New Roman" w:hAnsi="Times New Roman" w:cs="Times New Roman"/>
        </w:rPr>
      </w:pPr>
      <w:r w:rsidRPr="00F93A26">
        <w:rPr>
          <w:rFonts w:ascii="Times New Roman" w:hAnsi="Times New Roman" w:cs="Times New Roman"/>
        </w:rPr>
        <w:t xml:space="preserve">Tsai, J.-M. </w:t>
      </w:r>
      <w:r w:rsidRPr="00F93A26">
        <w:rPr>
          <w:rFonts w:ascii="Times New Roman" w:hAnsi="Times New Roman" w:cs="Times New Roman"/>
          <w:i/>
          <w:iCs/>
        </w:rPr>
        <w:t>et al.</w:t>
      </w:r>
      <w:r w:rsidRPr="00F93A26">
        <w:rPr>
          <w:rFonts w:ascii="Times New Roman" w:hAnsi="Times New Roman" w:cs="Times New Roman"/>
        </w:rPr>
        <w:t xml:space="preserve"> (2019) ‘Acceptance and resistance of telehealth: The perspective of dual-factor concepts in technology adoption’, </w:t>
      </w:r>
      <w:r w:rsidRPr="00F93A26">
        <w:rPr>
          <w:rFonts w:ascii="Times New Roman" w:hAnsi="Times New Roman" w:cs="Times New Roman"/>
          <w:i/>
          <w:iCs/>
        </w:rPr>
        <w:t>International Journal of Information Management</w:t>
      </w:r>
      <w:r w:rsidRPr="00F93A26">
        <w:rPr>
          <w:rFonts w:ascii="Times New Roman" w:hAnsi="Times New Roman" w:cs="Times New Roman"/>
        </w:rPr>
        <w:t>, 49, pp. 34–44. Available at: https://doi.org/10.1016/j.ijinfomgt.2019.03.003.</w:t>
      </w:r>
    </w:p>
    <w:p w14:paraId="3B92A78C" w14:textId="77777777" w:rsidR="00F93A26" w:rsidRPr="00F93A26" w:rsidRDefault="00F93A26" w:rsidP="00F93A26">
      <w:pPr>
        <w:pStyle w:val="Bibliography"/>
        <w:rPr>
          <w:rFonts w:ascii="Times New Roman" w:hAnsi="Times New Roman" w:cs="Times New Roman"/>
        </w:rPr>
      </w:pPr>
      <w:r w:rsidRPr="00F93A26">
        <w:rPr>
          <w:rFonts w:ascii="Times New Roman" w:hAnsi="Times New Roman" w:cs="Times New Roman"/>
        </w:rPr>
        <w:t xml:space="preserve">Venkatesh, V. </w:t>
      </w:r>
      <w:r w:rsidRPr="00F93A26">
        <w:rPr>
          <w:rFonts w:ascii="Times New Roman" w:hAnsi="Times New Roman" w:cs="Times New Roman"/>
          <w:i/>
          <w:iCs/>
        </w:rPr>
        <w:t>et al.</w:t>
      </w:r>
      <w:r w:rsidRPr="00F93A26">
        <w:rPr>
          <w:rFonts w:ascii="Times New Roman" w:hAnsi="Times New Roman" w:cs="Times New Roman"/>
        </w:rPr>
        <w:t xml:space="preserve"> (2003) ‘User Acceptance of Information Technology: Toward a Unified View’, </w:t>
      </w:r>
      <w:r w:rsidRPr="00F93A26">
        <w:rPr>
          <w:rFonts w:ascii="Times New Roman" w:hAnsi="Times New Roman" w:cs="Times New Roman"/>
          <w:i/>
          <w:iCs/>
        </w:rPr>
        <w:t>MIS Quarterly</w:t>
      </w:r>
      <w:r w:rsidRPr="00F93A26">
        <w:rPr>
          <w:rFonts w:ascii="Times New Roman" w:hAnsi="Times New Roman" w:cs="Times New Roman"/>
        </w:rPr>
        <w:t>, 27(3), pp. 425–478. Available at: https://doi.org/10.2307/30036540.</w:t>
      </w:r>
    </w:p>
    <w:p w14:paraId="04326EB2" w14:textId="77777777" w:rsidR="00F93A26" w:rsidRPr="00F93A26" w:rsidRDefault="00F93A26" w:rsidP="00F93A26">
      <w:pPr>
        <w:pStyle w:val="Bibliography"/>
        <w:rPr>
          <w:rFonts w:ascii="Times New Roman" w:hAnsi="Times New Roman" w:cs="Times New Roman"/>
        </w:rPr>
      </w:pPr>
      <w:r w:rsidRPr="00F93A26">
        <w:rPr>
          <w:rFonts w:ascii="Times New Roman" w:hAnsi="Times New Roman" w:cs="Times New Roman"/>
        </w:rPr>
        <w:t xml:space="preserve">Wang, X. </w:t>
      </w:r>
      <w:r w:rsidRPr="00F93A26">
        <w:rPr>
          <w:rFonts w:ascii="Times New Roman" w:hAnsi="Times New Roman" w:cs="Times New Roman"/>
          <w:i/>
          <w:iCs/>
        </w:rPr>
        <w:t>et al.</w:t>
      </w:r>
      <w:r w:rsidRPr="00F93A26">
        <w:rPr>
          <w:rFonts w:ascii="Times New Roman" w:hAnsi="Times New Roman" w:cs="Times New Roman"/>
        </w:rPr>
        <w:t xml:space="preserve"> (2023) ‘Research on the Factors Affecting the Adoption of Smart Aged-Care Products by the Aged in China: Extension Based on UTAUT Model’, </w:t>
      </w:r>
      <w:r w:rsidRPr="00F93A26">
        <w:rPr>
          <w:rFonts w:ascii="Times New Roman" w:hAnsi="Times New Roman" w:cs="Times New Roman"/>
          <w:i/>
          <w:iCs/>
        </w:rPr>
        <w:t>Behavioral Sciences</w:t>
      </w:r>
      <w:r w:rsidRPr="00F93A26">
        <w:rPr>
          <w:rFonts w:ascii="Times New Roman" w:hAnsi="Times New Roman" w:cs="Times New Roman"/>
        </w:rPr>
        <w:t>, 13(3), p. 277. Available at: https://doi.org/10.3390/bs13030277.</w:t>
      </w:r>
    </w:p>
    <w:p w14:paraId="1DCD450F" w14:textId="77777777" w:rsidR="00F93A26" w:rsidRPr="00F93A26" w:rsidRDefault="00F93A26" w:rsidP="00F93A26">
      <w:pPr>
        <w:pStyle w:val="Bibliography"/>
        <w:rPr>
          <w:rFonts w:ascii="Times New Roman" w:hAnsi="Times New Roman" w:cs="Times New Roman"/>
        </w:rPr>
      </w:pPr>
      <w:r w:rsidRPr="00F93A26">
        <w:rPr>
          <w:rFonts w:ascii="Times New Roman" w:hAnsi="Times New Roman" w:cs="Times New Roman"/>
        </w:rPr>
        <w:t xml:space="preserve">Yang, R., Gao, S. and Jiang, Y. (2024) ‘Digital divide as a determinant of health in the U.S. older adults: prevalence, trends, and risk factors’, </w:t>
      </w:r>
      <w:r w:rsidRPr="00F93A26">
        <w:rPr>
          <w:rFonts w:ascii="Times New Roman" w:hAnsi="Times New Roman" w:cs="Times New Roman"/>
          <w:i/>
          <w:iCs/>
        </w:rPr>
        <w:t>BMC Geriatrics</w:t>
      </w:r>
      <w:r w:rsidRPr="00F93A26">
        <w:rPr>
          <w:rFonts w:ascii="Times New Roman" w:hAnsi="Times New Roman" w:cs="Times New Roman"/>
        </w:rPr>
        <w:t>, 24, p. 1027. Available at: https://doi.org/10.1186/s12877-024-05612-y.</w:t>
      </w:r>
    </w:p>
    <w:p w14:paraId="66DF123C" w14:textId="77777777" w:rsidR="00F93A26" w:rsidRPr="00F93A26" w:rsidRDefault="00F93A26" w:rsidP="00F93A26">
      <w:pPr>
        <w:pStyle w:val="Bibliography"/>
        <w:rPr>
          <w:rFonts w:ascii="Times New Roman" w:hAnsi="Times New Roman" w:cs="Times New Roman"/>
        </w:rPr>
      </w:pPr>
      <w:r w:rsidRPr="00F93A26">
        <w:rPr>
          <w:rFonts w:ascii="Times New Roman" w:hAnsi="Times New Roman" w:cs="Times New Roman"/>
        </w:rPr>
        <w:t xml:space="preserve">Yu, S. and Chen, T. (2024) ‘Understanding older adults’ acceptance of Chatbots in healthcare delivery: an extended UTAUT model’, </w:t>
      </w:r>
      <w:r w:rsidRPr="00F93A26">
        <w:rPr>
          <w:rFonts w:ascii="Times New Roman" w:hAnsi="Times New Roman" w:cs="Times New Roman"/>
          <w:i/>
          <w:iCs/>
        </w:rPr>
        <w:t>Frontiers in Public Health</w:t>
      </w:r>
      <w:r w:rsidRPr="00F93A26">
        <w:rPr>
          <w:rFonts w:ascii="Times New Roman" w:hAnsi="Times New Roman" w:cs="Times New Roman"/>
        </w:rPr>
        <w:t>, 12. Available at: https://doi.org/10.3389/fpubh.2024.1435329.</w:t>
      </w:r>
    </w:p>
    <w:p w14:paraId="0F825C4D" w14:textId="16CB7412" w:rsidR="00D70287" w:rsidRPr="00E013E5" w:rsidRDefault="0081323C" w:rsidP="00F93A26">
      <w:pPr>
        <w:pStyle w:val="Bibliography"/>
        <w:rPr>
          <w:rFonts w:ascii="Times New Roman" w:hAnsi="Times New Roman" w:cs="Times New Roman"/>
        </w:rPr>
      </w:pPr>
      <w:r>
        <w:rPr>
          <w:rFonts w:ascii="Times New Roman" w:hAnsi="Times New Roman" w:cs="Times New Roman"/>
        </w:rPr>
        <w:fldChar w:fldCharType="end"/>
      </w:r>
    </w:p>
    <w:sectPr w:rsidR="00D70287" w:rsidRPr="00E013E5">
      <w:footerReference w:type="even"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48C65C" w14:textId="77777777" w:rsidR="005814AA" w:rsidRDefault="005814AA" w:rsidP="00A26419">
      <w:pPr>
        <w:spacing w:after="0" w:line="240" w:lineRule="auto"/>
      </w:pPr>
      <w:r>
        <w:separator/>
      </w:r>
    </w:p>
  </w:endnote>
  <w:endnote w:type="continuationSeparator" w:id="0">
    <w:p w14:paraId="56D53C39" w14:textId="77777777" w:rsidR="005814AA" w:rsidRDefault="005814AA" w:rsidP="00A264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43557901"/>
      <w:docPartObj>
        <w:docPartGallery w:val="Page Numbers (Bottom of Page)"/>
        <w:docPartUnique/>
      </w:docPartObj>
    </w:sdtPr>
    <w:sdtContent>
      <w:p w14:paraId="231734E4" w14:textId="6F0769F5" w:rsidR="00A26419" w:rsidRDefault="00A26419" w:rsidP="001A3B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514D82" w14:textId="77777777" w:rsidR="00A26419" w:rsidRDefault="00A26419" w:rsidP="00A264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9558965"/>
      <w:docPartObj>
        <w:docPartGallery w:val="Page Numbers (Bottom of Page)"/>
        <w:docPartUnique/>
      </w:docPartObj>
    </w:sdtPr>
    <w:sdtContent>
      <w:p w14:paraId="6C88ADD2" w14:textId="3DAEE95E" w:rsidR="00A26419" w:rsidRDefault="00A26419" w:rsidP="001A3B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7FBA8D4" w14:textId="77777777" w:rsidR="00A26419" w:rsidRDefault="00A26419" w:rsidP="00A2641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53F4EC" w14:textId="77777777" w:rsidR="005814AA" w:rsidRDefault="005814AA" w:rsidP="00A26419">
      <w:pPr>
        <w:spacing w:after="0" w:line="240" w:lineRule="auto"/>
      </w:pPr>
      <w:r>
        <w:separator/>
      </w:r>
    </w:p>
  </w:footnote>
  <w:footnote w:type="continuationSeparator" w:id="0">
    <w:p w14:paraId="60CD4F4C" w14:textId="77777777" w:rsidR="005814AA" w:rsidRDefault="005814AA" w:rsidP="00A264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B5DFF"/>
    <w:multiLevelType w:val="hybridMultilevel"/>
    <w:tmpl w:val="23828BA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18A82B3C"/>
    <w:multiLevelType w:val="multilevel"/>
    <w:tmpl w:val="C2DCF852"/>
    <w:lvl w:ilvl="0">
      <w:start w:val="1"/>
      <w:numFmt w:val="decimal"/>
      <w:lvlText w:val="%1."/>
      <w:lvlJc w:val="left"/>
      <w:pPr>
        <w:tabs>
          <w:tab w:val="num" w:pos="-576"/>
        </w:tabs>
        <w:ind w:left="-576" w:hanging="360"/>
      </w:pPr>
    </w:lvl>
    <w:lvl w:ilvl="1" w:tentative="1">
      <w:start w:val="1"/>
      <w:numFmt w:val="decimal"/>
      <w:lvlText w:val="%2."/>
      <w:lvlJc w:val="left"/>
      <w:pPr>
        <w:tabs>
          <w:tab w:val="num" w:pos="144"/>
        </w:tabs>
        <w:ind w:left="144" w:hanging="360"/>
      </w:pPr>
    </w:lvl>
    <w:lvl w:ilvl="2" w:tentative="1">
      <w:start w:val="1"/>
      <w:numFmt w:val="decimal"/>
      <w:lvlText w:val="%3."/>
      <w:lvlJc w:val="left"/>
      <w:pPr>
        <w:tabs>
          <w:tab w:val="num" w:pos="864"/>
        </w:tabs>
        <w:ind w:left="864" w:hanging="360"/>
      </w:pPr>
    </w:lvl>
    <w:lvl w:ilvl="3" w:tentative="1">
      <w:start w:val="1"/>
      <w:numFmt w:val="decimal"/>
      <w:lvlText w:val="%4."/>
      <w:lvlJc w:val="left"/>
      <w:pPr>
        <w:tabs>
          <w:tab w:val="num" w:pos="1584"/>
        </w:tabs>
        <w:ind w:left="1584" w:hanging="360"/>
      </w:pPr>
    </w:lvl>
    <w:lvl w:ilvl="4" w:tentative="1">
      <w:start w:val="1"/>
      <w:numFmt w:val="decimal"/>
      <w:lvlText w:val="%5."/>
      <w:lvlJc w:val="left"/>
      <w:pPr>
        <w:tabs>
          <w:tab w:val="num" w:pos="2304"/>
        </w:tabs>
        <w:ind w:left="2304" w:hanging="360"/>
      </w:pPr>
    </w:lvl>
    <w:lvl w:ilvl="5" w:tentative="1">
      <w:start w:val="1"/>
      <w:numFmt w:val="decimal"/>
      <w:lvlText w:val="%6."/>
      <w:lvlJc w:val="left"/>
      <w:pPr>
        <w:tabs>
          <w:tab w:val="num" w:pos="3024"/>
        </w:tabs>
        <w:ind w:left="3024" w:hanging="360"/>
      </w:pPr>
    </w:lvl>
    <w:lvl w:ilvl="6" w:tentative="1">
      <w:start w:val="1"/>
      <w:numFmt w:val="decimal"/>
      <w:lvlText w:val="%7."/>
      <w:lvlJc w:val="left"/>
      <w:pPr>
        <w:tabs>
          <w:tab w:val="num" w:pos="3744"/>
        </w:tabs>
        <w:ind w:left="3744" w:hanging="360"/>
      </w:pPr>
    </w:lvl>
    <w:lvl w:ilvl="7" w:tentative="1">
      <w:start w:val="1"/>
      <w:numFmt w:val="decimal"/>
      <w:lvlText w:val="%8."/>
      <w:lvlJc w:val="left"/>
      <w:pPr>
        <w:tabs>
          <w:tab w:val="num" w:pos="4464"/>
        </w:tabs>
        <w:ind w:left="4464" w:hanging="360"/>
      </w:pPr>
    </w:lvl>
    <w:lvl w:ilvl="8" w:tentative="1">
      <w:start w:val="1"/>
      <w:numFmt w:val="decimal"/>
      <w:lvlText w:val="%9."/>
      <w:lvlJc w:val="left"/>
      <w:pPr>
        <w:tabs>
          <w:tab w:val="num" w:pos="5184"/>
        </w:tabs>
        <w:ind w:left="5184" w:hanging="360"/>
      </w:pPr>
    </w:lvl>
  </w:abstractNum>
  <w:abstractNum w:abstractNumId="2" w15:restartNumberingAfterBreak="0">
    <w:nsid w:val="18C150C4"/>
    <w:multiLevelType w:val="hybridMultilevel"/>
    <w:tmpl w:val="4F32B5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4C9408E"/>
    <w:multiLevelType w:val="hybridMultilevel"/>
    <w:tmpl w:val="9C0884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7311C58"/>
    <w:multiLevelType w:val="hybridMultilevel"/>
    <w:tmpl w:val="248682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7FF71B4"/>
    <w:multiLevelType w:val="hybridMultilevel"/>
    <w:tmpl w:val="664A8E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65582881">
    <w:abstractNumId w:val="2"/>
  </w:num>
  <w:num w:numId="2" w16cid:durableId="1973243043">
    <w:abstractNumId w:val="1"/>
  </w:num>
  <w:num w:numId="3" w16cid:durableId="1739403781">
    <w:abstractNumId w:val="5"/>
  </w:num>
  <w:num w:numId="4" w16cid:durableId="1856965683">
    <w:abstractNumId w:val="4"/>
  </w:num>
  <w:num w:numId="5" w16cid:durableId="1350183179">
    <w:abstractNumId w:val="3"/>
  </w:num>
  <w:num w:numId="6" w16cid:durableId="1136988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287"/>
    <w:rsid w:val="00001C7F"/>
    <w:rsid w:val="0000760D"/>
    <w:rsid w:val="0003364B"/>
    <w:rsid w:val="00043DE9"/>
    <w:rsid w:val="00052D2A"/>
    <w:rsid w:val="0006257F"/>
    <w:rsid w:val="00075F08"/>
    <w:rsid w:val="00077846"/>
    <w:rsid w:val="000A246F"/>
    <w:rsid w:val="000B1C3D"/>
    <w:rsid w:val="000C23D6"/>
    <w:rsid w:val="000C3312"/>
    <w:rsid w:val="000D51C4"/>
    <w:rsid w:val="000E69C6"/>
    <w:rsid w:val="00103F83"/>
    <w:rsid w:val="00156E13"/>
    <w:rsid w:val="00170E7A"/>
    <w:rsid w:val="00186DEC"/>
    <w:rsid w:val="001B5343"/>
    <w:rsid w:val="001D5A00"/>
    <w:rsid w:val="001E4B29"/>
    <w:rsid w:val="001F77CD"/>
    <w:rsid w:val="00227CC2"/>
    <w:rsid w:val="00235223"/>
    <w:rsid w:val="0027394F"/>
    <w:rsid w:val="00275D41"/>
    <w:rsid w:val="0028781E"/>
    <w:rsid w:val="002974CE"/>
    <w:rsid w:val="002A17D8"/>
    <w:rsid w:val="002A368D"/>
    <w:rsid w:val="002A7039"/>
    <w:rsid w:val="002C349A"/>
    <w:rsid w:val="002C5214"/>
    <w:rsid w:val="002D5CC2"/>
    <w:rsid w:val="002D6B41"/>
    <w:rsid w:val="002E2770"/>
    <w:rsid w:val="00301B76"/>
    <w:rsid w:val="003022A2"/>
    <w:rsid w:val="00312E02"/>
    <w:rsid w:val="003153E7"/>
    <w:rsid w:val="00327406"/>
    <w:rsid w:val="00342FF1"/>
    <w:rsid w:val="003567F2"/>
    <w:rsid w:val="00361288"/>
    <w:rsid w:val="00363C3A"/>
    <w:rsid w:val="00363E26"/>
    <w:rsid w:val="00364911"/>
    <w:rsid w:val="003929F8"/>
    <w:rsid w:val="00393EB4"/>
    <w:rsid w:val="003B472B"/>
    <w:rsid w:val="003F0C4A"/>
    <w:rsid w:val="003F4794"/>
    <w:rsid w:val="00407851"/>
    <w:rsid w:val="00482FA9"/>
    <w:rsid w:val="004937AC"/>
    <w:rsid w:val="004955C1"/>
    <w:rsid w:val="004A58E3"/>
    <w:rsid w:val="004B0F91"/>
    <w:rsid w:val="004B27D2"/>
    <w:rsid w:val="004C6E0D"/>
    <w:rsid w:val="004F10E2"/>
    <w:rsid w:val="0050795F"/>
    <w:rsid w:val="00512C32"/>
    <w:rsid w:val="005814AA"/>
    <w:rsid w:val="00582BDA"/>
    <w:rsid w:val="00584A16"/>
    <w:rsid w:val="0059639E"/>
    <w:rsid w:val="005C0F9D"/>
    <w:rsid w:val="005F0727"/>
    <w:rsid w:val="005F1037"/>
    <w:rsid w:val="00601507"/>
    <w:rsid w:val="006171C3"/>
    <w:rsid w:val="00617973"/>
    <w:rsid w:val="00661DC9"/>
    <w:rsid w:val="00664287"/>
    <w:rsid w:val="006644BE"/>
    <w:rsid w:val="006867D2"/>
    <w:rsid w:val="006A1424"/>
    <w:rsid w:val="006A3A3B"/>
    <w:rsid w:val="006C17C2"/>
    <w:rsid w:val="006C1D6C"/>
    <w:rsid w:val="006C4FBD"/>
    <w:rsid w:val="006F2B8B"/>
    <w:rsid w:val="006F2D77"/>
    <w:rsid w:val="006F560A"/>
    <w:rsid w:val="00704BAA"/>
    <w:rsid w:val="00732FA5"/>
    <w:rsid w:val="00735104"/>
    <w:rsid w:val="00741239"/>
    <w:rsid w:val="00741B78"/>
    <w:rsid w:val="0074575D"/>
    <w:rsid w:val="0075708B"/>
    <w:rsid w:val="00786BD7"/>
    <w:rsid w:val="007956B7"/>
    <w:rsid w:val="007C4D05"/>
    <w:rsid w:val="007D01B7"/>
    <w:rsid w:val="007D7471"/>
    <w:rsid w:val="0081323C"/>
    <w:rsid w:val="008174AF"/>
    <w:rsid w:val="008371C5"/>
    <w:rsid w:val="00854B9F"/>
    <w:rsid w:val="00873A72"/>
    <w:rsid w:val="00875084"/>
    <w:rsid w:val="008A3FC0"/>
    <w:rsid w:val="008A6E69"/>
    <w:rsid w:val="008A70DE"/>
    <w:rsid w:val="00937CFD"/>
    <w:rsid w:val="00950E6E"/>
    <w:rsid w:val="00951943"/>
    <w:rsid w:val="0096266A"/>
    <w:rsid w:val="00963187"/>
    <w:rsid w:val="00977FF3"/>
    <w:rsid w:val="009A6CCC"/>
    <w:rsid w:val="009B3801"/>
    <w:rsid w:val="009C062F"/>
    <w:rsid w:val="009D3F67"/>
    <w:rsid w:val="009D6CBE"/>
    <w:rsid w:val="009E341D"/>
    <w:rsid w:val="00A14FBA"/>
    <w:rsid w:val="00A242F0"/>
    <w:rsid w:val="00A26419"/>
    <w:rsid w:val="00A563F2"/>
    <w:rsid w:val="00A631CE"/>
    <w:rsid w:val="00A704B2"/>
    <w:rsid w:val="00A76C04"/>
    <w:rsid w:val="00A871E4"/>
    <w:rsid w:val="00AA22E2"/>
    <w:rsid w:val="00AA3E3A"/>
    <w:rsid w:val="00AE5A86"/>
    <w:rsid w:val="00B0758A"/>
    <w:rsid w:val="00B833AE"/>
    <w:rsid w:val="00BA1F4A"/>
    <w:rsid w:val="00BA7E63"/>
    <w:rsid w:val="00BC39FC"/>
    <w:rsid w:val="00BF1066"/>
    <w:rsid w:val="00BF6670"/>
    <w:rsid w:val="00C17902"/>
    <w:rsid w:val="00C25CD6"/>
    <w:rsid w:val="00C53F14"/>
    <w:rsid w:val="00C73FFF"/>
    <w:rsid w:val="00CB5E37"/>
    <w:rsid w:val="00CC04AD"/>
    <w:rsid w:val="00CE7A41"/>
    <w:rsid w:val="00CF3ABE"/>
    <w:rsid w:val="00D03387"/>
    <w:rsid w:val="00D06E23"/>
    <w:rsid w:val="00D30F10"/>
    <w:rsid w:val="00D428EB"/>
    <w:rsid w:val="00D42D8C"/>
    <w:rsid w:val="00D42E31"/>
    <w:rsid w:val="00D50C40"/>
    <w:rsid w:val="00D60327"/>
    <w:rsid w:val="00D70287"/>
    <w:rsid w:val="00D75FC5"/>
    <w:rsid w:val="00D87F14"/>
    <w:rsid w:val="00D9506E"/>
    <w:rsid w:val="00DD30C8"/>
    <w:rsid w:val="00DE021D"/>
    <w:rsid w:val="00DF2784"/>
    <w:rsid w:val="00E013E5"/>
    <w:rsid w:val="00E165D1"/>
    <w:rsid w:val="00E331C4"/>
    <w:rsid w:val="00E9461E"/>
    <w:rsid w:val="00EF254E"/>
    <w:rsid w:val="00F05674"/>
    <w:rsid w:val="00F23970"/>
    <w:rsid w:val="00F308DB"/>
    <w:rsid w:val="00F42717"/>
    <w:rsid w:val="00F44789"/>
    <w:rsid w:val="00F81068"/>
    <w:rsid w:val="00F81286"/>
    <w:rsid w:val="00F8372F"/>
    <w:rsid w:val="00F93A26"/>
    <w:rsid w:val="00FB30BC"/>
    <w:rsid w:val="00FD362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364AA836"/>
  <w15:chartTrackingRefBased/>
  <w15:docId w15:val="{47D6C07E-6604-DE4E-9809-B88FD31D0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02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02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02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702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02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02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02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02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02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2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02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02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702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02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02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02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02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0287"/>
    <w:rPr>
      <w:rFonts w:eastAsiaTheme="majorEastAsia" w:cstheme="majorBidi"/>
      <w:color w:val="272727" w:themeColor="text1" w:themeTint="D8"/>
    </w:rPr>
  </w:style>
  <w:style w:type="paragraph" w:styleId="Title">
    <w:name w:val="Title"/>
    <w:basedOn w:val="Normal"/>
    <w:next w:val="Normal"/>
    <w:link w:val="TitleChar"/>
    <w:uiPriority w:val="10"/>
    <w:qFormat/>
    <w:rsid w:val="00D702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02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02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02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0287"/>
    <w:pPr>
      <w:spacing w:before="160"/>
      <w:jc w:val="center"/>
    </w:pPr>
    <w:rPr>
      <w:i/>
      <w:iCs/>
      <w:color w:val="404040" w:themeColor="text1" w:themeTint="BF"/>
    </w:rPr>
  </w:style>
  <w:style w:type="character" w:customStyle="1" w:styleId="QuoteChar">
    <w:name w:val="Quote Char"/>
    <w:basedOn w:val="DefaultParagraphFont"/>
    <w:link w:val="Quote"/>
    <w:uiPriority w:val="29"/>
    <w:rsid w:val="00D70287"/>
    <w:rPr>
      <w:i/>
      <w:iCs/>
      <w:color w:val="404040" w:themeColor="text1" w:themeTint="BF"/>
    </w:rPr>
  </w:style>
  <w:style w:type="paragraph" w:styleId="ListParagraph">
    <w:name w:val="List Paragraph"/>
    <w:basedOn w:val="Normal"/>
    <w:uiPriority w:val="34"/>
    <w:qFormat/>
    <w:rsid w:val="00D70287"/>
    <w:pPr>
      <w:ind w:left="720"/>
      <w:contextualSpacing/>
    </w:pPr>
  </w:style>
  <w:style w:type="character" w:styleId="IntenseEmphasis">
    <w:name w:val="Intense Emphasis"/>
    <w:basedOn w:val="DefaultParagraphFont"/>
    <w:uiPriority w:val="21"/>
    <w:qFormat/>
    <w:rsid w:val="00D70287"/>
    <w:rPr>
      <w:i/>
      <w:iCs/>
      <w:color w:val="0F4761" w:themeColor="accent1" w:themeShade="BF"/>
    </w:rPr>
  </w:style>
  <w:style w:type="paragraph" w:styleId="IntenseQuote">
    <w:name w:val="Intense Quote"/>
    <w:basedOn w:val="Normal"/>
    <w:next w:val="Normal"/>
    <w:link w:val="IntenseQuoteChar"/>
    <w:uiPriority w:val="30"/>
    <w:qFormat/>
    <w:rsid w:val="00D702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0287"/>
    <w:rPr>
      <w:i/>
      <w:iCs/>
      <w:color w:val="0F4761" w:themeColor="accent1" w:themeShade="BF"/>
    </w:rPr>
  </w:style>
  <w:style w:type="character" w:styleId="IntenseReference">
    <w:name w:val="Intense Reference"/>
    <w:basedOn w:val="DefaultParagraphFont"/>
    <w:uiPriority w:val="32"/>
    <w:qFormat/>
    <w:rsid w:val="00D70287"/>
    <w:rPr>
      <w:b/>
      <w:bCs/>
      <w:smallCaps/>
      <w:color w:val="0F4761" w:themeColor="accent1" w:themeShade="BF"/>
      <w:spacing w:val="5"/>
    </w:rPr>
  </w:style>
  <w:style w:type="paragraph" w:styleId="Footer">
    <w:name w:val="footer"/>
    <w:basedOn w:val="Normal"/>
    <w:link w:val="FooterChar"/>
    <w:uiPriority w:val="99"/>
    <w:unhideWhenUsed/>
    <w:rsid w:val="00A264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6419"/>
  </w:style>
  <w:style w:type="character" w:styleId="PageNumber">
    <w:name w:val="page number"/>
    <w:basedOn w:val="DefaultParagraphFont"/>
    <w:uiPriority w:val="99"/>
    <w:semiHidden/>
    <w:unhideWhenUsed/>
    <w:rsid w:val="00A26419"/>
  </w:style>
  <w:style w:type="character" w:customStyle="1" w:styleId="apple-converted-space">
    <w:name w:val="apple-converted-space"/>
    <w:basedOn w:val="DefaultParagraphFont"/>
    <w:rsid w:val="00075F08"/>
  </w:style>
  <w:style w:type="character" w:styleId="Hyperlink">
    <w:name w:val="Hyperlink"/>
    <w:basedOn w:val="DefaultParagraphFont"/>
    <w:uiPriority w:val="99"/>
    <w:semiHidden/>
    <w:unhideWhenUsed/>
    <w:rsid w:val="000E69C6"/>
    <w:rPr>
      <w:color w:val="0000FF"/>
      <w:u w:val="single"/>
    </w:rPr>
  </w:style>
  <w:style w:type="character" w:customStyle="1" w:styleId="html-italic">
    <w:name w:val="html-italic"/>
    <w:basedOn w:val="DefaultParagraphFont"/>
    <w:rsid w:val="000E69C6"/>
  </w:style>
  <w:style w:type="paragraph" w:styleId="NormalWeb">
    <w:name w:val="Normal (Web)"/>
    <w:basedOn w:val="Normal"/>
    <w:uiPriority w:val="99"/>
    <w:unhideWhenUsed/>
    <w:rsid w:val="00DF278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DF2784"/>
    <w:rPr>
      <w:b/>
      <w:bCs/>
    </w:rPr>
  </w:style>
  <w:style w:type="paragraph" w:styleId="Bibliography">
    <w:name w:val="Bibliography"/>
    <w:basedOn w:val="Normal"/>
    <w:next w:val="Normal"/>
    <w:uiPriority w:val="37"/>
    <w:unhideWhenUsed/>
    <w:rsid w:val="0081323C"/>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0539974">
      <w:bodyDiv w:val="1"/>
      <w:marLeft w:val="0"/>
      <w:marRight w:val="0"/>
      <w:marTop w:val="0"/>
      <w:marBottom w:val="0"/>
      <w:divBdr>
        <w:top w:val="none" w:sz="0" w:space="0" w:color="auto"/>
        <w:left w:val="none" w:sz="0" w:space="0" w:color="auto"/>
        <w:bottom w:val="none" w:sz="0" w:space="0" w:color="auto"/>
        <w:right w:val="none" w:sz="0" w:space="0" w:color="auto"/>
      </w:divBdr>
    </w:div>
    <w:div w:id="922572510">
      <w:bodyDiv w:val="1"/>
      <w:marLeft w:val="0"/>
      <w:marRight w:val="0"/>
      <w:marTop w:val="0"/>
      <w:marBottom w:val="0"/>
      <w:divBdr>
        <w:top w:val="none" w:sz="0" w:space="0" w:color="auto"/>
        <w:left w:val="none" w:sz="0" w:space="0" w:color="auto"/>
        <w:bottom w:val="none" w:sz="0" w:space="0" w:color="auto"/>
        <w:right w:val="none" w:sz="0" w:space="0" w:color="auto"/>
      </w:divBdr>
    </w:div>
    <w:div w:id="970404807">
      <w:bodyDiv w:val="1"/>
      <w:marLeft w:val="0"/>
      <w:marRight w:val="0"/>
      <w:marTop w:val="0"/>
      <w:marBottom w:val="0"/>
      <w:divBdr>
        <w:top w:val="none" w:sz="0" w:space="0" w:color="auto"/>
        <w:left w:val="none" w:sz="0" w:space="0" w:color="auto"/>
        <w:bottom w:val="none" w:sz="0" w:space="0" w:color="auto"/>
        <w:right w:val="none" w:sz="0" w:space="0" w:color="auto"/>
      </w:divBdr>
    </w:div>
    <w:div w:id="1042368931">
      <w:bodyDiv w:val="1"/>
      <w:marLeft w:val="0"/>
      <w:marRight w:val="0"/>
      <w:marTop w:val="0"/>
      <w:marBottom w:val="0"/>
      <w:divBdr>
        <w:top w:val="none" w:sz="0" w:space="0" w:color="auto"/>
        <w:left w:val="none" w:sz="0" w:space="0" w:color="auto"/>
        <w:bottom w:val="none" w:sz="0" w:space="0" w:color="auto"/>
        <w:right w:val="none" w:sz="0" w:space="0" w:color="auto"/>
      </w:divBdr>
    </w:div>
    <w:div w:id="1124344134">
      <w:bodyDiv w:val="1"/>
      <w:marLeft w:val="0"/>
      <w:marRight w:val="0"/>
      <w:marTop w:val="0"/>
      <w:marBottom w:val="0"/>
      <w:divBdr>
        <w:top w:val="none" w:sz="0" w:space="0" w:color="auto"/>
        <w:left w:val="none" w:sz="0" w:space="0" w:color="auto"/>
        <w:bottom w:val="none" w:sz="0" w:space="0" w:color="auto"/>
        <w:right w:val="none" w:sz="0" w:space="0" w:color="auto"/>
      </w:divBdr>
    </w:div>
    <w:div w:id="1138378296">
      <w:bodyDiv w:val="1"/>
      <w:marLeft w:val="0"/>
      <w:marRight w:val="0"/>
      <w:marTop w:val="0"/>
      <w:marBottom w:val="0"/>
      <w:divBdr>
        <w:top w:val="none" w:sz="0" w:space="0" w:color="auto"/>
        <w:left w:val="none" w:sz="0" w:space="0" w:color="auto"/>
        <w:bottom w:val="none" w:sz="0" w:space="0" w:color="auto"/>
        <w:right w:val="none" w:sz="0" w:space="0" w:color="auto"/>
      </w:divBdr>
    </w:div>
    <w:div w:id="1454253798">
      <w:bodyDiv w:val="1"/>
      <w:marLeft w:val="0"/>
      <w:marRight w:val="0"/>
      <w:marTop w:val="0"/>
      <w:marBottom w:val="0"/>
      <w:divBdr>
        <w:top w:val="none" w:sz="0" w:space="0" w:color="auto"/>
        <w:left w:val="none" w:sz="0" w:space="0" w:color="auto"/>
        <w:bottom w:val="none" w:sz="0" w:space="0" w:color="auto"/>
        <w:right w:val="none" w:sz="0" w:space="0" w:color="auto"/>
      </w:divBdr>
      <w:divsChild>
        <w:div w:id="1984576578">
          <w:marLeft w:val="0"/>
          <w:marRight w:val="0"/>
          <w:marTop w:val="0"/>
          <w:marBottom w:val="0"/>
          <w:divBdr>
            <w:top w:val="none" w:sz="0" w:space="0" w:color="auto"/>
            <w:left w:val="none" w:sz="0" w:space="0" w:color="auto"/>
            <w:bottom w:val="none" w:sz="0" w:space="0" w:color="auto"/>
            <w:right w:val="none" w:sz="0" w:space="0" w:color="auto"/>
          </w:divBdr>
        </w:div>
        <w:div w:id="1541166644">
          <w:marLeft w:val="0"/>
          <w:marRight w:val="0"/>
          <w:marTop w:val="0"/>
          <w:marBottom w:val="0"/>
          <w:divBdr>
            <w:top w:val="none" w:sz="0" w:space="0" w:color="auto"/>
            <w:left w:val="none" w:sz="0" w:space="0" w:color="auto"/>
            <w:bottom w:val="none" w:sz="0" w:space="0" w:color="auto"/>
            <w:right w:val="none" w:sz="0" w:space="0" w:color="auto"/>
          </w:divBdr>
        </w:div>
        <w:div w:id="877469306">
          <w:marLeft w:val="0"/>
          <w:marRight w:val="0"/>
          <w:marTop w:val="120"/>
          <w:marBottom w:val="120"/>
          <w:divBdr>
            <w:top w:val="none" w:sz="0" w:space="0" w:color="auto"/>
            <w:left w:val="none" w:sz="0" w:space="0" w:color="auto"/>
            <w:bottom w:val="none" w:sz="0" w:space="0" w:color="auto"/>
            <w:right w:val="none" w:sz="0" w:space="0" w:color="auto"/>
          </w:divBdr>
          <w:divsChild>
            <w:div w:id="892037052">
              <w:marLeft w:val="0"/>
              <w:marRight w:val="0"/>
              <w:marTop w:val="0"/>
              <w:marBottom w:val="0"/>
              <w:divBdr>
                <w:top w:val="none" w:sz="0" w:space="0" w:color="auto"/>
                <w:left w:val="none" w:sz="0" w:space="0" w:color="auto"/>
                <w:bottom w:val="none" w:sz="0" w:space="0" w:color="auto"/>
                <w:right w:val="none" w:sz="0" w:space="0" w:color="auto"/>
              </w:divBdr>
            </w:div>
          </w:divsChild>
        </w:div>
        <w:div w:id="1005742049">
          <w:marLeft w:val="0"/>
          <w:marRight w:val="0"/>
          <w:marTop w:val="0"/>
          <w:marBottom w:val="0"/>
          <w:divBdr>
            <w:top w:val="none" w:sz="0" w:space="0" w:color="auto"/>
            <w:left w:val="none" w:sz="0" w:space="0" w:color="auto"/>
            <w:bottom w:val="none" w:sz="0" w:space="0" w:color="auto"/>
            <w:right w:val="none" w:sz="0" w:space="0" w:color="auto"/>
          </w:divBdr>
        </w:div>
        <w:div w:id="1914269786">
          <w:marLeft w:val="0"/>
          <w:marRight w:val="0"/>
          <w:marTop w:val="120"/>
          <w:marBottom w:val="120"/>
          <w:divBdr>
            <w:top w:val="none" w:sz="0" w:space="0" w:color="auto"/>
            <w:left w:val="none" w:sz="0" w:space="0" w:color="auto"/>
            <w:bottom w:val="none" w:sz="0" w:space="0" w:color="auto"/>
            <w:right w:val="none" w:sz="0" w:space="0" w:color="auto"/>
          </w:divBdr>
          <w:divsChild>
            <w:div w:id="1321615928">
              <w:marLeft w:val="0"/>
              <w:marRight w:val="0"/>
              <w:marTop w:val="0"/>
              <w:marBottom w:val="0"/>
              <w:divBdr>
                <w:top w:val="none" w:sz="0" w:space="0" w:color="auto"/>
                <w:left w:val="none" w:sz="0" w:space="0" w:color="auto"/>
                <w:bottom w:val="none" w:sz="0" w:space="0" w:color="auto"/>
                <w:right w:val="none" w:sz="0" w:space="0" w:color="auto"/>
              </w:divBdr>
            </w:div>
          </w:divsChild>
        </w:div>
        <w:div w:id="1224681052">
          <w:marLeft w:val="0"/>
          <w:marRight w:val="0"/>
          <w:marTop w:val="0"/>
          <w:marBottom w:val="0"/>
          <w:divBdr>
            <w:top w:val="none" w:sz="0" w:space="0" w:color="auto"/>
            <w:left w:val="none" w:sz="0" w:space="0" w:color="auto"/>
            <w:bottom w:val="none" w:sz="0" w:space="0" w:color="auto"/>
            <w:right w:val="none" w:sz="0" w:space="0" w:color="auto"/>
          </w:divBdr>
        </w:div>
        <w:div w:id="1126194234">
          <w:marLeft w:val="0"/>
          <w:marRight w:val="0"/>
          <w:marTop w:val="120"/>
          <w:marBottom w:val="120"/>
          <w:divBdr>
            <w:top w:val="none" w:sz="0" w:space="0" w:color="auto"/>
            <w:left w:val="none" w:sz="0" w:space="0" w:color="auto"/>
            <w:bottom w:val="none" w:sz="0" w:space="0" w:color="auto"/>
            <w:right w:val="none" w:sz="0" w:space="0" w:color="auto"/>
          </w:divBdr>
          <w:divsChild>
            <w:div w:id="1030034031">
              <w:marLeft w:val="0"/>
              <w:marRight w:val="0"/>
              <w:marTop w:val="0"/>
              <w:marBottom w:val="0"/>
              <w:divBdr>
                <w:top w:val="none" w:sz="0" w:space="0" w:color="auto"/>
                <w:left w:val="none" w:sz="0" w:space="0" w:color="auto"/>
                <w:bottom w:val="none" w:sz="0" w:space="0" w:color="auto"/>
                <w:right w:val="none" w:sz="0" w:space="0" w:color="auto"/>
              </w:divBdr>
            </w:div>
          </w:divsChild>
        </w:div>
        <w:div w:id="939140165">
          <w:marLeft w:val="0"/>
          <w:marRight w:val="0"/>
          <w:marTop w:val="0"/>
          <w:marBottom w:val="0"/>
          <w:divBdr>
            <w:top w:val="none" w:sz="0" w:space="0" w:color="auto"/>
            <w:left w:val="none" w:sz="0" w:space="0" w:color="auto"/>
            <w:bottom w:val="none" w:sz="0" w:space="0" w:color="auto"/>
            <w:right w:val="none" w:sz="0" w:space="0" w:color="auto"/>
          </w:divBdr>
        </w:div>
        <w:div w:id="947930032">
          <w:marLeft w:val="0"/>
          <w:marRight w:val="0"/>
          <w:marTop w:val="120"/>
          <w:marBottom w:val="120"/>
          <w:divBdr>
            <w:top w:val="none" w:sz="0" w:space="0" w:color="auto"/>
            <w:left w:val="none" w:sz="0" w:space="0" w:color="auto"/>
            <w:bottom w:val="none" w:sz="0" w:space="0" w:color="auto"/>
            <w:right w:val="none" w:sz="0" w:space="0" w:color="auto"/>
          </w:divBdr>
          <w:divsChild>
            <w:div w:id="132870984">
              <w:marLeft w:val="0"/>
              <w:marRight w:val="0"/>
              <w:marTop w:val="0"/>
              <w:marBottom w:val="0"/>
              <w:divBdr>
                <w:top w:val="none" w:sz="0" w:space="0" w:color="auto"/>
                <w:left w:val="none" w:sz="0" w:space="0" w:color="auto"/>
                <w:bottom w:val="none" w:sz="0" w:space="0" w:color="auto"/>
                <w:right w:val="none" w:sz="0" w:space="0" w:color="auto"/>
              </w:divBdr>
            </w:div>
          </w:divsChild>
        </w:div>
        <w:div w:id="1693845336">
          <w:marLeft w:val="0"/>
          <w:marRight w:val="0"/>
          <w:marTop w:val="0"/>
          <w:marBottom w:val="0"/>
          <w:divBdr>
            <w:top w:val="none" w:sz="0" w:space="0" w:color="auto"/>
            <w:left w:val="none" w:sz="0" w:space="0" w:color="auto"/>
            <w:bottom w:val="none" w:sz="0" w:space="0" w:color="auto"/>
            <w:right w:val="none" w:sz="0" w:space="0" w:color="auto"/>
          </w:divBdr>
        </w:div>
        <w:div w:id="1410813716">
          <w:marLeft w:val="0"/>
          <w:marRight w:val="0"/>
          <w:marTop w:val="120"/>
          <w:marBottom w:val="120"/>
          <w:divBdr>
            <w:top w:val="none" w:sz="0" w:space="0" w:color="auto"/>
            <w:left w:val="none" w:sz="0" w:space="0" w:color="auto"/>
            <w:bottom w:val="none" w:sz="0" w:space="0" w:color="auto"/>
            <w:right w:val="none" w:sz="0" w:space="0" w:color="auto"/>
          </w:divBdr>
          <w:divsChild>
            <w:div w:id="1235555505">
              <w:marLeft w:val="0"/>
              <w:marRight w:val="0"/>
              <w:marTop w:val="0"/>
              <w:marBottom w:val="0"/>
              <w:divBdr>
                <w:top w:val="none" w:sz="0" w:space="0" w:color="auto"/>
                <w:left w:val="none" w:sz="0" w:space="0" w:color="auto"/>
                <w:bottom w:val="none" w:sz="0" w:space="0" w:color="auto"/>
                <w:right w:val="none" w:sz="0" w:space="0" w:color="auto"/>
              </w:divBdr>
            </w:div>
          </w:divsChild>
        </w:div>
        <w:div w:id="1545829553">
          <w:marLeft w:val="0"/>
          <w:marRight w:val="0"/>
          <w:marTop w:val="0"/>
          <w:marBottom w:val="0"/>
          <w:divBdr>
            <w:top w:val="none" w:sz="0" w:space="0" w:color="auto"/>
            <w:left w:val="none" w:sz="0" w:space="0" w:color="auto"/>
            <w:bottom w:val="none" w:sz="0" w:space="0" w:color="auto"/>
            <w:right w:val="none" w:sz="0" w:space="0" w:color="auto"/>
          </w:divBdr>
        </w:div>
        <w:div w:id="1158036021">
          <w:marLeft w:val="0"/>
          <w:marRight w:val="0"/>
          <w:marTop w:val="120"/>
          <w:marBottom w:val="120"/>
          <w:divBdr>
            <w:top w:val="none" w:sz="0" w:space="0" w:color="auto"/>
            <w:left w:val="none" w:sz="0" w:space="0" w:color="auto"/>
            <w:bottom w:val="none" w:sz="0" w:space="0" w:color="auto"/>
            <w:right w:val="none" w:sz="0" w:space="0" w:color="auto"/>
          </w:divBdr>
          <w:divsChild>
            <w:div w:id="1301691465">
              <w:marLeft w:val="0"/>
              <w:marRight w:val="0"/>
              <w:marTop w:val="0"/>
              <w:marBottom w:val="0"/>
              <w:divBdr>
                <w:top w:val="none" w:sz="0" w:space="0" w:color="auto"/>
                <w:left w:val="none" w:sz="0" w:space="0" w:color="auto"/>
                <w:bottom w:val="none" w:sz="0" w:space="0" w:color="auto"/>
                <w:right w:val="none" w:sz="0" w:space="0" w:color="auto"/>
              </w:divBdr>
            </w:div>
          </w:divsChild>
        </w:div>
        <w:div w:id="164171861">
          <w:marLeft w:val="0"/>
          <w:marRight w:val="0"/>
          <w:marTop w:val="0"/>
          <w:marBottom w:val="0"/>
          <w:divBdr>
            <w:top w:val="none" w:sz="0" w:space="0" w:color="auto"/>
            <w:left w:val="none" w:sz="0" w:space="0" w:color="auto"/>
            <w:bottom w:val="none" w:sz="0" w:space="0" w:color="auto"/>
            <w:right w:val="none" w:sz="0" w:space="0" w:color="auto"/>
          </w:divBdr>
        </w:div>
        <w:div w:id="582766170">
          <w:marLeft w:val="0"/>
          <w:marRight w:val="0"/>
          <w:marTop w:val="0"/>
          <w:marBottom w:val="0"/>
          <w:divBdr>
            <w:top w:val="none" w:sz="0" w:space="0" w:color="auto"/>
            <w:left w:val="none" w:sz="0" w:space="0" w:color="auto"/>
            <w:bottom w:val="none" w:sz="0" w:space="0" w:color="auto"/>
            <w:right w:val="none" w:sz="0" w:space="0" w:color="auto"/>
          </w:divBdr>
        </w:div>
        <w:div w:id="866287557">
          <w:marLeft w:val="0"/>
          <w:marRight w:val="0"/>
          <w:marTop w:val="240"/>
          <w:marBottom w:val="240"/>
          <w:divBdr>
            <w:top w:val="none" w:sz="0" w:space="0" w:color="auto"/>
            <w:left w:val="none" w:sz="0" w:space="0" w:color="auto"/>
            <w:bottom w:val="none" w:sz="0" w:space="0" w:color="auto"/>
            <w:right w:val="none" w:sz="0" w:space="0" w:color="auto"/>
          </w:divBdr>
          <w:divsChild>
            <w:div w:id="347023834">
              <w:marLeft w:val="108"/>
              <w:marRight w:val="217"/>
              <w:marTop w:val="240"/>
              <w:marBottom w:val="240"/>
              <w:divBdr>
                <w:top w:val="none" w:sz="0" w:space="0" w:color="auto"/>
                <w:left w:val="none" w:sz="0" w:space="0" w:color="auto"/>
                <w:bottom w:val="none" w:sz="0" w:space="0" w:color="auto"/>
                <w:right w:val="none" w:sz="0" w:space="0" w:color="auto"/>
              </w:divBdr>
              <w:divsChild>
                <w:div w:id="2025815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104933">
      <w:bodyDiv w:val="1"/>
      <w:marLeft w:val="0"/>
      <w:marRight w:val="0"/>
      <w:marTop w:val="0"/>
      <w:marBottom w:val="0"/>
      <w:divBdr>
        <w:top w:val="none" w:sz="0" w:space="0" w:color="auto"/>
        <w:left w:val="none" w:sz="0" w:space="0" w:color="auto"/>
        <w:bottom w:val="none" w:sz="0" w:space="0" w:color="auto"/>
        <w:right w:val="none" w:sz="0" w:space="0" w:color="auto"/>
      </w:divBdr>
    </w:div>
    <w:div w:id="1640843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4838CCA-5EB8-5F40-A20A-ED37C6332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TotalTime>
  <Pages>30</Pages>
  <Words>8202</Words>
  <Characters>46758</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Yvonne Lai DSCI</dc:creator>
  <cp:keywords/>
  <dc:description/>
  <cp:lastModifiedBy>Yvonne Lai DSCI</cp:lastModifiedBy>
  <cp:revision>20</cp:revision>
  <dcterms:created xsi:type="dcterms:W3CDTF">2025-02-14T03:01:00Z</dcterms:created>
  <dcterms:modified xsi:type="dcterms:W3CDTF">2025-02-15T06:37:00Z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zotero-version="7.0.11"&gt;&lt;session id="VXTtkfu5"/&gt;&lt;style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