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74718F" w14:textId="77777777" w:rsidR="00030055" w:rsidRDefault="00030055">
      <w:pPr>
        <w:pBdr>
          <w:top w:val="nil"/>
          <w:left w:val="nil"/>
          <w:bottom w:val="nil"/>
          <w:right w:val="nil"/>
          <w:between w:val="nil"/>
        </w:pBdr>
        <w:spacing w:after="240" w:line="360" w:lineRule="auto"/>
        <w:jc w:val="both"/>
        <w:rPr>
          <w:b/>
          <w:color w:val="000000"/>
        </w:rPr>
      </w:pPr>
    </w:p>
    <w:p w14:paraId="45355098" w14:textId="77777777" w:rsidR="00030055" w:rsidRDefault="00030055">
      <w:pPr>
        <w:pBdr>
          <w:top w:val="nil"/>
          <w:left w:val="nil"/>
          <w:bottom w:val="nil"/>
          <w:right w:val="nil"/>
          <w:between w:val="nil"/>
        </w:pBdr>
        <w:spacing w:after="240" w:line="360" w:lineRule="auto"/>
        <w:jc w:val="both"/>
        <w:rPr>
          <w:b/>
          <w:color w:val="000000"/>
        </w:rPr>
      </w:pPr>
    </w:p>
    <w:p w14:paraId="2961A24C" w14:textId="77777777" w:rsidR="00030055" w:rsidRDefault="00FE3FA4">
      <w:pPr>
        <w:pBdr>
          <w:top w:val="nil"/>
          <w:left w:val="nil"/>
          <w:bottom w:val="nil"/>
          <w:right w:val="nil"/>
          <w:between w:val="nil"/>
        </w:pBdr>
        <w:spacing w:after="240" w:line="360" w:lineRule="auto"/>
        <w:jc w:val="center"/>
        <w:rPr>
          <w:b/>
          <w:color w:val="000000"/>
          <w:sz w:val="36"/>
          <w:szCs w:val="36"/>
        </w:rPr>
      </w:pPr>
      <w:r>
        <w:rPr>
          <w:b/>
          <w:color w:val="000000"/>
          <w:sz w:val="36"/>
          <w:szCs w:val="36"/>
        </w:rPr>
        <w:t>The module code: Strategic Management for SMEs</w:t>
      </w:r>
    </w:p>
    <w:p w14:paraId="219C179A" w14:textId="28907F34" w:rsidR="00030055" w:rsidRDefault="00FE3FA4">
      <w:pPr>
        <w:pBdr>
          <w:top w:val="nil"/>
          <w:left w:val="nil"/>
          <w:bottom w:val="nil"/>
          <w:right w:val="nil"/>
          <w:between w:val="nil"/>
        </w:pBdr>
        <w:spacing w:after="240" w:line="360" w:lineRule="auto"/>
        <w:jc w:val="center"/>
        <w:rPr>
          <w:b/>
          <w:color w:val="000000"/>
          <w:sz w:val="36"/>
          <w:szCs w:val="36"/>
        </w:rPr>
      </w:pPr>
      <w:r>
        <w:rPr>
          <w:b/>
          <w:color w:val="000000"/>
          <w:sz w:val="36"/>
          <w:szCs w:val="36"/>
        </w:rPr>
        <w:t>Lecturer’s name:</w:t>
      </w:r>
      <w:r w:rsidR="00337666">
        <w:rPr>
          <w:b/>
          <w:color w:val="000000"/>
          <w:sz w:val="36"/>
          <w:szCs w:val="36"/>
        </w:rPr>
        <w:t xml:space="preserve"> </w:t>
      </w:r>
      <w:r w:rsidR="00A213F1">
        <w:rPr>
          <w:b/>
          <w:color w:val="000000"/>
          <w:sz w:val="36"/>
          <w:szCs w:val="36"/>
        </w:rPr>
        <w:t>Abd</w:t>
      </w:r>
      <w:r w:rsidR="00FC1069">
        <w:rPr>
          <w:b/>
          <w:color w:val="000000"/>
          <w:sz w:val="36"/>
          <w:szCs w:val="36"/>
        </w:rPr>
        <w:t>allah Naser</w:t>
      </w:r>
    </w:p>
    <w:p w14:paraId="7C422830" w14:textId="77777777" w:rsidR="00030055" w:rsidRDefault="00FE3FA4">
      <w:pPr>
        <w:pBdr>
          <w:top w:val="nil"/>
          <w:left w:val="nil"/>
          <w:bottom w:val="nil"/>
          <w:right w:val="nil"/>
          <w:between w:val="nil"/>
        </w:pBdr>
        <w:spacing w:before="120" w:after="240" w:line="360" w:lineRule="auto"/>
        <w:jc w:val="center"/>
        <w:rPr>
          <w:b/>
          <w:sz w:val="36"/>
          <w:szCs w:val="36"/>
        </w:rPr>
      </w:pPr>
      <w:r>
        <w:rPr>
          <w:b/>
          <w:color w:val="000000"/>
          <w:sz w:val="36"/>
          <w:szCs w:val="36"/>
        </w:rPr>
        <w:t xml:space="preserve">Assignment Title: Task 01 – Strategic Plan </w:t>
      </w:r>
    </w:p>
    <w:p w14:paraId="110CB0F4" w14:textId="77777777" w:rsidR="00030055" w:rsidRDefault="00FE3FA4">
      <w:pPr>
        <w:pBdr>
          <w:top w:val="nil"/>
          <w:left w:val="nil"/>
          <w:bottom w:val="nil"/>
          <w:right w:val="nil"/>
          <w:between w:val="nil"/>
        </w:pBdr>
        <w:spacing w:before="120" w:after="240" w:line="360" w:lineRule="auto"/>
        <w:jc w:val="center"/>
        <w:rPr>
          <w:b/>
          <w:color w:val="000000"/>
          <w:sz w:val="36"/>
          <w:szCs w:val="36"/>
        </w:rPr>
      </w:pPr>
      <w:r>
        <w:rPr>
          <w:b/>
          <w:color w:val="000000"/>
          <w:sz w:val="36"/>
          <w:szCs w:val="36"/>
        </w:rPr>
        <w:t xml:space="preserve">Task 02 – Individual Academic Poster </w:t>
      </w:r>
    </w:p>
    <w:p w14:paraId="2EED2954" w14:textId="77777777" w:rsidR="00030055" w:rsidRDefault="00030055">
      <w:pPr>
        <w:pBdr>
          <w:top w:val="nil"/>
          <w:left w:val="nil"/>
          <w:bottom w:val="nil"/>
          <w:right w:val="nil"/>
          <w:between w:val="nil"/>
        </w:pBdr>
        <w:spacing w:before="120" w:after="240" w:line="360" w:lineRule="auto"/>
        <w:jc w:val="center"/>
        <w:rPr>
          <w:b/>
          <w:sz w:val="36"/>
          <w:szCs w:val="36"/>
        </w:rPr>
      </w:pPr>
    </w:p>
    <w:p w14:paraId="5B574731" w14:textId="77777777" w:rsidR="00030055" w:rsidRDefault="00030055">
      <w:pPr>
        <w:pBdr>
          <w:top w:val="nil"/>
          <w:left w:val="nil"/>
          <w:bottom w:val="nil"/>
          <w:right w:val="nil"/>
          <w:between w:val="nil"/>
        </w:pBdr>
        <w:spacing w:before="120" w:after="240" w:line="360" w:lineRule="auto"/>
        <w:jc w:val="center"/>
        <w:rPr>
          <w:b/>
          <w:sz w:val="36"/>
          <w:szCs w:val="36"/>
        </w:rPr>
      </w:pPr>
    </w:p>
    <w:p w14:paraId="3E530E2C" w14:textId="51D8E40C" w:rsidR="00030055" w:rsidRDefault="00FE3FA4">
      <w:pPr>
        <w:spacing w:after="240" w:line="360" w:lineRule="auto"/>
        <w:jc w:val="center"/>
        <w:rPr>
          <w:b/>
          <w:sz w:val="36"/>
          <w:szCs w:val="36"/>
        </w:rPr>
      </w:pPr>
      <w:r>
        <w:rPr>
          <w:b/>
          <w:sz w:val="36"/>
          <w:szCs w:val="36"/>
        </w:rPr>
        <w:t>Student Name:</w:t>
      </w:r>
      <w:r w:rsidR="00403240">
        <w:rPr>
          <w:b/>
          <w:sz w:val="36"/>
          <w:szCs w:val="36"/>
        </w:rPr>
        <w:t xml:space="preserve"> </w:t>
      </w:r>
      <w:r>
        <w:rPr>
          <w:b/>
          <w:sz w:val="36"/>
          <w:szCs w:val="36"/>
        </w:rPr>
        <w:t>Nicusor Ionut Aliu</w:t>
      </w:r>
    </w:p>
    <w:p w14:paraId="135392FE" w14:textId="169FEB25" w:rsidR="00030055" w:rsidRDefault="00FE3FA4">
      <w:pPr>
        <w:spacing w:after="240" w:line="360" w:lineRule="auto"/>
        <w:jc w:val="center"/>
        <w:rPr>
          <w:b/>
          <w:sz w:val="36"/>
          <w:szCs w:val="36"/>
        </w:rPr>
      </w:pPr>
      <w:r>
        <w:rPr>
          <w:b/>
          <w:sz w:val="36"/>
          <w:szCs w:val="36"/>
        </w:rPr>
        <w:t>Student ID: 2131114</w:t>
      </w:r>
    </w:p>
    <w:p w14:paraId="083AC80F" w14:textId="77777777" w:rsidR="00030055" w:rsidRDefault="00030055">
      <w:pPr>
        <w:pBdr>
          <w:top w:val="nil"/>
          <w:left w:val="nil"/>
          <w:bottom w:val="nil"/>
          <w:right w:val="nil"/>
          <w:between w:val="nil"/>
        </w:pBdr>
        <w:spacing w:before="120" w:after="240" w:line="360" w:lineRule="auto"/>
        <w:jc w:val="center"/>
        <w:rPr>
          <w:b/>
          <w:sz w:val="36"/>
          <w:szCs w:val="36"/>
        </w:rPr>
      </w:pPr>
    </w:p>
    <w:p w14:paraId="52199A40" w14:textId="77777777" w:rsidR="00030055" w:rsidRDefault="00FE3FA4">
      <w:pPr>
        <w:pBdr>
          <w:top w:val="nil"/>
          <w:left w:val="nil"/>
          <w:bottom w:val="nil"/>
          <w:right w:val="nil"/>
          <w:between w:val="nil"/>
        </w:pBdr>
        <w:spacing w:after="240" w:line="360" w:lineRule="auto"/>
        <w:jc w:val="both"/>
        <w:rPr>
          <w:b/>
          <w:color w:val="000000"/>
        </w:rPr>
      </w:pPr>
      <w:r>
        <w:br w:type="page"/>
      </w:r>
    </w:p>
    <w:p w14:paraId="3B3F68EF" w14:textId="77777777" w:rsidR="00030055" w:rsidRDefault="00FE3FA4">
      <w:pPr>
        <w:keepNext/>
        <w:keepLines/>
        <w:pBdr>
          <w:top w:val="nil"/>
          <w:left w:val="nil"/>
          <w:bottom w:val="nil"/>
          <w:right w:val="nil"/>
          <w:between w:val="nil"/>
        </w:pBdr>
        <w:spacing w:before="480" w:after="240" w:line="360" w:lineRule="auto"/>
        <w:jc w:val="center"/>
        <w:rPr>
          <w:b/>
          <w:color w:val="366091"/>
        </w:rPr>
      </w:pPr>
      <w:r>
        <w:rPr>
          <w:b/>
          <w:color w:val="366091"/>
        </w:rPr>
        <w:lastRenderedPageBreak/>
        <w:t>Table of Contents</w:t>
      </w:r>
    </w:p>
    <w:sdt>
      <w:sdtPr>
        <w:id w:val="617421707"/>
        <w:docPartObj>
          <w:docPartGallery w:val="Table of Contents"/>
          <w:docPartUnique/>
        </w:docPartObj>
      </w:sdtPr>
      <w:sdtEndPr/>
      <w:sdtContent>
        <w:p w14:paraId="0AA970F2" w14:textId="77777777" w:rsidR="00030055" w:rsidRDefault="00FE3FA4">
          <w:pPr>
            <w:pBdr>
              <w:top w:val="nil"/>
              <w:left w:val="nil"/>
              <w:bottom w:val="nil"/>
              <w:right w:val="nil"/>
              <w:between w:val="nil"/>
            </w:pBdr>
            <w:tabs>
              <w:tab w:val="right" w:leader="dot" w:pos="9019"/>
            </w:tabs>
            <w:spacing w:after="240" w:line="360" w:lineRule="auto"/>
            <w:jc w:val="both"/>
            <w:rPr>
              <w:color w:val="000000"/>
            </w:rPr>
          </w:pPr>
          <w:r>
            <w:fldChar w:fldCharType="begin"/>
          </w:r>
          <w:r>
            <w:instrText xml:space="preserve"> TOC \h \u \z \t "Heading 1,1,Heading 2,2,Heading 3,3,"</w:instrText>
          </w:r>
          <w:r>
            <w:fldChar w:fldCharType="separate"/>
          </w:r>
          <w:hyperlink w:anchor="_heading=h.gjdgxs">
            <w:r w:rsidR="00030055">
              <w:rPr>
                <w:color w:val="000000"/>
              </w:rPr>
              <w:t>Task 1: Individual Report</w:t>
            </w:r>
            <w:r w:rsidR="00030055">
              <w:rPr>
                <w:color w:val="000000"/>
              </w:rPr>
              <w:tab/>
              <w:t>3</w:t>
            </w:r>
          </w:hyperlink>
        </w:p>
        <w:p w14:paraId="215E9868" w14:textId="77777777" w:rsidR="00030055" w:rsidRDefault="00030055">
          <w:pPr>
            <w:pBdr>
              <w:top w:val="nil"/>
              <w:left w:val="nil"/>
              <w:bottom w:val="nil"/>
              <w:right w:val="nil"/>
              <w:between w:val="nil"/>
            </w:pBdr>
            <w:tabs>
              <w:tab w:val="right" w:leader="dot" w:pos="9019"/>
            </w:tabs>
            <w:spacing w:after="240" w:line="360" w:lineRule="auto"/>
            <w:ind w:left="220"/>
            <w:jc w:val="both"/>
            <w:rPr>
              <w:color w:val="000000"/>
            </w:rPr>
          </w:pPr>
          <w:hyperlink w:anchor="_heading=h.30j0zll">
            <w:r>
              <w:rPr>
                <w:color w:val="000000"/>
              </w:rPr>
              <w:t>Introduction</w:t>
            </w:r>
            <w:r>
              <w:rPr>
                <w:color w:val="000000"/>
              </w:rPr>
              <w:tab/>
              <w:t>3</w:t>
            </w:r>
          </w:hyperlink>
        </w:p>
        <w:p w14:paraId="450992DD" w14:textId="77777777" w:rsidR="00030055" w:rsidRDefault="00030055">
          <w:pPr>
            <w:pBdr>
              <w:top w:val="nil"/>
              <w:left w:val="nil"/>
              <w:bottom w:val="nil"/>
              <w:right w:val="nil"/>
              <w:between w:val="nil"/>
            </w:pBdr>
            <w:tabs>
              <w:tab w:val="right" w:leader="dot" w:pos="9019"/>
            </w:tabs>
            <w:spacing w:after="240" w:line="360" w:lineRule="auto"/>
            <w:ind w:left="220"/>
            <w:jc w:val="both"/>
            <w:rPr>
              <w:color w:val="000000"/>
            </w:rPr>
          </w:pPr>
          <w:hyperlink w:anchor="_heading=h.1fob9te">
            <w:r>
              <w:rPr>
                <w:color w:val="000000"/>
              </w:rPr>
              <w:t>Current organisational strategy</w:t>
            </w:r>
            <w:r>
              <w:rPr>
                <w:color w:val="000000"/>
              </w:rPr>
              <w:tab/>
              <w:t>3</w:t>
            </w:r>
          </w:hyperlink>
        </w:p>
        <w:p w14:paraId="1B541442" w14:textId="77777777" w:rsidR="00030055" w:rsidRDefault="00030055">
          <w:pPr>
            <w:pBdr>
              <w:top w:val="nil"/>
              <w:left w:val="nil"/>
              <w:bottom w:val="nil"/>
              <w:right w:val="nil"/>
              <w:between w:val="nil"/>
            </w:pBdr>
            <w:tabs>
              <w:tab w:val="right" w:leader="dot" w:pos="9019"/>
            </w:tabs>
            <w:spacing w:after="240" w:line="360" w:lineRule="auto"/>
            <w:ind w:left="220"/>
            <w:jc w:val="both"/>
            <w:rPr>
              <w:color w:val="000000"/>
            </w:rPr>
          </w:pPr>
          <w:hyperlink w:anchor="_heading=h.3znysh7">
            <w:r>
              <w:rPr>
                <w:color w:val="000000"/>
              </w:rPr>
              <w:t>External and internal environment</w:t>
            </w:r>
            <w:r>
              <w:rPr>
                <w:color w:val="000000"/>
              </w:rPr>
              <w:tab/>
              <w:t>5</w:t>
            </w:r>
          </w:hyperlink>
        </w:p>
        <w:p w14:paraId="0399F801" w14:textId="77777777" w:rsidR="00030055" w:rsidRDefault="00030055">
          <w:pPr>
            <w:pBdr>
              <w:top w:val="nil"/>
              <w:left w:val="nil"/>
              <w:bottom w:val="nil"/>
              <w:right w:val="nil"/>
              <w:between w:val="nil"/>
            </w:pBdr>
            <w:tabs>
              <w:tab w:val="right" w:leader="dot" w:pos="9019"/>
            </w:tabs>
            <w:spacing w:after="240" w:line="360" w:lineRule="auto"/>
            <w:ind w:left="220"/>
            <w:jc w:val="both"/>
            <w:rPr>
              <w:color w:val="000000"/>
            </w:rPr>
          </w:pPr>
          <w:hyperlink w:anchor="_heading=h.2et92p0">
            <w:r>
              <w:rPr>
                <w:color w:val="000000"/>
              </w:rPr>
              <w:t>Stakeholders</w:t>
            </w:r>
            <w:r>
              <w:rPr>
                <w:color w:val="000000"/>
              </w:rPr>
              <w:tab/>
              <w:t>8</w:t>
            </w:r>
          </w:hyperlink>
        </w:p>
        <w:p w14:paraId="44CBF18A" w14:textId="77777777" w:rsidR="00030055" w:rsidRDefault="00030055">
          <w:pPr>
            <w:pBdr>
              <w:top w:val="nil"/>
              <w:left w:val="nil"/>
              <w:bottom w:val="nil"/>
              <w:right w:val="nil"/>
              <w:between w:val="nil"/>
            </w:pBdr>
            <w:tabs>
              <w:tab w:val="right" w:leader="dot" w:pos="9019"/>
            </w:tabs>
            <w:spacing w:after="240" w:line="360" w:lineRule="auto"/>
            <w:ind w:left="220"/>
            <w:jc w:val="both"/>
            <w:rPr>
              <w:color w:val="000000"/>
            </w:rPr>
          </w:pPr>
          <w:hyperlink w:anchor="_heading=h.tyjcwt">
            <w:r>
              <w:rPr>
                <w:color w:val="000000"/>
              </w:rPr>
              <w:t>Possible strategic growth options</w:t>
            </w:r>
            <w:r>
              <w:rPr>
                <w:color w:val="000000"/>
              </w:rPr>
              <w:tab/>
              <w:t>11</w:t>
            </w:r>
          </w:hyperlink>
        </w:p>
        <w:p w14:paraId="5EFE174B" w14:textId="77777777" w:rsidR="00030055" w:rsidRDefault="00030055">
          <w:pPr>
            <w:pBdr>
              <w:top w:val="nil"/>
              <w:left w:val="nil"/>
              <w:bottom w:val="nil"/>
              <w:right w:val="nil"/>
              <w:between w:val="nil"/>
            </w:pBdr>
            <w:tabs>
              <w:tab w:val="right" w:leader="dot" w:pos="9019"/>
            </w:tabs>
            <w:spacing w:after="240" w:line="360" w:lineRule="auto"/>
            <w:ind w:left="220"/>
            <w:jc w:val="both"/>
            <w:rPr>
              <w:color w:val="000000"/>
            </w:rPr>
          </w:pPr>
          <w:hyperlink w:anchor="_heading=h.3dy6vkm">
            <w:r>
              <w:rPr>
                <w:color w:val="000000"/>
              </w:rPr>
              <w:t>Strategic recommendations</w:t>
            </w:r>
            <w:r>
              <w:rPr>
                <w:color w:val="000000"/>
              </w:rPr>
              <w:tab/>
              <w:t>12</w:t>
            </w:r>
          </w:hyperlink>
        </w:p>
        <w:p w14:paraId="54D0821E" w14:textId="77777777" w:rsidR="00030055" w:rsidRDefault="00030055">
          <w:pPr>
            <w:pBdr>
              <w:top w:val="nil"/>
              <w:left w:val="nil"/>
              <w:bottom w:val="nil"/>
              <w:right w:val="nil"/>
              <w:between w:val="nil"/>
            </w:pBdr>
            <w:tabs>
              <w:tab w:val="right" w:leader="dot" w:pos="9019"/>
            </w:tabs>
            <w:spacing w:after="240" w:line="360" w:lineRule="auto"/>
            <w:ind w:left="220"/>
            <w:jc w:val="both"/>
            <w:rPr>
              <w:color w:val="000000"/>
            </w:rPr>
          </w:pPr>
          <w:hyperlink w:anchor="_heading=h.1t3h5sf">
            <w:r>
              <w:rPr>
                <w:color w:val="000000"/>
              </w:rPr>
              <w:t>Competitor’s movement and the way the situation can be handled</w:t>
            </w:r>
            <w:r>
              <w:rPr>
                <w:color w:val="000000"/>
              </w:rPr>
              <w:tab/>
              <w:t>13</w:t>
            </w:r>
          </w:hyperlink>
        </w:p>
        <w:p w14:paraId="5E1CABFD" w14:textId="77777777" w:rsidR="00030055" w:rsidRDefault="00030055">
          <w:pPr>
            <w:pBdr>
              <w:top w:val="nil"/>
              <w:left w:val="nil"/>
              <w:bottom w:val="nil"/>
              <w:right w:val="nil"/>
              <w:between w:val="nil"/>
            </w:pBdr>
            <w:tabs>
              <w:tab w:val="right" w:leader="dot" w:pos="9019"/>
            </w:tabs>
            <w:spacing w:after="240" w:line="360" w:lineRule="auto"/>
            <w:ind w:left="220"/>
            <w:jc w:val="both"/>
            <w:rPr>
              <w:color w:val="000000"/>
            </w:rPr>
          </w:pPr>
          <w:hyperlink w:anchor="_heading=h.4d34og8">
            <w:r>
              <w:rPr>
                <w:color w:val="000000"/>
              </w:rPr>
              <w:t>Conclusion</w:t>
            </w:r>
            <w:r>
              <w:rPr>
                <w:color w:val="000000"/>
              </w:rPr>
              <w:tab/>
              <w:t>13</w:t>
            </w:r>
          </w:hyperlink>
        </w:p>
        <w:p w14:paraId="0CFEE2C1" w14:textId="77777777" w:rsidR="00030055" w:rsidRDefault="00030055">
          <w:pPr>
            <w:pBdr>
              <w:top w:val="nil"/>
              <w:left w:val="nil"/>
              <w:bottom w:val="nil"/>
              <w:right w:val="nil"/>
              <w:between w:val="nil"/>
            </w:pBdr>
            <w:tabs>
              <w:tab w:val="right" w:leader="dot" w:pos="9019"/>
            </w:tabs>
            <w:spacing w:after="240" w:line="360" w:lineRule="auto"/>
            <w:jc w:val="both"/>
            <w:rPr>
              <w:color w:val="000000"/>
            </w:rPr>
          </w:pPr>
          <w:hyperlink w:anchor="_heading=h.2s8eyo1">
            <w:r>
              <w:rPr>
                <w:color w:val="000000"/>
              </w:rPr>
              <w:t>Reference List</w:t>
            </w:r>
            <w:r>
              <w:rPr>
                <w:color w:val="000000"/>
              </w:rPr>
              <w:tab/>
              <w:t>15</w:t>
            </w:r>
          </w:hyperlink>
        </w:p>
        <w:p w14:paraId="294DB16C" w14:textId="77777777" w:rsidR="00030055" w:rsidRDefault="00030055">
          <w:pPr>
            <w:pBdr>
              <w:top w:val="nil"/>
              <w:left w:val="nil"/>
              <w:bottom w:val="nil"/>
              <w:right w:val="nil"/>
              <w:between w:val="nil"/>
            </w:pBdr>
            <w:tabs>
              <w:tab w:val="right" w:leader="dot" w:pos="9019"/>
            </w:tabs>
            <w:spacing w:after="240" w:line="360" w:lineRule="auto"/>
            <w:ind w:left="220"/>
            <w:jc w:val="both"/>
            <w:rPr>
              <w:color w:val="000000"/>
            </w:rPr>
          </w:pPr>
          <w:hyperlink w:anchor="_heading=h.17dp8vu">
            <w:r>
              <w:rPr>
                <w:color w:val="000000"/>
              </w:rPr>
              <w:t xml:space="preserve">Task </w:t>
            </w:r>
          </w:hyperlink>
          <w:hyperlink w:anchor="_heading=h.17dp8vu">
            <w:r>
              <w:t>2</w:t>
            </w:r>
          </w:hyperlink>
          <w:hyperlink w:anchor="_heading=h.17dp8vu">
            <w:r>
              <w:rPr>
                <w:color w:val="000000"/>
              </w:rPr>
              <w:tab/>
              <w:t>20</w:t>
            </w:r>
          </w:hyperlink>
        </w:p>
        <w:p w14:paraId="249C55A0" w14:textId="77777777" w:rsidR="00030055" w:rsidRDefault="00FE3FA4">
          <w:pPr>
            <w:spacing w:after="240" w:line="360" w:lineRule="auto"/>
            <w:jc w:val="both"/>
          </w:pPr>
          <w:r>
            <w:fldChar w:fldCharType="end"/>
          </w:r>
        </w:p>
      </w:sdtContent>
    </w:sdt>
    <w:p w14:paraId="1C8DA95A" w14:textId="77777777" w:rsidR="00030055" w:rsidRDefault="00030055">
      <w:pPr>
        <w:pStyle w:val="Heading1"/>
        <w:spacing w:after="240"/>
      </w:pPr>
    </w:p>
    <w:p w14:paraId="01A6AD74" w14:textId="77777777" w:rsidR="00030055" w:rsidRDefault="00FE3FA4">
      <w:pPr>
        <w:rPr>
          <w:b/>
          <w:sz w:val="28"/>
          <w:szCs w:val="28"/>
        </w:rPr>
      </w:pPr>
      <w:r>
        <w:br w:type="page"/>
      </w:r>
    </w:p>
    <w:p w14:paraId="7258E0C0" w14:textId="77777777" w:rsidR="00030055" w:rsidRDefault="00FE3FA4">
      <w:pPr>
        <w:pStyle w:val="Heading1"/>
        <w:spacing w:after="240"/>
      </w:pPr>
      <w:bookmarkStart w:id="0" w:name="_heading=h.gjdgxs" w:colFirst="0" w:colLast="0"/>
      <w:bookmarkEnd w:id="0"/>
      <w:r>
        <w:lastRenderedPageBreak/>
        <w:t>Task 1: Individual Report</w:t>
      </w:r>
    </w:p>
    <w:p w14:paraId="56B32CFF" w14:textId="77777777" w:rsidR="00030055" w:rsidRDefault="00FE3FA4">
      <w:pPr>
        <w:pStyle w:val="Heading2"/>
        <w:spacing w:after="240"/>
      </w:pPr>
      <w:bookmarkStart w:id="1" w:name="_heading=h.30j0zll" w:colFirst="0" w:colLast="0"/>
      <w:bookmarkEnd w:id="1"/>
      <w:r>
        <w:t xml:space="preserve">Introduction </w:t>
      </w:r>
    </w:p>
    <w:p w14:paraId="32D212C5"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Strategic management can be defined as the act of developing and applying strategic plans that can be implemented by a business organisation to achieve the desired goals and objectives. Such a process can include activities including strategy formulation, planning of organisational structure to be established, resource allocation, initiating required organisational changes, and keeping control over organisational procedures and processes (coursera.org, 2024). The aim of the report is to develop a sustainable business strategy for small and medium sized enterprises named Apex Computing Services Ltd by employing suitable strategic management models, theories and methods. A SME or small and medium sized enterprise is an entrepreneurial venture that operates with the engagement of less than 250 employees (oecd.org, 2020). </w:t>
      </w:r>
    </w:p>
    <w:p w14:paraId="4026EB21"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Apex Computing Services Ltd is an IT or Information Technology Company that is involved in providing IT support to businesses and educational institutions. The business is situated in Manchester. The business operates 24/7 in a year. The company mainly serves businesses operating mainly in Manchester and across the North West (apexcomputing.co.uk, 2024). The report will mainly be based on an analysis of the current strategy of the chosen SME, its external and internal environment and stakeholders and their association. Possible strategic growth options for the business to be chosen and strategic recommendations to acquire a particular growth option will also be given in this report. </w:t>
      </w:r>
    </w:p>
    <w:p w14:paraId="3017297B" w14:textId="77777777" w:rsidR="00030055" w:rsidRDefault="00FE3FA4">
      <w:pPr>
        <w:pStyle w:val="Heading2"/>
        <w:spacing w:after="240"/>
      </w:pPr>
      <w:bookmarkStart w:id="2" w:name="_heading=h.1fob9te" w:colFirst="0" w:colLast="0"/>
      <w:bookmarkEnd w:id="2"/>
      <w:r>
        <w:t>Current organisational strategy</w:t>
      </w:r>
    </w:p>
    <w:p w14:paraId="039F1B05"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As opined by </w:t>
      </w:r>
      <w:r>
        <w:rPr>
          <w:color w:val="000000"/>
          <w:highlight w:val="white"/>
        </w:rPr>
        <w:t xml:space="preserve">Berisha Qehaja and Kutllovci </w:t>
      </w:r>
      <w:r>
        <w:rPr>
          <w:color w:val="000000"/>
        </w:rPr>
        <w:t xml:space="preserve">(2020), Porter’s Five Forces can be used as a viable strategic tool to appraise the current strategy of Apex Computing Services Ltd. In doing so, the focus has to be kept on the competitive structure of the IT industry of the UK to critically analyse the strategy that is applied by the chosen SME. The same has been done below: </w:t>
      </w:r>
    </w:p>
    <w:p w14:paraId="09DC3F4C" w14:textId="77777777" w:rsidR="00030055" w:rsidRDefault="00FE3FA4">
      <w:pPr>
        <w:pBdr>
          <w:top w:val="nil"/>
          <w:left w:val="nil"/>
          <w:bottom w:val="nil"/>
          <w:right w:val="nil"/>
          <w:between w:val="nil"/>
        </w:pBdr>
        <w:spacing w:after="240" w:line="360" w:lineRule="auto"/>
        <w:jc w:val="both"/>
        <w:rPr>
          <w:color w:val="000000"/>
        </w:rPr>
      </w:pPr>
      <w:r>
        <w:rPr>
          <w:noProof/>
          <w:color w:val="000000"/>
        </w:rPr>
        <w:lastRenderedPageBreak/>
        <w:drawing>
          <wp:inline distT="114300" distB="114300" distL="114300" distR="114300" wp14:anchorId="667490CF" wp14:editId="20E45062">
            <wp:extent cx="5731200" cy="42926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4292600"/>
                    </a:xfrm>
                    <a:prstGeom prst="rect">
                      <a:avLst/>
                    </a:prstGeom>
                    <a:ln/>
                  </pic:spPr>
                </pic:pic>
              </a:graphicData>
            </a:graphic>
          </wp:inline>
        </w:drawing>
      </w:r>
    </w:p>
    <w:p w14:paraId="61750E17" w14:textId="77777777" w:rsidR="00030055" w:rsidRDefault="00FE3FA4">
      <w:pPr>
        <w:pBdr>
          <w:top w:val="nil"/>
          <w:left w:val="nil"/>
          <w:bottom w:val="nil"/>
          <w:right w:val="nil"/>
          <w:between w:val="nil"/>
        </w:pBdr>
        <w:spacing w:after="240" w:line="360" w:lineRule="auto"/>
        <w:jc w:val="center"/>
        <w:rPr>
          <w:b/>
          <w:color w:val="000000"/>
        </w:rPr>
      </w:pPr>
      <w:r>
        <w:rPr>
          <w:b/>
          <w:color w:val="000000"/>
        </w:rPr>
        <w:t>Figure 1: Porter’s Five Forces framework</w:t>
      </w:r>
    </w:p>
    <w:p w14:paraId="62AA6D22" w14:textId="77777777" w:rsidR="00030055" w:rsidRDefault="00FE3FA4">
      <w:pPr>
        <w:pBdr>
          <w:top w:val="nil"/>
          <w:left w:val="nil"/>
          <w:bottom w:val="nil"/>
          <w:right w:val="nil"/>
          <w:between w:val="nil"/>
        </w:pBdr>
        <w:spacing w:after="240" w:line="360" w:lineRule="auto"/>
        <w:jc w:val="center"/>
        <w:rPr>
          <w:color w:val="000000"/>
        </w:rPr>
      </w:pPr>
      <w:r>
        <w:rPr>
          <w:color w:val="000000"/>
        </w:rPr>
        <w:t>(Source: Ideson, 2024)</w:t>
      </w:r>
    </w:p>
    <w:p w14:paraId="3F2996F4" w14:textId="77777777" w:rsidR="00030055" w:rsidRDefault="00FE3FA4">
      <w:pPr>
        <w:pBdr>
          <w:top w:val="nil"/>
          <w:left w:val="nil"/>
          <w:bottom w:val="nil"/>
          <w:right w:val="nil"/>
          <w:between w:val="nil"/>
        </w:pBdr>
        <w:spacing w:after="240" w:line="360" w:lineRule="auto"/>
        <w:jc w:val="both"/>
        <w:rPr>
          <w:b/>
          <w:color w:val="000000"/>
        </w:rPr>
      </w:pPr>
      <w:r>
        <w:rPr>
          <w:b/>
          <w:color w:val="000000"/>
        </w:rPr>
        <w:t>Competitive rivalry</w:t>
      </w:r>
    </w:p>
    <w:p w14:paraId="3990F42B"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It is a high competitive rivalry for the business, which is likely to influence the current organisational strategy. Currently, around 51,017 technology companies operate in the UK (rsmuk.com, 2024). Such intense competition is likely to influence the achievement of the vision and mission of the business. The vision of  Apex Computing Services Ltd is to provide a personal service and offer a complete range of IT services to businesses including and internationally. The mission of the business is to enable large corporations across all sectors with a full suite of IT (find-and-update.company-information.service.gov.uk, 2024). In the absence of such a large number of competitors in the market, accomplishing the discussed vision and mission is likely to be challenging for the SME. </w:t>
      </w:r>
    </w:p>
    <w:p w14:paraId="08F3F42F" w14:textId="77777777" w:rsidR="00030055" w:rsidRDefault="00FE3FA4">
      <w:pPr>
        <w:pBdr>
          <w:top w:val="nil"/>
          <w:left w:val="nil"/>
          <w:bottom w:val="nil"/>
          <w:right w:val="nil"/>
          <w:between w:val="nil"/>
        </w:pBdr>
        <w:spacing w:after="240" w:line="360" w:lineRule="auto"/>
        <w:jc w:val="both"/>
        <w:rPr>
          <w:b/>
          <w:color w:val="000000"/>
        </w:rPr>
      </w:pPr>
      <w:r>
        <w:rPr>
          <w:b/>
          <w:color w:val="000000"/>
        </w:rPr>
        <w:t>Bargaining power of customers</w:t>
      </w:r>
    </w:p>
    <w:p w14:paraId="11EB6B65"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Bargaining power of customers is also likely to be high for the SME. The presence of a large number of similar businesses in the market influences such a scenario for the SME </w:t>
      </w:r>
      <w:r>
        <w:rPr>
          <w:color w:val="000000"/>
        </w:rPr>
        <w:lastRenderedPageBreak/>
        <w:t xml:space="preserve">(rsmuk.com, 2024). To manage such scenarios, replacement offers are given by the business. Such a term is applied when there is a failure or delay in delivery (apexcomputing.co.uk, n.d). </w:t>
      </w:r>
    </w:p>
    <w:p w14:paraId="0F83BDA3" w14:textId="77777777" w:rsidR="00030055" w:rsidRDefault="00FE3FA4">
      <w:pPr>
        <w:pBdr>
          <w:top w:val="nil"/>
          <w:left w:val="nil"/>
          <w:bottom w:val="nil"/>
          <w:right w:val="nil"/>
          <w:between w:val="nil"/>
        </w:pBdr>
        <w:spacing w:after="240" w:line="360" w:lineRule="auto"/>
        <w:jc w:val="both"/>
        <w:rPr>
          <w:b/>
          <w:color w:val="000000"/>
        </w:rPr>
      </w:pPr>
      <w:r>
        <w:rPr>
          <w:b/>
          <w:color w:val="000000"/>
        </w:rPr>
        <w:t>Bargaining power of suppliers</w:t>
      </w:r>
    </w:p>
    <w:p w14:paraId="4C0ED5AE"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This is a moderate competitive factor to the business of Apex Computing Services Ltd. The factor is that excellence is kept at the core of the business. As a result, the business has won the Mid Enterprise MSP of the Year in 2024 at the Technology Reseller Awards 2024 (Shone, 2024). This factor combined with the presence of a large number of similar enterprises in the market makes the bargaining power of suppliers moderate. The fact is that suppliers can seek working with such a well-recognised business but at the same time having the option to collaborate with any other technology organisation. </w:t>
      </w:r>
    </w:p>
    <w:p w14:paraId="70284847" w14:textId="77777777" w:rsidR="00030055" w:rsidRDefault="00FE3FA4">
      <w:pPr>
        <w:pBdr>
          <w:top w:val="nil"/>
          <w:left w:val="nil"/>
          <w:bottom w:val="nil"/>
          <w:right w:val="nil"/>
          <w:between w:val="nil"/>
        </w:pBdr>
        <w:spacing w:after="240" w:line="360" w:lineRule="auto"/>
        <w:jc w:val="both"/>
        <w:rPr>
          <w:b/>
          <w:color w:val="000000"/>
        </w:rPr>
      </w:pPr>
      <w:r>
        <w:rPr>
          <w:b/>
          <w:color w:val="000000"/>
        </w:rPr>
        <w:t>Threats from new entrants</w:t>
      </w:r>
    </w:p>
    <w:p w14:paraId="5469C45A"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This is a low competitive force for Apex Computing Services Ltd in the UK. The business operates with 25 engineers underneath as the employees its revenue is $5 Million (zoominfo.com, 2024). Hence, a new technology enterprise cannot easily compete with the SME in terms of human resource and investment capability. </w:t>
      </w:r>
    </w:p>
    <w:p w14:paraId="789E9492" w14:textId="77777777" w:rsidR="00030055" w:rsidRDefault="00FE3FA4">
      <w:pPr>
        <w:pBdr>
          <w:top w:val="nil"/>
          <w:left w:val="nil"/>
          <w:bottom w:val="nil"/>
          <w:right w:val="nil"/>
          <w:between w:val="nil"/>
        </w:pBdr>
        <w:spacing w:after="240" w:line="360" w:lineRule="auto"/>
        <w:jc w:val="both"/>
        <w:rPr>
          <w:b/>
          <w:color w:val="000000"/>
        </w:rPr>
      </w:pPr>
      <w:r>
        <w:rPr>
          <w:b/>
          <w:color w:val="000000"/>
        </w:rPr>
        <w:t>Threats from competitive rivalry</w:t>
      </w:r>
    </w:p>
    <w:p w14:paraId="76B6AA1C"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Threats from competitive rivalry are also low for the SME. The business is extremely focused on customer service. The company never had a bad experience with the client and remains in touch with them regularly (apexcomputing.co.uk, n.d). This provides the business with significant competitive advantages. </w:t>
      </w:r>
    </w:p>
    <w:p w14:paraId="58A8E4CA" w14:textId="77777777" w:rsidR="00030055" w:rsidRDefault="00FE3FA4">
      <w:pPr>
        <w:pStyle w:val="Heading2"/>
        <w:spacing w:after="240"/>
      </w:pPr>
      <w:bookmarkStart w:id="3" w:name="_heading=h.3znysh7" w:colFirst="0" w:colLast="0"/>
      <w:bookmarkEnd w:id="3"/>
      <w:r>
        <w:t xml:space="preserve">External and internal environment </w:t>
      </w:r>
    </w:p>
    <w:p w14:paraId="625DF385"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As opined by </w:t>
      </w:r>
      <w:r>
        <w:rPr>
          <w:color w:val="000000"/>
          <w:highlight w:val="white"/>
        </w:rPr>
        <w:t xml:space="preserve">Çitilci and Akbalık </w:t>
      </w:r>
      <w:r>
        <w:rPr>
          <w:color w:val="000000"/>
        </w:rPr>
        <w:t xml:space="preserve">(2020), PESTLE can be used as an environmental scanning tool to analyse the external environment of the business. In doing so the focus is expected to be kept on analysing macro environmental factors including political, economic, social, technological, legal and environmental factors and their influences. The same has been done below: </w:t>
      </w:r>
    </w:p>
    <w:tbl>
      <w:tblPr>
        <w:tblStyle w:val="a1"/>
        <w:tblW w:w="92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9"/>
        <w:gridCol w:w="7500"/>
      </w:tblGrid>
      <w:tr w:rsidR="00030055" w14:paraId="5933C486" w14:textId="77777777">
        <w:trPr>
          <w:cantSplit/>
          <w:tblHeader/>
        </w:trPr>
        <w:tc>
          <w:tcPr>
            <w:tcW w:w="1729" w:type="dxa"/>
            <w:shd w:val="clear" w:color="auto" w:fill="auto"/>
            <w:tcMar>
              <w:top w:w="100" w:type="dxa"/>
              <w:left w:w="100" w:type="dxa"/>
              <w:bottom w:w="100" w:type="dxa"/>
              <w:right w:w="100" w:type="dxa"/>
            </w:tcMar>
          </w:tcPr>
          <w:p w14:paraId="495422DC"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lastRenderedPageBreak/>
              <w:t>Elements</w:t>
            </w:r>
          </w:p>
        </w:tc>
        <w:tc>
          <w:tcPr>
            <w:tcW w:w="7500" w:type="dxa"/>
            <w:shd w:val="clear" w:color="auto" w:fill="auto"/>
            <w:tcMar>
              <w:top w:w="100" w:type="dxa"/>
              <w:left w:w="100" w:type="dxa"/>
              <w:bottom w:w="100" w:type="dxa"/>
              <w:right w:w="100" w:type="dxa"/>
            </w:tcMar>
          </w:tcPr>
          <w:p w14:paraId="3BCA4131"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t>Factors and their influences</w:t>
            </w:r>
          </w:p>
        </w:tc>
      </w:tr>
      <w:tr w:rsidR="00030055" w14:paraId="518E196E" w14:textId="77777777">
        <w:trPr>
          <w:cantSplit/>
          <w:tblHeader/>
        </w:trPr>
        <w:tc>
          <w:tcPr>
            <w:tcW w:w="1729" w:type="dxa"/>
            <w:shd w:val="clear" w:color="auto" w:fill="auto"/>
            <w:tcMar>
              <w:top w:w="100" w:type="dxa"/>
              <w:left w:w="100" w:type="dxa"/>
              <w:bottom w:w="100" w:type="dxa"/>
              <w:right w:w="100" w:type="dxa"/>
            </w:tcMar>
          </w:tcPr>
          <w:p w14:paraId="32072CB6"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t>Political</w:t>
            </w:r>
          </w:p>
        </w:tc>
        <w:tc>
          <w:tcPr>
            <w:tcW w:w="7500" w:type="dxa"/>
            <w:shd w:val="clear" w:color="auto" w:fill="auto"/>
            <w:tcMar>
              <w:top w:w="100" w:type="dxa"/>
              <w:left w:w="100" w:type="dxa"/>
              <w:bottom w:w="100" w:type="dxa"/>
              <w:right w:w="100" w:type="dxa"/>
            </w:tcMar>
          </w:tcPr>
          <w:p w14:paraId="584B0866" w14:textId="77777777" w:rsidR="00030055" w:rsidRDefault="00FE3FA4">
            <w:pPr>
              <w:widowControl w:val="0"/>
              <w:pBdr>
                <w:top w:val="nil"/>
                <w:left w:val="nil"/>
                <w:bottom w:val="nil"/>
                <w:right w:val="nil"/>
                <w:between w:val="nil"/>
              </w:pBdr>
              <w:spacing w:after="240" w:line="360" w:lineRule="auto"/>
              <w:jc w:val="both"/>
              <w:rPr>
                <w:color w:val="000000"/>
              </w:rPr>
            </w:pPr>
            <w:r>
              <w:rPr>
                <w:color w:val="000000"/>
              </w:rPr>
              <w:t>The United Kingdom's political stability and absence of violence or terrorism were estimated at 0.50394 in 2022, according to the World Bank's development indicators, whereas it was lower in 2021 (tradingeconomics.com, 2024). Such a fact indicates that the political situation in the UK is improving over time. Political stability in the UK influenced the opportunity for Apex Computing Services Ltd as an IT company. The factor is that due to political stability, the government can invest increasingly in technology since the economic pace (Hussain, 2014).</w:t>
            </w:r>
          </w:p>
        </w:tc>
      </w:tr>
      <w:tr w:rsidR="00030055" w14:paraId="1D0A2169" w14:textId="77777777">
        <w:trPr>
          <w:cantSplit/>
          <w:tblHeader/>
        </w:trPr>
        <w:tc>
          <w:tcPr>
            <w:tcW w:w="1729" w:type="dxa"/>
            <w:shd w:val="clear" w:color="auto" w:fill="auto"/>
            <w:tcMar>
              <w:top w:w="100" w:type="dxa"/>
              <w:left w:w="100" w:type="dxa"/>
              <w:bottom w:w="100" w:type="dxa"/>
              <w:right w:w="100" w:type="dxa"/>
            </w:tcMar>
          </w:tcPr>
          <w:p w14:paraId="53726BC6"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t>Economic</w:t>
            </w:r>
          </w:p>
        </w:tc>
        <w:tc>
          <w:tcPr>
            <w:tcW w:w="7500" w:type="dxa"/>
            <w:shd w:val="clear" w:color="auto" w:fill="auto"/>
            <w:tcMar>
              <w:top w:w="100" w:type="dxa"/>
              <w:left w:w="100" w:type="dxa"/>
              <w:bottom w:w="100" w:type="dxa"/>
              <w:right w:w="100" w:type="dxa"/>
            </w:tcMar>
          </w:tcPr>
          <w:p w14:paraId="679D6A76" w14:textId="77777777" w:rsidR="00030055" w:rsidRDefault="00FE3FA4">
            <w:pPr>
              <w:widowControl w:val="0"/>
              <w:pBdr>
                <w:top w:val="nil"/>
                <w:left w:val="nil"/>
                <w:bottom w:val="nil"/>
                <w:right w:val="nil"/>
                <w:between w:val="nil"/>
              </w:pBdr>
              <w:spacing w:after="240" w:line="360" w:lineRule="auto"/>
              <w:jc w:val="both"/>
              <w:rPr>
                <w:color w:val="000000"/>
              </w:rPr>
            </w:pPr>
            <w:r>
              <w:rPr>
                <w:color w:val="000000"/>
              </w:rPr>
              <w:t>Rise in inflation in the UK is still at its steady mode. The 12-month period ending in August 2024 had a 2.2% increase in the Consumer Prices Index (CPI), which remained constant from July. Similar to August 2023, the CPI increased by 0.3% on a monthly basis in August 2024 (ons.gov.uk, 2024). This economic factor influences a threat for Apex Computing Services Ltd. The cost of living also increases with rising inflation. As a result, the IT industry in the UK has been bound to bring a hike in the salary and wages of employees to operate sustainably (</w:t>
            </w:r>
            <w:r>
              <w:rPr>
                <w:color w:val="000000"/>
                <w:highlight w:val="white"/>
              </w:rPr>
              <w:t xml:space="preserve">Girdzijauskas </w:t>
            </w:r>
            <w:r>
              <w:rPr>
                <w:i/>
                <w:color w:val="000000"/>
                <w:highlight w:val="white"/>
              </w:rPr>
              <w:t xml:space="preserve">et al., </w:t>
            </w:r>
            <w:r>
              <w:rPr>
                <w:color w:val="000000"/>
                <w:highlight w:val="white"/>
              </w:rPr>
              <w:t>2022</w:t>
            </w:r>
            <w:r>
              <w:rPr>
                <w:color w:val="000000"/>
              </w:rPr>
              <w:t xml:space="preserve">). </w:t>
            </w:r>
          </w:p>
        </w:tc>
      </w:tr>
      <w:tr w:rsidR="00030055" w14:paraId="763EC692" w14:textId="77777777">
        <w:trPr>
          <w:cantSplit/>
          <w:tblHeader/>
        </w:trPr>
        <w:tc>
          <w:tcPr>
            <w:tcW w:w="1729" w:type="dxa"/>
            <w:shd w:val="clear" w:color="auto" w:fill="auto"/>
            <w:tcMar>
              <w:top w:w="100" w:type="dxa"/>
              <w:left w:w="100" w:type="dxa"/>
              <w:bottom w:w="100" w:type="dxa"/>
              <w:right w:w="100" w:type="dxa"/>
            </w:tcMar>
          </w:tcPr>
          <w:p w14:paraId="28B08C3E"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t>Social</w:t>
            </w:r>
          </w:p>
        </w:tc>
        <w:tc>
          <w:tcPr>
            <w:tcW w:w="7500" w:type="dxa"/>
            <w:shd w:val="clear" w:color="auto" w:fill="auto"/>
            <w:tcMar>
              <w:top w:w="100" w:type="dxa"/>
              <w:left w:w="100" w:type="dxa"/>
              <w:bottom w:w="100" w:type="dxa"/>
              <w:right w:w="100" w:type="dxa"/>
            </w:tcMar>
          </w:tcPr>
          <w:p w14:paraId="1800EADC" w14:textId="77777777" w:rsidR="00030055" w:rsidRDefault="00FE3FA4">
            <w:pPr>
              <w:widowControl w:val="0"/>
              <w:pBdr>
                <w:top w:val="nil"/>
                <w:left w:val="nil"/>
                <w:bottom w:val="nil"/>
                <w:right w:val="nil"/>
                <w:between w:val="nil"/>
              </w:pBdr>
              <w:spacing w:after="240" w:line="360" w:lineRule="auto"/>
              <w:jc w:val="both"/>
              <w:rPr>
                <w:color w:val="000000"/>
              </w:rPr>
            </w:pPr>
            <w:r>
              <w:rPr>
                <w:color w:val="000000"/>
              </w:rPr>
              <w:t>In the United Kingdom (UK), more than 80% of people shop online, meaning that more than four out of five UK customers make purchases online. The penetration rate of the same is expected to be 86% by 2027 (statista.com, 2023). This social factor is likely to influence opportunities for Apex Computing Services Ltd. The IT industry can remain continuous in evolving to provide people with online shopping habits curated experiences (</w:t>
            </w:r>
            <w:r>
              <w:rPr>
                <w:color w:val="000000"/>
                <w:highlight w:val="white"/>
              </w:rPr>
              <w:t xml:space="preserve">Ahmad </w:t>
            </w:r>
            <w:r>
              <w:rPr>
                <w:i/>
                <w:color w:val="000000"/>
                <w:highlight w:val="white"/>
              </w:rPr>
              <w:t xml:space="preserve">et al., </w:t>
            </w:r>
            <w:r>
              <w:rPr>
                <w:color w:val="000000"/>
                <w:highlight w:val="white"/>
              </w:rPr>
              <w:t>2020</w:t>
            </w:r>
            <w:r>
              <w:rPr>
                <w:color w:val="000000"/>
              </w:rPr>
              <w:t xml:space="preserve">). </w:t>
            </w:r>
          </w:p>
        </w:tc>
      </w:tr>
      <w:tr w:rsidR="00030055" w14:paraId="241F5277" w14:textId="77777777">
        <w:trPr>
          <w:cantSplit/>
          <w:tblHeader/>
        </w:trPr>
        <w:tc>
          <w:tcPr>
            <w:tcW w:w="1729" w:type="dxa"/>
            <w:shd w:val="clear" w:color="auto" w:fill="auto"/>
            <w:tcMar>
              <w:top w:w="100" w:type="dxa"/>
              <w:left w:w="100" w:type="dxa"/>
              <w:bottom w:w="100" w:type="dxa"/>
              <w:right w:w="100" w:type="dxa"/>
            </w:tcMar>
          </w:tcPr>
          <w:p w14:paraId="6154C845"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t>Technological</w:t>
            </w:r>
          </w:p>
        </w:tc>
        <w:tc>
          <w:tcPr>
            <w:tcW w:w="7500" w:type="dxa"/>
            <w:shd w:val="clear" w:color="auto" w:fill="auto"/>
            <w:tcMar>
              <w:top w:w="100" w:type="dxa"/>
              <w:left w:w="100" w:type="dxa"/>
              <w:bottom w:w="100" w:type="dxa"/>
              <w:right w:w="100" w:type="dxa"/>
            </w:tcMar>
          </w:tcPr>
          <w:p w14:paraId="0C93FB60" w14:textId="77777777" w:rsidR="00030055" w:rsidRDefault="00FE3FA4">
            <w:pPr>
              <w:widowControl w:val="0"/>
              <w:pBdr>
                <w:top w:val="nil"/>
                <w:left w:val="nil"/>
                <w:bottom w:val="nil"/>
                <w:right w:val="nil"/>
                <w:between w:val="nil"/>
              </w:pBdr>
              <w:spacing w:after="240" w:line="360" w:lineRule="auto"/>
              <w:jc w:val="both"/>
              <w:rPr>
                <w:color w:val="000000"/>
              </w:rPr>
            </w:pPr>
            <w:r>
              <w:rPr>
                <w:color w:val="000000"/>
              </w:rPr>
              <w:t>Technology in the UK is already expanding faster compared to the economy of the nation by 2.6% (Flinders, 2018). This technological factor influences opportunities for the IT sector. A technology organisation like Apex Computing Service ltd can get access to improved production capabilities and be enabled with complex information technological product lines at reduced costs (</w:t>
            </w:r>
            <w:r>
              <w:rPr>
                <w:color w:val="000000"/>
                <w:highlight w:val="white"/>
              </w:rPr>
              <w:t xml:space="preserve">Miao </w:t>
            </w:r>
            <w:r>
              <w:rPr>
                <w:i/>
                <w:color w:val="000000"/>
                <w:highlight w:val="white"/>
              </w:rPr>
              <w:t xml:space="preserve">et al., </w:t>
            </w:r>
            <w:r>
              <w:rPr>
                <w:color w:val="000000"/>
                <w:highlight w:val="white"/>
              </w:rPr>
              <w:t>2022</w:t>
            </w:r>
            <w:r>
              <w:rPr>
                <w:color w:val="000000"/>
              </w:rPr>
              <w:t xml:space="preserve">). </w:t>
            </w:r>
          </w:p>
        </w:tc>
      </w:tr>
      <w:tr w:rsidR="00030055" w14:paraId="1B50B9D8" w14:textId="77777777">
        <w:trPr>
          <w:cantSplit/>
          <w:tblHeader/>
        </w:trPr>
        <w:tc>
          <w:tcPr>
            <w:tcW w:w="1729" w:type="dxa"/>
            <w:shd w:val="clear" w:color="auto" w:fill="auto"/>
            <w:tcMar>
              <w:top w:w="100" w:type="dxa"/>
              <w:left w:w="100" w:type="dxa"/>
              <w:bottom w:w="100" w:type="dxa"/>
              <w:right w:w="100" w:type="dxa"/>
            </w:tcMar>
          </w:tcPr>
          <w:p w14:paraId="60AB68BC"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lastRenderedPageBreak/>
              <w:t>Legal</w:t>
            </w:r>
          </w:p>
        </w:tc>
        <w:tc>
          <w:tcPr>
            <w:tcW w:w="7500" w:type="dxa"/>
            <w:shd w:val="clear" w:color="auto" w:fill="auto"/>
            <w:tcMar>
              <w:top w:w="100" w:type="dxa"/>
              <w:left w:w="100" w:type="dxa"/>
              <w:bottom w:w="100" w:type="dxa"/>
              <w:right w:w="100" w:type="dxa"/>
            </w:tcMar>
          </w:tcPr>
          <w:p w14:paraId="2ADDD568" w14:textId="77777777" w:rsidR="00030055" w:rsidRDefault="00FE3FA4">
            <w:pPr>
              <w:widowControl w:val="0"/>
              <w:pBdr>
                <w:top w:val="nil"/>
                <w:left w:val="nil"/>
                <w:bottom w:val="nil"/>
                <w:right w:val="nil"/>
                <w:between w:val="nil"/>
              </w:pBdr>
              <w:spacing w:after="240" w:line="360" w:lineRule="auto"/>
              <w:jc w:val="both"/>
              <w:rPr>
                <w:color w:val="000000"/>
              </w:rPr>
            </w:pPr>
            <w:r>
              <w:rPr>
                <w:color w:val="000000"/>
              </w:rPr>
              <w:t>The application of the Data Protection Act 2018 as a legal factor is likely to influence the business of Apex Computing Services Ltd. The General Data Protection Regulation (GDPR) is being implemented in the UK via the Data Protection Act 2018. Everyone in charge of handling personal data must adhere to strict guidelines known as “data protection principles”. They have to ensure that the data is utilised in a transparent, legal, and equitable manner (gov.uk, n.d). The legal factor influences threats for an IT industry businesslike the mentioned one. Due to the legal factor initiating measures to prevent fraud and cybercrimes in the IT product management has been necessary for the IT industry (</w:t>
            </w:r>
            <w:r>
              <w:rPr>
                <w:color w:val="000000"/>
                <w:highlight w:val="white"/>
              </w:rPr>
              <w:t>Phillips, 2021</w:t>
            </w:r>
            <w:r>
              <w:rPr>
                <w:color w:val="000000"/>
              </w:rPr>
              <w:t xml:space="preserve">). </w:t>
            </w:r>
          </w:p>
        </w:tc>
      </w:tr>
      <w:tr w:rsidR="00030055" w14:paraId="7E2B4910" w14:textId="77777777">
        <w:trPr>
          <w:cantSplit/>
          <w:tblHeader/>
        </w:trPr>
        <w:tc>
          <w:tcPr>
            <w:tcW w:w="1729" w:type="dxa"/>
            <w:shd w:val="clear" w:color="auto" w:fill="auto"/>
            <w:tcMar>
              <w:top w:w="100" w:type="dxa"/>
              <w:left w:w="100" w:type="dxa"/>
              <w:bottom w:w="100" w:type="dxa"/>
              <w:right w:w="100" w:type="dxa"/>
            </w:tcMar>
          </w:tcPr>
          <w:p w14:paraId="02F65CC1"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t>Environmental</w:t>
            </w:r>
          </w:p>
        </w:tc>
        <w:tc>
          <w:tcPr>
            <w:tcW w:w="7500" w:type="dxa"/>
            <w:shd w:val="clear" w:color="auto" w:fill="auto"/>
            <w:tcMar>
              <w:top w:w="100" w:type="dxa"/>
              <w:left w:w="100" w:type="dxa"/>
              <w:bottom w:w="100" w:type="dxa"/>
              <w:right w:w="100" w:type="dxa"/>
            </w:tcMar>
          </w:tcPr>
          <w:p w14:paraId="4050FDF4" w14:textId="77777777" w:rsidR="00030055" w:rsidRDefault="00FE3FA4">
            <w:pPr>
              <w:widowControl w:val="0"/>
              <w:pBdr>
                <w:top w:val="nil"/>
                <w:left w:val="nil"/>
                <w:bottom w:val="nil"/>
                <w:right w:val="nil"/>
                <w:between w:val="nil"/>
              </w:pBdr>
              <w:spacing w:after="240" w:line="360" w:lineRule="auto"/>
              <w:jc w:val="both"/>
              <w:rPr>
                <w:color w:val="000000"/>
              </w:rPr>
            </w:pPr>
            <w:r>
              <w:rPr>
                <w:color w:val="000000"/>
              </w:rPr>
              <w:t>Around 1.6 million tonnes of electronic waste is generated in the UK each year (wastemanaged.co.uk, n.d). This factor is likely to influence the opportunity for Apex Computing Services Ltd. By focusing on reduction, reutilisation and recycling of electronic goods, the IT industry including the mentioned business can operate more sustainably (</w:t>
            </w:r>
            <w:r>
              <w:rPr>
                <w:color w:val="000000"/>
                <w:highlight w:val="white"/>
              </w:rPr>
              <w:t xml:space="preserve">Marke </w:t>
            </w:r>
            <w:r>
              <w:rPr>
                <w:i/>
                <w:color w:val="000000"/>
                <w:highlight w:val="white"/>
              </w:rPr>
              <w:t xml:space="preserve">et al., </w:t>
            </w:r>
            <w:r>
              <w:rPr>
                <w:color w:val="000000"/>
                <w:highlight w:val="white"/>
              </w:rPr>
              <w:t>2020</w:t>
            </w:r>
            <w:r>
              <w:rPr>
                <w:color w:val="000000"/>
              </w:rPr>
              <w:t xml:space="preserve">). </w:t>
            </w:r>
          </w:p>
        </w:tc>
      </w:tr>
    </w:tbl>
    <w:p w14:paraId="5D9EF055" w14:textId="77777777" w:rsidR="00030055" w:rsidRDefault="00030055">
      <w:pPr>
        <w:pBdr>
          <w:top w:val="nil"/>
          <w:left w:val="nil"/>
          <w:bottom w:val="nil"/>
          <w:right w:val="nil"/>
          <w:between w:val="nil"/>
        </w:pBdr>
        <w:spacing w:after="240" w:line="360" w:lineRule="auto"/>
        <w:jc w:val="both"/>
        <w:rPr>
          <w:color w:val="000000"/>
        </w:rPr>
      </w:pPr>
    </w:p>
    <w:p w14:paraId="3576E118"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As per the indication by </w:t>
      </w:r>
      <w:r>
        <w:rPr>
          <w:color w:val="000000"/>
          <w:highlight w:val="white"/>
        </w:rPr>
        <w:t xml:space="preserve">Marke </w:t>
      </w:r>
      <w:r>
        <w:rPr>
          <w:i/>
          <w:color w:val="000000"/>
          <w:highlight w:val="white"/>
        </w:rPr>
        <w:t xml:space="preserve">et al. </w:t>
      </w:r>
      <w:r>
        <w:rPr>
          <w:color w:val="000000"/>
        </w:rPr>
        <w:t xml:space="preserve">(2020), SWOT is a suitable framework to be used to analyse the internal environment of Apex Computing Services Ltd. In doing so, the focus is expected to on finding strengths and weaknesses of the business and potential threats and opportunities for the same. The same has been done below: </w:t>
      </w:r>
    </w:p>
    <w:tbl>
      <w:tblPr>
        <w:tblStyle w:val="a2"/>
        <w:tblW w:w="92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24"/>
        <w:gridCol w:w="4405"/>
      </w:tblGrid>
      <w:tr w:rsidR="00030055" w14:paraId="1F552492" w14:textId="77777777">
        <w:trPr>
          <w:cantSplit/>
          <w:tblHeader/>
        </w:trPr>
        <w:tc>
          <w:tcPr>
            <w:tcW w:w="4824" w:type="dxa"/>
            <w:shd w:val="clear" w:color="auto" w:fill="auto"/>
            <w:tcMar>
              <w:top w:w="100" w:type="dxa"/>
              <w:left w:w="100" w:type="dxa"/>
              <w:bottom w:w="100" w:type="dxa"/>
              <w:right w:w="100" w:type="dxa"/>
            </w:tcMar>
          </w:tcPr>
          <w:p w14:paraId="2CA624FF"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lastRenderedPageBreak/>
              <w:t>Strengths</w:t>
            </w:r>
          </w:p>
        </w:tc>
        <w:tc>
          <w:tcPr>
            <w:tcW w:w="4405" w:type="dxa"/>
            <w:shd w:val="clear" w:color="auto" w:fill="auto"/>
            <w:tcMar>
              <w:top w:w="100" w:type="dxa"/>
              <w:left w:w="100" w:type="dxa"/>
              <w:bottom w:w="100" w:type="dxa"/>
              <w:right w:w="100" w:type="dxa"/>
            </w:tcMar>
          </w:tcPr>
          <w:p w14:paraId="7CE604DA" w14:textId="77777777" w:rsidR="00030055" w:rsidRDefault="00FE3FA4">
            <w:pPr>
              <w:widowControl w:val="0"/>
              <w:pBdr>
                <w:top w:val="nil"/>
                <w:left w:val="nil"/>
                <w:bottom w:val="nil"/>
                <w:right w:val="nil"/>
                <w:between w:val="nil"/>
              </w:pBdr>
              <w:spacing w:after="240" w:line="360" w:lineRule="auto"/>
              <w:jc w:val="both"/>
              <w:rPr>
                <w:b/>
                <w:color w:val="000000"/>
              </w:rPr>
            </w:pPr>
            <w:r>
              <w:rPr>
                <w:b/>
                <w:color w:val="000000"/>
              </w:rPr>
              <w:t>Weaknesses</w:t>
            </w:r>
          </w:p>
        </w:tc>
      </w:tr>
      <w:tr w:rsidR="00030055" w14:paraId="705B4AA7" w14:textId="77777777">
        <w:trPr>
          <w:cantSplit/>
          <w:tblHeader/>
        </w:trPr>
        <w:tc>
          <w:tcPr>
            <w:tcW w:w="4824" w:type="dxa"/>
            <w:shd w:val="clear" w:color="auto" w:fill="auto"/>
            <w:tcMar>
              <w:top w:w="100" w:type="dxa"/>
              <w:left w:w="100" w:type="dxa"/>
              <w:bottom w:w="100" w:type="dxa"/>
              <w:right w:w="100" w:type="dxa"/>
            </w:tcMar>
          </w:tcPr>
          <w:p w14:paraId="2068B4CE" w14:textId="77777777" w:rsidR="00030055" w:rsidRDefault="00FE3FA4">
            <w:pPr>
              <w:widowControl w:val="0"/>
              <w:numPr>
                <w:ilvl w:val="0"/>
                <w:numId w:val="4"/>
              </w:numPr>
              <w:pBdr>
                <w:top w:val="nil"/>
                <w:left w:val="nil"/>
                <w:bottom w:val="nil"/>
                <w:right w:val="nil"/>
                <w:between w:val="nil"/>
              </w:pBdr>
              <w:spacing w:after="240" w:line="360" w:lineRule="auto"/>
              <w:jc w:val="both"/>
              <w:rPr>
                <w:color w:val="000000"/>
              </w:rPr>
            </w:pPr>
            <w:r>
              <w:rPr>
                <w:color w:val="000000"/>
              </w:rPr>
              <w:t>Capability to provide personalised services to clients.</w:t>
            </w:r>
          </w:p>
          <w:p w14:paraId="6BED0C6A" w14:textId="77777777" w:rsidR="00030055" w:rsidRDefault="00FE3FA4">
            <w:pPr>
              <w:widowControl w:val="0"/>
              <w:numPr>
                <w:ilvl w:val="0"/>
                <w:numId w:val="4"/>
              </w:numPr>
              <w:pBdr>
                <w:top w:val="nil"/>
                <w:left w:val="nil"/>
                <w:bottom w:val="nil"/>
                <w:right w:val="nil"/>
                <w:between w:val="nil"/>
              </w:pBdr>
              <w:spacing w:after="240" w:line="360" w:lineRule="auto"/>
              <w:jc w:val="both"/>
              <w:rPr>
                <w:color w:val="000000"/>
              </w:rPr>
            </w:pPr>
            <w:r>
              <w:rPr>
                <w:color w:val="000000"/>
              </w:rPr>
              <w:t>Services are available for clients 24/7.</w:t>
            </w:r>
          </w:p>
          <w:p w14:paraId="00022696" w14:textId="77777777" w:rsidR="00030055" w:rsidRDefault="00FE3FA4">
            <w:pPr>
              <w:widowControl w:val="0"/>
              <w:numPr>
                <w:ilvl w:val="0"/>
                <w:numId w:val="4"/>
              </w:numPr>
              <w:pBdr>
                <w:top w:val="nil"/>
                <w:left w:val="nil"/>
                <w:bottom w:val="nil"/>
                <w:right w:val="nil"/>
                <w:between w:val="nil"/>
              </w:pBdr>
              <w:spacing w:after="240" w:line="360" w:lineRule="auto"/>
              <w:jc w:val="both"/>
              <w:rPr>
                <w:color w:val="000000"/>
              </w:rPr>
            </w:pPr>
            <w:r>
              <w:rPr>
                <w:color w:val="000000"/>
              </w:rPr>
              <w:t>Well-recognised as an IT service provider in the market.</w:t>
            </w:r>
          </w:p>
          <w:p w14:paraId="6D8F0781" w14:textId="77777777" w:rsidR="00030055" w:rsidRDefault="00FE3FA4">
            <w:pPr>
              <w:widowControl w:val="0"/>
              <w:numPr>
                <w:ilvl w:val="0"/>
                <w:numId w:val="4"/>
              </w:numPr>
              <w:pBdr>
                <w:top w:val="nil"/>
                <w:left w:val="nil"/>
                <w:bottom w:val="nil"/>
                <w:right w:val="nil"/>
                <w:between w:val="nil"/>
              </w:pBdr>
              <w:spacing w:after="240" w:line="360" w:lineRule="auto"/>
              <w:jc w:val="both"/>
              <w:rPr>
                <w:color w:val="000000"/>
              </w:rPr>
            </w:pPr>
            <w:r>
              <w:rPr>
                <w:color w:val="000000"/>
              </w:rPr>
              <w:t xml:space="preserve">Experience of working with hundreds of customers across hundreds of industries. </w:t>
            </w:r>
          </w:p>
        </w:tc>
        <w:tc>
          <w:tcPr>
            <w:tcW w:w="4405" w:type="dxa"/>
            <w:shd w:val="clear" w:color="auto" w:fill="auto"/>
            <w:tcMar>
              <w:top w:w="100" w:type="dxa"/>
              <w:left w:w="100" w:type="dxa"/>
              <w:bottom w:w="100" w:type="dxa"/>
              <w:right w:w="100" w:type="dxa"/>
            </w:tcMar>
          </w:tcPr>
          <w:p w14:paraId="231FD6DA" w14:textId="77777777" w:rsidR="00030055" w:rsidRDefault="00FE3FA4">
            <w:pPr>
              <w:widowControl w:val="0"/>
              <w:numPr>
                <w:ilvl w:val="0"/>
                <w:numId w:val="2"/>
              </w:numPr>
              <w:pBdr>
                <w:top w:val="nil"/>
                <w:left w:val="nil"/>
                <w:bottom w:val="nil"/>
                <w:right w:val="nil"/>
                <w:between w:val="nil"/>
              </w:pBdr>
              <w:spacing w:after="240" w:line="360" w:lineRule="auto"/>
              <w:jc w:val="both"/>
              <w:rPr>
                <w:color w:val="000000"/>
              </w:rPr>
            </w:pPr>
            <w:r>
              <w:rPr>
                <w:color w:val="000000"/>
              </w:rPr>
              <w:t xml:space="preserve">The number of engagement of staff is lower compared to the staff. </w:t>
            </w:r>
          </w:p>
          <w:p w14:paraId="17823BB2" w14:textId="77777777" w:rsidR="00030055" w:rsidRDefault="00FE3FA4">
            <w:pPr>
              <w:widowControl w:val="0"/>
              <w:numPr>
                <w:ilvl w:val="0"/>
                <w:numId w:val="2"/>
              </w:numPr>
              <w:pBdr>
                <w:top w:val="nil"/>
                <w:left w:val="nil"/>
                <w:bottom w:val="nil"/>
                <w:right w:val="nil"/>
                <w:between w:val="nil"/>
              </w:pBdr>
              <w:spacing w:after="240" w:line="360" w:lineRule="auto"/>
              <w:jc w:val="both"/>
              <w:rPr>
                <w:color w:val="000000"/>
              </w:rPr>
            </w:pPr>
            <w:r>
              <w:rPr>
                <w:color w:val="000000"/>
              </w:rPr>
              <w:t xml:space="preserve">Certain number of clients are not happy with the IT services delivered by the business. </w:t>
            </w:r>
          </w:p>
          <w:p w14:paraId="7A38CE9D" w14:textId="77777777" w:rsidR="00030055" w:rsidRDefault="00FE3FA4">
            <w:pPr>
              <w:widowControl w:val="0"/>
              <w:numPr>
                <w:ilvl w:val="0"/>
                <w:numId w:val="2"/>
              </w:numPr>
              <w:pBdr>
                <w:top w:val="nil"/>
                <w:left w:val="nil"/>
                <w:bottom w:val="nil"/>
                <w:right w:val="nil"/>
                <w:between w:val="nil"/>
              </w:pBdr>
              <w:spacing w:after="240" w:line="360" w:lineRule="auto"/>
              <w:jc w:val="both"/>
              <w:rPr>
                <w:color w:val="000000"/>
              </w:rPr>
            </w:pPr>
            <w:r>
              <w:rPr>
                <w:color w:val="000000"/>
              </w:rPr>
              <w:t xml:space="preserve">Fluctuated revenue from £5 million to £25 million is noticed in the business. </w:t>
            </w:r>
          </w:p>
        </w:tc>
      </w:tr>
      <w:tr w:rsidR="00030055" w14:paraId="5A704D57" w14:textId="77777777">
        <w:trPr>
          <w:cantSplit/>
          <w:tblHeader/>
        </w:trPr>
        <w:tc>
          <w:tcPr>
            <w:tcW w:w="4824" w:type="dxa"/>
            <w:shd w:val="clear" w:color="auto" w:fill="auto"/>
            <w:tcMar>
              <w:top w:w="100" w:type="dxa"/>
              <w:left w:w="100" w:type="dxa"/>
              <w:bottom w:w="100" w:type="dxa"/>
              <w:right w:w="100" w:type="dxa"/>
            </w:tcMar>
          </w:tcPr>
          <w:p w14:paraId="794BDEFA" w14:textId="77777777" w:rsidR="00030055" w:rsidRDefault="00FE3FA4">
            <w:pPr>
              <w:widowControl w:val="0"/>
              <w:pBdr>
                <w:top w:val="nil"/>
                <w:left w:val="nil"/>
                <w:bottom w:val="nil"/>
                <w:right w:val="nil"/>
                <w:between w:val="nil"/>
              </w:pBdr>
              <w:spacing w:after="240" w:line="360" w:lineRule="auto"/>
              <w:jc w:val="both"/>
              <w:rPr>
                <w:color w:val="000000"/>
              </w:rPr>
            </w:pPr>
            <w:r>
              <w:rPr>
                <w:color w:val="000000"/>
              </w:rPr>
              <w:t>Opportunities</w:t>
            </w:r>
          </w:p>
        </w:tc>
        <w:tc>
          <w:tcPr>
            <w:tcW w:w="4405" w:type="dxa"/>
            <w:shd w:val="clear" w:color="auto" w:fill="auto"/>
            <w:tcMar>
              <w:top w:w="100" w:type="dxa"/>
              <w:left w:w="100" w:type="dxa"/>
              <w:bottom w:w="100" w:type="dxa"/>
              <w:right w:w="100" w:type="dxa"/>
            </w:tcMar>
          </w:tcPr>
          <w:p w14:paraId="6EB615D4" w14:textId="77777777" w:rsidR="00030055" w:rsidRDefault="00FE3FA4">
            <w:pPr>
              <w:widowControl w:val="0"/>
              <w:pBdr>
                <w:top w:val="nil"/>
                <w:left w:val="nil"/>
                <w:bottom w:val="nil"/>
                <w:right w:val="nil"/>
                <w:between w:val="nil"/>
              </w:pBdr>
              <w:spacing w:after="240" w:line="360" w:lineRule="auto"/>
              <w:jc w:val="both"/>
              <w:rPr>
                <w:color w:val="000000"/>
              </w:rPr>
            </w:pPr>
            <w:r>
              <w:rPr>
                <w:color w:val="000000"/>
              </w:rPr>
              <w:t>Threats</w:t>
            </w:r>
          </w:p>
        </w:tc>
      </w:tr>
      <w:tr w:rsidR="00030055" w14:paraId="386F9358" w14:textId="77777777">
        <w:trPr>
          <w:cantSplit/>
          <w:tblHeader/>
        </w:trPr>
        <w:tc>
          <w:tcPr>
            <w:tcW w:w="4824" w:type="dxa"/>
            <w:shd w:val="clear" w:color="auto" w:fill="auto"/>
            <w:tcMar>
              <w:top w:w="100" w:type="dxa"/>
              <w:left w:w="100" w:type="dxa"/>
              <w:bottom w:w="100" w:type="dxa"/>
              <w:right w:w="100" w:type="dxa"/>
            </w:tcMar>
          </w:tcPr>
          <w:p w14:paraId="2153EF07" w14:textId="77777777" w:rsidR="00030055" w:rsidRDefault="00FE3FA4">
            <w:pPr>
              <w:widowControl w:val="0"/>
              <w:numPr>
                <w:ilvl w:val="0"/>
                <w:numId w:val="3"/>
              </w:numPr>
              <w:pBdr>
                <w:top w:val="nil"/>
                <w:left w:val="nil"/>
                <w:bottom w:val="nil"/>
                <w:right w:val="nil"/>
                <w:between w:val="nil"/>
              </w:pBdr>
              <w:spacing w:after="240" w:line="360" w:lineRule="auto"/>
              <w:jc w:val="both"/>
              <w:rPr>
                <w:color w:val="000000"/>
              </w:rPr>
            </w:pPr>
            <w:r>
              <w:rPr>
                <w:color w:val="000000"/>
              </w:rPr>
              <w:t xml:space="preserve">The organisation has the opportunity to satisfy clients to the utmost because of the capability to provide them with personalised IT services and by offering 24/7 support. </w:t>
            </w:r>
          </w:p>
          <w:p w14:paraId="2C05B304" w14:textId="77777777" w:rsidR="00030055" w:rsidRDefault="00FE3FA4">
            <w:pPr>
              <w:widowControl w:val="0"/>
              <w:numPr>
                <w:ilvl w:val="0"/>
                <w:numId w:val="3"/>
              </w:numPr>
              <w:pBdr>
                <w:top w:val="nil"/>
                <w:left w:val="nil"/>
                <w:bottom w:val="nil"/>
                <w:right w:val="nil"/>
                <w:between w:val="nil"/>
              </w:pBdr>
              <w:spacing w:after="240" w:line="360" w:lineRule="auto"/>
              <w:jc w:val="both"/>
              <w:rPr>
                <w:color w:val="000000"/>
              </w:rPr>
            </w:pPr>
            <w:r>
              <w:rPr>
                <w:color w:val="000000"/>
              </w:rPr>
              <w:t xml:space="preserve">Due to well-recognition in the market, the business has the opportunity in further markets or client segments as well. </w:t>
            </w:r>
          </w:p>
          <w:p w14:paraId="71B16143" w14:textId="77777777" w:rsidR="00030055" w:rsidRDefault="00FE3FA4">
            <w:pPr>
              <w:widowControl w:val="0"/>
              <w:numPr>
                <w:ilvl w:val="0"/>
                <w:numId w:val="3"/>
              </w:numPr>
              <w:pBdr>
                <w:top w:val="nil"/>
                <w:left w:val="nil"/>
                <w:bottom w:val="nil"/>
                <w:right w:val="nil"/>
                <w:between w:val="nil"/>
              </w:pBdr>
              <w:spacing w:after="240" w:line="360" w:lineRule="auto"/>
              <w:jc w:val="both"/>
              <w:rPr>
                <w:color w:val="000000"/>
              </w:rPr>
            </w:pPr>
            <w:r>
              <w:rPr>
                <w:color w:val="000000"/>
              </w:rPr>
              <w:t xml:space="preserve">Opportunity to promote supply </w:t>
            </w:r>
            <w:r>
              <w:t>across a variety</w:t>
            </w:r>
            <w:r>
              <w:rPr>
                <w:color w:val="000000"/>
              </w:rPr>
              <w:t xml:space="preserve"> of industries. </w:t>
            </w:r>
          </w:p>
        </w:tc>
        <w:tc>
          <w:tcPr>
            <w:tcW w:w="4405" w:type="dxa"/>
            <w:shd w:val="clear" w:color="auto" w:fill="auto"/>
            <w:tcMar>
              <w:top w:w="100" w:type="dxa"/>
              <w:left w:w="100" w:type="dxa"/>
              <w:bottom w:w="100" w:type="dxa"/>
              <w:right w:w="100" w:type="dxa"/>
            </w:tcMar>
          </w:tcPr>
          <w:p w14:paraId="3CED4C1D" w14:textId="77777777" w:rsidR="00030055" w:rsidRDefault="00FE3FA4">
            <w:pPr>
              <w:widowControl w:val="0"/>
              <w:numPr>
                <w:ilvl w:val="0"/>
                <w:numId w:val="1"/>
              </w:numPr>
              <w:pBdr>
                <w:top w:val="nil"/>
                <w:left w:val="nil"/>
                <w:bottom w:val="nil"/>
                <w:right w:val="nil"/>
                <w:between w:val="nil"/>
              </w:pBdr>
              <w:spacing w:after="240" w:line="360" w:lineRule="auto"/>
              <w:jc w:val="both"/>
              <w:rPr>
                <w:color w:val="000000"/>
              </w:rPr>
            </w:pPr>
            <w:r>
              <w:rPr>
                <w:color w:val="000000"/>
              </w:rPr>
              <w:t xml:space="preserve">The business can fail to satisfy clients and even fail to meet deadlines of projects due to lower employee count if the demand for the services rises. </w:t>
            </w:r>
          </w:p>
          <w:p w14:paraId="768DC947" w14:textId="77777777" w:rsidR="00030055" w:rsidRDefault="00FE3FA4">
            <w:pPr>
              <w:widowControl w:val="0"/>
              <w:numPr>
                <w:ilvl w:val="0"/>
                <w:numId w:val="1"/>
              </w:numPr>
              <w:pBdr>
                <w:top w:val="nil"/>
                <w:left w:val="nil"/>
                <w:bottom w:val="nil"/>
                <w:right w:val="nil"/>
                <w:between w:val="nil"/>
              </w:pBdr>
              <w:spacing w:after="240" w:line="360" w:lineRule="auto"/>
              <w:jc w:val="both"/>
              <w:rPr>
                <w:color w:val="000000"/>
              </w:rPr>
            </w:pPr>
            <w:r>
              <w:rPr>
                <w:color w:val="000000"/>
              </w:rPr>
              <w:t xml:space="preserve">Due to the presence of a certain number of unsatisfied clients in the market, the business is threatened of losing potential clients to the rivals. </w:t>
            </w:r>
          </w:p>
        </w:tc>
      </w:tr>
    </w:tbl>
    <w:p w14:paraId="2B7455D6" w14:textId="77777777" w:rsidR="00030055" w:rsidRDefault="00FE3FA4">
      <w:pPr>
        <w:pBdr>
          <w:top w:val="nil"/>
          <w:left w:val="nil"/>
          <w:bottom w:val="nil"/>
          <w:right w:val="nil"/>
          <w:between w:val="nil"/>
        </w:pBdr>
        <w:spacing w:after="240" w:line="360" w:lineRule="auto"/>
        <w:jc w:val="center"/>
        <w:rPr>
          <w:color w:val="000000"/>
        </w:rPr>
      </w:pPr>
      <w:r>
        <w:rPr>
          <w:color w:val="000000"/>
        </w:rPr>
        <w:t xml:space="preserve">(apexcomputing.co.uk, n.d; apexcomputing.co.uk, 2024; Shone, 2024; zoominfo.com, 2024; uk.trustpilot.com, 2024; signalhire.com, 2024; </w:t>
      </w:r>
      <w:r>
        <w:rPr>
          <w:color w:val="000000"/>
          <w:highlight w:val="white"/>
        </w:rPr>
        <w:t xml:space="preserve">Tatikonda, Venigandla and Vemuri, 2022; Parolisi Ricardo, 2024; Elkhatib </w:t>
      </w:r>
      <w:r>
        <w:rPr>
          <w:i/>
          <w:color w:val="000000"/>
          <w:highlight w:val="white"/>
        </w:rPr>
        <w:t xml:space="preserve">et al., </w:t>
      </w:r>
      <w:r>
        <w:rPr>
          <w:color w:val="000000"/>
          <w:highlight w:val="white"/>
        </w:rPr>
        <w:t>2022; Kilpinen, 2022</w:t>
      </w:r>
      <w:r>
        <w:rPr>
          <w:color w:val="000000"/>
        </w:rPr>
        <w:t>)</w:t>
      </w:r>
    </w:p>
    <w:p w14:paraId="290DB56E" w14:textId="77777777" w:rsidR="00030055" w:rsidRDefault="00FE3FA4">
      <w:pPr>
        <w:pStyle w:val="Heading2"/>
        <w:spacing w:after="240"/>
      </w:pPr>
      <w:bookmarkStart w:id="4" w:name="_heading=h.2et92p0" w:colFirst="0" w:colLast="0"/>
      <w:bookmarkEnd w:id="4"/>
      <w:r>
        <w:t xml:space="preserve">Stakeholders </w:t>
      </w:r>
    </w:p>
    <w:p w14:paraId="0DF609C4"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As stated by Hoory (2024), stakeholder analysis refers to the process of identifying relevant stakeholders, assessing their requirements and expectations as well as influence. To perform </w:t>
      </w:r>
      <w:r>
        <w:rPr>
          <w:color w:val="000000"/>
        </w:rPr>
        <w:lastRenderedPageBreak/>
        <w:t xml:space="preserve">a stakeholder analysis for the business of Apex Computing Services Ltd, power-interest grid is a suitable tool to be used. A method for classifying stakeholders according to their impact and level of interest in an organisation is the "power-interest grid" (improvementservice.org.uk, n.d). However, to analyse the </w:t>
      </w:r>
      <w:r>
        <w:t>discussion</w:t>
      </w:r>
      <w:r>
        <w:rPr>
          <w:color w:val="000000"/>
        </w:rPr>
        <w:t xml:space="preserve">, the common stakeholders of the business are required to be identified first. As opined by </w:t>
      </w:r>
      <w:r>
        <w:rPr>
          <w:color w:val="000000"/>
          <w:highlight w:val="white"/>
        </w:rPr>
        <w:t xml:space="preserve">He, Zhang and Li </w:t>
      </w:r>
      <w:r>
        <w:rPr>
          <w:color w:val="000000"/>
        </w:rPr>
        <w:t>(2021), as an IT business, the common stakeholders of the business are employees, owners and shareholders, clients and customers, suppliers, investors, regulatory bodies, competitors and the environment. Below is a discussion of the needs and relative power of each of the stakeholder along with discussion about the way each of the stakeholders is supposed to be managed:</w:t>
      </w:r>
    </w:p>
    <w:p w14:paraId="32E15EA6" w14:textId="77777777" w:rsidR="00030055" w:rsidRDefault="00FE3FA4">
      <w:pPr>
        <w:pBdr>
          <w:top w:val="nil"/>
          <w:left w:val="nil"/>
          <w:bottom w:val="nil"/>
          <w:right w:val="nil"/>
          <w:between w:val="nil"/>
        </w:pBdr>
        <w:spacing w:after="240" w:line="360" w:lineRule="auto"/>
        <w:jc w:val="center"/>
        <w:rPr>
          <w:b/>
          <w:color w:val="000000"/>
        </w:rPr>
      </w:pPr>
      <w:r>
        <w:rPr>
          <w:b/>
          <w:noProof/>
          <w:color w:val="000000"/>
        </w:rPr>
        <w:drawing>
          <wp:inline distT="114300" distB="114300" distL="114300" distR="114300" wp14:anchorId="71EC8AC0" wp14:editId="1A93EF13">
            <wp:extent cx="4572000" cy="34290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572000" cy="3429000"/>
                    </a:xfrm>
                    <a:prstGeom prst="rect">
                      <a:avLst/>
                    </a:prstGeom>
                    <a:ln/>
                  </pic:spPr>
                </pic:pic>
              </a:graphicData>
            </a:graphic>
          </wp:inline>
        </w:drawing>
      </w:r>
    </w:p>
    <w:p w14:paraId="0AF8D3DC" w14:textId="77777777" w:rsidR="00030055" w:rsidRDefault="00FE3FA4">
      <w:pPr>
        <w:pBdr>
          <w:top w:val="nil"/>
          <w:left w:val="nil"/>
          <w:bottom w:val="nil"/>
          <w:right w:val="nil"/>
          <w:between w:val="nil"/>
        </w:pBdr>
        <w:spacing w:after="240" w:line="360" w:lineRule="auto"/>
        <w:jc w:val="center"/>
        <w:rPr>
          <w:b/>
          <w:color w:val="000000"/>
        </w:rPr>
      </w:pPr>
      <w:r>
        <w:rPr>
          <w:b/>
          <w:color w:val="000000"/>
        </w:rPr>
        <w:t>Figure 2: Categorization of the stakeholders of Apex Computing Services Limited using the power-interest grid</w:t>
      </w:r>
    </w:p>
    <w:p w14:paraId="06E45254" w14:textId="77777777" w:rsidR="00030055" w:rsidRDefault="00FE3FA4">
      <w:pPr>
        <w:pBdr>
          <w:top w:val="nil"/>
          <w:left w:val="nil"/>
          <w:bottom w:val="nil"/>
          <w:right w:val="nil"/>
          <w:between w:val="nil"/>
        </w:pBdr>
        <w:spacing w:after="240" w:line="360" w:lineRule="auto"/>
        <w:jc w:val="center"/>
        <w:rPr>
          <w:color w:val="000000"/>
        </w:rPr>
      </w:pPr>
      <w:r>
        <w:rPr>
          <w:color w:val="000000"/>
        </w:rPr>
        <w:t>(Source: Author)</w:t>
      </w:r>
    </w:p>
    <w:p w14:paraId="003704DC" w14:textId="77777777" w:rsidR="00030055" w:rsidRDefault="00FE3FA4">
      <w:pPr>
        <w:pBdr>
          <w:top w:val="nil"/>
          <w:left w:val="nil"/>
          <w:bottom w:val="nil"/>
          <w:right w:val="nil"/>
          <w:between w:val="nil"/>
        </w:pBdr>
        <w:spacing w:after="240" w:line="360" w:lineRule="auto"/>
        <w:jc w:val="both"/>
        <w:rPr>
          <w:b/>
          <w:color w:val="000000"/>
        </w:rPr>
      </w:pPr>
      <w:r>
        <w:rPr>
          <w:b/>
          <w:color w:val="000000"/>
        </w:rPr>
        <w:t>Stakeholders with high power, high interest (Manage Closely)</w:t>
      </w:r>
    </w:p>
    <w:p w14:paraId="59C22311"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Owners and shareholders, clients and customers and regulatory bodies are this category of stakeholders for the business of Apex Computing Services Ltd. As opined by </w:t>
      </w:r>
      <w:r>
        <w:rPr>
          <w:color w:val="000000"/>
          <w:highlight w:val="white"/>
        </w:rPr>
        <w:t>Abdi, Li and Càmara‐Turull (2022),</w:t>
      </w:r>
      <w:r>
        <w:rPr>
          <w:color w:val="000000"/>
        </w:rPr>
        <w:t xml:space="preserve"> owners and shareholders of the business expect high returns on investments. To satisfy such needs of the owners and shareholders, the business has to operate in profit. Excellence in the IT products and services delivered by the business is the basic need of the clients and customers. To satisfy such needs of the clients and customers, </w:t>
      </w:r>
      <w:r>
        <w:rPr>
          <w:color w:val="000000"/>
        </w:rPr>
        <w:lastRenderedPageBreak/>
        <w:t>the business has to design IT offerings by beginning with keen user insight (</w:t>
      </w:r>
      <w:r>
        <w:rPr>
          <w:color w:val="000000"/>
          <w:highlight w:val="white"/>
        </w:rPr>
        <w:t>Palavesh, 2021</w:t>
      </w:r>
      <w:r>
        <w:rPr>
          <w:color w:val="000000"/>
        </w:rPr>
        <w:t>). Through multiple regulatory bodies but expectations of the same from an IT company like Apex Computing Services Ltd are common. The Information Commissioner's Office (ICO), the Financial Conduct Authority (FCA), and the Competition and Markets Authority (CMA) are important regulators in the UK IT sector; however, these regulatory organisations can differ based on the sector and geographic area (ico.org.uk, n.d). Their common need is that the IT company is operating by meeting with all the compliances. To meet such needs, the business has to operate in an ethical way (</w:t>
      </w:r>
      <w:r>
        <w:rPr>
          <w:color w:val="000000"/>
          <w:highlight w:val="white"/>
        </w:rPr>
        <w:t>Trevino, L.K. and Nelson, 2024</w:t>
      </w:r>
      <w:r>
        <w:rPr>
          <w:color w:val="000000"/>
        </w:rPr>
        <w:t xml:space="preserve">). </w:t>
      </w:r>
    </w:p>
    <w:p w14:paraId="07C83765" w14:textId="77777777" w:rsidR="00030055" w:rsidRDefault="00FE3FA4">
      <w:pPr>
        <w:pBdr>
          <w:top w:val="nil"/>
          <w:left w:val="nil"/>
          <w:bottom w:val="nil"/>
          <w:right w:val="nil"/>
          <w:between w:val="nil"/>
        </w:pBdr>
        <w:spacing w:after="240" w:line="360" w:lineRule="auto"/>
        <w:jc w:val="both"/>
        <w:rPr>
          <w:b/>
          <w:color w:val="000000"/>
        </w:rPr>
      </w:pPr>
      <w:r>
        <w:rPr>
          <w:b/>
          <w:color w:val="000000"/>
        </w:rPr>
        <w:t>Stakeholders with high power, low interest (Keep Satisfied)</w:t>
      </w:r>
    </w:p>
    <w:p w14:paraId="2701D4FE" w14:textId="77777777" w:rsidR="00030055" w:rsidRDefault="00FE3FA4">
      <w:pPr>
        <w:pBdr>
          <w:top w:val="nil"/>
          <w:left w:val="nil"/>
          <w:bottom w:val="nil"/>
          <w:right w:val="nil"/>
          <w:between w:val="nil"/>
        </w:pBdr>
        <w:spacing w:after="240" w:line="360" w:lineRule="auto"/>
        <w:jc w:val="both"/>
        <w:rPr>
          <w:color w:val="000000"/>
        </w:rPr>
      </w:pPr>
      <w:r>
        <w:rPr>
          <w:color w:val="000000"/>
        </w:rPr>
        <w:t>Investors and suppliers are this category of stakeholders for the business of Apex Computing Services Ltd. Just like owners and shareholders, the investors need from the business is also a high return on their investment (british-business-bank.co.uk, n.d). To meet such an expectation, continuous growth and success should be fostered in the business. Suppliers of the IT company have needs of repeat orders and security of future business transactions (bbc.co.uk, 2024). To meet such needs of the suppliers, the business has to make repeated purchases of resources required to build IT products and services. The business must remain in touch with the suppliers to provide them with a sense of security (</w:t>
      </w:r>
      <w:r>
        <w:rPr>
          <w:color w:val="000000"/>
          <w:highlight w:val="white"/>
        </w:rPr>
        <w:t>Faccia and Petratos, 2021</w:t>
      </w:r>
      <w:r>
        <w:rPr>
          <w:color w:val="000000"/>
        </w:rPr>
        <w:t xml:space="preserve">). </w:t>
      </w:r>
    </w:p>
    <w:p w14:paraId="0C54C9B3" w14:textId="77777777" w:rsidR="00030055" w:rsidRDefault="00FE3FA4">
      <w:pPr>
        <w:pBdr>
          <w:top w:val="nil"/>
          <w:left w:val="nil"/>
          <w:bottom w:val="nil"/>
          <w:right w:val="nil"/>
          <w:between w:val="nil"/>
        </w:pBdr>
        <w:spacing w:after="240" w:line="360" w:lineRule="auto"/>
        <w:jc w:val="both"/>
        <w:rPr>
          <w:b/>
          <w:color w:val="000000"/>
        </w:rPr>
      </w:pPr>
      <w:r>
        <w:rPr>
          <w:b/>
          <w:color w:val="000000"/>
        </w:rPr>
        <w:t>Stakeholders with low power, high interest (Keep Informed)</w:t>
      </w:r>
    </w:p>
    <w:p w14:paraId="2BCA9F10"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This category of stakeholders for the business of Apex Computing Services Ltd includes employees </w:t>
      </w:r>
      <w:r>
        <w:t>and the environment</w:t>
      </w:r>
      <w:r>
        <w:rPr>
          <w:color w:val="000000"/>
        </w:rPr>
        <w:t>. The needs of the employees in the mentioned business can include but not limited to fair compensation and working conditions, job security, work-life balance, access to learning resources and platforms, feeling of being valued and recognised, sense of belonging and trust (</w:t>
      </w:r>
      <w:r>
        <w:rPr>
          <w:color w:val="000000"/>
          <w:highlight w:val="white"/>
        </w:rPr>
        <w:t>Sitopu, Sitinjak and Marpaung, 2021</w:t>
      </w:r>
      <w:r>
        <w:rPr>
          <w:color w:val="000000"/>
        </w:rPr>
        <w:t>). Possible measures are required to be taken by the IT Company to meet such needs of the employees. To do so, ethics and sustainability should be at the core of the business (</w:t>
      </w:r>
      <w:r>
        <w:rPr>
          <w:color w:val="000000"/>
          <w:highlight w:val="white"/>
        </w:rPr>
        <w:t>Sheehy and Farneti, 2021</w:t>
      </w:r>
      <w:r>
        <w:rPr>
          <w:color w:val="000000"/>
        </w:rPr>
        <w:t xml:space="preserve">). </w:t>
      </w:r>
    </w:p>
    <w:p w14:paraId="1744E3C9" w14:textId="77777777" w:rsidR="00030055" w:rsidRDefault="00FE3FA4">
      <w:pPr>
        <w:pBdr>
          <w:top w:val="nil"/>
          <w:left w:val="nil"/>
          <w:bottom w:val="nil"/>
          <w:right w:val="nil"/>
          <w:between w:val="nil"/>
        </w:pBdr>
        <w:spacing w:after="240" w:line="360" w:lineRule="auto"/>
        <w:jc w:val="both"/>
        <w:rPr>
          <w:b/>
          <w:color w:val="000000"/>
        </w:rPr>
      </w:pPr>
      <w:r>
        <w:rPr>
          <w:b/>
          <w:color w:val="000000"/>
        </w:rPr>
        <w:t>Stakeholders with low power, low interest (Monitor)</w:t>
      </w:r>
    </w:p>
    <w:p w14:paraId="48E3479F" w14:textId="77777777" w:rsidR="00030055" w:rsidRDefault="00FE3FA4">
      <w:pPr>
        <w:pBdr>
          <w:top w:val="nil"/>
          <w:left w:val="nil"/>
          <w:bottom w:val="nil"/>
          <w:right w:val="nil"/>
          <w:between w:val="nil"/>
        </w:pBdr>
        <w:spacing w:after="240" w:line="360" w:lineRule="auto"/>
        <w:jc w:val="both"/>
        <w:rPr>
          <w:color w:val="000000"/>
        </w:rPr>
      </w:pPr>
      <w:r>
        <w:rPr>
          <w:color w:val="000000"/>
        </w:rPr>
        <w:t>Competitors are this category of stakeholders for Apex Computing Services Ltd. Disclosure of  business-related information can be the needs of the competitors of the business (</w:t>
      </w:r>
      <w:r>
        <w:rPr>
          <w:color w:val="000000"/>
          <w:highlight w:val="white"/>
        </w:rPr>
        <w:t>Deva, 2020</w:t>
      </w:r>
      <w:r>
        <w:rPr>
          <w:color w:val="000000"/>
        </w:rPr>
        <w:t xml:space="preserve">). The factor is that such a disclosure can provide with the opportunity to rectify areas within wherever needed. To meet such needs of competitors, the business has to adhere to the guidelines given by Economic Crime and Corporate Transparency Act 2023 (legislation.gov.uk, 2023). </w:t>
      </w:r>
    </w:p>
    <w:p w14:paraId="523F820A" w14:textId="77777777" w:rsidR="00030055" w:rsidRDefault="00FE3FA4">
      <w:pPr>
        <w:pStyle w:val="Heading2"/>
        <w:spacing w:after="240"/>
      </w:pPr>
      <w:bookmarkStart w:id="5" w:name="_heading=h.tyjcwt" w:colFirst="0" w:colLast="0"/>
      <w:bookmarkEnd w:id="5"/>
      <w:r>
        <w:lastRenderedPageBreak/>
        <w:t xml:space="preserve">Possible strategic growth options </w:t>
      </w:r>
    </w:p>
    <w:p w14:paraId="696CAD52"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To discuss possible strategic growth options for the business of Apex Computing Services Ltd, Ansoff matrix is suitable to be used as a strategic tool. Management teams and the analyst community utilise the Ansoff Matrix, also known as the Product/Market Expansion Grid, as a two-by-two structure to assist plan and assess expansion projects. The tool specifically aids stakeholders in understanding the degree of risk connected to various development plans (corporatefinanceinstitute.com, 2024). </w:t>
      </w:r>
    </w:p>
    <w:p w14:paraId="09420E04" w14:textId="77777777" w:rsidR="00030055" w:rsidRDefault="00FE3FA4">
      <w:pPr>
        <w:pBdr>
          <w:top w:val="nil"/>
          <w:left w:val="nil"/>
          <w:bottom w:val="nil"/>
          <w:right w:val="nil"/>
          <w:between w:val="nil"/>
        </w:pBdr>
        <w:spacing w:after="240" w:line="360" w:lineRule="auto"/>
        <w:jc w:val="center"/>
        <w:rPr>
          <w:color w:val="000000"/>
        </w:rPr>
      </w:pPr>
      <w:r>
        <w:rPr>
          <w:noProof/>
          <w:color w:val="000000"/>
        </w:rPr>
        <w:drawing>
          <wp:inline distT="114300" distB="114300" distL="114300" distR="114300" wp14:anchorId="3847612D" wp14:editId="2567DACF">
            <wp:extent cx="5731200" cy="33147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3314700"/>
                    </a:xfrm>
                    <a:prstGeom prst="rect">
                      <a:avLst/>
                    </a:prstGeom>
                    <a:ln/>
                  </pic:spPr>
                </pic:pic>
              </a:graphicData>
            </a:graphic>
          </wp:inline>
        </w:drawing>
      </w:r>
    </w:p>
    <w:p w14:paraId="46206028" w14:textId="77777777" w:rsidR="00030055" w:rsidRDefault="00FE3FA4">
      <w:pPr>
        <w:pBdr>
          <w:top w:val="nil"/>
          <w:left w:val="nil"/>
          <w:bottom w:val="nil"/>
          <w:right w:val="nil"/>
          <w:between w:val="nil"/>
        </w:pBdr>
        <w:spacing w:after="240" w:line="360" w:lineRule="auto"/>
        <w:jc w:val="center"/>
        <w:rPr>
          <w:b/>
          <w:color w:val="000000"/>
        </w:rPr>
      </w:pPr>
      <w:r>
        <w:rPr>
          <w:b/>
          <w:color w:val="000000"/>
        </w:rPr>
        <w:t>Figure 3: Ansoff Matrix</w:t>
      </w:r>
    </w:p>
    <w:p w14:paraId="6315BAEB" w14:textId="77777777" w:rsidR="00030055" w:rsidRDefault="00FE3FA4">
      <w:pPr>
        <w:pBdr>
          <w:top w:val="nil"/>
          <w:left w:val="nil"/>
          <w:bottom w:val="nil"/>
          <w:right w:val="nil"/>
          <w:between w:val="nil"/>
        </w:pBdr>
        <w:spacing w:after="240" w:line="360" w:lineRule="auto"/>
        <w:jc w:val="center"/>
        <w:rPr>
          <w:color w:val="000000"/>
        </w:rPr>
      </w:pPr>
      <w:r>
        <w:rPr>
          <w:color w:val="000000"/>
        </w:rPr>
        <w:t>(Source: corporatefinanceinstitute.com, 2024)</w:t>
      </w:r>
    </w:p>
    <w:p w14:paraId="53B0A1C9" w14:textId="77777777" w:rsidR="00030055" w:rsidRDefault="00FE3FA4">
      <w:pPr>
        <w:pBdr>
          <w:top w:val="nil"/>
          <w:left w:val="nil"/>
          <w:bottom w:val="nil"/>
          <w:right w:val="nil"/>
          <w:between w:val="nil"/>
        </w:pBdr>
        <w:spacing w:after="240" w:line="360" w:lineRule="auto"/>
        <w:jc w:val="both"/>
        <w:rPr>
          <w:color w:val="000000"/>
        </w:rPr>
      </w:pPr>
      <w:r>
        <w:rPr>
          <w:color w:val="000000"/>
        </w:rPr>
        <w:t>The mentioned tool introduces four growth options for a business like Apex Computing Services Ltd, which can be termed as four different growth strategies that are market penetration, market development, product development and diversification. For growth of the technology business, market penetration seeks to boost sales of current IT products and services in an existing market, whereas market development focuses on selling current IT products and services in new markets. While diversification involves introducing new IT products and services to untapped markets, product development introduces IT new products and services to existing markets (</w:t>
      </w:r>
      <w:r>
        <w:rPr>
          <w:color w:val="000000"/>
          <w:highlight w:val="white"/>
        </w:rPr>
        <w:t>Ferreira and de Sá, 2021</w:t>
      </w:r>
      <w:r>
        <w:rPr>
          <w:color w:val="000000"/>
        </w:rPr>
        <w:t xml:space="preserve">). Among the discussed growth options, the implementation of market development, product development and diversification strategies are three most suitable options to be adopted. </w:t>
      </w:r>
    </w:p>
    <w:p w14:paraId="3A3B82BF" w14:textId="77777777" w:rsidR="00030055" w:rsidRDefault="00FE3FA4">
      <w:pPr>
        <w:pBdr>
          <w:top w:val="nil"/>
          <w:left w:val="nil"/>
          <w:bottom w:val="nil"/>
          <w:right w:val="nil"/>
          <w:between w:val="nil"/>
        </w:pBdr>
        <w:spacing w:after="240" w:line="360" w:lineRule="auto"/>
        <w:jc w:val="both"/>
        <w:rPr>
          <w:color w:val="000000"/>
        </w:rPr>
      </w:pPr>
      <w:r>
        <w:rPr>
          <w:color w:val="000000"/>
        </w:rPr>
        <w:lastRenderedPageBreak/>
        <w:t xml:space="preserve">As opined by </w:t>
      </w:r>
      <w:r>
        <w:rPr>
          <w:color w:val="000000"/>
          <w:highlight w:val="white"/>
        </w:rPr>
        <w:t xml:space="preserve">Lan (2023), </w:t>
      </w:r>
      <w:r>
        <w:rPr>
          <w:color w:val="000000"/>
        </w:rPr>
        <w:t xml:space="preserve">in the implementation of the market development strategy, Apex Computing Services Ltd is expected to be focused on identifying IT products and services that can be proven valuable for customers to generate revenue. This can ultimately result in the engagement of a complete new customer base the business can hold for a long term. On the other hand, as suggested by </w:t>
      </w:r>
      <w:r>
        <w:rPr>
          <w:color w:val="000000"/>
          <w:highlight w:val="white"/>
        </w:rPr>
        <w:t>Zugay, B. and Zakaria (2023),</w:t>
      </w:r>
      <w:r>
        <w:rPr>
          <w:color w:val="000000"/>
        </w:rPr>
        <w:t xml:space="preserve"> in the implementation of product development strategy as well, the IT company has to focus on innovating and bringing new It products and services. New product development can be beneficial for the business in terms of improvement in market share, loyalty among customers and competitiveness in the existing market. It has also been observed that the same benefits can be obtained by the business by applying diversification strategy as well.  The factor is that the development of new complementary products for existing products to be supplied in the new run can provide the existing products a long run potential. </w:t>
      </w:r>
    </w:p>
    <w:p w14:paraId="1813B45A" w14:textId="77777777" w:rsidR="00030055" w:rsidRDefault="00FE3FA4">
      <w:pPr>
        <w:pStyle w:val="Heading2"/>
        <w:spacing w:after="240"/>
      </w:pPr>
      <w:bookmarkStart w:id="6" w:name="_heading=h.3dy6vkm" w:colFirst="0" w:colLast="0"/>
      <w:bookmarkEnd w:id="6"/>
      <w:r>
        <w:t xml:space="preserve">Strategic recommendations </w:t>
      </w:r>
    </w:p>
    <w:p w14:paraId="46FAA7CD"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Significant measures are required to be taken by Apex Computing Services Ltd to make the implementation of market development, product development and diversification strategies of Ansoff Matrix successful. As suggested by only in the Ansoff Matrix, to make the implementation of the market development strategy successful, the IT Company has to focus on catering to different segments of customers or target demographics with existing IT products and services already offered. Measures should be taken to enter a new domestic market in the UK in the first attempt. As soon as possible, the business should plan for international expansion (corporatefinanceinstitute.com, 2024). </w:t>
      </w:r>
    </w:p>
    <w:p w14:paraId="19044BC7"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Since in the implementation of the product development strategy, the business has to focus on new product development, investment in Research and Development is integral. As opined by </w:t>
      </w:r>
      <w:r>
        <w:rPr>
          <w:color w:val="000000"/>
          <w:highlight w:val="white"/>
        </w:rPr>
        <w:t xml:space="preserve">Wouters, McKee and Luyten (2020), </w:t>
      </w:r>
      <w:r>
        <w:rPr>
          <w:color w:val="000000"/>
        </w:rPr>
        <w:t>the portion of a business's activities that looks for information to create, design, and improve its goods, services, technology, or procedures is known as research and development, or R&amp;D. The organisation can also borrow the rights to selling IT products and services of other companies as well. The business must also be focused on developing a new IT product or service by branding a white-label product or service that is actually produced by a third party (</w:t>
      </w:r>
      <w:r>
        <w:rPr>
          <w:color w:val="000000"/>
          <w:highlight w:val="white"/>
        </w:rPr>
        <w:t>Denysiuk, 2021</w:t>
      </w:r>
      <w:r>
        <w:rPr>
          <w:color w:val="000000"/>
        </w:rPr>
        <w:t xml:space="preserve">). </w:t>
      </w:r>
    </w:p>
    <w:p w14:paraId="54DBBEC6"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Since there is a serious matter of new product development, innovation should be kept a core of the business as a change initiative. In fostering innovation, the 5Cs of innovation can be used as a strategic tool in Apex Computing Services Ltd. In other words, the IT business must track the movements of the competitors on the market and make strategic decisions regarding new iT product and service development accordingly. The entire organisation should work </w:t>
      </w:r>
      <w:r>
        <w:rPr>
          <w:color w:val="000000"/>
        </w:rPr>
        <w:lastRenderedPageBreak/>
        <w:t xml:space="preserve">collaboratively to make new products and services increasingly innovative. By taking suitable measures, a culture of innovation should be established at the workplace. Catalysts such as new pricing models or government grants must be acquired by the organisation. Strategic decisions related to product development should be taken by conspiring all the possible constraints (vizologi.com, 2023). </w:t>
      </w:r>
    </w:p>
    <w:p w14:paraId="0D329596" w14:textId="77777777" w:rsidR="00030055" w:rsidRDefault="00FE3FA4">
      <w:pPr>
        <w:pStyle w:val="Heading2"/>
        <w:spacing w:after="240"/>
      </w:pPr>
      <w:bookmarkStart w:id="7" w:name="_heading=h.1t3h5sf" w:colFirst="0" w:colLast="0"/>
      <w:bookmarkEnd w:id="7"/>
      <w:r>
        <w:t>Competitor’s movement and the way the situation can be handled</w:t>
      </w:r>
    </w:p>
    <w:p w14:paraId="68A1654B"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As soon as the business tries to expand the market base with existing IT offerings, significant movements can be noticed among the potential competitors in the market. The same can be noticed when applying the product development and diversification strategy as well. The competitors can try to introduce the similar and even same IT products and services in the market. However, by taking suitable measures, such a situation can efficiently be managed by Apex Computing Services Ltd. In such a situation, the business should focus on applying the competitive pricing strategy when setting the prices of the IT offerings. Setting prices based on those of the competitors is known as a competitive pricing strategy. In doing so, the prices of the IT offerings should be kept lower compared to the competitors. In the implementation of this pricing strategy, the business should ignore production costs and consumer value, instead concentrating only on the publicly available prices of the competitors in the market. By offering IT products and services at lower prices compared to the competitors, Apex Computing Services Ltd can enhance increased sales. Customer loyalty can even be boosted. The clients can even start becoming increasingly stratified (Peppler, 2022). </w:t>
      </w:r>
    </w:p>
    <w:p w14:paraId="12B7EB3B" w14:textId="77777777" w:rsidR="00030055" w:rsidRDefault="00FE3FA4">
      <w:pPr>
        <w:pStyle w:val="Heading2"/>
        <w:spacing w:after="240"/>
      </w:pPr>
      <w:bookmarkStart w:id="8" w:name="_heading=h.4d34og8" w:colFirst="0" w:colLast="0"/>
      <w:bookmarkEnd w:id="8"/>
      <w:r>
        <w:t xml:space="preserve">Conclusion </w:t>
      </w:r>
    </w:p>
    <w:p w14:paraId="34C7E903" w14:textId="77777777" w:rsidR="00030055" w:rsidRDefault="00FE3FA4">
      <w:pPr>
        <w:pBdr>
          <w:top w:val="nil"/>
          <w:left w:val="nil"/>
          <w:bottom w:val="nil"/>
          <w:right w:val="nil"/>
          <w:between w:val="nil"/>
        </w:pBdr>
        <w:spacing w:after="240" w:line="360" w:lineRule="auto"/>
        <w:jc w:val="both"/>
        <w:rPr>
          <w:color w:val="000000"/>
        </w:rPr>
      </w:pPr>
      <w:r>
        <w:rPr>
          <w:color w:val="000000"/>
        </w:rPr>
        <w:t>In summary, a UK-based SME, Apex Computing Services Ltd., uses Porter's Five Forces paradigm to manage fierce competition with over 51,017 IT firms. The organisation wants to help businesses both domestically and abroad by offering a variety of IT services and personal service. The business has a solid reputation for quality and has significant bargaining power. With a 2024 Mid Enterprise MSP of the Year title, suppliers have a considerable amount of negotiation leverage. There are not many threats from new competitors, and the company's emphasis on customer service gives it a big competitive edge. The company's strategy is also influenced by the external environment, which includes the Data Protection Act of 2018, economic development, online purchasing trends, political stability, and technical improvements. The internal environment of Apex Computing Services Ltd. is evaluated using the SWOT framework, which focuses on opportunities, threats, weaknesses, and strengths. The organisation is well-known, provides individualised IT services, and is available around-</w:t>
      </w:r>
      <w:r>
        <w:rPr>
          <w:color w:val="000000"/>
        </w:rPr>
        <w:lastRenderedPageBreak/>
        <w:t>the-clock. However, some clients are not happy, and staff engagement is poor. Opportunities include boosting supply across sectors and entering new markets. Finding stakeholders requires stakeholder analysis utilising the power-interest grid. Employees, shareholders, customers, suppliers, investors, regulatory agencies, rival businesses, and the environment are examples of common stakeholders. Apex Computing Services Ltd should give ethics, sustainability, and regulatory compliance a priority in order to satisfy stakeholder needs.</w:t>
      </w:r>
    </w:p>
    <w:p w14:paraId="7442E2DE" w14:textId="77777777" w:rsidR="00030055" w:rsidRDefault="00FE3FA4">
      <w:pPr>
        <w:pBdr>
          <w:top w:val="nil"/>
          <w:left w:val="nil"/>
          <w:bottom w:val="nil"/>
          <w:right w:val="nil"/>
          <w:between w:val="nil"/>
        </w:pBdr>
        <w:spacing w:after="240" w:line="360" w:lineRule="auto"/>
        <w:jc w:val="both"/>
        <w:rPr>
          <w:color w:val="000000"/>
        </w:rPr>
      </w:pPr>
      <w:r>
        <w:rPr>
          <w:color w:val="000000"/>
        </w:rPr>
        <w:t>Moreover, Management teams and analysts utilise the Ansoff Matrix, sometimes called the Product/Market growth Grid, as a strategic tool to plan and evaluate growth initiatives. Market penetration, market development, product development, and diversification are its four growth strategies. Apex Computing Services Ltd. should concentrate on finding worthwhile IT services and products, developing, and launching new complementary goods in order to put these plans into practice. The business should spend in R&amp;D, target various consumer categories, encourage innovation, and get catalysts like government subsidies or innovative pricing structures in order to prosper. Sales, customer loyalty, and customer stratification may all be raised by controlling competition and putting competitive pricing tactics into practice.</w:t>
      </w:r>
    </w:p>
    <w:p w14:paraId="45064321" w14:textId="77777777" w:rsidR="00030055" w:rsidRDefault="00FE3FA4">
      <w:pPr>
        <w:pBdr>
          <w:top w:val="nil"/>
          <w:left w:val="nil"/>
          <w:bottom w:val="nil"/>
          <w:right w:val="nil"/>
          <w:between w:val="nil"/>
        </w:pBdr>
        <w:spacing w:after="240" w:line="360" w:lineRule="auto"/>
        <w:jc w:val="both"/>
        <w:rPr>
          <w:b/>
          <w:color w:val="000000"/>
        </w:rPr>
      </w:pPr>
      <w:r>
        <w:br w:type="page"/>
      </w:r>
    </w:p>
    <w:p w14:paraId="1C4A12CC" w14:textId="77777777" w:rsidR="00030055" w:rsidRDefault="00FE3FA4">
      <w:pPr>
        <w:pStyle w:val="Heading1"/>
        <w:spacing w:after="240"/>
      </w:pPr>
      <w:bookmarkStart w:id="9" w:name="_heading=h.2s8eyo1" w:colFirst="0" w:colLast="0"/>
      <w:bookmarkEnd w:id="9"/>
      <w:r>
        <w:lastRenderedPageBreak/>
        <w:t>Reference List</w:t>
      </w:r>
    </w:p>
    <w:p w14:paraId="60BFCC5D" w14:textId="77777777" w:rsidR="00030055" w:rsidRDefault="00FE3FA4">
      <w:pPr>
        <w:pStyle w:val="Heading2"/>
        <w:spacing w:after="240"/>
      </w:pPr>
      <w:bookmarkStart w:id="10" w:name="_heading=h.17dp8vu" w:colFirst="0" w:colLast="0"/>
      <w:bookmarkEnd w:id="10"/>
      <w:r>
        <w:t>Task 1</w:t>
      </w:r>
    </w:p>
    <w:p w14:paraId="390FE4BA"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 xml:space="preserve">Abdi, Y., Li, X. and Càmara‐Turull, X., (2022). How financial performance influences investment in sustainable development initiatives in the airline industry: The moderation role of state‐ownership. </w:t>
      </w:r>
      <w:r>
        <w:rPr>
          <w:i/>
          <w:color w:val="000000"/>
          <w:highlight w:val="white"/>
        </w:rPr>
        <w:t>Sustainable Development</w:t>
      </w:r>
      <w:r>
        <w:rPr>
          <w:color w:val="000000"/>
          <w:highlight w:val="white"/>
        </w:rPr>
        <w:t xml:space="preserve">, </w:t>
      </w:r>
      <w:r>
        <w:rPr>
          <w:i/>
          <w:color w:val="000000"/>
          <w:highlight w:val="white"/>
        </w:rPr>
        <w:t>30</w:t>
      </w:r>
      <w:r>
        <w:rPr>
          <w:color w:val="000000"/>
          <w:highlight w:val="white"/>
        </w:rPr>
        <w:t>(5), pp.1252-1267.</w:t>
      </w:r>
    </w:p>
    <w:p w14:paraId="31C67E5A"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Ahmad, A.H., Masri, R., Chong, C.V., Fauzi, R.U.A. and Idris, I., (2020). Evolution of technology and consumer behavior: The unavoidable impacts. </w:t>
      </w:r>
      <w:r>
        <w:rPr>
          <w:i/>
          <w:color w:val="000000"/>
          <w:highlight w:val="white"/>
        </w:rPr>
        <w:t>Evolution</w:t>
      </w:r>
      <w:r>
        <w:rPr>
          <w:color w:val="000000"/>
          <w:highlight w:val="white"/>
        </w:rPr>
        <w:t xml:space="preserve">, </w:t>
      </w:r>
      <w:r>
        <w:rPr>
          <w:i/>
          <w:color w:val="000000"/>
          <w:highlight w:val="white"/>
        </w:rPr>
        <w:t>7</w:t>
      </w:r>
      <w:r>
        <w:rPr>
          <w:color w:val="000000"/>
          <w:highlight w:val="white"/>
        </w:rPr>
        <w:t>(11), p.2020.</w:t>
      </w:r>
    </w:p>
    <w:p w14:paraId="26EA00D0"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apexcomputing.co.uk, (2024). </w:t>
      </w:r>
      <w:r>
        <w:rPr>
          <w:i/>
          <w:color w:val="000000"/>
        </w:rPr>
        <w:t xml:space="preserve">Expert IT Support in Manchester. </w:t>
      </w:r>
      <w:r>
        <w:rPr>
          <w:color w:val="000000"/>
        </w:rPr>
        <w:t>[Online] Available at: https://www.apexcomputing.co.uk/ [Accessed on: 01.11.2024]</w:t>
      </w:r>
    </w:p>
    <w:p w14:paraId="7A2DF54A"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apexcomputing.co.uk, (n.d). </w:t>
      </w:r>
      <w:r>
        <w:rPr>
          <w:i/>
          <w:color w:val="000000"/>
        </w:rPr>
        <w:t>Terms &amp; Conditions</w:t>
      </w:r>
      <w:r>
        <w:rPr>
          <w:color w:val="000000"/>
        </w:rPr>
        <w:t>. [Online] Available at: https://www.apexcomputing.co.uk/terms-and-conditions/ [Accessed on: 01.11.2024]</w:t>
      </w:r>
    </w:p>
    <w:p w14:paraId="50280DE5"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apexcomputing.co.uk, (n.d). </w:t>
      </w:r>
      <w:r>
        <w:rPr>
          <w:i/>
          <w:color w:val="000000"/>
        </w:rPr>
        <w:t xml:space="preserve">Why choose us? </w:t>
      </w:r>
      <w:r>
        <w:rPr>
          <w:color w:val="000000"/>
        </w:rPr>
        <w:t>[Online] Available at: https://www.apexcomputing.co.uk/about/ [Accessed on: 01.11.2024]</w:t>
      </w:r>
    </w:p>
    <w:p w14:paraId="2BA9E754"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bbc.co.uk, (2024). </w:t>
      </w:r>
      <w:r>
        <w:rPr>
          <w:i/>
          <w:color w:val="000000"/>
        </w:rPr>
        <w:t>Stakeholders</w:t>
      </w:r>
      <w:r>
        <w:rPr>
          <w:color w:val="000000"/>
        </w:rPr>
        <w:t>. [Online] Available at: https://www.bbc.co.uk/bitesize/guides/znf7nrd/revision/8 [Accessed on: 01.11.2024]</w:t>
      </w:r>
    </w:p>
    <w:p w14:paraId="301C52E4"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Berisha Qehaja, A. and Kutllovci, E., (2020). Strategy tools in use: New empirical insights from the strategy-as-practice perspective. </w:t>
      </w:r>
      <w:r>
        <w:rPr>
          <w:i/>
          <w:color w:val="000000"/>
          <w:highlight w:val="white"/>
        </w:rPr>
        <w:t>Management: Journal of Contemporary Management Issues</w:t>
      </w:r>
      <w:r>
        <w:rPr>
          <w:color w:val="000000"/>
          <w:highlight w:val="white"/>
        </w:rPr>
        <w:t xml:space="preserve">, </w:t>
      </w:r>
      <w:r>
        <w:rPr>
          <w:i/>
          <w:color w:val="000000"/>
          <w:highlight w:val="white"/>
        </w:rPr>
        <w:t>25</w:t>
      </w:r>
      <w:r>
        <w:rPr>
          <w:color w:val="000000"/>
          <w:highlight w:val="white"/>
        </w:rPr>
        <w:t>(1), pp.145-169.</w:t>
      </w:r>
    </w:p>
    <w:p w14:paraId="49A4B258"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british-business-bank.co.uk, (n.d). </w:t>
      </w:r>
      <w:r>
        <w:rPr>
          <w:i/>
          <w:color w:val="000000"/>
        </w:rPr>
        <w:t>How to make the first approach to an investor</w:t>
      </w:r>
      <w:r>
        <w:rPr>
          <w:color w:val="000000"/>
        </w:rPr>
        <w:t>. [Online] Available at: https://www.british-business-bank.co.uk/business-guidance/guidance-articles/business-essentials/how-to-approach-investor. [Accessed on: 01.11.2024]</w:t>
      </w:r>
    </w:p>
    <w:p w14:paraId="4E5AB8AD"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Çitilci, T. and Akbalık, M., (2020). The importance of PESTEL analysis for environmental scanning process. In </w:t>
      </w:r>
      <w:r>
        <w:rPr>
          <w:i/>
          <w:color w:val="000000"/>
          <w:highlight w:val="white"/>
        </w:rPr>
        <w:t>Handbook of research on decision-making techniques in financial marketing</w:t>
      </w:r>
      <w:r>
        <w:rPr>
          <w:color w:val="000000"/>
          <w:highlight w:val="white"/>
        </w:rPr>
        <w:t xml:space="preserve"> (pp. 336-357). IGI Global.</w:t>
      </w:r>
    </w:p>
    <w:p w14:paraId="096BB578"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corporatefinanceinstitute.com, (2024). </w:t>
      </w:r>
      <w:r>
        <w:rPr>
          <w:i/>
          <w:color w:val="000000"/>
        </w:rPr>
        <w:t>Ansoff Matrix</w:t>
      </w:r>
      <w:r>
        <w:rPr>
          <w:color w:val="000000"/>
        </w:rPr>
        <w:t>. [Online] Available at: https://corporatefinanceinstitute.com/resources/management/ansoff-matrix/ [Accessed on: 01.11.2024]</w:t>
      </w:r>
    </w:p>
    <w:p w14:paraId="041D704C" w14:textId="77777777" w:rsidR="00030055" w:rsidRDefault="00FE3FA4">
      <w:pPr>
        <w:pBdr>
          <w:top w:val="nil"/>
          <w:left w:val="nil"/>
          <w:bottom w:val="nil"/>
          <w:right w:val="nil"/>
          <w:between w:val="nil"/>
        </w:pBdr>
        <w:spacing w:after="240" w:line="360" w:lineRule="auto"/>
        <w:jc w:val="both"/>
        <w:rPr>
          <w:color w:val="000000"/>
        </w:rPr>
      </w:pPr>
      <w:r>
        <w:rPr>
          <w:color w:val="000000"/>
        </w:rPr>
        <w:lastRenderedPageBreak/>
        <w:t xml:space="preserve">coursera.org, (2024). </w:t>
      </w:r>
      <w:r>
        <w:rPr>
          <w:i/>
          <w:color w:val="000000"/>
        </w:rPr>
        <w:t>What Is Strategic Management? Benefits, Process, and Careers</w:t>
      </w:r>
      <w:r>
        <w:rPr>
          <w:color w:val="000000"/>
        </w:rPr>
        <w:t>. [Online] Available at: https://www.coursera.org/articles/strategic-management [Accessed on: 01.11.2024]</w:t>
      </w:r>
    </w:p>
    <w:p w14:paraId="7869D3D2"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 xml:space="preserve">Denysiuk, L., (2021). </w:t>
      </w:r>
      <w:r>
        <w:rPr>
          <w:i/>
          <w:color w:val="000000"/>
          <w:highlight w:val="white"/>
        </w:rPr>
        <w:t>Success factors for corporate-startup collaboration</w:t>
      </w:r>
      <w:r>
        <w:rPr>
          <w:color w:val="000000"/>
          <w:highlight w:val="white"/>
        </w:rPr>
        <w:t xml:space="preserve"> (No. 12). LBS Working Paper.</w:t>
      </w:r>
    </w:p>
    <w:p w14:paraId="0EF012AF"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 xml:space="preserve">Deva, S., (2020). From business or human rights to business and human rights: what next?. In </w:t>
      </w:r>
      <w:r>
        <w:rPr>
          <w:i/>
          <w:color w:val="000000"/>
          <w:highlight w:val="white"/>
        </w:rPr>
        <w:t>Research handbook on human rights and business</w:t>
      </w:r>
      <w:r>
        <w:rPr>
          <w:color w:val="000000"/>
          <w:highlight w:val="white"/>
        </w:rPr>
        <w:t xml:space="preserve"> (pp. 1-21). Edward Elgar Publishing.</w:t>
      </w:r>
    </w:p>
    <w:p w14:paraId="2B096C90"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 xml:space="preserve">Elkhatib, M., Al Hosani, A., Al Hosani, I. and Albuflasa, K., (2022). Agile project management and project risks improvements: Pros and cons. </w:t>
      </w:r>
      <w:r>
        <w:rPr>
          <w:i/>
          <w:color w:val="000000"/>
          <w:highlight w:val="white"/>
        </w:rPr>
        <w:t>Modern Economy</w:t>
      </w:r>
      <w:r>
        <w:rPr>
          <w:color w:val="000000"/>
          <w:highlight w:val="white"/>
        </w:rPr>
        <w:t xml:space="preserve">, </w:t>
      </w:r>
      <w:r>
        <w:rPr>
          <w:i/>
          <w:color w:val="000000"/>
          <w:highlight w:val="white"/>
        </w:rPr>
        <w:t>13</w:t>
      </w:r>
      <w:r>
        <w:rPr>
          <w:color w:val="000000"/>
          <w:highlight w:val="white"/>
        </w:rPr>
        <w:t>(9), pp.1157-1176.</w:t>
      </w:r>
    </w:p>
    <w:p w14:paraId="23969181"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Faccia, A. and Petratos, P., (2021). Blockchain, enterprise resource planning (ERP) and accounting information systems (AIS): Research on e-procurement and system integration. </w:t>
      </w:r>
      <w:r>
        <w:rPr>
          <w:i/>
          <w:color w:val="000000"/>
          <w:highlight w:val="white"/>
        </w:rPr>
        <w:t>Applied Sciences</w:t>
      </w:r>
      <w:r>
        <w:rPr>
          <w:color w:val="000000"/>
          <w:highlight w:val="white"/>
        </w:rPr>
        <w:t xml:space="preserve">, </w:t>
      </w:r>
      <w:r>
        <w:rPr>
          <w:i/>
          <w:color w:val="000000"/>
          <w:highlight w:val="white"/>
        </w:rPr>
        <w:t>11</w:t>
      </w:r>
      <w:r>
        <w:rPr>
          <w:color w:val="000000"/>
          <w:highlight w:val="white"/>
        </w:rPr>
        <w:t>(15), p.6792.</w:t>
      </w:r>
    </w:p>
    <w:p w14:paraId="6258B663"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Ferreira, A.P.P.F.S. and de Sá, M.M.B.P., 2024. The importance of the Ansoff matrix for the study of the information services market. </w:t>
      </w:r>
      <w:r>
        <w:rPr>
          <w:i/>
          <w:color w:val="000000"/>
          <w:highlight w:val="white"/>
        </w:rPr>
        <w:t>The Canadian Journal of Information and Library Science</w:t>
      </w:r>
      <w:r>
        <w:rPr>
          <w:color w:val="000000"/>
          <w:highlight w:val="white"/>
        </w:rPr>
        <w:t xml:space="preserve">, </w:t>
      </w:r>
      <w:r>
        <w:rPr>
          <w:i/>
          <w:color w:val="000000"/>
          <w:highlight w:val="white"/>
        </w:rPr>
        <w:t>47</w:t>
      </w:r>
      <w:r>
        <w:rPr>
          <w:color w:val="000000"/>
          <w:highlight w:val="white"/>
        </w:rPr>
        <w:t>(2), pp.78-84.</w:t>
      </w:r>
    </w:p>
    <w:p w14:paraId="0059DA79"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find-and-update.company-information.service.gov.uk, (2024). </w:t>
      </w:r>
      <w:r>
        <w:rPr>
          <w:i/>
          <w:color w:val="000000"/>
        </w:rPr>
        <w:t xml:space="preserve">APEX COMPUTING SERVICES LIMITED. </w:t>
      </w:r>
      <w:r>
        <w:rPr>
          <w:color w:val="000000"/>
        </w:rPr>
        <w:t>[Online] Available at: https://find-and-update.company-information.service.gov.uk/company/04943310 [Accessed on: 01.11.2024]</w:t>
      </w:r>
    </w:p>
    <w:p w14:paraId="121EF3A8"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Flinders.K, (2018). </w:t>
      </w:r>
      <w:r>
        <w:rPr>
          <w:i/>
          <w:color w:val="000000"/>
        </w:rPr>
        <w:t>UK tech sector growing 2.6 times faster than overall economy</w:t>
      </w:r>
      <w:r>
        <w:rPr>
          <w:color w:val="000000"/>
        </w:rPr>
        <w:t>. [Online] Available at: https://www.computerweekly.com/news/252441282/UK-tech-sector-growing-26-times-faster-than-overall-economy [Accessed on: 01.11.2024]</w:t>
      </w:r>
    </w:p>
    <w:p w14:paraId="48762124"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Girdzijauskas, S., Streimikiene, D., Griesiene, I., Mikalauskiene, A. and Kyriakopoulos, G.L., (2022). New approach to inflation phenomena to ensure sustainable economic growth. </w:t>
      </w:r>
      <w:r>
        <w:rPr>
          <w:i/>
          <w:color w:val="000000"/>
          <w:highlight w:val="white"/>
        </w:rPr>
        <w:t>Sustainability</w:t>
      </w:r>
      <w:r>
        <w:rPr>
          <w:color w:val="000000"/>
          <w:highlight w:val="white"/>
        </w:rPr>
        <w:t xml:space="preserve">, </w:t>
      </w:r>
      <w:r>
        <w:rPr>
          <w:i/>
          <w:color w:val="000000"/>
          <w:highlight w:val="white"/>
        </w:rPr>
        <w:t>14</w:t>
      </w:r>
      <w:r>
        <w:rPr>
          <w:color w:val="000000"/>
          <w:highlight w:val="white"/>
        </w:rPr>
        <w:t>(1), p.518.</w:t>
      </w:r>
    </w:p>
    <w:p w14:paraId="76E23141"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gov.uk, (n.d). </w:t>
      </w:r>
      <w:r>
        <w:rPr>
          <w:i/>
          <w:color w:val="000000"/>
        </w:rPr>
        <w:t>Data protection</w:t>
      </w:r>
      <w:r>
        <w:rPr>
          <w:color w:val="000000"/>
        </w:rPr>
        <w:t>. [Online] Available at: https://www.gov.uk/data-protection [Accessed on: 01.11.2024]</w:t>
      </w:r>
    </w:p>
    <w:p w14:paraId="5E889275"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 xml:space="preserve">He, W., Zhang, Z.J. and Li, W., (2021). Information technology solutions, challenges, and suggestions for tackling the COVID-19 pandemic. </w:t>
      </w:r>
      <w:r>
        <w:rPr>
          <w:i/>
          <w:color w:val="000000"/>
          <w:highlight w:val="white"/>
        </w:rPr>
        <w:t>International journal of information management</w:t>
      </w:r>
      <w:r>
        <w:rPr>
          <w:color w:val="000000"/>
          <w:highlight w:val="white"/>
        </w:rPr>
        <w:t xml:space="preserve">, </w:t>
      </w:r>
      <w:r>
        <w:rPr>
          <w:i/>
          <w:color w:val="000000"/>
          <w:highlight w:val="white"/>
        </w:rPr>
        <w:t>57</w:t>
      </w:r>
      <w:r>
        <w:rPr>
          <w:color w:val="000000"/>
          <w:highlight w:val="white"/>
        </w:rPr>
        <w:t>, p.102287.</w:t>
      </w:r>
    </w:p>
    <w:p w14:paraId="3867787B" w14:textId="77777777" w:rsidR="00030055" w:rsidRDefault="00FE3FA4">
      <w:pPr>
        <w:pBdr>
          <w:top w:val="nil"/>
          <w:left w:val="nil"/>
          <w:bottom w:val="nil"/>
          <w:right w:val="nil"/>
          <w:between w:val="nil"/>
        </w:pBdr>
        <w:spacing w:after="240" w:line="360" w:lineRule="auto"/>
        <w:jc w:val="both"/>
        <w:rPr>
          <w:color w:val="000000"/>
        </w:rPr>
      </w:pPr>
      <w:r>
        <w:rPr>
          <w:color w:val="000000"/>
        </w:rPr>
        <w:lastRenderedPageBreak/>
        <w:t xml:space="preserve">Hoory.L, (2024). </w:t>
      </w:r>
      <w:r>
        <w:rPr>
          <w:i/>
          <w:color w:val="000000"/>
        </w:rPr>
        <w:t>What Is A Stakeholder Analysis? Everything You Need To Know</w:t>
      </w:r>
      <w:r>
        <w:rPr>
          <w:color w:val="000000"/>
        </w:rPr>
        <w:t>. [Online] Available at: https://www.forbes.com/advisor/business/what-is-stakeholder-analysis/ [Accessed on: 01.11.2024]</w:t>
      </w:r>
    </w:p>
    <w:p w14:paraId="7485E8B0"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Hussain.Z, (2014). </w:t>
      </w:r>
      <w:r>
        <w:rPr>
          <w:i/>
          <w:color w:val="000000"/>
        </w:rPr>
        <w:t xml:space="preserve">Can political stability hurt economic growth? </w:t>
      </w:r>
      <w:r>
        <w:rPr>
          <w:color w:val="000000"/>
        </w:rPr>
        <w:t>[Online] Available at: https://blogs.worldbank.org/en/endpovertyinsouthasia/can-political-stability-hurt-economic-growth [Accessed on: 01.11.2024]</w:t>
      </w:r>
    </w:p>
    <w:p w14:paraId="503C9841"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ico.org.uk, (n.d). </w:t>
      </w:r>
      <w:r>
        <w:rPr>
          <w:i/>
          <w:color w:val="000000"/>
        </w:rPr>
        <w:t>Digital Regulation Cooperation Forum</w:t>
      </w:r>
      <w:r>
        <w:rPr>
          <w:color w:val="000000"/>
        </w:rPr>
        <w:t>. [Online] Available at: https://ico.org.uk/about-the-ico/what-we-do/digital-regulation-cooperation-forum/ [Accessed on: 01.11.2024]</w:t>
      </w:r>
    </w:p>
    <w:p w14:paraId="3FA9DA3E"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Ideson.P, (2024). </w:t>
      </w:r>
      <w:r>
        <w:rPr>
          <w:i/>
          <w:color w:val="000000"/>
        </w:rPr>
        <w:t xml:space="preserve">Porter’s Five Forces from a Procurement Perspective. </w:t>
      </w:r>
      <w:r>
        <w:rPr>
          <w:color w:val="000000"/>
        </w:rPr>
        <w:t>[Online] Available at: https://artofprocurement.com/learn/porters-five-forces-in-procurement/ [Accessed on: 01.11.2024]</w:t>
      </w:r>
    </w:p>
    <w:p w14:paraId="72265430"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improvementservice.org.uk, (n.d). </w:t>
      </w:r>
      <w:r>
        <w:rPr>
          <w:i/>
          <w:color w:val="000000"/>
        </w:rPr>
        <w:t>Introduction to the Power/Interest Grid</w:t>
      </w:r>
      <w:r>
        <w:rPr>
          <w:color w:val="000000"/>
        </w:rPr>
        <w:t>. [Online] Available at: https://www.improvementservice.org.uk/business-analysis-framework/consider-perspectives/powerinterest-grid. [Accessed on: 01.11.2024]</w:t>
      </w:r>
    </w:p>
    <w:p w14:paraId="4378A335"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Kilpinen, J., (2022). Customer retention in an ICT company.</w:t>
      </w:r>
    </w:p>
    <w:p w14:paraId="061A0625"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 xml:space="preserve">Lan, T.T.N., (2023). Market development strategy of renewable energy industry in Vietnam. </w:t>
      </w:r>
      <w:r>
        <w:rPr>
          <w:i/>
          <w:color w:val="000000"/>
          <w:highlight w:val="white"/>
        </w:rPr>
        <w:t>International journal of business and globalisation</w:t>
      </w:r>
      <w:r>
        <w:rPr>
          <w:color w:val="000000"/>
          <w:highlight w:val="white"/>
        </w:rPr>
        <w:t xml:space="preserve">, </w:t>
      </w:r>
      <w:r>
        <w:rPr>
          <w:i/>
          <w:color w:val="000000"/>
          <w:highlight w:val="white"/>
        </w:rPr>
        <w:t>1</w:t>
      </w:r>
      <w:r>
        <w:rPr>
          <w:color w:val="000000"/>
          <w:highlight w:val="white"/>
        </w:rPr>
        <w:t>, pp.1-9.</w:t>
      </w:r>
    </w:p>
    <w:p w14:paraId="2F6A5D69"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legislation.gov.uk, (2023). </w:t>
      </w:r>
      <w:r>
        <w:rPr>
          <w:i/>
          <w:color w:val="000000"/>
        </w:rPr>
        <w:t>Economic Crime and Corporate Transparency Act 2023</w:t>
      </w:r>
      <w:r>
        <w:rPr>
          <w:color w:val="000000"/>
        </w:rPr>
        <w:t>. [Online] Available at: https://www.legislation.gov.uk/ukpga/2023/56 [Accessed on: 01.11.2024]</w:t>
      </w:r>
    </w:p>
    <w:p w14:paraId="1E8E3FD1"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Marke, A., Chan, C., Taskin, G. and Hacking, T., (2020). Reducing e-waste in China's mobile electronics industry: the application of the innovative circular business models. </w:t>
      </w:r>
      <w:r>
        <w:rPr>
          <w:i/>
          <w:color w:val="000000"/>
          <w:highlight w:val="white"/>
        </w:rPr>
        <w:t>Asian education and development studies</w:t>
      </w:r>
      <w:r>
        <w:rPr>
          <w:color w:val="000000"/>
          <w:highlight w:val="white"/>
        </w:rPr>
        <w:t xml:space="preserve">, </w:t>
      </w:r>
      <w:r>
        <w:rPr>
          <w:i/>
          <w:color w:val="000000"/>
          <w:highlight w:val="white"/>
        </w:rPr>
        <w:t>9</w:t>
      </w:r>
      <w:r>
        <w:rPr>
          <w:color w:val="000000"/>
          <w:highlight w:val="white"/>
        </w:rPr>
        <w:t>(4), pp.591-610.</w:t>
      </w:r>
    </w:p>
    <w:p w14:paraId="5232F104"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Miao, M., Zaman, S.I., Zafar, A., Rodriguez, C.G. and Ali Zaman, S.A., (2022). The augmentation of Knowledge Management through Industry 4.0: case of Aviation sector of emerging economy. </w:t>
      </w:r>
      <w:r>
        <w:rPr>
          <w:i/>
          <w:color w:val="000000"/>
          <w:highlight w:val="white"/>
        </w:rPr>
        <w:t>Knowledge Management Research &amp; Practice</w:t>
      </w:r>
      <w:r>
        <w:rPr>
          <w:color w:val="000000"/>
          <w:highlight w:val="white"/>
        </w:rPr>
        <w:t xml:space="preserve">, </w:t>
      </w:r>
      <w:r>
        <w:rPr>
          <w:i/>
          <w:color w:val="000000"/>
          <w:highlight w:val="white"/>
        </w:rPr>
        <w:t>20</w:t>
      </w:r>
      <w:r>
        <w:rPr>
          <w:color w:val="000000"/>
          <w:highlight w:val="white"/>
        </w:rPr>
        <w:t>(6), pp.893-912.</w:t>
      </w:r>
    </w:p>
    <w:p w14:paraId="07551A39"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oecd.org, (2020). </w:t>
      </w:r>
      <w:r>
        <w:rPr>
          <w:i/>
          <w:color w:val="000000"/>
        </w:rPr>
        <w:t xml:space="preserve">Enterprises by business size. </w:t>
      </w:r>
      <w:r>
        <w:rPr>
          <w:color w:val="000000"/>
        </w:rPr>
        <w:t>[Online] Available at: https://www.oecd.org/en/data/indicators/enterprises-by-business-size.html. [Accessed on: 01.11.2024]</w:t>
      </w:r>
    </w:p>
    <w:p w14:paraId="66DBA22B" w14:textId="77777777" w:rsidR="00030055" w:rsidRDefault="00FE3FA4">
      <w:pPr>
        <w:pBdr>
          <w:top w:val="nil"/>
          <w:left w:val="nil"/>
          <w:bottom w:val="nil"/>
          <w:right w:val="nil"/>
          <w:between w:val="nil"/>
        </w:pBdr>
        <w:spacing w:after="240" w:line="360" w:lineRule="auto"/>
        <w:jc w:val="both"/>
        <w:rPr>
          <w:color w:val="000000"/>
        </w:rPr>
      </w:pPr>
      <w:r>
        <w:rPr>
          <w:color w:val="000000"/>
        </w:rPr>
        <w:lastRenderedPageBreak/>
        <w:t xml:space="preserve">ons.gov.uk, (2024). </w:t>
      </w:r>
      <w:r>
        <w:rPr>
          <w:i/>
          <w:color w:val="000000"/>
        </w:rPr>
        <w:t>Inflation and price indices</w:t>
      </w:r>
      <w:r>
        <w:rPr>
          <w:color w:val="000000"/>
        </w:rPr>
        <w:t>. [Online] Available at: https://www.ons.gov.uk/economy/inflationandpriceindices [Accessed on: 01.11.2024]</w:t>
      </w:r>
    </w:p>
    <w:p w14:paraId="12E944EF"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Palavesh, S., (2021). Co-Creating Business Concepts with Customers: Approaches to the Use of Customers in New Product/Service Development. </w:t>
      </w:r>
      <w:r>
        <w:rPr>
          <w:i/>
          <w:color w:val="000000"/>
          <w:highlight w:val="white"/>
        </w:rPr>
        <w:t>Integrated Journal for Research in Arts and Humanities</w:t>
      </w:r>
      <w:r>
        <w:rPr>
          <w:color w:val="000000"/>
          <w:highlight w:val="white"/>
        </w:rPr>
        <w:t xml:space="preserve">, </w:t>
      </w:r>
      <w:r>
        <w:rPr>
          <w:i/>
          <w:color w:val="000000"/>
          <w:highlight w:val="white"/>
        </w:rPr>
        <w:t>1</w:t>
      </w:r>
      <w:r>
        <w:rPr>
          <w:color w:val="000000"/>
          <w:highlight w:val="white"/>
        </w:rPr>
        <w:t>(1), pp.54-66.</w:t>
      </w:r>
    </w:p>
    <w:p w14:paraId="1A063B3A"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Parolisi Ricardo, G., (2024). COLOMBIAN COFFEE: A MARKETING STRATEGY BEYOND A BRAND AND ITS IMPACT ON THE INTERNATIONAL MARKET.</w:t>
      </w:r>
    </w:p>
    <w:p w14:paraId="7C1ACE99"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Peppler.S, (2022). </w:t>
      </w:r>
      <w:r>
        <w:rPr>
          <w:i/>
          <w:color w:val="000000"/>
        </w:rPr>
        <w:t xml:space="preserve">Competition-Based Pricing: Advantages &amp; Disadvantages. </w:t>
      </w:r>
      <w:r>
        <w:rPr>
          <w:color w:val="000000"/>
        </w:rPr>
        <w:t>[Online] Available at: https://www.flintfox.com/resources/articles/competition-based-pricing-guide/. [Accessed on: 01.11.2024]</w:t>
      </w:r>
    </w:p>
    <w:p w14:paraId="2B74BC11"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Phillips, B., (2021). UK further education sector journey to compliance with the general data protection regulation and the data protection act 2018. </w:t>
      </w:r>
      <w:r>
        <w:rPr>
          <w:i/>
          <w:color w:val="000000"/>
          <w:highlight w:val="white"/>
        </w:rPr>
        <w:t>Computer Law &amp; Security Review</w:t>
      </w:r>
      <w:r>
        <w:rPr>
          <w:color w:val="000000"/>
          <w:highlight w:val="white"/>
        </w:rPr>
        <w:t xml:space="preserve">, </w:t>
      </w:r>
      <w:r>
        <w:rPr>
          <w:i/>
          <w:color w:val="000000"/>
          <w:highlight w:val="white"/>
        </w:rPr>
        <w:t>42</w:t>
      </w:r>
      <w:r>
        <w:rPr>
          <w:color w:val="000000"/>
          <w:highlight w:val="white"/>
        </w:rPr>
        <w:t>, p.105586.</w:t>
      </w:r>
    </w:p>
    <w:p w14:paraId="385FB503"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rsmuk.com, (2024). </w:t>
      </w:r>
      <w:r>
        <w:rPr>
          <w:i/>
          <w:color w:val="000000"/>
        </w:rPr>
        <w:t xml:space="preserve">Number of tech company start-ups jump by record 22%. </w:t>
      </w:r>
      <w:r>
        <w:rPr>
          <w:color w:val="000000"/>
        </w:rPr>
        <w:t>[Online] Available at: https://www.rsmuk.com/news/number-of-tech-company-start-ups-jump-by-record-22-percent. [Accessed on: 01.11.2024]</w:t>
      </w:r>
    </w:p>
    <w:p w14:paraId="4AB00FF4"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 xml:space="preserve">Sheehy, B. and Farneti, F., (2021). Corporate social responsibility, sustainability, sustainable development and corporate sustainability: What is the difference, and does it matter?. </w:t>
      </w:r>
      <w:r>
        <w:rPr>
          <w:i/>
          <w:color w:val="000000"/>
          <w:highlight w:val="white"/>
        </w:rPr>
        <w:t>Sustainability</w:t>
      </w:r>
      <w:r>
        <w:rPr>
          <w:color w:val="000000"/>
          <w:highlight w:val="white"/>
        </w:rPr>
        <w:t xml:space="preserve">, </w:t>
      </w:r>
      <w:r>
        <w:rPr>
          <w:i/>
          <w:color w:val="000000"/>
          <w:highlight w:val="white"/>
        </w:rPr>
        <w:t>13</w:t>
      </w:r>
      <w:r>
        <w:rPr>
          <w:color w:val="000000"/>
          <w:highlight w:val="white"/>
        </w:rPr>
        <w:t>(11), p.5965.</w:t>
      </w:r>
    </w:p>
    <w:p w14:paraId="5F60D1A4"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Shone.D, (2024). </w:t>
      </w:r>
      <w:r>
        <w:rPr>
          <w:i/>
          <w:color w:val="000000"/>
        </w:rPr>
        <w:t>Apex Computing Services Wins Prestigious "Mid Enterprise MSP of the Year" Award at Technology Reseller Awards 2024</w:t>
      </w:r>
      <w:r>
        <w:rPr>
          <w:color w:val="000000"/>
        </w:rPr>
        <w:t>. [Online] Available at: https://www.apexcomputing.co.uk/news/apex-computing-services-wins-prestigious-mid-enterprise-msp-of-the-year-award-at-technology-reseller-awards-2024 [Accessed on: 01.11.2024]</w:t>
      </w:r>
    </w:p>
    <w:p w14:paraId="20575DCB"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signalhire.com, (2024). </w:t>
      </w:r>
      <w:r>
        <w:rPr>
          <w:i/>
          <w:color w:val="000000"/>
        </w:rPr>
        <w:t>Apex Computing Services Ltd Overview.</w:t>
      </w:r>
      <w:r>
        <w:rPr>
          <w:color w:val="000000"/>
        </w:rPr>
        <w:t xml:space="preserve"> [Online] Available at: https://www.signalhire.com/companies/apex-computing-services-ltd [Accessed on: 01.11.2024]</w:t>
      </w:r>
    </w:p>
    <w:p w14:paraId="52B5E6B9"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Sitopu, Y.B., Sitinjak, K.A. and Marpaung, F.K., (2021). The influence of motivation, work discipline, and compensation on employee performance. </w:t>
      </w:r>
      <w:r>
        <w:rPr>
          <w:i/>
          <w:color w:val="000000"/>
          <w:highlight w:val="white"/>
        </w:rPr>
        <w:t>Golden Ratio of Human Resource Management</w:t>
      </w:r>
      <w:r>
        <w:rPr>
          <w:color w:val="000000"/>
          <w:highlight w:val="white"/>
        </w:rPr>
        <w:t xml:space="preserve">, </w:t>
      </w:r>
      <w:r>
        <w:rPr>
          <w:i/>
          <w:color w:val="000000"/>
          <w:highlight w:val="white"/>
        </w:rPr>
        <w:t>1</w:t>
      </w:r>
      <w:r>
        <w:rPr>
          <w:color w:val="000000"/>
          <w:highlight w:val="white"/>
        </w:rPr>
        <w:t>(2), pp.72-83.</w:t>
      </w:r>
    </w:p>
    <w:p w14:paraId="276126F8" w14:textId="77777777" w:rsidR="00030055" w:rsidRDefault="00FE3FA4">
      <w:pPr>
        <w:pBdr>
          <w:top w:val="nil"/>
          <w:left w:val="nil"/>
          <w:bottom w:val="nil"/>
          <w:right w:val="nil"/>
          <w:between w:val="nil"/>
        </w:pBdr>
        <w:spacing w:after="240" w:line="360" w:lineRule="auto"/>
        <w:jc w:val="both"/>
        <w:rPr>
          <w:color w:val="000000"/>
        </w:rPr>
      </w:pPr>
      <w:r>
        <w:rPr>
          <w:color w:val="000000"/>
        </w:rPr>
        <w:lastRenderedPageBreak/>
        <w:t xml:space="preserve">statista.com, (2023). </w:t>
      </w:r>
      <w:r>
        <w:rPr>
          <w:i/>
          <w:color w:val="000000"/>
        </w:rPr>
        <w:t>Online shopping behavior in the United Kingdom (UK) - statistics &amp; facts</w:t>
      </w:r>
      <w:r>
        <w:rPr>
          <w:color w:val="000000"/>
        </w:rPr>
        <w:t>. [Online] Available at: https://www.statista.com/topics/7887/online-shopping-behavior-in-the-uk/#topicOverview [Accessed on: 01.11.2024]</w:t>
      </w:r>
    </w:p>
    <w:p w14:paraId="5520B0D0"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Tatikonda, V., Venigandla, K. and Vemuri, N., (2022). Transforming customer banking experiences: ai-driven rpa for customized service delivery. </w:t>
      </w:r>
      <w:r>
        <w:rPr>
          <w:i/>
          <w:color w:val="000000"/>
          <w:highlight w:val="white"/>
        </w:rPr>
        <w:t>International Journal of Development Research</w:t>
      </w:r>
      <w:r>
        <w:rPr>
          <w:color w:val="000000"/>
          <w:highlight w:val="white"/>
        </w:rPr>
        <w:t xml:space="preserve">, </w:t>
      </w:r>
      <w:r>
        <w:rPr>
          <w:i/>
          <w:color w:val="000000"/>
          <w:highlight w:val="white"/>
        </w:rPr>
        <w:t>12</w:t>
      </w:r>
      <w:r>
        <w:rPr>
          <w:color w:val="000000"/>
          <w:highlight w:val="white"/>
        </w:rPr>
        <w:t>, pp.60674-60677.</w:t>
      </w:r>
    </w:p>
    <w:p w14:paraId="622C08A8" w14:textId="77777777" w:rsidR="00030055" w:rsidRDefault="00FE3FA4">
      <w:pPr>
        <w:pBdr>
          <w:top w:val="nil"/>
          <w:left w:val="nil"/>
          <w:bottom w:val="nil"/>
          <w:right w:val="nil"/>
          <w:between w:val="nil"/>
        </w:pBdr>
        <w:spacing w:after="240" w:line="360" w:lineRule="auto"/>
        <w:jc w:val="both"/>
        <w:rPr>
          <w:color w:val="000000"/>
        </w:rPr>
      </w:pPr>
      <w:r>
        <w:rPr>
          <w:color w:val="000000"/>
        </w:rPr>
        <w:t>tradingeconomics.com, (2024). United Kingdom - Political Stability And Absence Of Violence/Terrorism: Estimate. [Online] Available at: https://tradingeconomics.com/united-kingdom/political-stability-and-absence-of-violence-terrorism-estimate-wb-data.html [Accessed on: 01.11.2024]</w:t>
      </w:r>
    </w:p>
    <w:p w14:paraId="4E5500DA" w14:textId="77777777" w:rsidR="00030055" w:rsidRDefault="00FE3FA4">
      <w:pPr>
        <w:pBdr>
          <w:top w:val="nil"/>
          <w:left w:val="nil"/>
          <w:bottom w:val="nil"/>
          <w:right w:val="nil"/>
          <w:between w:val="nil"/>
        </w:pBdr>
        <w:spacing w:after="240" w:line="360" w:lineRule="auto"/>
        <w:jc w:val="both"/>
        <w:rPr>
          <w:color w:val="000000"/>
          <w:highlight w:val="white"/>
        </w:rPr>
      </w:pPr>
      <w:r>
        <w:rPr>
          <w:color w:val="000000"/>
          <w:highlight w:val="white"/>
        </w:rPr>
        <w:t xml:space="preserve">Trevino, L.K. and Nelson, K.A., (2021). </w:t>
      </w:r>
      <w:r>
        <w:rPr>
          <w:i/>
          <w:color w:val="000000"/>
          <w:highlight w:val="white"/>
        </w:rPr>
        <w:t>Managing business ethics: Straight talk about how to do it right</w:t>
      </w:r>
      <w:r>
        <w:rPr>
          <w:color w:val="000000"/>
          <w:highlight w:val="white"/>
        </w:rPr>
        <w:t>. John Wiley &amp; Sons.</w:t>
      </w:r>
    </w:p>
    <w:p w14:paraId="2E0E93A6"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uk.trustpilot.com, (2024). </w:t>
      </w:r>
      <w:r>
        <w:rPr>
          <w:i/>
          <w:color w:val="000000"/>
        </w:rPr>
        <w:t>Apex Computing Services</w:t>
      </w:r>
      <w:r>
        <w:rPr>
          <w:color w:val="000000"/>
        </w:rPr>
        <w:t>. [Online] Available at: https://uk.trustpilot.com/review/apexcomputing.co.uk [Accessed on: 01.11.2024]</w:t>
      </w:r>
    </w:p>
    <w:p w14:paraId="004302BA"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vizologi.com, (2023). </w:t>
      </w:r>
      <w:r>
        <w:rPr>
          <w:i/>
          <w:color w:val="000000"/>
        </w:rPr>
        <w:t xml:space="preserve">What are the 5 C’s of innovation? </w:t>
      </w:r>
      <w:r>
        <w:rPr>
          <w:color w:val="000000"/>
        </w:rPr>
        <w:t>[Online] Available at: https://vizologi.com/what-are-cs-of-innovation/ [Accessed on: 01.11.2024]</w:t>
      </w:r>
    </w:p>
    <w:p w14:paraId="25CC4E9F"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wastemanaged.co.uk, (n.d). </w:t>
      </w:r>
      <w:r>
        <w:rPr>
          <w:i/>
          <w:color w:val="000000"/>
        </w:rPr>
        <w:t>E-Waste Guide – Facts &amp; Statistics</w:t>
      </w:r>
      <w:r>
        <w:rPr>
          <w:color w:val="000000"/>
        </w:rPr>
        <w:t>. [Online] Available at: https://www.wastemanaged.co.uk/our-news/other/e-waste-guide-statistics/ [Accessed on: 01.11.2024]</w:t>
      </w:r>
    </w:p>
    <w:p w14:paraId="29F0F452"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 xml:space="preserve">Wouters, O.J., McKee, M. and Luyten, J., (2020). Estimated research and development investment needed to bring a new medicine to market, 2009-2018. </w:t>
      </w:r>
      <w:r>
        <w:rPr>
          <w:i/>
          <w:color w:val="000000"/>
          <w:highlight w:val="white"/>
        </w:rPr>
        <w:t>Jama</w:t>
      </w:r>
      <w:r>
        <w:rPr>
          <w:color w:val="000000"/>
          <w:highlight w:val="white"/>
        </w:rPr>
        <w:t xml:space="preserve">, </w:t>
      </w:r>
      <w:r>
        <w:rPr>
          <w:i/>
          <w:color w:val="000000"/>
          <w:highlight w:val="white"/>
        </w:rPr>
        <w:t>323</w:t>
      </w:r>
      <w:r>
        <w:rPr>
          <w:color w:val="000000"/>
          <w:highlight w:val="white"/>
        </w:rPr>
        <w:t>(9), pp.844-853.</w:t>
      </w:r>
    </w:p>
    <w:p w14:paraId="1BD9A563" w14:textId="77777777" w:rsidR="00030055" w:rsidRDefault="00FE3FA4">
      <w:pPr>
        <w:pBdr>
          <w:top w:val="nil"/>
          <w:left w:val="nil"/>
          <w:bottom w:val="nil"/>
          <w:right w:val="nil"/>
          <w:between w:val="nil"/>
        </w:pBdr>
        <w:spacing w:after="240" w:line="360" w:lineRule="auto"/>
        <w:jc w:val="both"/>
        <w:rPr>
          <w:color w:val="000000"/>
        </w:rPr>
      </w:pPr>
      <w:r>
        <w:rPr>
          <w:color w:val="000000"/>
        </w:rPr>
        <w:t xml:space="preserve">zoominfo.com, (2024). </w:t>
      </w:r>
      <w:r>
        <w:rPr>
          <w:i/>
          <w:color w:val="000000"/>
        </w:rPr>
        <w:t xml:space="preserve">Apex Computing. </w:t>
      </w:r>
      <w:r>
        <w:rPr>
          <w:color w:val="000000"/>
        </w:rPr>
        <w:t>[Online] Available at: https://www.zoominfo.com/c/apex-computing-ltd/9212116 [Accessed on: 01.11.2024]</w:t>
      </w:r>
    </w:p>
    <w:p w14:paraId="07AA9844" w14:textId="77777777" w:rsidR="00030055" w:rsidRDefault="00FE3FA4">
      <w:pPr>
        <w:pBdr>
          <w:top w:val="nil"/>
          <w:left w:val="nil"/>
          <w:bottom w:val="nil"/>
          <w:right w:val="nil"/>
          <w:between w:val="nil"/>
        </w:pBdr>
        <w:spacing w:after="240" w:line="360" w:lineRule="auto"/>
        <w:jc w:val="both"/>
        <w:rPr>
          <w:color w:val="000000"/>
        </w:rPr>
      </w:pPr>
      <w:r>
        <w:rPr>
          <w:color w:val="000000"/>
          <w:highlight w:val="white"/>
        </w:rPr>
        <w:t xml:space="preserve">Zugay, B. and Zakaria, R., (2023). </w:t>
      </w:r>
      <w:r>
        <w:rPr>
          <w:i/>
          <w:color w:val="000000"/>
          <w:highlight w:val="white"/>
        </w:rPr>
        <w:t>Ansoff matrix</w:t>
      </w:r>
      <w:r>
        <w:rPr>
          <w:color w:val="000000"/>
          <w:highlight w:val="white"/>
        </w:rPr>
        <w:t>. SAGE Publications, Inc..</w:t>
      </w:r>
    </w:p>
    <w:p w14:paraId="36A01F40" w14:textId="77777777" w:rsidR="00030055" w:rsidRDefault="00FE3FA4">
      <w:pPr>
        <w:rPr>
          <w:highlight w:val="white"/>
        </w:rPr>
      </w:pPr>
      <w:r>
        <w:br w:type="page"/>
      </w:r>
    </w:p>
    <w:p w14:paraId="37DBBD15" w14:textId="37F55192" w:rsidR="00030055" w:rsidRPr="00C24EE8" w:rsidRDefault="00C24EE8">
      <w:pPr>
        <w:pBdr>
          <w:top w:val="nil"/>
          <w:left w:val="nil"/>
          <w:bottom w:val="nil"/>
          <w:right w:val="nil"/>
          <w:between w:val="nil"/>
        </w:pBdr>
        <w:spacing w:after="240" w:line="360" w:lineRule="auto"/>
        <w:jc w:val="both"/>
        <w:rPr>
          <w:b/>
          <w:bCs/>
          <w:color w:val="000000"/>
        </w:rPr>
      </w:pPr>
      <w:r w:rsidRPr="00C24EE8">
        <w:rPr>
          <w:b/>
          <w:bCs/>
          <w:color w:val="000000"/>
        </w:rPr>
        <w:lastRenderedPageBreak/>
        <w:t>TASK 2 POSTER</w:t>
      </w:r>
    </w:p>
    <w:p w14:paraId="03F19883" w14:textId="4CF83D12" w:rsidR="00030055" w:rsidRDefault="00155028">
      <w:pPr>
        <w:pBdr>
          <w:top w:val="nil"/>
          <w:left w:val="nil"/>
          <w:bottom w:val="nil"/>
          <w:right w:val="nil"/>
          <w:between w:val="nil"/>
        </w:pBdr>
        <w:spacing w:after="240" w:line="360" w:lineRule="auto"/>
        <w:jc w:val="both"/>
        <w:rPr>
          <w:b/>
          <w:color w:val="000000"/>
        </w:rPr>
      </w:pPr>
      <w:r>
        <w:rPr>
          <w:noProof/>
        </w:rPr>
        <w:drawing>
          <wp:inline distT="0" distB="0" distL="0" distR="0" wp14:anchorId="6A4BB24E" wp14:editId="0D8DE87E">
            <wp:extent cx="5733415" cy="5294630"/>
            <wp:effectExtent l="0" t="0" r="635" b="1270"/>
            <wp:docPr id="1673495863" name="Graf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495863"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3415" cy="5294630"/>
                    </a:xfrm>
                    <a:prstGeom prst="rect">
                      <a:avLst/>
                    </a:prstGeom>
                  </pic:spPr>
                </pic:pic>
              </a:graphicData>
            </a:graphic>
          </wp:inline>
        </w:drawing>
      </w:r>
    </w:p>
    <w:sectPr w:rsidR="00030055">
      <w:footerReference w:type="default" r:id="rId13"/>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376201" w14:textId="77777777" w:rsidR="005E5EB7" w:rsidRDefault="005E5EB7">
      <w:pPr>
        <w:spacing w:line="240" w:lineRule="auto"/>
      </w:pPr>
      <w:r>
        <w:separator/>
      </w:r>
    </w:p>
  </w:endnote>
  <w:endnote w:type="continuationSeparator" w:id="0">
    <w:p w14:paraId="72B524CE" w14:textId="77777777" w:rsidR="005E5EB7" w:rsidRDefault="005E5E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45C616" w14:textId="77777777" w:rsidR="00030055" w:rsidRDefault="00FE3FA4">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C24EE8">
      <w:rPr>
        <w:noProof/>
        <w:color w:val="000000"/>
      </w:rPr>
      <w:t>2</w:t>
    </w:r>
    <w:r>
      <w:rPr>
        <w:color w:val="000000"/>
      </w:rPr>
      <w:fldChar w:fldCharType="end"/>
    </w:r>
  </w:p>
  <w:p w14:paraId="22CCF9FC" w14:textId="77777777" w:rsidR="00030055" w:rsidRDefault="0003005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02F57D" w14:textId="77777777" w:rsidR="005E5EB7" w:rsidRDefault="005E5EB7">
      <w:pPr>
        <w:spacing w:line="240" w:lineRule="auto"/>
      </w:pPr>
      <w:r>
        <w:separator/>
      </w:r>
    </w:p>
  </w:footnote>
  <w:footnote w:type="continuationSeparator" w:id="0">
    <w:p w14:paraId="4DEEC3BF" w14:textId="77777777" w:rsidR="005E5EB7" w:rsidRDefault="005E5EB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FB435F"/>
    <w:multiLevelType w:val="multilevel"/>
    <w:tmpl w:val="D1DEEE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B7E4832"/>
    <w:multiLevelType w:val="multilevel"/>
    <w:tmpl w:val="E4AC58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F686E69"/>
    <w:multiLevelType w:val="multilevel"/>
    <w:tmpl w:val="EFBCAB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DD003F9"/>
    <w:multiLevelType w:val="multilevel"/>
    <w:tmpl w:val="298A01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83797434">
    <w:abstractNumId w:val="0"/>
  </w:num>
  <w:num w:numId="2" w16cid:durableId="1084181892">
    <w:abstractNumId w:val="3"/>
  </w:num>
  <w:num w:numId="3" w16cid:durableId="911618928">
    <w:abstractNumId w:val="1"/>
  </w:num>
  <w:num w:numId="4" w16cid:durableId="4320889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0055"/>
    <w:rsid w:val="00030055"/>
    <w:rsid w:val="00155028"/>
    <w:rsid w:val="00337666"/>
    <w:rsid w:val="003E482C"/>
    <w:rsid w:val="00403240"/>
    <w:rsid w:val="005E5EB7"/>
    <w:rsid w:val="00A213F1"/>
    <w:rsid w:val="00B2481B"/>
    <w:rsid w:val="00C24EE8"/>
    <w:rsid w:val="00D20601"/>
    <w:rsid w:val="00FC1069"/>
    <w:rsid w:val="00FE3FA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F8658"/>
  <w15:docId w15:val="{B0B7E053-33CB-4E84-9892-486A07CE8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5DF"/>
  </w:style>
  <w:style w:type="paragraph" w:styleId="Heading1">
    <w:name w:val="heading 1"/>
    <w:basedOn w:val="Normal1"/>
    <w:next w:val="Normal1"/>
    <w:uiPriority w:val="9"/>
    <w:qFormat/>
    <w:rsid w:val="00A4222F"/>
    <w:pPr>
      <w:keepNext/>
      <w:keepLines/>
      <w:spacing w:before="400" w:after="120" w:line="360" w:lineRule="auto"/>
      <w:jc w:val="both"/>
      <w:outlineLvl w:val="0"/>
    </w:pPr>
    <w:rPr>
      <w:b/>
      <w:sz w:val="28"/>
      <w:szCs w:val="40"/>
    </w:rPr>
  </w:style>
  <w:style w:type="paragraph" w:styleId="Heading2">
    <w:name w:val="heading 2"/>
    <w:basedOn w:val="Normal1"/>
    <w:next w:val="Normal1"/>
    <w:uiPriority w:val="9"/>
    <w:unhideWhenUsed/>
    <w:qFormat/>
    <w:rsid w:val="00A4222F"/>
    <w:pPr>
      <w:keepNext/>
      <w:keepLines/>
      <w:spacing w:before="360" w:after="120" w:line="360" w:lineRule="auto"/>
      <w:jc w:val="both"/>
      <w:outlineLvl w:val="1"/>
    </w:pPr>
    <w:rPr>
      <w:b/>
      <w:sz w:val="26"/>
      <w:szCs w:val="32"/>
    </w:rPr>
  </w:style>
  <w:style w:type="paragraph" w:styleId="Heading3">
    <w:name w:val="heading 3"/>
    <w:basedOn w:val="Normal1"/>
    <w:next w:val="Normal1"/>
    <w:uiPriority w:val="9"/>
    <w:semiHidden/>
    <w:unhideWhenUsed/>
    <w:qFormat/>
    <w:rsid w:val="00AF21DC"/>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AF21DC"/>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AF21DC"/>
    <w:pPr>
      <w:keepNext/>
      <w:keepLines/>
      <w:spacing w:before="240" w:after="80"/>
      <w:outlineLvl w:val="4"/>
    </w:pPr>
    <w:rPr>
      <w:color w:val="666666"/>
    </w:rPr>
  </w:style>
  <w:style w:type="paragraph" w:styleId="Heading6">
    <w:name w:val="heading 6"/>
    <w:basedOn w:val="Normal1"/>
    <w:next w:val="Normal1"/>
    <w:uiPriority w:val="9"/>
    <w:semiHidden/>
    <w:unhideWhenUsed/>
    <w:qFormat/>
    <w:rsid w:val="00AF21D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uiPriority w:val="10"/>
    <w:qFormat/>
    <w:rsid w:val="00AF21DC"/>
    <w:pPr>
      <w:keepNext/>
      <w:keepLines/>
      <w:spacing w:after="60"/>
    </w:pPr>
    <w:rPr>
      <w:sz w:val="52"/>
      <w:szCs w:val="52"/>
    </w:rPr>
  </w:style>
  <w:style w:type="paragraph" w:customStyle="1" w:styleId="Normal1">
    <w:name w:val="Normal1"/>
    <w:rsid w:val="00AF21DC"/>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rsid w:val="00AF21DC"/>
    <w:tblPr>
      <w:tblStyleRowBandSize w:val="1"/>
      <w:tblStyleColBandSize w:val="1"/>
      <w:tblCellMar>
        <w:top w:w="100" w:type="dxa"/>
        <w:left w:w="100" w:type="dxa"/>
        <w:bottom w:w="100" w:type="dxa"/>
        <w:right w:w="100" w:type="dxa"/>
      </w:tblCellMar>
    </w:tblPr>
  </w:style>
  <w:style w:type="table" w:customStyle="1" w:styleId="a0">
    <w:basedOn w:val="TableNormal"/>
    <w:rsid w:val="00AF21DC"/>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A4222F"/>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A4222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222F"/>
    <w:rPr>
      <w:rFonts w:ascii="Tahoma" w:hAnsi="Tahoma" w:cs="Tahoma"/>
      <w:sz w:val="16"/>
      <w:szCs w:val="16"/>
    </w:rPr>
  </w:style>
  <w:style w:type="paragraph" w:styleId="Header">
    <w:name w:val="header"/>
    <w:basedOn w:val="Normal"/>
    <w:link w:val="HeaderChar"/>
    <w:uiPriority w:val="99"/>
    <w:semiHidden/>
    <w:unhideWhenUsed/>
    <w:rsid w:val="0022321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23213"/>
  </w:style>
  <w:style w:type="paragraph" w:styleId="Footer">
    <w:name w:val="footer"/>
    <w:basedOn w:val="Normal"/>
    <w:link w:val="FooterChar"/>
    <w:uiPriority w:val="99"/>
    <w:unhideWhenUsed/>
    <w:rsid w:val="00223213"/>
    <w:pPr>
      <w:tabs>
        <w:tab w:val="center" w:pos="4680"/>
        <w:tab w:val="right" w:pos="9360"/>
      </w:tabs>
      <w:spacing w:line="240" w:lineRule="auto"/>
    </w:pPr>
  </w:style>
  <w:style w:type="character" w:customStyle="1" w:styleId="FooterChar">
    <w:name w:val="Footer Char"/>
    <w:basedOn w:val="DefaultParagraphFont"/>
    <w:link w:val="Footer"/>
    <w:uiPriority w:val="99"/>
    <w:rsid w:val="00223213"/>
  </w:style>
  <w:style w:type="paragraph" w:styleId="TOCHeading">
    <w:name w:val="TOC Heading"/>
    <w:basedOn w:val="Heading1"/>
    <w:next w:val="Normal"/>
    <w:uiPriority w:val="39"/>
    <w:semiHidden/>
    <w:unhideWhenUsed/>
    <w:qFormat/>
    <w:rsid w:val="00223213"/>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223213"/>
    <w:pPr>
      <w:spacing w:after="100"/>
    </w:pPr>
  </w:style>
  <w:style w:type="paragraph" w:styleId="TOC2">
    <w:name w:val="toc 2"/>
    <w:basedOn w:val="Normal"/>
    <w:next w:val="Normal"/>
    <w:autoRedefine/>
    <w:uiPriority w:val="39"/>
    <w:unhideWhenUsed/>
    <w:rsid w:val="00223213"/>
    <w:pPr>
      <w:spacing w:after="100"/>
      <w:ind w:left="220"/>
    </w:pPr>
  </w:style>
  <w:style w:type="character" w:styleId="Hyperlink">
    <w:name w:val="Hyperlink"/>
    <w:basedOn w:val="DefaultParagraphFont"/>
    <w:uiPriority w:val="99"/>
    <w:unhideWhenUsed/>
    <w:rsid w:val="00223213"/>
    <w:rPr>
      <w:color w:val="0000FF" w:themeColor="hyperlink"/>
      <w:u w:val="single"/>
    </w:r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sv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ZKq9FJ1b6uatIIKll9hMe8xaRVw==">CgMxLjAyCGguZ2pkZ3hzMgloLjMwajB6bGwyCWguMWZvYjl0ZTIJaC4zem55c2g3MgloLjJldDkycDAyCGgudHlqY3d0MgloLjNkeTZ2a20yCWguMXQzaDVzZjIJaC40ZDM0b2c4MgloLjJzOGV5bzEyCWguMTdkcDh2dTgAciExS0lpT1ZYNEMweGh2WndVem94RmF0dXpHRmM4SlZ6YzE=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20</Pages>
  <Words>5035</Words>
  <Characters>28705</Characters>
  <Application>Microsoft Office Word</Application>
  <DocSecurity>0</DocSecurity>
  <Lines>239</Lines>
  <Paragraphs>67</Paragraphs>
  <ScaleCrop>false</ScaleCrop>
  <Company/>
  <LinksUpToDate>false</LinksUpToDate>
  <CharactersWithSpaces>33673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Aliu</cp:lastModifiedBy>
  <cp:revision>8</cp:revision>
  <dcterms:created xsi:type="dcterms:W3CDTF">2024-11-03T15:20:00Z</dcterms:created>
  <dcterms:modified xsi:type="dcterms:W3CDTF">2024-11-10T21:25:00Z</dcterms:modified>
</cp:coreProperties>
</file>