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5084199"/>
        <w:docPartObj>
          <w:docPartGallery w:val="Cover Pages"/>
          <w:docPartUnique/>
        </w:docPartObj>
      </w:sdtPr>
      <w:sdtEndPr>
        <w:rPr>
          <w:rFonts w:ascii="Arial" w:eastAsia="Arial" w:hAnsi="Arial" w:cs="Arial"/>
        </w:rPr>
      </w:sdtEndPr>
      <w:sdtContent>
        <w:p w14:paraId="1C392408" w14:textId="4FF3B6EF" w:rsidR="0062363E" w:rsidRDefault="0062363E">
          <w:r>
            <w:rPr>
              <w:noProof/>
            </w:rPr>
            <mc:AlternateContent>
              <mc:Choice Requires="wps">
                <w:drawing>
                  <wp:anchor distT="0" distB="0" distL="114300" distR="114300" simplePos="0" relativeHeight="251664384" behindDoc="0" locked="0" layoutInCell="1" allowOverlap="1" wp14:anchorId="5727FF7A" wp14:editId="3480CA7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7D7969D" w14:textId="0FB4CDA7" w:rsidR="0062363E" w:rsidRDefault="0062363E">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Chris Jones (2411533)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727FF7A"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37D7969D" w14:textId="0FB4CDA7" w:rsidR="0062363E" w:rsidRDefault="0062363E">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Chris Jones (2411533)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BE49E62" wp14:editId="1C9CFD4E">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B0F58E1" w14:textId="77777777" w:rsidR="0062363E" w:rsidRDefault="0062363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E49E62"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B0F58E1" w14:textId="77777777" w:rsidR="0062363E" w:rsidRDefault="0062363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DAE5BCC" wp14:editId="35047F5F">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D0BF52" w14:textId="05927D2C" w:rsidR="0062363E" w:rsidRDefault="0062363E">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Pr="0062363E">
                                  <w:drawing>
                                    <wp:inline distT="0" distB="0" distL="0" distR="0" wp14:anchorId="5FD8B91B" wp14:editId="6479E272">
                                      <wp:extent cx="2497455" cy="1445260"/>
                                      <wp:effectExtent l="0" t="0" r="0" b="2540"/>
                                      <wp:docPr id="123081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814704" name=""/>
                                              <pic:cNvPicPr/>
                                            </pic:nvPicPr>
                                            <pic:blipFill>
                                              <a:blip r:embed="rId7"/>
                                              <a:stretch>
                                                <a:fillRect/>
                                              </a:stretch>
                                            </pic:blipFill>
                                            <pic:spPr>
                                              <a:xfrm>
                                                <a:off x="0" y="0"/>
                                                <a:ext cx="2497455" cy="1445260"/>
                                              </a:xfrm>
                                              <a:prstGeom prst="rect">
                                                <a:avLst/>
                                              </a:prstGeom>
                                            </pic:spPr>
                                          </pic:pic>
                                        </a:graphicData>
                                      </a:graphic>
                                    </wp:inline>
                                  </w:drawing>
                                </w:r>
                              </w:p>
                              <w:p w14:paraId="294BB182" w14:textId="77777777" w:rsidR="0062363E" w:rsidRDefault="0062363E"/>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DAE5BCC"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52D0BF52" w14:textId="05927D2C" w:rsidR="0062363E" w:rsidRDefault="0062363E">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Pr="0062363E">
                            <w:drawing>
                              <wp:inline distT="0" distB="0" distL="0" distR="0" wp14:anchorId="5FD8B91B" wp14:editId="6479E272">
                                <wp:extent cx="2497455" cy="1445260"/>
                                <wp:effectExtent l="0" t="0" r="0" b="2540"/>
                                <wp:docPr id="123081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814704" name=""/>
                                        <pic:cNvPicPr/>
                                      </pic:nvPicPr>
                                      <pic:blipFill>
                                        <a:blip r:embed="rId7"/>
                                        <a:stretch>
                                          <a:fillRect/>
                                        </a:stretch>
                                      </pic:blipFill>
                                      <pic:spPr>
                                        <a:xfrm>
                                          <a:off x="0" y="0"/>
                                          <a:ext cx="2497455" cy="1445260"/>
                                        </a:xfrm>
                                        <a:prstGeom prst="rect">
                                          <a:avLst/>
                                        </a:prstGeom>
                                      </pic:spPr>
                                    </pic:pic>
                                  </a:graphicData>
                                </a:graphic>
                              </wp:inline>
                            </w:drawing>
                          </w:r>
                        </w:p>
                        <w:p w14:paraId="294BB182" w14:textId="77777777" w:rsidR="0062363E" w:rsidRDefault="0062363E"/>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8972653" wp14:editId="29A5E438">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5E5373C"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C30F64F" wp14:editId="5D6616D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36464DE"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087A773" wp14:editId="5F2FC31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34A75AF" w14:textId="439A2EB2" w:rsidR="0062363E" w:rsidRDefault="0062363E">
                                <w:pPr>
                                  <w:spacing w:line="240" w:lineRule="auto"/>
                                  <w:rPr>
                                    <w:rFonts w:asciiTheme="majorHAnsi" w:eastAsiaTheme="majorEastAsia" w:hAnsiTheme="majorHAnsi" w:cstheme="majorBidi"/>
                                    <w:noProof/>
                                    <w:color w:val="156082" w:themeColor="accent1"/>
                                    <w:sz w:val="72"/>
                                    <w:szCs w:val="144"/>
                                  </w:rPr>
                                </w:pPr>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noProof/>
                                        <w:color w:val="156082" w:themeColor="accent1"/>
                                        <w:sz w:val="72"/>
                                        <w:szCs w:val="72"/>
                                      </w:rPr>
                                      <w:t xml:space="preserve">     </w:t>
                                    </w:r>
                                  </w:sdtContent>
                                </w:sdt>
                                <w:r w:rsidRPr="0062363E">
                                  <w:rPr>
                                    <w:rFonts w:ascii="Arial" w:eastAsiaTheme="majorEastAsia" w:hAnsi="Arial" w:cs="Arial"/>
                                    <w:b/>
                                    <w:bCs/>
                                    <w:noProof/>
                                    <w:color w:val="156082" w:themeColor="accent1"/>
                                    <w:sz w:val="72"/>
                                    <w:szCs w:val="72"/>
                                  </w:rPr>
                                  <w:t>Sport</w:t>
                                </w:r>
                                <w:r w:rsidRPr="0062363E">
                                  <w:rPr>
                                    <w:rFonts w:ascii="Arial" w:eastAsiaTheme="majorEastAsia" w:hAnsi="Arial" w:cs="Arial"/>
                                    <w:b/>
                                    <w:bCs/>
                                    <w:noProof/>
                                    <w:color w:val="156082" w:themeColor="accent1"/>
                                    <w:sz w:val="72"/>
                                    <w:szCs w:val="72"/>
                                  </w:rPr>
                                  <w:t>,</w:t>
                                </w:r>
                                <w:r w:rsidRPr="0062363E">
                                  <w:rPr>
                                    <w:rFonts w:ascii="Arial" w:eastAsiaTheme="majorEastAsia" w:hAnsi="Arial" w:cs="Arial"/>
                                    <w:b/>
                                    <w:bCs/>
                                    <w:noProof/>
                                    <w:color w:val="156082" w:themeColor="accent1"/>
                                    <w:sz w:val="72"/>
                                    <w:szCs w:val="72"/>
                                  </w:rPr>
                                  <w:t xml:space="preserve"> Physical Activity and Society</w:t>
                                </w:r>
                              </w:p>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A919F6D" w14:textId="392689DC" w:rsidR="0062363E" w:rsidRDefault="0062363E">
                                    <w:pPr>
                                      <w:rPr>
                                        <w:rFonts w:asciiTheme="majorHAnsi" w:eastAsiaTheme="majorEastAsia" w:hAnsiTheme="majorHAnsi" w:cstheme="majorBidi"/>
                                        <w:noProof/>
                                        <w:color w:val="0E2841" w:themeColor="text2"/>
                                        <w:sz w:val="32"/>
                                        <w:szCs w:val="40"/>
                                      </w:rPr>
                                    </w:pPr>
                                    <w:r w:rsidRPr="0062363E">
                                      <w:rPr>
                                        <w:rFonts w:asciiTheme="majorHAnsi" w:eastAsiaTheme="majorEastAsia" w:hAnsiTheme="majorHAnsi" w:cstheme="majorBidi"/>
                                        <w:noProof/>
                                        <w:color w:val="0E2841" w:themeColor="text2"/>
                                        <w:sz w:val="32"/>
                                        <w:szCs w:val="32"/>
                                      </w:rPr>
                                      <w:t>Module code: BMSM4007</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087A773"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534A75AF" w14:textId="439A2EB2" w:rsidR="0062363E" w:rsidRDefault="0062363E">
                          <w:pPr>
                            <w:spacing w:line="240" w:lineRule="auto"/>
                            <w:rPr>
                              <w:rFonts w:asciiTheme="majorHAnsi" w:eastAsiaTheme="majorEastAsia" w:hAnsiTheme="majorHAnsi" w:cstheme="majorBidi"/>
                              <w:noProof/>
                              <w:color w:val="156082" w:themeColor="accent1"/>
                              <w:sz w:val="72"/>
                              <w:szCs w:val="144"/>
                            </w:rPr>
                          </w:pPr>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noProof/>
                                  <w:color w:val="156082" w:themeColor="accent1"/>
                                  <w:sz w:val="72"/>
                                  <w:szCs w:val="72"/>
                                </w:rPr>
                                <w:t xml:space="preserve">     </w:t>
                              </w:r>
                            </w:sdtContent>
                          </w:sdt>
                          <w:r w:rsidRPr="0062363E">
                            <w:rPr>
                              <w:rFonts w:ascii="Arial" w:eastAsiaTheme="majorEastAsia" w:hAnsi="Arial" w:cs="Arial"/>
                              <w:b/>
                              <w:bCs/>
                              <w:noProof/>
                              <w:color w:val="156082" w:themeColor="accent1"/>
                              <w:sz w:val="72"/>
                              <w:szCs w:val="72"/>
                            </w:rPr>
                            <w:t>Sport</w:t>
                          </w:r>
                          <w:r w:rsidRPr="0062363E">
                            <w:rPr>
                              <w:rFonts w:ascii="Arial" w:eastAsiaTheme="majorEastAsia" w:hAnsi="Arial" w:cs="Arial"/>
                              <w:b/>
                              <w:bCs/>
                              <w:noProof/>
                              <w:color w:val="156082" w:themeColor="accent1"/>
                              <w:sz w:val="72"/>
                              <w:szCs w:val="72"/>
                            </w:rPr>
                            <w:t>,</w:t>
                          </w:r>
                          <w:r w:rsidRPr="0062363E">
                            <w:rPr>
                              <w:rFonts w:ascii="Arial" w:eastAsiaTheme="majorEastAsia" w:hAnsi="Arial" w:cs="Arial"/>
                              <w:b/>
                              <w:bCs/>
                              <w:noProof/>
                              <w:color w:val="156082" w:themeColor="accent1"/>
                              <w:sz w:val="72"/>
                              <w:szCs w:val="72"/>
                            </w:rPr>
                            <w:t xml:space="preserve"> Physical Activity and Society</w:t>
                          </w:r>
                        </w:p>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A919F6D" w14:textId="392689DC" w:rsidR="0062363E" w:rsidRDefault="0062363E">
                              <w:pPr>
                                <w:rPr>
                                  <w:rFonts w:asciiTheme="majorHAnsi" w:eastAsiaTheme="majorEastAsia" w:hAnsiTheme="majorHAnsi" w:cstheme="majorBidi"/>
                                  <w:noProof/>
                                  <w:color w:val="0E2841" w:themeColor="text2"/>
                                  <w:sz w:val="32"/>
                                  <w:szCs w:val="40"/>
                                </w:rPr>
                              </w:pPr>
                              <w:r w:rsidRPr="0062363E">
                                <w:rPr>
                                  <w:rFonts w:asciiTheme="majorHAnsi" w:eastAsiaTheme="majorEastAsia" w:hAnsiTheme="majorHAnsi" w:cstheme="majorBidi"/>
                                  <w:noProof/>
                                  <w:color w:val="0E2841" w:themeColor="text2"/>
                                  <w:sz w:val="32"/>
                                  <w:szCs w:val="32"/>
                                </w:rPr>
                                <w:t>Module code: BMSM4007</w:t>
                              </w:r>
                            </w:p>
                          </w:sdtContent>
                        </w:sdt>
                      </w:txbxContent>
                    </v:textbox>
                    <w10:wrap type="square" anchorx="page" anchory="page"/>
                  </v:shape>
                </w:pict>
              </mc:Fallback>
            </mc:AlternateContent>
          </w:r>
        </w:p>
        <w:p w14:paraId="5609DC6B" w14:textId="465C1ACD" w:rsidR="0062363E" w:rsidRDefault="0062363E">
          <w:pPr>
            <w:rPr>
              <w:rFonts w:ascii="Arial" w:eastAsia="Arial" w:hAnsi="Arial" w:cs="Arial"/>
            </w:rPr>
          </w:pPr>
          <w:r>
            <w:rPr>
              <w:rFonts w:ascii="Arial" w:eastAsia="Arial" w:hAnsi="Arial" w:cs="Arial"/>
            </w:rPr>
            <w:br w:type="page"/>
          </w:r>
        </w:p>
      </w:sdtContent>
    </w:sdt>
    <w:p w14:paraId="512F6F4E" w14:textId="77777777" w:rsidR="00F670D3" w:rsidRDefault="08670E2D" w:rsidP="00DF5048">
      <w:pPr>
        <w:spacing w:line="360" w:lineRule="auto"/>
        <w:jc w:val="both"/>
        <w:rPr>
          <w:rFonts w:ascii="Arial" w:eastAsia="Arial" w:hAnsi="Arial" w:cs="Arial"/>
        </w:rPr>
      </w:pPr>
      <w:r w:rsidRPr="619B0EA8">
        <w:rPr>
          <w:rFonts w:ascii="Arial" w:eastAsia="Arial" w:hAnsi="Arial" w:cs="Arial"/>
        </w:rPr>
        <w:lastRenderedPageBreak/>
        <w:t>PART</w:t>
      </w:r>
      <w:r w:rsidR="00FC5D69">
        <w:rPr>
          <w:rFonts w:ascii="Arial" w:eastAsia="Arial" w:hAnsi="Arial" w:cs="Arial"/>
        </w:rPr>
        <w:t xml:space="preserve"> 1</w:t>
      </w:r>
    </w:p>
    <w:p w14:paraId="13B980A5" w14:textId="77777777" w:rsidR="00634F7B" w:rsidRPr="00634F7B" w:rsidRDefault="00FC5D69" w:rsidP="00DF5048">
      <w:pPr>
        <w:spacing w:line="360" w:lineRule="auto"/>
        <w:jc w:val="both"/>
        <w:rPr>
          <w:rFonts w:ascii="Arial" w:eastAsia="Arial" w:hAnsi="Arial" w:cs="Arial"/>
        </w:rPr>
      </w:pPr>
      <w:r>
        <w:rPr>
          <w:rFonts w:ascii="Arial" w:eastAsia="Arial" w:hAnsi="Arial" w:cs="Arial"/>
        </w:rPr>
        <w:t xml:space="preserve"> </w:t>
      </w:r>
      <w:r w:rsidR="00634F7B" w:rsidRPr="00634F7B">
        <w:rPr>
          <w:rFonts w:ascii="Arial" w:eastAsia="Arial" w:hAnsi="Arial" w:cs="Arial"/>
        </w:rPr>
        <w:t xml:space="preserve">Parkrun has emerged as one of the most influential and wide-reaching community health initiatives in the UK, offering a free, weekly, timed 5km run across hundreds of local venues. Since its establishment in Bushy Park in 2004, the initiative has expanded across Europe, Africa, Asia, and Australasia, engaging participants from diverse age groups, fitness levels, and socio-economic backgrounds. To </w:t>
      </w:r>
      <w:proofErr w:type="spellStart"/>
      <w:r w:rsidR="00634F7B" w:rsidRPr="00634F7B">
        <w:rPr>
          <w:rFonts w:ascii="Arial" w:eastAsia="Arial" w:hAnsi="Arial" w:cs="Arial"/>
        </w:rPr>
        <w:t>analyse</w:t>
      </w:r>
      <w:proofErr w:type="spellEnd"/>
      <w:r w:rsidR="00634F7B" w:rsidRPr="00634F7B">
        <w:rPr>
          <w:rFonts w:ascii="Arial" w:eastAsia="Arial" w:hAnsi="Arial" w:cs="Arial"/>
        </w:rPr>
        <w:t xml:space="preserve"> its impact, it is crucial to distinguish between sport, exercise, and physical activity, as each carries unique social and health implications. Sport is typically competitive, </w:t>
      </w:r>
      <w:proofErr w:type="spellStart"/>
      <w:r w:rsidR="00634F7B" w:rsidRPr="00634F7B">
        <w:rPr>
          <w:rFonts w:ascii="Arial" w:eastAsia="Arial" w:hAnsi="Arial" w:cs="Arial"/>
        </w:rPr>
        <w:t>organised</w:t>
      </w:r>
      <w:proofErr w:type="spellEnd"/>
      <w:r w:rsidR="00634F7B" w:rsidRPr="00634F7B">
        <w:rPr>
          <w:rFonts w:ascii="Arial" w:eastAsia="Arial" w:hAnsi="Arial" w:cs="Arial"/>
        </w:rPr>
        <w:t xml:space="preserve">, and rule-bound, undertaken in clubs or formal structures, where achievement is measured relative to others and participation may reinforce social hierarchies. Exercise is structured and repetitive, aimed at improving fitness or health, supporting </w:t>
      </w:r>
      <w:proofErr w:type="spellStart"/>
      <w:r w:rsidR="00634F7B" w:rsidRPr="00634F7B">
        <w:rPr>
          <w:rFonts w:ascii="Arial" w:eastAsia="Arial" w:hAnsi="Arial" w:cs="Arial"/>
        </w:rPr>
        <w:t>behavioural</w:t>
      </w:r>
      <w:proofErr w:type="spellEnd"/>
      <w:r w:rsidR="00634F7B" w:rsidRPr="00634F7B">
        <w:rPr>
          <w:rFonts w:ascii="Arial" w:eastAsia="Arial" w:hAnsi="Arial" w:cs="Arial"/>
        </w:rPr>
        <w:t xml:space="preserve"> change and resilience. Physical activity refers to any bodily movement increasing energy expenditure, including informal walking, gardening, or commuting, and is more inclusive, offering social and psychological benefits without requiring </w:t>
      </w:r>
      <w:proofErr w:type="spellStart"/>
      <w:r w:rsidR="00634F7B" w:rsidRPr="00634F7B">
        <w:rPr>
          <w:rFonts w:ascii="Arial" w:eastAsia="Arial" w:hAnsi="Arial" w:cs="Arial"/>
        </w:rPr>
        <w:t>specialised</w:t>
      </w:r>
      <w:proofErr w:type="spellEnd"/>
      <w:r w:rsidR="00634F7B" w:rsidRPr="00634F7B">
        <w:rPr>
          <w:rFonts w:ascii="Arial" w:eastAsia="Arial" w:hAnsi="Arial" w:cs="Arial"/>
        </w:rPr>
        <w:t xml:space="preserve"> skill or resources. Parkrun uniquely integrates all three: it provides structured exercise through timed runs, elements of sport for those who wish to compete, and encourages general physical activity through walking or jogging in a non-competitive, supportive environment. This combination allows participants to experience both personal achievement and community belonging, highlighting the interplay of individual and social benefits.</w:t>
      </w:r>
    </w:p>
    <w:p w14:paraId="4E88F403" w14:textId="77777777" w:rsidR="00634F7B" w:rsidRPr="00634F7B" w:rsidRDefault="00634F7B" w:rsidP="00DF5048">
      <w:pPr>
        <w:spacing w:line="360" w:lineRule="auto"/>
        <w:jc w:val="both"/>
        <w:rPr>
          <w:rFonts w:ascii="Arial" w:eastAsia="Arial" w:hAnsi="Arial" w:cs="Arial"/>
        </w:rPr>
      </w:pPr>
    </w:p>
    <w:p w14:paraId="7705E829"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t xml:space="preserve">Parkrun’s central aim is not competition, but the </w:t>
      </w:r>
      <w:proofErr w:type="spellStart"/>
      <w:r w:rsidRPr="00634F7B">
        <w:rPr>
          <w:rFonts w:ascii="Arial" w:eastAsia="Arial" w:hAnsi="Arial" w:cs="Arial"/>
        </w:rPr>
        <w:t>democratisation</w:t>
      </w:r>
      <w:proofErr w:type="spellEnd"/>
      <w:r w:rsidRPr="00634F7B">
        <w:rPr>
          <w:rFonts w:ascii="Arial" w:eastAsia="Arial" w:hAnsi="Arial" w:cs="Arial"/>
        </w:rPr>
        <w:t xml:space="preserve"> of physical activity. It </w:t>
      </w:r>
      <w:proofErr w:type="spellStart"/>
      <w:r w:rsidRPr="00634F7B">
        <w:rPr>
          <w:rFonts w:ascii="Arial" w:eastAsia="Arial" w:hAnsi="Arial" w:cs="Arial"/>
        </w:rPr>
        <w:t>emphasises</w:t>
      </w:r>
      <w:proofErr w:type="spellEnd"/>
      <w:r w:rsidRPr="00634F7B">
        <w:rPr>
          <w:rFonts w:ascii="Arial" w:eastAsia="Arial" w:hAnsi="Arial" w:cs="Arial"/>
        </w:rPr>
        <w:t xml:space="preserve"> accessibility, inclusivity, and community cohesion, promoting physical activity as a normal, enjoyable part of daily life. Participants can set personal goals, take part at their own pace, or volunteer, providing multiple pathways for engagement. Sport within Parkrun fosters collective identity and shared achievement, exercise supports physical and mental wellbeing through structured engagement, and physical activity ensures accessibility for those previously excluded from traditional sporting environments. As Jarvie and Thornton (2012) argue, shifting focus from competition to participation removes cultural and psychological barriers, enabling individuals across abilities and backgrounds to experience achievement and belonging. In addition, Parkrun encourages </w:t>
      </w:r>
      <w:r w:rsidRPr="00634F7B">
        <w:rPr>
          <w:rFonts w:ascii="Arial" w:eastAsia="Arial" w:hAnsi="Arial" w:cs="Arial"/>
        </w:rPr>
        <w:lastRenderedPageBreak/>
        <w:t>intergenerational engagement, with children, parents, and older adults often participating together, strengthening social bonds and embedding physical activity into everyday family and community life.</w:t>
      </w:r>
    </w:p>
    <w:p w14:paraId="38A85B44" w14:textId="77777777" w:rsidR="00634F7B" w:rsidRPr="00634F7B" w:rsidRDefault="00634F7B" w:rsidP="00DF5048">
      <w:pPr>
        <w:spacing w:line="360" w:lineRule="auto"/>
        <w:jc w:val="both"/>
        <w:rPr>
          <w:rFonts w:ascii="Arial" w:eastAsia="Arial" w:hAnsi="Arial" w:cs="Arial"/>
        </w:rPr>
      </w:pPr>
    </w:p>
    <w:p w14:paraId="2DC2089C"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t>Parkrun’s simplicity and strategic design underpin its success. Events are free, require no specialist equipment, and are delivered by volunteer-led teams embedded in local communities. Research shows that cost, perceived competence, and fear of judgement are key deterrents to physical activity (</w:t>
      </w:r>
      <w:proofErr w:type="spellStart"/>
      <w:r w:rsidRPr="00634F7B">
        <w:rPr>
          <w:rFonts w:ascii="Arial" w:eastAsia="Arial" w:hAnsi="Arial" w:cs="Arial"/>
        </w:rPr>
        <w:t>Spaaij</w:t>
      </w:r>
      <w:proofErr w:type="spellEnd"/>
      <w:r w:rsidRPr="00634F7B">
        <w:rPr>
          <w:rFonts w:ascii="Arial" w:eastAsia="Arial" w:hAnsi="Arial" w:cs="Arial"/>
        </w:rPr>
        <w:t xml:space="preserve">, Magee, and Jeanes, 2014). By removing these barriers, Parkrun challenges traditional assumptions about legitimate exercise. Community-led </w:t>
      </w:r>
      <w:proofErr w:type="spellStart"/>
      <w:r w:rsidRPr="00634F7B">
        <w:rPr>
          <w:rFonts w:ascii="Arial" w:eastAsia="Arial" w:hAnsi="Arial" w:cs="Arial"/>
        </w:rPr>
        <w:t>programmes</w:t>
      </w:r>
      <w:proofErr w:type="spellEnd"/>
      <w:r w:rsidRPr="00634F7B">
        <w:rPr>
          <w:rFonts w:ascii="Arial" w:eastAsia="Arial" w:hAnsi="Arial" w:cs="Arial"/>
        </w:rPr>
        <w:t xml:space="preserve"> such as Parkrun attract higher levels of engagement among inactive populations than formal sport structures, which often reinforce exclusion through a focus on ability and performance (Broom and Flint, 2018; Edwards et al., 2020). The predictable weekly schedule and supportive culture enable participants to develop consistent routines, contributing to long-term </w:t>
      </w:r>
      <w:proofErr w:type="spellStart"/>
      <w:r w:rsidRPr="00634F7B">
        <w:rPr>
          <w:rFonts w:ascii="Arial" w:eastAsia="Arial" w:hAnsi="Arial" w:cs="Arial"/>
        </w:rPr>
        <w:t>behavioural</w:t>
      </w:r>
      <w:proofErr w:type="spellEnd"/>
      <w:r w:rsidRPr="00634F7B">
        <w:rPr>
          <w:rFonts w:ascii="Arial" w:eastAsia="Arial" w:hAnsi="Arial" w:cs="Arial"/>
        </w:rPr>
        <w:t xml:space="preserve"> change. Furthermore, the visible presence of diverse participants at local events reinforces inclusivity and demonstrates that physical activity is attainable and socially normal, which may help reduce </w:t>
      </w:r>
      <w:proofErr w:type="spellStart"/>
      <w:r w:rsidRPr="00634F7B">
        <w:rPr>
          <w:rFonts w:ascii="Arial" w:eastAsia="Arial" w:hAnsi="Arial" w:cs="Arial"/>
        </w:rPr>
        <w:t>internalised</w:t>
      </w:r>
      <w:proofErr w:type="spellEnd"/>
      <w:r w:rsidRPr="00634F7B">
        <w:rPr>
          <w:rFonts w:ascii="Arial" w:eastAsia="Arial" w:hAnsi="Arial" w:cs="Arial"/>
        </w:rPr>
        <w:t xml:space="preserve"> social anxieties about exercise.</w:t>
      </w:r>
    </w:p>
    <w:p w14:paraId="07D11866" w14:textId="77777777" w:rsidR="00634F7B" w:rsidRPr="00634F7B" w:rsidRDefault="00634F7B" w:rsidP="00DF5048">
      <w:pPr>
        <w:spacing w:line="360" w:lineRule="auto"/>
        <w:jc w:val="both"/>
        <w:rPr>
          <w:rFonts w:ascii="Arial" w:eastAsia="Arial" w:hAnsi="Arial" w:cs="Arial"/>
        </w:rPr>
      </w:pPr>
    </w:p>
    <w:p w14:paraId="7BA1BEB8"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t xml:space="preserve">Applying a sociological imagination highlights the interaction between personal experiences and wider social structures. Reflecting on my own experience, schools and sports clubs often encouraged participation but sometimes reinforced exclusion through overly competitive environments or limited inclusivity. Parkrun, in contrast, demonstrates how non-competitive, community-led </w:t>
      </w:r>
      <w:proofErr w:type="spellStart"/>
      <w:r w:rsidRPr="00634F7B">
        <w:rPr>
          <w:rFonts w:ascii="Arial" w:eastAsia="Arial" w:hAnsi="Arial" w:cs="Arial"/>
        </w:rPr>
        <w:t>programmes</w:t>
      </w:r>
      <w:proofErr w:type="spellEnd"/>
      <w:r w:rsidRPr="00634F7B">
        <w:rPr>
          <w:rFonts w:ascii="Arial" w:eastAsia="Arial" w:hAnsi="Arial" w:cs="Arial"/>
        </w:rPr>
        <w:t xml:space="preserve"> can provide accessible, supportive spaces for people of varying ages, genders, abilities, and socio-economic backgrounds. Observing and participating in these events illustrates how societal structures, community norms, and institutional practices influence individual </w:t>
      </w:r>
      <w:proofErr w:type="spellStart"/>
      <w:r w:rsidRPr="00634F7B">
        <w:rPr>
          <w:rFonts w:ascii="Arial" w:eastAsia="Arial" w:hAnsi="Arial" w:cs="Arial"/>
        </w:rPr>
        <w:t>behaviours</w:t>
      </w:r>
      <w:proofErr w:type="spellEnd"/>
      <w:r w:rsidRPr="00634F7B">
        <w:rPr>
          <w:rFonts w:ascii="Arial" w:eastAsia="Arial" w:hAnsi="Arial" w:cs="Arial"/>
        </w:rPr>
        <w:t xml:space="preserve"> and perceptions of exercise, and how interventions designed with inclusivity in mind can foster both individual wellbeing and social cohesion.</w:t>
      </w:r>
    </w:p>
    <w:p w14:paraId="071E857E" w14:textId="77777777" w:rsidR="00634F7B" w:rsidRPr="00634F7B" w:rsidRDefault="00634F7B" w:rsidP="00DF5048">
      <w:pPr>
        <w:spacing w:line="360" w:lineRule="auto"/>
        <w:jc w:val="both"/>
        <w:rPr>
          <w:rFonts w:ascii="Arial" w:eastAsia="Arial" w:hAnsi="Arial" w:cs="Arial"/>
        </w:rPr>
      </w:pPr>
    </w:p>
    <w:p w14:paraId="38F3F4F0"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lastRenderedPageBreak/>
        <w:t xml:space="preserve">Parkrun also significantly contributes to mental wellbeing. Evidence indicates that participation in </w:t>
      </w:r>
      <w:proofErr w:type="spellStart"/>
      <w:r w:rsidRPr="00634F7B">
        <w:rPr>
          <w:rFonts w:ascii="Arial" w:eastAsia="Arial" w:hAnsi="Arial" w:cs="Arial"/>
        </w:rPr>
        <w:t>organised</w:t>
      </w:r>
      <w:proofErr w:type="spellEnd"/>
      <w:r w:rsidRPr="00634F7B">
        <w:rPr>
          <w:rFonts w:ascii="Arial" w:eastAsia="Arial" w:hAnsi="Arial" w:cs="Arial"/>
        </w:rPr>
        <w:t xml:space="preserve"> physical activity improves mood, reduces anxiety and depression, and enhances social connectedness (Rees-Punia et al., 2021; White et al., 2021). Exercising outdoors fosters collective purpose and belonging, qualities associated with positive mental health (Allen-Collinson and </w:t>
      </w:r>
      <w:proofErr w:type="spellStart"/>
      <w:r w:rsidRPr="00634F7B">
        <w:rPr>
          <w:rFonts w:ascii="Arial" w:eastAsia="Arial" w:hAnsi="Arial" w:cs="Arial"/>
        </w:rPr>
        <w:t>Leledaki</w:t>
      </w:r>
      <w:proofErr w:type="spellEnd"/>
      <w:r w:rsidRPr="00634F7B">
        <w:rPr>
          <w:rFonts w:ascii="Arial" w:eastAsia="Arial" w:hAnsi="Arial" w:cs="Arial"/>
        </w:rPr>
        <w:t>, 2015). During the COVID-19 pandemic, the suspension of Parkrun highlighted its importance as a community hub, and its resumption offered a psychologically safe environment for reconnecting socially, rebuilding confidence, and re-establishing healthy habits following prolonged isolation. Returning to Parkrun represented a symbolic milestone for many, demonstrating its role in individual wellbeing and community resilience. Additionally, the informal and friendly environment allows participants to engage at their own pace, reducing social pressures and supporting long-term adherence to physical activity habits.</w:t>
      </w:r>
    </w:p>
    <w:p w14:paraId="02085D94" w14:textId="77777777" w:rsidR="00634F7B" w:rsidRPr="00634F7B" w:rsidRDefault="00634F7B" w:rsidP="00DF5048">
      <w:pPr>
        <w:spacing w:line="360" w:lineRule="auto"/>
        <w:jc w:val="both"/>
        <w:rPr>
          <w:rFonts w:ascii="Arial" w:eastAsia="Arial" w:hAnsi="Arial" w:cs="Arial"/>
        </w:rPr>
      </w:pPr>
    </w:p>
    <w:p w14:paraId="15FAA7B2" w14:textId="7ABC6BFD" w:rsidR="00634F7B" w:rsidRPr="00634F7B" w:rsidRDefault="00634F7B" w:rsidP="00DF5048">
      <w:pPr>
        <w:spacing w:line="360" w:lineRule="auto"/>
        <w:jc w:val="both"/>
        <w:rPr>
          <w:rFonts w:ascii="Arial" w:eastAsia="Arial" w:hAnsi="Arial" w:cs="Arial"/>
        </w:rPr>
      </w:pPr>
      <w:r w:rsidRPr="00634F7B">
        <w:rPr>
          <w:rFonts w:ascii="Arial" w:eastAsia="Arial" w:hAnsi="Arial" w:cs="Arial"/>
        </w:rPr>
        <w:t xml:space="preserve">Parkrun also contributes to national public health strategies. Policies such as Healthy Weight: Healthy Wales (2019) highlight the need for low-cost, population-level interventions capable of engaging diverse communities. Participation improves cardiorespiratory fitness, supports weight management, and reduces risk factors for chronic disease, contributing to </w:t>
      </w:r>
      <w:r>
        <w:rPr>
          <w:rFonts w:ascii="Arial" w:eastAsia="Arial" w:hAnsi="Arial" w:cs="Arial"/>
        </w:rPr>
        <w:t xml:space="preserve">the </w:t>
      </w:r>
      <w:r w:rsidRPr="00634F7B">
        <w:rPr>
          <w:rFonts w:ascii="Arial" w:eastAsia="Arial" w:hAnsi="Arial" w:cs="Arial"/>
        </w:rPr>
        <w:t xml:space="preserve">Department of Health (2011) targets to reduce NHS pressure from inactivity-related illnesses. Its emphasis on personal progress and community belonging encourages long-term </w:t>
      </w:r>
      <w:proofErr w:type="spellStart"/>
      <w:r w:rsidRPr="00634F7B">
        <w:rPr>
          <w:rFonts w:ascii="Arial" w:eastAsia="Arial" w:hAnsi="Arial" w:cs="Arial"/>
        </w:rPr>
        <w:t>behavioural</w:t>
      </w:r>
      <w:proofErr w:type="spellEnd"/>
      <w:r w:rsidRPr="00634F7B">
        <w:rPr>
          <w:rFonts w:ascii="Arial" w:eastAsia="Arial" w:hAnsi="Arial" w:cs="Arial"/>
        </w:rPr>
        <w:t xml:space="preserve"> change. Many participants progress from occasional attendance to weekly participation, volunteering, or wider active lifestyles, strengthening social identity and community cohesion (White et al., 2021). Moreover, the voluntary culture and peer support networks established through Parkrun empower participants to take ownership of their health, reinforcing intrinsic motivation for sustained physical activity.</w:t>
      </w:r>
    </w:p>
    <w:p w14:paraId="4C002298" w14:textId="77777777" w:rsidR="00634F7B" w:rsidRPr="00634F7B" w:rsidRDefault="00634F7B" w:rsidP="00DF5048">
      <w:pPr>
        <w:spacing w:line="360" w:lineRule="auto"/>
        <w:jc w:val="both"/>
        <w:rPr>
          <w:rFonts w:ascii="Arial" w:eastAsia="Arial" w:hAnsi="Arial" w:cs="Arial"/>
        </w:rPr>
      </w:pPr>
    </w:p>
    <w:p w14:paraId="3C3C0446"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t xml:space="preserve">Sociologically, Parkrun challenges exclusionary sporting narratives. Traditional sport often frames athleticism as cultural capital, privileging certain abilities or resources (Safai, 2008). Parkrun subverts this by </w:t>
      </w:r>
      <w:proofErr w:type="spellStart"/>
      <w:r w:rsidRPr="00634F7B">
        <w:rPr>
          <w:rFonts w:ascii="Arial" w:eastAsia="Arial" w:hAnsi="Arial" w:cs="Arial"/>
        </w:rPr>
        <w:t>prioritising</w:t>
      </w:r>
      <w:proofErr w:type="spellEnd"/>
      <w:r w:rsidRPr="00634F7B">
        <w:rPr>
          <w:rFonts w:ascii="Arial" w:eastAsia="Arial" w:hAnsi="Arial" w:cs="Arial"/>
        </w:rPr>
        <w:t xml:space="preserve"> participation over performance, fostering inclusive engagement across abilities, genders, ethnicities, and socio-economic groups. </w:t>
      </w:r>
      <w:r w:rsidRPr="00634F7B">
        <w:rPr>
          <w:rFonts w:ascii="Arial" w:eastAsia="Arial" w:hAnsi="Arial" w:cs="Arial"/>
        </w:rPr>
        <w:lastRenderedPageBreak/>
        <w:t xml:space="preserve">Its absence of fees, memberships, selective entry, or hierarchical structures reflects social justice and </w:t>
      </w:r>
      <w:proofErr w:type="spellStart"/>
      <w:r w:rsidRPr="00634F7B">
        <w:rPr>
          <w:rFonts w:ascii="Arial" w:eastAsia="Arial" w:hAnsi="Arial" w:cs="Arial"/>
        </w:rPr>
        <w:t>organisational</w:t>
      </w:r>
      <w:proofErr w:type="spellEnd"/>
      <w:r w:rsidRPr="00634F7B">
        <w:rPr>
          <w:rFonts w:ascii="Arial" w:eastAsia="Arial" w:hAnsi="Arial" w:cs="Arial"/>
        </w:rPr>
        <w:t xml:space="preserve"> democracy (Brittain, 2004; </w:t>
      </w:r>
      <w:proofErr w:type="spellStart"/>
      <w:r w:rsidRPr="00634F7B">
        <w:rPr>
          <w:rFonts w:ascii="Arial" w:eastAsia="Arial" w:hAnsi="Arial" w:cs="Arial"/>
        </w:rPr>
        <w:t>Spaaij</w:t>
      </w:r>
      <w:proofErr w:type="spellEnd"/>
      <w:r w:rsidRPr="00634F7B">
        <w:rPr>
          <w:rFonts w:ascii="Arial" w:eastAsia="Arial" w:hAnsi="Arial" w:cs="Arial"/>
        </w:rPr>
        <w:t xml:space="preserve"> et al., 2014), supporting the “sport-for-all” concept and framing physical activity as a shared public good rather than a stratified arena. Importantly, the model demonstrates how grassroots, volunteer-led initiatives can reduce barriers to engagement while also fostering community resilience and social capital.</w:t>
      </w:r>
    </w:p>
    <w:p w14:paraId="657CD036" w14:textId="77777777" w:rsidR="00634F7B" w:rsidRPr="00634F7B" w:rsidRDefault="00634F7B" w:rsidP="00DF5048">
      <w:pPr>
        <w:spacing w:line="360" w:lineRule="auto"/>
        <w:jc w:val="both"/>
        <w:rPr>
          <w:rFonts w:ascii="Arial" w:eastAsia="Arial" w:hAnsi="Arial" w:cs="Arial"/>
        </w:rPr>
      </w:pPr>
    </w:p>
    <w:p w14:paraId="004C9F35"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t xml:space="preserve">Parkrun’s Junior </w:t>
      </w:r>
      <w:proofErr w:type="spellStart"/>
      <w:r w:rsidRPr="00634F7B">
        <w:rPr>
          <w:rFonts w:ascii="Arial" w:eastAsia="Arial" w:hAnsi="Arial" w:cs="Arial"/>
        </w:rPr>
        <w:t>programme</w:t>
      </w:r>
      <w:proofErr w:type="spellEnd"/>
      <w:r w:rsidRPr="00634F7B">
        <w:rPr>
          <w:rFonts w:ascii="Arial" w:eastAsia="Arial" w:hAnsi="Arial" w:cs="Arial"/>
        </w:rPr>
        <w:t xml:space="preserve">, a 2km weekly event for ages 4–14, reinforces early-life activity </w:t>
      </w:r>
      <w:proofErr w:type="spellStart"/>
      <w:r w:rsidRPr="00634F7B">
        <w:rPr>
          <w:rFonts w:ascii="Arial" w:eastAsia="Arial" w:hAnsi="Arial" w:cs="Arial"/>
        </w:rPr>
        <w:t>behaviours</w:t>
      </w:r>
      <w:proofErr w:type="spellEnd"/>
      <w:r w:rsidRPr="00634F7B">
        <w:rPr>
          <w:rFonts w:ascii="Arial" w:eastAsia="Arial" w:hAnsi="Arial" w:cs="Arial"/>
        </w:rPr>
        <w:t>, which often continue into adulthood (Biddle, Sallis, and Cavill, 2004). By providing free, informal opportunities outside school, it mitigates structural barriers and encourages family involvement, supporting long-term participation. Despite these achievements, inequalities persist. Participation is higher in affluent areas, reflecting disparities in green spaces, infrastructure, and local investment (Monbiot, 2018). Individuals in deprived communities face barriers including shift work, transport limitations, and reduced confidence in exercising publicly (Public Health England, 2014). Initiatives such as “parkrun PROVE” and partnerships with local authorities aim to increase engagement, but targeted outreach, culturally specific campaigns, and community ambassadors are needed to improve participation among underrepresented groups.</w:t>
      </w:r>
    </w:p>
    <w:p w14:paraId="168463D6" w14:textId="77777777" w:rsidR="00634F7B" w:rsidRPr="00634F7B" w:rsidRDefault="00634F7B" w:rsidP="00DF5048">
      <w:pPr>
        <w:spacing w:line="360" w:lineRule="auto"/>
        <w:jc w:val="both"/>
        <w:rPr>
          <w:rFonts w:ascii="Arial" w:eastAsia="Arial" w:hAnsi="Arial" w:cs="Arial"/>
        </w:rPr>
      </w:pPr>
    </w:p>
    <w:p w14:paraId="6FF6C954"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t xml:space="preserve">Accessibility for disabled participants requires further development. Barriers include uneven terrain, lack of adaptive equipment, and insufficient volunteer training. Expanding venue assessments, disability-awareness training, and partnerships with disability sport </w:t>
      </w:r>
      <w:proofErr w:type="spellStart"/>
      <w:r w:rsidRPr="00634F7B">
        <w:rPr>
          <w:rFonts w:ascii="Arial" w:eastAsia="Arial" w:hAnsi="Arial" w:cs="Arial"/>
        </w:rPr>
        <w:t>organisations</w:t>
      </w:r>
      <w:proofErr w:type="spellEnd"/>
      <w:r w:rsidRPr="00634F7B">
        <w:rPr>
          <w:rFonts w:ascii="Arial" w:eastAsia="Arial" w:hAnsi="Arial" w:cs="Arial"/>
        </w:rPr>
        <w:t xml:space="preserve"> could improve inclusion. Highlighting disabled participants in promotional material may reduce stigma and </w:t>
      </w:r>
      <w:proofErr w:type="spellStart"/>
      <w:r w:rsidRPr="00634F7B">
        <w:rPr>
          <w:rFonts w:ascii="Arial" w:eastAsia="Arial" w:hAnsi="Arial" w:cs="Arial"/>
        </w:rPr>
        <w:t>normalise</w:t>
      </w:r>
      <w:proofErr w:type="spellEnd"/>
      <w:r w:rsidRPr="00634F7B">
        <w:rPr>
          <w:rFonts w:ascii="Arial" w:eastAsia="Arial" w:hAnsi="Arial" w:cs="Arial"/>
        </w:rPr>
        <w:t xml:space="preserve"> participation (Brittain, 2004). Gender inequalities persist due to safety concerns, cultural expectations, and body image norms (Washington and Economides, 2016). Targeted outreach, optional women-led events, and initiatives aligned with This Girl Can could empower women and improve participation.</w:t>
      </w:r>
    </w:p>
    <w:p w14:paraId="699699C0" w14:textId="77777777" w:rsidR="00634F7B" w:rsidRPr="00634F7B" w:rsidRDefault="00634F7B" w:rsidP="00DF5048">
      <w:pPr>
        <w:spacing w:line="360" w:lineRule="auto"/>
        <w:jc w:val="both"/>
        <w:rPr>
          <w:rFonts w:ascii="Arial" w:eastAsia="Arial" w:hAnsi="Arial" w:cs="Arial"/>
        </w:rPr>
      </w:pPr>
    </w:p>
    <w:p w14:paraId="51953EEE" w14:textId="77777777" w:rsidR="00634F7B" w:rsidRPr="00634F7B" w:rsidRDefault="00634F7B" w:rsidP="00DF5048">
      <w:pPr>
        <w:spacing w:line="360" w:lineRule="auto"/>
        <w:jc w:val="both"/>
        <w:rPr>
          <w:rFonts w:ascii="Arial" w:eastAsia="Arial" w:hAnsi="Arial" w:cs="Arial"/>
        </w:rPr>
      </w:pPr>
      <w:r w:rsidRPr="00634F7B">
        <w:rPr>
          <w:rFonts w:ascii="Arial" w:eastAsia="Arial" w:hAnsi="Arial" w:cs="Arial"/>
        </w:rPr>
        <w:lastRenderedPageBreak/>
        <w:t xml:space="preserve">Digital engagement offers additional opportunities. While Parkrun provides </w:t>
      </w:r>
      <w:proofErr w:type="spellStart"/>
      <w:r w:rsidRPr="00634F7B">
        <w:rPr>
          <w:rFonts w:ascii="Arial" w:eastAsia="Arial" w:hAnsi="Arial" w:cs="Arial"/>
        </w:rPr>
        <w:t>personalised</w:t>
      </w:r>
      <w:proofErr w:type="spellEnd"/>
      <w:r w:rsidRPr="00634F7B">
        <w:rPr>
          <w:rFonts w:ascii="Arial" w:eastAsia="Arial" w:hAnsi="Arial" w:cs="Arial"/>
        </w:rPr>
        <w:t xml:space="preserve"> results and milestone tracking, gamified features, virtual badges, community challenges, and interactive dashboards could enhance motivation, particularly among younger participants (Coombes and Jones, 2016). Integrating these tools without compromising the non-competitive ethos could support sustained engagement. Strengthening healthcare partnerships, such as the Parkrun Practice initiative, could increase public health impact. Deeper integration with social prescribing networks could enable safe engagement for individuals with chronic conditions or low baseline activity levels (Din et al., 2015).</w:t>
      </w:r>
    </w:p>
    <w:p w14:paraId="659C04AE" w14:textId="77777777" w:rsidR="00634F7B" w:rsidRPr="00634F7B" w:rsidRDefault="00634F7B" w:rsidP="00DF5048">
      <w:pPr>
        <w:spacing w:line="360" w:lineRule="auto"/>
        <w:jc w:val="both"/>
        <w:rPr>
          <w:rFonts w:ascii="Arial" w:eastAsia="Arial" w:hAnsi="Arial" w:cs="Arial"/>
        </w:rPr>
      </w:pPr>
    </w:p>
    <w:p w14:paraId="50461C3C" w14:textId="2D6C6758" w:rsidR="00FC5D69" w:rsidRPr="00634F7B" w:rsidRDefault="00634F7B" w:rsidP="00DF5048">
      <w:pPr>
        <w:spacing w:line="360" w:lineRule="auto"/>
        <w:jc w:val="both"/>
        <w:rPr>
          <w:rFonts w:ascii="Arial" w:eastAsia="Arial" w:hAnsi="Arial" w:cs="Arial"/>
        </w:rPr>
      </w:pPr>
      <w:r w:rsidRPr="00634F7B">
        <w:rPr>
          <w:rFonts w:ascii="Arial" w:eastAsia="Arial" w:hAnsi="Arial" w:cs="Arial"/>
        </w:rPr>
        <w:t>In summary, Parkrun merges social, cultural, and health objectives within a simple, scalable, community-driven model. By addressing inequalities, improving accessibility, diversifying representation, and strengthening digital and healthcare partnerships, it remains a critical public health intervention, providing low-cost, meaningful, and universally accessible opportunities that promote both individual and community wellbeing. Its combination of informal physical activity, structured exercise, and social interaction highlights the multidimensional benefits of inclusive health promotion initiatives.</w:t>
      </w:r>
    </w:p>
    <w:p w14:paraId="344B6788" w14:textId="77777777" w:rsidR="00A607FC" w:rsidRPr="00634F7B" w:rsidRDefault="00A607FC" w:rsidP="00DF5048">
      <w:pPr>
        <w:spacing w:line="360" w:lineRule="auto"/>
        <w:jc w:val="both"/>
        <w:rPr>
          <w:rFonts w:ascii="Arial" w:eastAsia="Arial" w:hAnsi="Arial" w:cs="Arial"/>
        </w:rPr>
      </w:pPr>
    </w:p>
    <w:p w14:paraId="433ECC0A" w14:textId="36494791" w:rsidR="0072781D" w:rsidRPr="00634F7B" w:rsidRDefault="4362428C" w:rsidP="00DF5048">
      <w:pPr>
        <w:spacing w:line="360" w:lineRule="auto"/>
        <w:jc w:val="both"/>
        <w:rPr>
          <w:rFonts w:ascii="Arial" w:eastAsia="Arial" w:hAnsi="Arial" w:cs="Arial"/>
        </w:rPr>
      </w:pPr>
      <w:r w:rsidRPr="00634F7B">
        <w:rPr>
          <w:rFonts w:ascii="Arial" w:eastAsia="Arial" w:hAnsi="Arial" w:cs="Arial"/>
        </w:rPr>
        <w:t xml:space="preserve">PART 2 </w:t>
      </w:r>
    </w:p>
    <w:p w14:paraId="6C6DBF4D"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UK government health agendas, including Healthy Weight: Healthy Wales (2019), consistently </w:t>
      </w:r>
      <w:proofErr w:type="spellStart"/>
      <w:r w:rsidRPr="00634F7B">
        <w:rPr>
          <w:rFonts w:ascii="Arial" w:eastAsia="Arial Nova" w:hAnsi="Arial" w:cs="Arial"/>
        </w:rPr>
        <w:t>emphasise</w:t>
      </w:r>
      <w:proofErr w:type="spellEnd"/>
      <w:r w:rsidRPr="00634F7B">
        <w:rPr>
          <w:rFonts w:ascii="Arial" w:eastAsia="Arial Nova" w:hAnsi="Arial" w:cs="Arial"/>
        </w:rPr>
        <w:t xml:space="preserve"> physical activity as a key determinant of population wellbeing. Exercise is </w:t>
      </w:r>
      <w:proofErr w:type="spellStart"/>
      <w:r w:rsidRPr="00634F7B">
        <w:rPr>
          <w:rFonts w:ascii="Arial" w:eastAsia="Arial Nova" w:hAnsi="Arial" w:cs="Arial"/>
        </w:rPr>
        <w:t>recognised</w:t>
      </w:r>
      <w:proofErr w:type="spellEnd"/>
      <w:r w:rsidRPr="00634F7B">
        <w:rPr>
          <w:rFonts w:ascii="Arial" w:eastAsia="Arial Nova" w:hAnsi="Arial" w:cs="Arial"/>
        </w:rPr>
        <w:t xml:space="preserve"> not only as a lifestyle choice but as a public health intervention with wide-ranging benefits for physical, mental, and social health. Regular activity supports cardiovascular and musculoskeletal health, prevents chronic disease, reduces anxiety and depression, and mitigates health inequalities (Department of Health, 2011; Public Health England, 2014; WHO, 2022). By lowering preventable illness, exercise reduces pressure on healthcare services while generating economic and social benefits through reduced hospital admissions, shorter treatment durations, and decreased </w:t>
      </w:r>
      <w:r w:rsidRPr="00634F7B">
        <w:rPr>
          <w:rFonts w:ascii="Arial" w:eastAsia="Arial Nova" w:hAnsi="Arial" w:cs="Arial"/>
        </w:rPr>
        <w:lastRenderedPageBreak/>
        <w:t xml:space="preserve">reliance on medication. Policy frameworks </w:t>
      </w:r>
      <w:proofErr w:type="spellStart"/>
      <w:r w:rsidRPr="00634F7B">
        <w:rPr>
          <w:rFonts w:ascii="Arial" w:eastAsia="Arial Nova" w:hAnsi="Arial" w:cs="Arial"/>
        </w:rPr>
        <w:t>emphasise</w:t>
      </w:r>
      <w:proofErr w:type="spellEnd"/>
      <w:r w:rsidRPr="00634F7B">
        <w:rPr>
          <w:rFonts w:ascii="Arial" w:eastAsia="Arial Nova" w:hAnsi="Arial" w:cs="Arial"/>
        </w:rPr>
        <w:t xml:space="preserve"> population-level engagement, targeted initiatives for underrepresented groups, and integration with broader public health strategies. Additionally, physical activity promotion forms a key part of the government’s preventative health agenda, </w:t>
      </w:r>
      <w:proofErr w:type="spellStart"/>
      <w:r w:rsidRPr="00634F7B">
        <w:rPr>
          <w:rFonts w:ascii="Arial" w:eastAsia="Arial Nova" w:hAnsi="Arial" w:cs="Arial"/>
        </w:rPr>
        <w:t>recognising</w:t>
      </w:r>
      <w:proofErr w:type="spellEnd"/>
      <w:r w:rsidRPr="00634F7B">
        <w:rPr>
          <w:rFonts w:ascii="Arial" w:eastAsia="Arial Nova" w:hAnsi="Arial" w:cs="Arial"/>
        </w:rPr>
        <w:t xml:space="preserve"> that long-term engagement can reduce health inequalities and provide wider societal benefits.</w:t>
      </w:r>
    </w:p>
    <w:p w14:paraId="4950E3E2" w14:textId="77777777" w:rsidR="00634F7B" w:rsidRPr="00634F7B" w:rsidRDefault="00634F7B" w:rsidP="00DF5048">
      <w:pPr>
        <w:spacing w:line="360" w:lineRule="auto"/>
        <w:jc w:val="both"/>
        <w:rPr>
          <w:rFonts w:ascii="Arial" w:eastAsia="Arial Nova" w:hAnsi="Arial" w:cs="Arial"/>
        </w:rPr>
      </w:pPr>
    </w:p>
    <w:p w14:paraId="3F433922"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Different forms of exercise provide complementary benefits aligned with government priorities. Aerobic activities, including running, walking, cycling, swimming, and structured group exercise, are </w:t>
      </w:r>
      <w:proofErr w:type="spellStart"/>
      <w:r w:rsidRPr="00634F7B">
        <w:rPr>
          <w:rFonts w:ascii="Arial" w:eastAsia="Arial Nova" w:hAnsi="Arial" w:cs="Arial"/>
        </w:rPr>
        <w:t>emphasised</w:t>
      </w:r>
      <w:proofErr w:type="spellEnd"/>
      <w:r w:rsidRPr="00634F7B">
        <w:rPr>
          <w:rFonts w:ascii="Arial" w:eastAsia="Arial Nova" w:hAnsi="Arial" w:cs="Arial"/>
        </w:rPr>
        <w:t xml:space="preserve"> due to associations with lower all-cause mortality, improved cardiovascular health, and reduced obesity prevalence (Kelly et al., 2023; WHO, 2022). </w:t>
      </w:r>
      <w:proofErr w:type="spellStart"/>
      <w:r w:rsidRPr="00634F7B">
        <w:rPr>
          <w:rFonts w:ascii="Arial" w:eastAsia="Arial Nova" w:hAnsi="Arial" w:cs="Arial"/>
        </w:rPr>
        <w:t>Programmes</w:t>
      </w:r>
      <w:proofErr w:type="spellEnd"/>
      <w:r w:rsidRPr="00634F7B">
        <w:rPr>
          <w:rFonts w:ascii="Arial" w:eastAsia="Arial Nova" w:hAnsi="Arial" w:cs="Arial"/>
        </w:rPr>
        <w:t xml:space="preserve"> promoting active travel, such as walking or cycling to school and work, integrate activity into daily routines, address early-life inactivity, and encourage lifelong movement habits (Ross et al., 2019; Coombes and Jones, 2016). Longitudinal studies show that activity patterns established in childhood often track into adulthood, reinforcing the importance of early intervention and early policy support.</w:t>
      </w:r>
    </w:p>
    <w:p w14:paraId="10F393A3" w14:textId="77777777" w:rsidR="00634F7B" w:rsidRPr="00634F7B" w:rsidRDefault="00634F7B" w:rsidP="00DF5048">
      <w:pPr>
        <w:spacing w:line="360" w:lineRule="auto"/>
        <w:jc w:val="both"/>
        <w:rPr>
          <w:rFonts w:ascii="Arial" w:eastAsia="Arial Nova" w:hAnsi="Arial" w:cs="Arial"/>
        </w:rPr>
      </w:pPr>
    </w:p>
    <w:p w14:paraId="6B739639"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Running, particularly in community contexts, benefits mental wellbeing. Regular participation reduces anxiety and depressive symptoms, improves mood, fosters resilience, and supports stress management (Rees-Punia et al., 2021; Smith et al., 2022). Group participation, such as Parkrun, amplifies these benefits by providing support networks, belonging, and structured engagement, especially for those excluded from traditional sport clubs due to cost, confidence, or cultural barriers (Jarvie and Thornton, 2012; Broom and Flint, 2018). By combining exercise with social interaction and outdoor exposure, running initiatives address multiple determinants of health, from fitness to mental resilience and community cohesion, </w:t>
      </w:r>
      <w:proofErr w:type="gramStart"/>
      <w:r w:rsidRPr="00634F7B">
        <w:rPr>
          <w:rFonts w:ascii="Arial" w:eastAsia="Arial Nova" w:hAnsi="Arial" w:cs="Arial"/>
        </w:rPr>
        <w:t>and also</w:t>
      </w:r>
      <w:proofErr w:type="gramEnd"/>
      <w:r w:rsidRPr="00634F7B">
        <w:rPr>
          <w:rFonts w:ascii="Arial" w:eastAsia="Arial Nova" w:hAnsi="Arial" w:cs="Arial"/>
        </w:rPr>
        <w:t xml:space="preserve"> help meet national objectives to strengthen community wellbeing.</w:t>
      </w:r>
    </w:p>
    <w:p w14:paraId="4C5709E2" w14:textId="77777777" w:rsidR="00634F7B" w:rsidRPr="00634F7B" w:rsidRDefault="00634F7B" w:rsidP="00DF5048">
      <w:pPr>
        <w:spacing w:line="360" w:lineRule="auto"/>
        <w:jc w:val="both"/>
        <w:rPr>
          <w:rFonts w:ascii="Arial" w:eastAsia="Arial Nova" w:hAnsi="Arial" w:cs="Arial"/>
        </w:rPr>
      </w:pPr>
    </w:p>
    <w:p w14:paraId="422302A3"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Strength and resistance training complement aerobic activity by improving muscular strength, endurance, and metabolic health, while supporting weight management and </w:t>
      </w:r>
      <w:r w:rsidRPr="00634F7B">
        <w:rPr>
          <w:rFonts w:ascii="Arial" w:eastAsia="Arial Nova" w:hAnsi="Arial" w:cs="Arial"/>
        </w:rPr>
        <w:lastRenderedPageBreak/>
        <w:t xml:space="preserve">functional independence, particularly in older adults (WHO, 2022). Resistance exercise mitigates sarcopenia, enhances bone density, reduces fall risk, and fosters confidence and empowerment, particularly among women, challenging restrictive social norms regarding gender and physicality (Washington and Economides, 2016). Inclusive </w:t>
      </w:r>
      <w:proofErr w:type="spellStart"/>
      <w:r w:rsidRPr="00634F7B">
        <w:rPr>
          <w:rFonts w:ascii="Arial" w:eastAsia="Arial Nova" w:hAnsi="Arial" w:cs="Arial"/>
        </w:rPr>
        <w:t>programmes</w:t>
      </w:r>
      <w:proofErr w:type="spellEnd"/>
      <w:r w:rsidRPr="00634F7B">
        <w:rPr>
          <w:rFonts w:ascii="Arial" w:eastAsia="Arial Nova" w:hAnsi="Arial" w:cs="Arial"/>
        </w:rPr>
        <w:t xml:space="preserve"> providing safe environments support government objectives to increase female participation and reduce health inequalities (This Girl Can/Women in Sport, 2016). Community-based classes also foster social cohesion, peer support, and skill development, further reinforcing their value as public health interventions.</w:t>
      </w:r>
    </w:p>
    <w:p w14:paraId="5428F165" w14:textId="77777777" w:rsidR="00634F7B" w:rsidRPr="00634F7B" w:rsidRDefault="00634F7B" w:rsidP="00DF5048">
      <w:pPr>
        <w:spacing w:line="360" w:lineRule="auto"/>
        <w:jc w:val="both"/>
        <w:rPr>
          <w:rFonts w:ascii="Arial" w:eastAsia="Arial Nova" w:hAnsi="Arial" w:cs="Arial"/>
        </w:rPr>
      </w:pPr>
    </w:p>
    <w:p w14:paraId="41C182C9"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Participation in team sports, including football, rugby, netball, and basketball, promotes physical fitness, social skills, teamwork, leadership, and emotional regulation, particularly for children and young people (Côté and Hancock, 2016). Structured </w:t>
      </w:r>
      <w:proofErr w:type="spellStart"/>
      <w:r w:rsidRPr="00634F7B">
        <w:rPr>
          <w:rFonts w:ascii="Arial" w:eastAsia="Arial Nova" w:hAnsi="Arial" w:cs="Arial"/>
        </w:rPr>
        <w:t>programmes</w:t>
      </w:r>
      <w:proofErr w:type="spellEnd"/>
      <w:r w:rsidRPr="00634F7B">
        <w:rPr>
          <w:rFonts w:ascii="Arial" w:eastAsia="Arial Nova" w:hAnsi="Arial" w:cs="Arial"/>
        </w:rPr>
        <w:t xml:space="preserve"> offer constructive outlets for energy and can reduce anti-social </w:t>
      </w:r>
      <w:proofErr w:type="spellStart"/>
      <w:r w:rsidRPr="00634F7B">
        <w:rPr>
          <w:rFonts w:ascii="Arial" w:eastAsia="Arial Nova" w:hAnsi="Arial" w:cs="Arial"/>
        </w:rPr>
        <w:t>behaviour</w:t>
      </w:r>
      <w:proofErr w:type="spellEnd"/>
      <w:r w:rsidRPr="00634F7B">
        <w:rPr>
          <w:rFonts w:ascii="Arial" w:eastAsia="Arial Nova" w:hAnsi="Arial" w:cs="Arial"/>
        </w:rPr>
        <w:t xml:space="preserve">, supporting holistic youth development. However, inequalities </w:t>
      </w:r>
      <w:proofErr w:type="gramStart"/>
      <w:r w:rsidRPr="00634F7B">
        <w:rPr>
          <w:rFonts w:ascii="Arial" w:eastAsia="Arial Nova" w:hAnsi="Arial" w:cs="Arial"/>
        </w:rPr>
        <w:t>remain:</w:t>
      </w:r>
      <w:proofErr w:type="gramEnd"/>
      <w:r w:rsidRPr="00634F7B">
        <w:rPr>
          <w:rFonts w:ascii="Arial" w:eastAsia="Arial Nova" w:hAnsi="Arial" w:cs="Arial"/>
        </w:rPr>
        <w:t xml:space="preserve"> children from lower socio-economic backgrounds, some ethnic groups, and girls often face barriers including cost, cultural expectations, limited facilities, and insufficient coaching (</w:t>
      </w:r>
      <w:proofErr w:type="spellStart"/>
      <w:r w:rsidRPr="00634F7B">
        <w:rPr>
          <w:rFonts w:ascii="Arial" w:eastAsia="Arial Nova" w:hAnsi="Arial" w:cs="Arial"/>
        </w:rPr>
        <w:t>Spaaij</w:t>
      </w:r>
      <w:proofErr w:type="spellEnd"/>
      <w:r w:rsidRPr="00634F7B">
        <w:rPr>
          <w:rFonts w:ascii="Arial" w:eastAsia="Arial Nova" w:hAnsi="Arial" w:cs="Arial"/>
        </w:rPr>
        <w:t>, Magee, and Jeanes, 2014). Initiatives like 5x60 attempted to broaden school-based access but faced staffing and resource challenges (Bolton, Fleming, and Galdes, 2007; Rainer et al., 2015).</w:t>
      </w:r>
    </w:p>
    <w:p w14:paraId="37C343B8" w14:textId="77777777" w:rsidR="00634F7B" w:rsidRPr="00634F7B" w:rsidRDefault="00634F7B" w:rsidP="00DF5048">
      <w:pPr>
        <w:spacing w:line="360" w:lineRule="auto"/>
        <w:jc w:val="both"/>
        <w:rPr>
          <w:rFonts w:ascii="Arial" w:eastAsia="Arial Nova" w:hAnsi="Arial" w:cs="Arial"/>
        </w:rPr>
      </w:pPr>
    </w:p>
    <w:p w14:paraId="5909B67F"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Outdoor exercise, including walking, running, cycling, and green-space activities, provides additional benefits. Exposure to natural environments reduces stress, improves mood, fosters emotional restoration, and enhances attentional functioning and resilience (Reece et al., 2020; Allen-Collinson and </w:t>
      </w:r>
      <w:proofErr w:type="spellStart"/>
      <w:r w:rsidRPr="00634F7B">
        <w:rPr>
          <w:rFonts w:ascii="Arial" w:eastAsia="Arial Nova" w:hAnsi="Arial" w:cs="Arial"/>
        </w:rPr>
        <w:t>Leledaki</w:t>
      </w:r>
      <w:proofErr w:type="spellEnd"/>
      <w:r w:rsidRPr="00634F7B">
        <w:rPr>
          <w:rFonts w:ascii="Arial" w:eastAsia="Arial Nova" w:hAnsi="Arial" w:cs="Arial"/>
        </w:rPr>
        <w:t>, 2015). UK policies promoting public parks, trails, and open spaces facilitate these outcomes, particularly in urban areas lacking immersive natural environments. This also helps governments address social determinants of health by providing accessible spaces for all communities to engage safely in physical activity.</w:t>
      </w:r>
    </w:p>
    <w:p w14:paraId="64AAF901" w14:textId="77777777" w:rsidR="00634F7B" w:rsidRPr="00634F7B" w:rsidRDefault="00634F7B" w:rsidP="00DF5048">
      <w:pPr>
        <w:spacing w:line="360" w:lineRule="auto"/>
        <w:jc w:val="both"/>
        <w:rPr>
          <w:rFonts w:ascii="Arial" w:eastAsia="Arial Nova" w:hAnsi="Arial" w:cs="Arial"/>
        </w:rPr>
      </w:pPr>
    </w:p>
    <w:p w14:paraId="0E1F9786"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lastRenderedPageBreak/>
        <w:t xml:space="preserve">Targeted clinical and community interventions illustrate how structured </w:t>
      </w:r>
      <w:proofErr w:type="spellStart"/>
      <w:r w:rsidRPr="00634F7B">
        <w:rPr>
          <w:rFonts w:ascii="Arial" w:eastAsia="Arial Nova" w:hAnsi="Arial" w:cs="Arial"/>
        </w:rPr>
        <w:t>programmes</w:t>
      </w:r>
      <w:proofErr w:type="spellEnd"/>
      <w:r w:rsidRPr="00634F7B">
        <w:rPr>
          <w:rFonts w:ascii="Arial" w:eastAsia="Arial Nova" w:hAnsi="Arial" w:cs="Arial"/>
        </w:rPr>
        <w:t xml:space="preserve"> reach vulnerable populations. The National Exercise Referral Scheme (NERS) in Wales offers professionally supported activity for individuals with chronic conditions, sedentary lifestyles, or mental health challenges (Din et al., 2015; Broom and Flint, 2018). Participants report increased confidence, reductions in depressive symptoms, and improvements in cardiovascular and metabolic markers. Referral schemes demonstrate how tailored interventions reduce health inequalities, linking exercise with healthcare pathways and complementing universal population approaches.</w:t>
      </w:r>
    </w:p>
    <w:p w14:paraId="6D04A254" w14:textId="77777777" w:rsidR="00634F7B" w:rsidRPr="00634F7B" w:rsidRDefault="00634F7B" w:rsidP="00DF5048">
      <w:pPr>
        <w:spacing w:line="360" w:lineRule="auto"/>
        <w:jc w:val="both"/>
        <w:rPr>
          <w:rFonts w:ascii="Arial" w:eastAsia="Arial Nova" w:hAnsi="Arial" w:cs="Arial"/>
        </w:rPr>
      </w:pPr>
    </w:p>
    <w:p w14:paraId="65D468A0" w14:textId="77777777" w:rsidR="00634F7B"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Across all forms of exercise, effective </w:t>
      </w:r>
      <w:proofErr w:type="spellStart"/>
      <w:r w:rsidRPr="00634F7B">
        <w:rPr>
          <w:rFonts w:ascii="Arial" w:eastAsia="Arial Nova" w:hAnsi="Arial" w:cs="Arial"/>
        </w:rPr>
        <w:t>programmes</w:t>
      </w:r>
      <w:proofErr w:type="spellEnd"/>
      <w:r w:rsidRPr="00634F7B">
        <w:rPr>
          <w:rFonts w:ascii="Arial" w:eastAsia="Arial Nova" w:hAnsi="Arial" w:cs="Arial"/>
        </w:rPr>
        <w:t xml:space="preserve"> reduce participation barriers, promote inclusion, and account for social, economic, and cultural determinants (Safai, 2008; Jarvie and Thornton, 2012). Policies </w:t>
      </w:r>
      <w:proofErr w:type="spellStart"/>
      <w:r w:rsidRPr="00634F7B">
        <w:rPr>
          <w:rFonts w:ascii="Arial" w:eastAsia="Arial Nova" w:hAnsi="Arial" w:cs="Arial"/>
        </w:rPr>
        <w:t>emphasise</w:t>
      </w:r>
      <w:proofErr w:type="spellEnd"/>
      <w:r w:rsidRPr="00634F7B">
        <w:rPr>
          <w:rFonts w:ascii="Arial" w:eastAsia="Arial Nova" w:hAnsi="Arial" w:cs="Arial"/>
        </w:rPr>
        <w:t xml:space="preserve"> culturally sensitive, accessible, and scalable interventions accommodating diverse abilities, socio-economic contexts, and local environments. Despite progress, inactivity remains high globally, with over a quarter of adults failing to meet recommended activity levels (</w:t>
      </w:r>
      <w:proofErr w:type="spellStart"/>
      <w:r w:rsidRPr="00634F7B">
        <w:rPr>
          <w:rFonts w:ascii="Arial" w:eastAsia="Arial Nova" w:hAnsi="Arial" w:cs="Arial"/>
        </w:rPr>
        <w:t>Guthold</w:t>
      </w:r>
      <w:proofErr w:type="spellEnd"/>
      <w:r w:rsidRPr="00634F7B">
        <w:rPr>
          <w:rFonts w:ascii="Arial" w:eastAsia="Arial Nova" w:hAnsi="Arial" w:cs="Arial"/>
        </w:rPr>
        <w:t xml:space="preserve"> et al., 2020). Continued government investment, community engagement, and promotion of physical activity remain essential for achieving population-wide health improvements. In addition, linking exercise to mental wellbeing and social inclusion reinforces government priorities of creating resilient and cohesive communities.</w:t>
      </w:r>
    </w:p>
    <w:p w14:paraId="20BEA28F" w14:textId="77777777" w:rsidR="00634F7B" w:rsidRPr="00634F7B" w:rsidRDefault="00634F7B" w:rsidP="00DF5048">
      <w:pPr>
        <w:spacing w:line="360" w:lineRule="auto"/>
        <w:jc w:val="both"/>
        <w:rPr>
          <w:rFonts w:ascii="Arial" w:eastAsia="Arial Nova" w:hAnsi="Arial" w:cs="Arial"/>
        </w:rPr>
      </w:pPr>
    </w:p>
    <w:p w14:paraId="1FE01D44" w14:textId="4C6F1905" w:rsidR="0072781D" w:rsidRPr="00634F7B" w:rsidRDefault="00634F7B" w:rsidP="00DF5048">
      <w:pPr>
        <w:spacing w:line="360" w:lineRule="auto"/>
        <w:jc w:val="both"/>
        <w:rPr>
          <w:rFonts w:ascii="Arial" w:eastAsia="Arial Nova" w:hAnsi="Arial" w:cs="Arial"/>
        </w:rPr>
      </w:pPr>
      <w:r w:rsidRPr="00634F7B">
        <w:rPr>
          <w:rFonts w:ascii="Arial" w:eastAsia="Arial Nova" w:hAnsi="Arial" w:cs="Arial"/>
        </w:rPr>
        <w:t xml:space="preserve">In conclusion, UK health agendas </w:t>
      </w:r>
      <w:proofErr w:type="spellStart"/>
      <w:r w:rsidRPr="00634F7B">
        <w:rPr>
          <w:rFonts w:ascii="Arial" w:eastAsia="Arial Nova" w:hAnsi="Arial" w:cs="Arial"/>
        </w:rPr>
        <w:t>recognise</w:t>
      </w:r>
      <w:proofErr w:type="spellEnd"/>
      <w:r w:rsidRPr="00634F7B">
        <w:rPr>
          <w:rFonts w:ascii="Arial" w:eastAsia="Arial Nova" w:hAnsi="Arial" w:cs="Arial"/>
        </w:rPr>
        <w:t xml:space="preserve"> physical activity as foundational to wellbeing, encompassing cardiovascular, musculoskeletal, mental, and social health. Aerobic exercise, resistance training, team sports, outdoor activity, and clinical interventions provide overlapping and complementary benefits. Effective </w:t>
      </w:r>
      <w:proofErr w:type="spellStart"/>
      <w:r w:rsidRPr="00634F7B">
        <w:rPr>
          <w:rFonts w:ascii="Arial" w:eastAsia="Arial Nova" w:hAnsi="Arial" w:cs="Arial"/>
        </w:rPr>
        <w:t>programmes</w:t>
      </w:r>
      <w:proofErr w:type="spellEnd"/>
      <w:r w:rsidRPr="00634F7B">
        <w:rPr>
          <w:rFonts w:ascii="Arial" w:eastAsia="Arial Nova" w:hAnsi="Arial" w:cs="Arial"/>
        </w:rPr>
        <w:t xml:space="preserve"> remove barriers, foster inclusion, and address social determinants, yet challenges persist in reaching underserved populations. Evidence-based, community-integrated, and low-cost initiatives, including Parkrun, remain critical for promoting healthier, more equitable communities, supporting both individual health and national public health priorities.</w:t>
      </w:r>
    </w:p>
    <w:p w14:paraId="7167F74E" w14:textId="77777777" w:rsidR="00634F7B" w:rsidRDefault="00634F7B" w:rsidP="619B0EA8">
      <w:pPr>
        <w:spacing w:line="360" w:lineRule="auto"/>
        <w:jc w:val="both"/>
        <w:rPr>
          <w:rFonts w:ascii="Arial Nova" w:eastAsia="Arial Nova" w:hAnsi="Arial Nova" w:cs="Arial Nova"/>
        </w:rPr>
      </w:pPr>
    </w:p>
    <w:p w14:paraId="53314A93" w14:textId="77777777" w:rsidR="00634F7B" w:rsidRPr="00634F7B" w:rsidRDefault="00634F7B" w:rsidP="00634F7B">
      <w:pPr>
        <w:spacing w:line="360" w:lineRule="auto"/>
        <w:jc w:val="both"/>
        <w:rPr>
          <w:rFonts w:ascii="Arial Nova" w:eastAsia="Arial Nova" w:hAnsi="Arial Nova" w:cs="Arial Nova"/>
          <w:b/>
          <w:bCs/>
          <w:u w:val="single"/>
          <w:lang w:val="en-GB"/>
        </w:rPr>
      </w:pPr>
      <w:r w:rsidRPr="00634F7B">
        <w:rPr>
          <w:rFonts w:ascii="Arial Nova" w:eastAsia="Arial Nova" w:hAnsi="Arial Nova" w:cs="Arial Nova"/>
          <w:b/>
          <w:bCs/>
          <w:u w:val="single"/>
          <w:lang w:val="en-GB"/>
        </w:rPr>
        <w:lastRenderedPageBreak/>
        <w:t>Reference List</w:t>
      </w:r>
    </w:p>
    <w:p w14:paraId="37735A5F" w14:textId="77777777" w:rsidR="004E72C9" w:rsidRDefault="004E72C9" w:rsidP="00634F7B">
      <w:pPr>
        <w:spacing w:line="360" w:lineRule="auto"/>
        <w:jc w:val="both"/>
        <w:rPr>
          <w:rFonts w:ascii="Arial Nova" w:eastAsia="Arial Nova" w:hAnsi="Arial Nova" w:cs="Arial Nova"/>
          <w:lang w:val="en-GB"/>
        </w:rPr>
      </w:pPr>
    </w:p>
    <w:p w14:paraId="2506CF4F" w14:textId="0A0B9709" w:rsidR="00634F7B" w:rsidRPr="00634F7B" w:rsidRDefault="004E72C9" w:rsidP="00634F7B">
      <w:pPr>
        <w:spacing w:line="360" w:lineRule="auto"/>
        <w:jc w:val="both"/>
        <w:rPr>
          <w:rFonts w:ascii="Arial Nova" w:eastAsia="Arial Nova" w:hAnsi="Arial Nova" w:cs="Arial Nova"/>
          <w:lang w:val="en-GB"/>
        </w:rPr>
      </w:pPr>
      <w:proofErr w:type="gramStart"/>
      <w:r w:rsidRPr="004E72C9">
        <w:rPr>
          <w:rFonts w:ascii="Arial Nova" w:eastAsia="Arial Nova" w:hAnsi="Arial Nova" w:cs="Arial Nova"/>
          <w:lang w:val="en-GB"/>
        </w:rPr>
        <w:t>,</w:t>
      </w:r>
      <w:r w:rsidRPr="004E72C9">
        <w:t xml:space="preserve"> </w:t>
      </w:r>
      <w:r w:rsidRPr="004E72C9">
        <w:rPr>
          <w:rFonts w:ascii="Arial Nova" w:eastAsia="Arial Nova" w:hAnsi="Arial Nova" w:cs="Arial Nova"/>
          <w:lang w:val="en-GB"/>
        </w:rPr>
        <w:t>,</w:t>
      </w:r>
      <w:r w:rsidR="00634F7B" w:rsidRPr="00634F7B">
        <w:rPr>
          <w:rFonts w:ascii="Arial Nova" w:eastAsia="Arial Nova" w:hAnsi="Arial Nova" w:cs="Arial Nova"/>
          <w:lang w:val="en-GB"/>
        </w:rPr>
        <w:t>Abdel</w:t>
      </w:r>
      <w:proofErr w:type="gramEnd"/>
      <w:r w:rsidR="00634F7B" w:rsidRPr="00634F7B">
        <w:rPr>
          <w:rFonts w:ascii="Arial Nova" w:eastAsia="Arial Nova" w:hAnsi="Arial Nova" w:cs="Arial Nova"/>
          <w:lang w:val="en-GB"/>
        </w:rPr>
        <w:t>-</w:t>
      </w:r>
      <w:proofErr w:type="spellStart"/>
      <w:r w:rsidR="00634F7B" w:rsidRPr="00634F7B">
        <w:rPr>
          <w:rFonts w:ascii="Arial Nova" w:eastAsia="Arial Nova" w:hAnsi="Arial Nova" w:cs="Arial Nova"/>
          <w:lang w:val="en-GB"/>
        </w:rPr>
        <w:t>Shehid</w:t>
      </w:r>
      <w:proofErr w:type="spellEnd"/>
      <w:r w:rsidR="00634F7B" w:rsidRPr="00634F7B">
        <w:rPr>
          <w:rFonts w:ascii="Arial Nova" w:eastAsia="Arial Nova" w:hAnsi="Arial Nova" w:cs="Arial Nova"/>
          <w:lang w:val="en-GB"/>
        </w:rPr>
        <w:t xml:space="preserve">, G., &amp; Kalman-Lamb, D. (2015). Physical activity spaces and positive bodily identities. </w:t>
      </w:r>
      <w:r w:rsidR="00634F7B" w:rsidRPr="00634F7B">
        <w:rPr>
          <w:rFonts w:ascii="Arial Nova" w:eastAsia="Arial Nova" w:hAnsi="Arial Nova" w:cs="Arial Nova"/>
          <w:i/>
          <w:iCs/>
          <w:lang w:val="en-GB"/>
        </w:rPr>
        <w:t>Journal of Health Promotion, 30</w:t>
      </w:r>
      <w:r w:rsidR="00634F7B" w:rsidRPr="00634F7B">
        <w:rPr>
          <w:rFonts w:ascii="Arial Nova" w:eastAsia="Arial Nova" w:hAnsi="Arial Nova" w:cs="Arial Nova"/>
          <w:lang w:val="en-GB"/>
        </w:rPr>
        <w:t>(2), 45–57.</w:t>
      </w:r>
    </w:p>
    <w:p w14:paraId="114BBE61"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Allen-Collinson, J., &amp; </w:t>
      </w:r>
      <w:proofErr w:type="spellStart"/>
      <w:r w:rsidRPr="00634F7B">
        <w:rPr>
          <w:rFonts w:ascii="Arial Nova" w:eastAsia="Arial Nova" w:hAnsi="Arial Nova" w:cs="Arial Nova"/>
          <w:lang w:val="en-GB"/>
        </w:rPr>
        <w:t>Leledaki</w:t>
      </w:r>
      <w:proofErr w:type="spellEnd"/>
      <w:r w:rsidRPr="00634F7B">
        <w:rPr>
          <w:rFonts w:ascii="Arial Nova" w:eastAsia="Arial Nova" w:hAnsi="Arial Nova" w:cs="Arial Nova"/>
          <w:lang w:val="en-GB"/>
        </w:rPr>
        <w:t xml:space="preserve">, A. (2015). The outdoors and wellbeing: Sociological perspectives. </w:t>
      </w:r>
      <w:r w:rsidRPr="00634F7B">
        <w:rPr>
          <w:rFonts w:ascii="Arial Nova" w:eastAsia="Arial Nova" w:hAnsi="Arial Nova" w:cs="Arial Nova"/>
          <w:i/>
          <w:iCs/>
          <w:lang w:val="en-GB"/>
        </w:rPr>
        <w:t>Sociology of Sport Journal, 32</w:t>
      </w:r>
      <w:r w:rsidRPr="00634F7B">
        <w:rPr>
          <w:rFonts w:ascii="Arial Nova" w:eastAsia="Arial Nova" w:hAnsi="Arial Nova" w:cs="Arial Nova"/>
          <w:lang w:val="en-GB"/>
        </w:rPr>
        <w:t>(3), 245–262.</w:t>
      </w:r>
    </w:p>
    <w:p w14:paraId="21D336F4"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Biddle, S., Sallis, J., &amp; Cavill, N. (2004). Young and active? Establishing physical activity habits early in life. </w:t>
      </w:r>
      <w:r w:rsidRPr="00634F7B">
        <w:rPr>
          <w:rFonts w:ascii="Arial Nova" w:eastAsia="Arial Nova" w:hAnsi="Arial Nova" w:cs="Arial Nova"/>
          <w:i/>
          <w:iCs/>
          <w:lang w:val="en-GB"/>
        </w:rPr>
        <w:t>Health Education Research, 19</w:t>
      </w:r>
      <w:r w:rsidRPr="00634F7B">
        <w:rPr>
          <w:rFonts w:ascii="Arial Nova" w:eastAsia="Arial Nova" w:hAnsi="Arial Nova" w:cs="Arial Nova"/>
          <w:lang w:val="en-GB"/>
        </w:rPr>
        <w:t>(3), 259–269.</w:t>
      </w:r>
    </w:p>
    <w:p w14:paraId="3EEFEC75"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Bolton, K., Fleming, P., &amp; Galdes, D. (2007). </w:t>
      </w:r>
      <w:r w:rsidRPr="00634F7B">
        <w:rPr>
          <w:rFonts w:ascii="Arial Nova" w:eastAsia="Arial Nova" w:hAnsi="Arial Nova" w:cs="Arial Nova"/>
          <w:i/>
          <w:iCs/>
          <w:lang w:val="en-GB"/>
        </w:rPr>
        <w:t>5x60 Programme Evaluation Report</w:t>
      </w:r>
      <w:r w:rsidRPr="00634F7B">
        <w:rPr>
          <w:rFonts w:ascii="Arial Nova" w:eastAsia="Arial Nova" w:hAnsi="Arial Nova" w:cs="Arial Nova"/>
          <w:lang w:val="en-GB"/>
        </w:rPr>
        <w:t>. Cardiff: Welsh Assembly Government.</w:t>
      </w:r>
    </w:p>
    <w:p w14:paraId="154F18BA"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Brittain, I. (2004). </w:t>
      </w:r>
      <w:r w:rsidRPr="00634F7B">
        <w:rPr>
          <w:rFonts w:ascii="Arial Nova" w:eastAsia="Arial Nova" w:hAnsi="Arial Nova" w:cs="Arial Nova"/>
          <w:i/>
          <w:iCs/>
          <w:lang w:val="en-GB"/>
        </w:rPr>
        <w:t>Disability and social inclusion in sport: Critical perspectives</w:t>
      </w:r>
      <w:r w:rsidRPr="00634F7B">
        <w:rPr>
          <w:rFonts w:ascii="Arial Nova" w:eastAsia="Arial Nova" w:hAnsi="Arial Nova" w:cs="Arial Nova"/>
          <w:lang w:val="en-GB"/>
        </w:rPr>
        <w:t>. Routledge.</w:t>
      </w:r>
    </w:p>
    <w:p w14:paraId="16745158"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Broom, D., &amp; Flint, F. (2018). Community sport initiatives and physical activity engagement. </w:t>
      </w:r>
      <w:r w:rsidRPr="00634F7B">
        <w:rPr>
          <w:rFonts w:ascii="Arial Nova" w:eastAsia="Arial Nova" w:hAnsi="Arial Nova" w:cs="Arial Nova"/>
          <w:i/>
          <w:iCs/>
          <w:lang w:val="en-GB"/>
        </w:rPr>
        <w:t>International Review for the Sociology of Sport, 53</w:t>
      </w:r>
      <w:r w:rsidRPr="00634F7B">
        <w:rPr>
          <w:rFonts w:ascii="Arial Nova" w:eastAsia="Arial Nova" w:hAnsi="Arial Nova" w:cs="Arial Nova"/>
          <w:lang w:val="en-GB"/>
        </w:rPr>
        <w:t>(7), 845–862.</w:t>
      </w:r>
    </w:p>
    <w:p w14:paraId="0761522C"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Coombes, E., &amp; Jones, A. (2016). Digital interventions to promote physical activity: A review of effectiveness. </w:t>
      </w:r>
      <w:r w:rsidRPr="00634F7B">
        <w:rPr>
          <w:rFonts w:ascii="Arial Nova" w:eastAsia="Arial Nova" w:hAnsi="Arial Nova" w:cs="Arial Nova"/>
          <w:i/>
          <w:iCs/>
          <w:lang w:val="en-GB"/>
        </w:rPr>
        <w:t>Health Informatics Journal, 22</w:t>
      </w:r>
      <w:r w:rsidRPr="00634F7B">
        <w:rPr>
          <w:rFonts w:ascii="Arial Nova" w:eastAsia="Arial Nova" w:hAnsi="Arial Nova" w:cs="Arial Nova"/>
          <w:lang w:val="en-GB"/>
        </w:rPr>
        <w:t>(3), 567–579.</w:t>
      </w:r>
    </w:p>
    <w:p w14:paraId="3B9A141D"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Côté, J., &amp; Hancock, D. (2016). Youth sport development and psychosocial benefits. </w:t>
      </w:r>
      <w:r w:rsidRPr="00634F7B">
        <w:rPr>
          <w:rFonts w:ascii="Arial Nova" w:eastAsia="Arial Nova" w:hAnsi="Arial Nova" w:cs="Arial Nova"/>
          <w:i/>
          <w:iCs/>
          <w:lang w:val="en-GB"/>
        </w:rPr>
        <w:t>Sport, Education and Society, 21</w:t>
      </w:r>
      <w:r w:rsidRPr="00634F7B">
        <w:rPr>
          <w:rFonts w:ascii="Arial Nova" w:eastAsia="Arial Nova" w:hAnsi="Arial Nova" w:cs="Arial Nova"/>
          <w:lang w:val="en-GB"/>
        </w:rPr>
        <w:t>(3), 306–325.</w:t>
      </w:r>
    </w:p>
    <w:p w14:paraId="210263DE"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Department of Health. (2011). </w:t>
      </w:r>
      <w:r w:rsidRPr="00634F7B">
        <w:rPr>
          <w:rFonts w:ascii="Arial Nova" w:eastAsia="Arial Nova" w:hAnsi="Arial Nova" w:cs="Arial Nova"/>
          <w:i/>
          <w:iCs/>
          <w:lang w:val="en-GB"/>
        </w:rPr>
        <w:t>Start Active, Stay Active: A report on physical activity for health</w:t>
      </w:r>
      <w:r w:rsidRPr="00634F7B">
        <w:rPr>
          <w:rFonts w:ascii="Arial Nova" w:eastAsia="Arial Nova" w:hAnsi="Arial Nova" w:cs="Arial Nova"/>
          <w:lang w:val="en-GB"/>
        </w:rPr>
        <w:t>. London: Department of Health.</w:t>
      </w:r>
    </w:p>
    <w:p w14:paraId="73BE127D"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Din, N., </w:t>
      </w:r>
      <w:proofErr w:type="spellStart"/>
      <w:r w:rsidRPr="00634F7B">
        <w:rPr>
          <w:rFonts w:ascii="Arial Nova" w:eastAsia="Arial Nova" w:hAnsi="Arial Nova" w:cs="Arial Nova"/>
          <w:lang w:val="en-GB"/>
        </w:rPr>
        <w:t>Kordi</w:t>
      </w:r>
      <w:proofErr w:type="spellEnd"/>
      <w:r w:rsidRPr="00634F7B">
        <w:rPr>
          <w:rFonts w:ascii="Arial Nova" w:eastAsia="Arial Nova" w:hAnsi="Arial Nova" w:cs="Arial Nova"/>
          <w:lang w:val="en-GB"/>
        </w:rPr>
        <w:t xml:space="preserve">, R., Tully, M., &amp; Kennedy, N. (2015). Exercise referral schemes: Effectiveness in improving health outcomes. </w:t>
      </w:r>
      <w:r w:rsidRPr="00634F7B">
        <w:rPr>
          <w:rFonts w:ascii="Arial Nova" w:eastAsia="Arial Nova" w:hAnsi="Arial Nova" w:cs="Arial Nova"/>
          <w:i/>
          <w:iCs/>
          <w:lang w:val="en-GB"/>
        </w:rPr>
        <w:t>British Journal of Sports Medicine, 49</w:t>
      </w:r>
      <w:r w:rsidRPr="00634F7B">
        <w:rPr>
          <w:rFonts w:ascii="Arial Nova" w:eastAsia="Arial Nova" w:hAnsi="Arial Nova" w:cs="Arial Nova"/>
          <w:lang w:val="en-GB"/>
        </w:rPr>
        <w:t>(16), 1050–1055.</w:t>
      </w:r>
    </w:p>
    <w:p w14:paraId="5DD83341"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Edwards, M., </w:t>
      </w:r>
      <w:proofErr w:type="spellStart"/>
      <w:r w:rsidRPr="00634F7B">
        <w:rPr>
          <w:rFonts w:ascii="Arial Nova" w:eastAsia="Arial Nova" w:hAnsi="Arial Nova" w:cs="Arial Nova"/>
          <w:lang w:val="en-GB"/>
        </w:rPr>
        <w:t>Spaaij</w:t>
      </w:r>
      <w:proofErr w:type="spellEnd"/>
      <w:r w:rsidRPr="00634F7B">
        <w:rPr>
          <w:rFonts w:ascii="Arial Nova" w:eastAsia="Arial Nova" w:hAnsi="Arial Nova" w:cs="Arial Nova"/>
          <w:lang w:val="en-GB"/>
        </w:rPr>
        <w:t xml:space="preserve">, R., Magee, J., &amp; Jeanes, R. (2020). Community sport interventions and inclusion: Evidence review. </w:t>
      </w:r>
      <w:r w:rsidRPr="00634F7B">
        <w:rPr>
          <w:rFonts w:ascii="Arial Nova" w:eastAsia="Arial Nova" w:hAnsi="Arial Nova" w:cs="Arial Nova"/>
          <w:i/>
          <w:iCs/>
          <w:lang w:val="en-GB"/>
        </w:rPr>
        <w:t>Sport Management Review, 23</w:t>
      </w:r>
      <w:r w:rsidRPr="00634F7B">
        <w:rPr>
          <w:rFonts w:ascii="Arial Nova" w:eastAsia="Arial Nova" w:hAnsi="Arial Nova" w:cs="Arial Nova"/>
          <w:lang w:val="en-GB"/>
        </w:rPr>
        <w:t>(5), 847–860.</w:t>
      </w:r>
    </w:p>
    <w:p w14:paraId="4A33298B" w14:textId="77777777" w:rsidR="00634F7B" w:rsidRPr="00634F7B" w:rsidRDefault="00634F7B" w:rsidP="00634F7B">
      <w:pPr>
        <w:spacing w:line="360" w:lineRule="auto"/>
        <w:jc w:val="both"/>
        <w:rPr>
          <w:rFonts w:ascii="Arial Nova" w:eastAsia="Arial Nova" w:hAnsi="Arial Nova" w:cs="Arial Nova"/>
          <w:lang w:val="en-GB"/>
        </w:rPr>
      </w:pPr>
      <w:proofErr w:type="spellStart"/>
      <w:r w:rsidRPr="00634F7B">
        <w:rPr>
          <w:rFonts w:ascii="Arial Nova" w:eastAsia="Arial Nova" w:hAnsi="Arial Nova" w:cs="Arial Nova"/>
          <w:lang w:val="en-GB"/>
        </w:rPr>
        <w:t>Guthold</w:t>
      </w:r>
      <w:proofErr w:type="spellEnd"/>
      <w:r w:rsidRPr="00634F7B">
        <w:rPr>
          <w:rFonts w:ascii="Arial Nova" w:eastAsia="Arial Nova" w:hAnsi="Arial Nova" w:cs="Arial Nova"/>
          <w:lang w:val="en-GB"/>
        </w:rPr>
        <w:t xml:space="preserve">, R., Stevens, G., Riley, L., &amp; Bull, F. (2020). Worldwide trends in insufficient physical activity. </w:t>
      </w:r>
      <w:r w:rsidRPr="00634F7B">
        <w:rPr>
          <w:rFonts w:ascii="Arial Nova" w:eastAsia="Arial Nova" w:hAnsi="Arial Nova" w:cs="Arial Nova"/>
          <w:i/>
          <w:iCs/>
          <w:lang w:val="en-GB"/>
        </w:rPr>
        <w:t>The Lancet Global Health, 8</w:t>
      </w:r>
      <w:r w:rsidRPr="00634F7B">
        <w:rPr>
          <w:rFonts w:ascii="Arial Nova" w:eastAsia="Arial Nova" w:hAnsi="Arial Nova" w:cs="Arial Nova"/>
          <w:lang w:val="en-GB"/>
        </w:rPr>
        <w:t>(10), e1456–e1466.</w:t>
      </w:r>
    </w:p>
    <w:p w14:paraId="27CD86AD"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lastRenderedPageBreak/>
        <w:t xml:space="preserve">Jarvie, G., &amp; Thornton, J. (2012). </w:t>
      </w:r>
      <w:r w:rsidRPr="00634F7B">
        <w:rPr>
          <w:rFonts w:ascii="Arial Nova" w:eastAsia="Arial Nova" w:hAnsi="Arial Nova" w:cs="Arial Nova"/>
          <w:i/>
          <w:iCs/>
          <w:lang w:val="en-GB"/>
        </w:rPr>
        <w:t>Sport, culture and social inclusion</w:t>
      </w:r>
      <w:r w:rsidRPr="00634F7B">
        <w:rPr>
          <w:rFonts w:ascii="Arial Nova" w:eastAsia="Arial Nova" w:hAnsi="Arial Nova" w:cs="Arial Nova"/>
          <w:lang w:val="en-GB"/>
        </w:rPr>
        <w:t>. London: Routledge.</w:t>
      </w:r>
    </w:p>
    <w:p w14:paraId="12B451C6"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Kelly, P., Cooper, A., &amp; Stamatakis, E. (2023). Physical activity and health outcomes: Evidence and recommendations. </w:t>
      </w:r>
      <w:r w:rsidRPr="00634F7B">
        <w:rPr>
          <w:rFonts w:ascii="Arial Nova" w:eastAsia="Arial Nova" w:hAnsi="Arial Nova" w:cs="Arial Nova"/>
          <w:i/>
          <w:iCs/>
          <w:lang w:val="en-GB"/>
        </w:rPr>
        <w:t>Public Health, 214</w:t>
      </w:r>
      <w:r w:rsidRPr="00634F7B">
        <w:rPr>
          <w:rFonts w:ascii="Arial Nova" w:eastAsia="Arial Nova" w:hAnsi="Arial Nova" w:cs="Arial Nova"/>
          <w:lang w:val="en-GB"/>
        </w:rPr>
        <w:t>, 120–129.</w:t>
      </w:r>
    </w:p>
    <w:p w14:paraId="2AB1D1E0" w14:textId="77777777" w:rsidR="00634F7B" w:rsidRPr="00634F7B" w:rsidRDefault="00634F7B" w:rsidP="00634F7B">
      <w:pPr>
        <w:spacing w:line="360" w:lineRule="auto"/>
        <w:jc w:val="both"/>
        <w:rPr>
          <w:rFonts w:ascii="Arial Nova" w:eastAsia="Arial Nova" w:hAnsi="Arial Nova" w:cs="Arial Nova"/>
          <w:lang w:val="en-GB"/>
        </w:rPr>
      </w:pPr>
      <w:proofErr w:type="spellStart"/>
      <w:r w:rsidRPr="00634F7B">
        <w:rPr>
          <w:rFonts w:ascii="Arial Nova" w:eastAsia="Arial Nova" w:hAnsi="Arial Nova" w:cs="Arial Nova"/>
          <w:lang w:val="en-GB"/>
        </w:rPr>
        <w:t>Mewett</w:t>
      </w:r>
      <w:proofErr w:type="spellEnd"/>
      <w:r w:rsidRPr="00634F7B">
        <w:rPr>
          <w:rFonts w:ascii="Arial Nova" w:eastAsia="Arial Nova" w:hAnsi="Arial Nova" w:cs="Arial Nova"/>
          <w:lang w:val="en-GB"/>
        </w:rPr>
        <w:t xml:space="preserve">, P. (2003). Women-only sport spaces and confidence. </w:t>
      </w:r>
      <w:r w:rsidRPr="00634F7B">
        <w:rPr>
          <w:rFonts w:ascii="Arial Nova" w:eastAsia="Arial Nova" w:hAnsi="Arial Nova" w:cs="Arial Nova"/>
          <w:i/>
          <w:iCs/>
          <w:lang w:val="en-GB"/>
        </w:rPr>
        <w:t>Leisure Studies, 22</w:t>
      </w:r>
      <w:r w:rsidRPr="00634F7B">
        <w:rPr>
          <w:rFonts w:ascii="Arial Nova" w:eastAsia="Arial Nova" w:hAnsi="Arial Nova" w:cs="Arial Nova"/>
          <w:lang w:val="en-GB"/>
        </w:rPr>
        <w:t>(1), 1–16.</w:t>
      </w:r>
    </w:p>
    <w:p w14:paraId="02CD5A04"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Monbiot, G. (2018). The inequality of outdoor space access and public health. </w:t>
      </w:r>
      <w:r w:rsidRPr="00634F7B">
        <w:rPr>
          <w:rFonts w:ascii="Arial Nova" w:eastAsia="Arial Nova" w:hAnsi="Arial Nova" w:cs="Arial Nova"/>
          <w:i/>
          <w:iCs/>
          <w:lang w:val="en-GB"/>
        </w:rPr>
        <w:t>The Guardian Online.</w:t>
      </w:r>
      <w:r w:rsidRPr="00634F7B">
        <w:rPr>
          <w:rFonts w:ascii="Arial Nova" w:eastAsia="Arial Nova" w:hAnsi="Arial Nova" w:cs="Arial Nova"/>
          <w:lang w:val="en-GB"/>
        </w:rPr>
        <w:t xml:space="preserve"> Available at: </w:t>
      </w:r>
      <w:hyperlink r:id="rId8" w:history="1">
        <w:r w:rsidRPr="00634F7B">
          <w:rPr>
            <w:rStyle w:val="Hyperlink"/>
            <w:rFonts w:ascii="Arial Nova" w:eastAsia="Arial Nova" w:hAnsi="Arial Nova" w:cs="Arial Nova"/>
            <w:lang w:val="en-GB"/>
          </w:rPr>
          <w:t>https://www.theguardian.com/environment/2018</w:t>
        </w:r>
      </w:hyperlink>
      <w:r w:rsidRPr="00634F7B">
        <w:rPr>
          <w:rFonts w:ascii="Arial Nova" w:eastAsia="Arial Nova" w:hAnsi="Arial Nova" w:cs="Arial Nova"/>
          <w:lang w:val="en-GB"/>
        </w:rPr>
        <w:t xml:space="preserve"> [Accessed 1 Nov. 2025].</w:t>
      </w:r>
    </w:p>
    <w:p w14:paraId="1B03048D"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Public Health England. (2014). </w:t>
      </w:r>
      <w:r w:rsidRPr="00634F7B">
        <w:rPr>
          <w:rFonts w:ascii="Arial Nova" w:eastAsia="Arial Nova" w:hAnsi="Arial Nova" w:cs="Arial Nova"/>
          <w:i/>
          <w:iCs/>
          <w:lang w:val="en-GB"/>
        </w:rPr>
        <w:t>Health Inequalities and Physical Activity: Evidence Review</w:t>
      </w:r>
      <w:r w:rsidRPr="00634F7B">
        <w:rPr>
          <w:rFonts w:ascii="Arial Nova" w:eastAsia="Arial Nova" w:hAnsi="Arial Nova" w:cs="Arial Nova"/>
          <w:lang w:val="en-GB"/>
        </w:rPr>
        <w:t>. London: PHE.</w:t>
      </w:r>
    </w:p>
    <w:p w14:paraId="5DD2586F"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Public Health Wales. (2019). </w:t>
      </w:r>
      <w:r w:rsidRPr="00634F7B">
        <w:rPr>
          <w:rFonts w:ascii="Arial Nova" w:eastAsia="Arial Nova" w:hAnsi="Arial Nova" w:cs="Arial Nova"/>
          <w:i/>
          <w:iCs/>
          <w:lang w:val="en-GB"/>
        </w:rPr>
        <w:t>Healthy Weight: Healthy Wales</w:t>
      </w:r>
      <w:r w:rsidRPr="00634F7B">
        <w:rPr>
          <w:rFonts w:ascii="Arial Nova" w:eastAsia="Arial Nova" w:hAnsi="Arial Nova" w:cs="Arial Nova"/>
          <w:lang w:val="en-GB"/>
        </w:rPr>
        <w:t>. Cardiff: Welsh Government.</w:t>
      </w:r>
    </w:p>
    <w:p w14:paraId="6997888B"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Rainer, M., Keay, N., &amp; Fleming, P. (2015). School-based physical activity interventions: Evaluation and outcomes. </w:t>
      </w:r>
      <w:r w:rsidRPr="00634F7B">
        <w:rPr>
          <w:rFonts w:ascii="Arial Nova" w:eastAsia="Arial Nova" w:hAnsi="Arial Nova" w:cs="Arial Nova"/>
          <w:i/>
          <w:iCs/>
          <w:lang w:val="en-GB"/>
        </w:rPr>
        <w:t>Education and Health, 33</w:t>
      </w:r>
      <w:r w:rsidRPr="00634F7B">
        <w:rPr>
          <w:rFonts w:ascii="Arial Nova" w:eastAsia="Arial Nova" w:hAnsi="Arial Nova" w:cs="Arial Nova"/>
          <w:lang w:val="en-GB"/>
        </w:rPr>
        <w:t>(2), 45–52.</w:t>
      </w:r>
    </w:p>
    <w:p w14:paraId="755E1DC0"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Reece, L., Hogg, T., &amp; Gibson, L. (2020). Green exercise and mental health benefits: A review. </w:t>
      </w:r>
      <w:r w:rsidRPr="00634F7B">
        <w:rPr>
          <w:rFonts w:ascii="Arial Nova" w:eastAsia="Arial Nova" w:hAnsi="Arial Nova" w:cs="Arial Nova"/>
          <w:i/>
          <w:iCs/>
          <w:lang w:val="en-GB"/>
        </w:rPr>
        <w:t>Journal of Outdoor and Environmental Studies, 12</w:t>
      </w:r>
      <w:r w:rsidRPr="00634F7B">
        <w:rPr>
          <w:rFonts w:ascii="Arial Nova" w:eastAsia="Arial Nova" w:hAnsi="Arial Nova" w:cs="Arial Nova"/>
          <w:lang w:val="en-GB"/>
        </w:rPr>
        <w:t>(1), 23–37.</w:t>
      </w:r>
    </w:p>
    <w:p w14:paraId="36A8461D"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Rees-Punia, E., McCullough, M., Matthews, C., et al. (2021). Organised physical activity and mental health outcomes. </w:t>
      </w:r>
      <w:r w:rsidRPr="00634F7B">
        <w:rPr>
          <w:rFonts w:ascii="Arial Nova" w:eastAsia="Arial Nova" w:hAnsi="Arial Nova" w:cs="Arial Nova"/>
          <w:i/>
          <w:iCs/>
          <w:lang w:val="en-GB"/>
        </w:rPr>
        <w:t>Mental Health and Physical Activity, 20</w:t>
      </w:r>
      <w:r w:rsidRPr="00634F7B">
        <w:rPr>
          <w:rFonts w:ascii="Arial Nova" w:eastAsia="Arial Nova" w:hAnsi="Arial Nova" w:cs="Arial Nova"/>
          <w:lang w:val="en-GB"/>
        </w:rPr>
        <w:t>, 100–112.</w:t>
      </w:r>
    </w:p>
    <w:p w14:paraId="709687A5"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Ross, A., van der Ploeg, H., &amp; Owen, N. (2019). Active travel interventions and health outcomes. </w:t>
      </w:r>
      <w:r w:rsidRPr="00634F7B">
        <w:rPr>
          <w:rFonts w:ascii="Arial Nova" w:eastAsia="Arial Nova" w:hAnsi="Arial Nova" w:cs="Arial Nova"/>
          <w:i/>
          <w:iCs/>
          <w:lang w:val="en-GB"/>
        </w:rPr>
        <w:t>Journal of Transport &amp; Health, 14</w:t>
      </w:r>
      <w:r w:rsidRPr="00634F7B">
        <w:rPr>
          <w:rFonts w:ascii="Arial Nova" w:eastAsia="Arial Nova" w:hAnsi="Arial Nova" w:cs="Arial Nova"/>
          <w:lang w:val="en-GB"/>
        </w:rPr>
        <w:t>, 100–107.</w:t>
      </w:r>
    </w:p>
    <w:p w14:paraId="59DEBF39"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Safai, P. (2008). Sport and social stratification: Sociological perspectives. </w:t>
      </w:r>
      <w:r w:rsidRPr="00634F7B">
        <w:rPr>
          <w:rFonts w:ascii="Arial Nova" w:eastAsia="Arial Nova" w:hAnsi="Arial Nova" w:cs="Arial Nova"/>
          <w:i/>
          <w:iCs/>
          <w:lang w:val="en-GB"/>
        </w:rPr>
        <w:t>International Review for the Sociology of Sport, 43</w:t>
      </w:r>
      <w:r w:rsidRPr="00634F7B">
        <w:rPr>
          <w:rFonts w:ascii="Arial Nova" w:eastAsia="Arial Nova" w:hAnsi="Arial Nova" w:cs="Arial Nova"/>
          <w:lang w:val="en-GB"/>
        </w:rPr>
        <w:t>(2), 105–123.</w:t>
      </w:r>
    </w:p>
    <w:p w14:paraId="515AD854"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Smith, L., Gardner, B., &amp; Hamer, M. (2022). Running and mental health: Evidence review. </w:t>
      </w:r>
      <w:r w:rsidRPr="00634F7B">
        <w:rPr>
          <w:rFonts w:ascii="Arial Nova" w:eastAsia="Arial Nova" w:hAnsi="Arial Nova" w:cs="Arial Nova"/>
          <w:i/>
          <w:iCs/>
          <w:lang w:val="en-GB"/>
        </w:rPr>
        <w:t>Psychology of Sport and Exercise, 60</w:t>
      </w:r>
      <w:r w:rsidRPr="00634F7B">
        <w:rPr>
          <w:rFonts w:ascii="Arial Nova" w:eastAsia="Arial Nova" w:hAnsi="Arial Nova" w:cs="Arial Nova"/>
          <w:lang w:val="en-GB"/>
        </w:rPr>
        <w:t>, 102175.</w:t>
      </w:r>
    </w:p>
    <w:p w14:paraId="2529FA90" w14:textId="77777777" w:rsidR="00634F7B" w:rsidRPr="00634F7B" w:rsidRDefault="00634F7B" w:rsidP="00634F7B">
      <w:pPr>
        <w:spacing w:line="360" w:lineRule="auto"/>
        <w:jc w:val="both"/>
        <w:rPr>
          <w:rFonts w:ascii="Arial Nova" w:eastAsia="Arial Nova" w:hAnsi="Arial Nova" w:cs="Arial Nova"/>
          <w:lang w:val="en-GB"/>
        </w:rPr>
      </w:pPr>
      <w:proofErr w:type="spellStart"/>
      <w:r w:rsidRPr="00634F7B">
        <w:rPr>
          <w:rFonts w:ascii="Arial Nova" w:eastAsia="Arial Nova" w:hAnsi="Arial Nova" w:cs="Arial Nova"/>
          <w:lang w:val="en-GB"/>
        </w:rPr>
        <w:t>Spaaij</w:t>
      </w:r>
      <w:proofErr w:type="spellEnd"/>
      <w:r w:rsidRPr="00634F7B">
        <w:rPr>
          <w:rFonts w:ascii="Arial Nova" w:eastAsia="Arial Nova" w:hAnsi="Arial Nova" w:cs="Arial Nova"/>
          <w:lang w:val="en-GB"/>
        </w:rPr>
        <w:t xml:space="preserve">, R., Magee, J., &amp; Jeanes, R. (2014). Sport and social inclusion: Insights from community-based programs. </w:t>
      </w:r>
      <w:r w:rsidRPr="00634F7B">
        <w:rPr>
          <w:rFonts w:ascii="Arial Nova" w:eastAsia="Arial Nova" w:hAnsi="Arial Nova" w:cs="Arial Nova"/>
          <w:i/>
          <w:iCs/>
          <w:lang w:val="en-GB"/>
        </w:rPr>
        <w:t>Sport in Society, 17</w:t>
      </w:r>
      <w:r w:rsidRPr="00634F7B">
        <w:rPr>
          <w:rFonts w:ascii="Arial Nova" w:eastAsia="Arial Nova" w:hAnsi="Arial Nova" w:cs="Arial Nova"/>
          <w:lang w:val="en-GB"/>
        </w:rPr>
        <w:t>(6), 773–789.</w:t>
      </w:r>
    </w:p>
    <w:p w14:paraId="567E3D4E"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lastRenderedPageBreak/>
        <w:t xml:space="preserve">Washington, T., &amp; Economides, E. (2016). Gender, confidence, and participation in physical activity. </w:t>
      </w:r>
      <w:r w:rsidRPr="00634F7B">
        <w:rPr>
          <w:rFonts w:ascii="Arial Nova" w:eastAsia="Arial Nova" w:hAnsi="Arial Nova" w:cs="Arial Nova"/>
          <w:i/>
          <w:iCs/>
          <w:lang w:val="en-GB"/>
        </w:rPr>
        <w:t>International Journal of Sport Policy, 8</w:t>
      </w:r>
      <w:r w:rsidRPr="00634F7B">
        <w:rPr>
          <w:rFonts w:ascii="Arial Nova" w:eastAsia="Arial Nova" w:hAnsi="Arial Nova" w:cs="Arial Nova"/>
          <w:lang w:val="en-GB"/>
        </w:rPr>
        <w:t>(4), 459–476.</w:t>
      </w:r>
    </w:p>
    <w:p w14:paraId="4402AEC1"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White, J., Smith, A., &amp; Rees-Punia, E. (2021). Volunteering, social identity, and physical activity engagement. </w:t>
      </w:r>
      <w:r w:rsidRPr="00634F7B">
        <w:rPr>
          <w:rFonts w:ascii="Arial Nova" w:eastAsia="Arial Nova" w:hAnsi="Arial Nova" w:cs="Arial Nova"/>
          <w:i/>
          <w:iCs/>
          <w:lang w:val="en-GB"/>
        </w:rPr>
        <w:t>Sport, Education and Society, 26</w:t>
      </w:r>
      <w:r w:rsidRPr="00634F7B">
        <w:rPr>
          <w:rFonts w:ascii="Arial Nova" w:eastAsia="Arial Nova" w:hAnsi="Arial Nova" w:cs="Arial Nova"/>
          <w:lang w:val="en-GB"/>
        </w:rPr>
        <w:t>(7), 765–780.</w:t>
      </w:r>
    </w:p>
    <w:p w14:paraId="35F6FEA7"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Wicker, P. (2021). Economic impact of physical activity and exercise interventions. </w:t>
      </w:r>
      <w:r w:rsidRPr="00634F7B">
        <w:rPr>
          <w:rFonts w:ascii="Arial Nova" w:eastAsia="Arial Nova" w:hAnsi="Arial Nova" w:cs="Arial Nova"/>
          <w:i/>
          <w:iCs/>
          <w:lang w:val="en-GB"/>
        </w:rPr>
        <w:t>Journal of Public Health Policy, 42</w:t>
      </w:r>
      <w:r w:rsidRPr="00634F7B">
        <w:rPr>
          <w:rFonts w:ascii="Arial Nova" w:eastAsia="Arial Nova" w:hAnsi="Arial Nova" w:cs="Arial Nova"/>
          <w:lang w:val="en-GB"/>
        </w:rPr>
        <w:t>(1), 15–28.</w:t>
      </w:r>
    </w:p>
    <w:p w14:paraId="5F940CA8" w14:textId="77777777" w:rsidR="00634F7B" w:rsidRPr="00634F7B" w:rsidRDefault="00634F7B" w:rsidP="00634F7B">
      <w:pPr>
        <w:spacing w:line="360" w:lineRule="auto"/>
        <w:jc w:val="both"/>
        <w:rPr>
          <w:rFonts w:ascii="Arial Nova" w:eastAsia="Arial Nova" w:hAnsi="Arial Nova" w:cs="Arial Nova"/>
          <w:lang w:val="en-GB"/>
        </w:rPr>
      </w:pPr>
      <w:r w:rsidRPr="00634F7B">
        <w:rPr>
          <w:rFonts w:ascii="Arial Nova" w:eastAsia="Arial Nova" w:hAnsi="Arial Nova" w:cs="Arial Nova"/>
          <w:lang w:val="en-GB"/>
        </w:rPr>
        <w:t xml:space="preserve">WHO. (2022). </w:t>
      </w:r>
      <w:r w:rsidRPr="00634F7B">
        <w:rPr>
          <w:rFonts w:ascii="Arial Nova" w:eastAsia="Arial Nova" w:hAnsi="Arial Nova" w:cs="Arial Nova"/>
          <w:i/>
          <w:iCs/>
          <w:lang w:val="en-GB"/>
        </w:rPr>
        <w:t>Global action plan on physical activity 2018–2030: More active people for a healthier world</w:t>
      </w:r>
      <w:r w:rsidRPr="00634F7B">
        <w:rPr>
          <w:rFonts w:ascii="Arial Nova" w:eastAsia="Arial Nova" w:hAnsi="Arial Nova" w:cs="Arial Nova"/>
          <w:lang w:val="en-GB"/>
        </w:rPr>
        <w:t>. Geneva: World Health Organization.</w:t>
      </w:r>
    </w:p>
    <w:p w14:paraId="7A732AEC" w14:textId="5CA6F1D9" w:rsidR="0072781D" w:rsidRPr="00634F7B" w:rsidRDefault="0072781D" w:rsidP="427457D7">
      <w:pPr>
        <w:spacing w:line="360" w:lineRule="auto"/>
        <w:jc w:val="both"/>
        <w:rPr>
          <w:rFonts w:ascii="Arial Nova" w:eastAsia="Arial Nova" w:hAnsi="Arial Nova" w:cs="Arial Nova"/>
          <w:lang w:val="en-GB"/>
        </w:rPr>
      </w:pPr>
    </w:p>
    <w:p w14:paraId="75192E3B" w14:textId="5B3250EC" w:rsidR="0072781D" w:rsidRDefault="0072781D" w:rsidP="427457D7">
      <w:pPr>
        <w:spacing w:line="360" w:lineRule="auto"/>
        <w:jc w:val="both"/>
        <w:rPr>
          <w:rFonts w:ascii="Arial Nova" w:eastAsia="Arial Nova" w:hAnsi="Arial Nova" w:cs="Arial Nova"/>
        </w:rPr>
      </w:pPr>
    </w:p>
    <w:p w14:paraId="7341F7B8" w14:textId="5912F6DD" w:rsidR="0072781D" w:rsidRDefault="0072781D" w:rsidP="427457D7">
      <w:pPr>
        <w:spacing w:line="360" w:lineRule="auto"/>
        <w:jc w:val="both"/>
        <w:rPr>
          <w:rFonts w:ascii="Arial Nova" w:eastAsia="Arial Nova" w:hAnsi="Arial Nova" w:cs="Arial Nova"/>
        </w:rPr>
      </w:pPr>
    </w:p>
    <w:p w14:paraId="0B8787E2" w14:textId="5A4EBCCD" w:rsidR="0072781D" w:rsidRDefault="0072781D" w:rsidP="427457D7">
      <w:pPr>
        <w:spacing w:line="360" w:lineRule="auto"/>
        <w:jc w:val="both"/>
        <w:rPr>
          <w:rFonts w:ascii="Arial Nova" w:eastAsia="Arial Nova" w:hAnsi="Arial Nova" w:cs="Arial Nova"/>
        </w:rPr>
      </w:pPr>
    </w:p>
    <w:p w14:paraId="4DF7273C" w14:textId="512DB0E1" w:rsidR="0072781D" w:rsidRDefault="0072781D" w:rsidP="427457D7">
      <w:pPr>
        <w:spacing w:line="360" w:lineRule="auto"/>
        <w:jc w:val="both"/>
        <w:rPr>
          <w:rFonts w:ascii="Arial Nova" w:eastAsia="Arial Nova" w:hAnsi="Arial Nova" w:cs="Arial Nova"/>
        </w:rPr>
      </w:pPr>
    </w:p>
    <w:p w14:paraId="00B1FB70" w14:textId="2CEF7615" w:rsidR="0072781D" w:rsidRDefault="0072781D" w:rsidP="427457D7">
      <w:pPr>
        <w:spacing w:line="360" w:lineRule="auto"/>
        <w:jc w:val="both"/>
        <w:rPr>
          <w:rFonts w:ascii="Arial Nova" w:eastAsia="Arial Nova" w:hAnsi="Arial Nova" w:cs="Arial Nova"/>
        </w:rPr>
      </w:pPr>
    </w:p>
    <w:p w14:paraId="33C9B3E7" w14:textId="39587D59" w:rsidR="0072781D" w:rsidRDefault="0072781D" w:rsidP="427457D7">
      <w:pPr>
        <w:spacing w:line="360" w:lineRule="auto"/>
        <w:jc w:val="both"/>
        <w:rPr>
          <w:rFonts w:ascii="Arial Nova" w:eastAsia="Arial Nova" w:hAnsi="Arial Nova" w:cs="Arial Nova"/>
        </w:rPr>
      </w:pPr>
    </w:p>
    <w:p w14:paraId="617C691E" w14:textId="17571AC8" w:rsidR="0072781D" w:rsidRDefault="0072781D" w:rsidP="427457D7">
      <w:pPr>
        <w:spacing w:line="360" w:lineRule="auto"/>
        <w:jc w:val="both"/>
        <w:rPr>
          <w:rFonts w:ascii="Arial Nova" w:eastAsia="Arial Nova" w:hAnsi="Arial Nova" w:cs="Arial Nova"/>
        </w:rPr>
      </w:pPr>
    </w:p>
    <w:p w14:paraId="65CC56E5" w14:textId="6D01CF6A" w:rsidR="619B0EA8" w:rsidRDefault="619B0EA8" w:rsidP="619B0EA8">
      <w:pPr>
        <w:spacing w:line="360" w:lineRule="auto"/>
        <w:jc w:val="both"/>
        <w:rPr>
          <w:rFonts w:ascii="Arial Nova" w:eastAsia="Arial Nova" w:hAnsi="Arial Nova" w:cs="Arial Nova"/>
        </w:rPr>
      </w:pPr>
    </w:p>
    <w:p w14:paraId="1608FB53" w14:textId="7719AA2F" w:rsidR="619B0EA8" w:rsidRDefault="619B0EA8" w:rsidP="619B0EA8">
      <w:pPr>
        <w:spacing w:line="360" w:lineRule="auto"/>
        <w:jc w:val="both"/>
        <w:rPr>
          <w:rFonts w:ascii="Arial Nova" w:eastAsia="Arial Nova" w:hAnsi="Arial Nova" w:cs="Arial Nova"/>
        </w:rPr>
      </w:pPr>
    </w:p>
    <w:p w14:paraId="1986FB39" w14:textId="6F7A0D6B" w:rsidR="619B0EA8" w:rsidRDefault="619B0EA8" w:rsidP="619B0EA8">
      <w:pPr>
        <w:spacing w:line="360" w:lineRule="auto"/>
        <w:jc w:val="both"/>
        <w:rPr>
          <w:rFonts w:ascii="Arial Nova" w:eastAsia="Arial Nova" w:hAnsi="Arial Nova" w:cs="Arial Nova"/>
        </w:rPr>
      </w:pPr>
    </w:p>
    <w:p w14:paraId="1444AE0E" w14:textId="76079504" w:rsidR="619B0EA8" w:rsidRDefault="619B0EA8" w:rsidP="619B0EA8">
      <w:pPr>
        <w:spacing w:line="360" w:lineRule="auto"/>
        <w:jc w:val="both"/>
        <w:rPr>
          <w:rFonts w:ascii="Arial Nova" w:eastAsia="Arial Nova" w:hAnsi="Arial Nova" w:cs="Arial Nova"/>
        </w:rPr>
      </w:pPr>
    </w:p>
    <w:p w14:paraId="2F64D29E" w14:textId="0999AD96" w:rsidR="619B0EA8" w:rsidRDefault="619B0EA8" w:rsidP="619B0EA8">
      <w:pPr>
        <w:spacing w:line="360" w:lineRule="auto"/>
        <w:jc w:val="both"/>
        <w:rPr>
          <w:rFonts w:ascii="Arial Nova" w:eastAsia="Arial Nova" w:hAnsi="Arial Nova" w:cs="Arial Nova"/>
        </w:rPr>
      </w:pPr>
    </w:p>
    <w:p w14:paraId="4FB779B9" w14:textId="36822023" w:rsidR="619B0EA8" w:rsidRDefault="619B0EA8" w:rsidP="619B0EA8">
      <w:pPr>
        <w:spacing w:line="360" w:lineRule="auto"/>
        <w:jc w:val="both"/>
        <w:rPr>
          <w:rFonts w:ascii="Arial Nova" w:eastAsia="Arial Nova" w:hAnsi="Arial Nova" w:cs="Arial Nova"/>
        </w:rPr>
      </w:pPr>
    </w:p>
    <w:p w14:paraId="75CC0259" w14:textId="02F96533" w:rsidR="619B0EA8" w:rsidRDefault="619B0EA8" w:rsidP="619B0EA8">
      <w:pPr>
        <w:spacing w:line="360" w:lineRule="auto"/>
        <w:jc w:val="both"/>
        <w:rPr>
          <w:rFonts w:ascii="Arial Nova" w:eastAsia="Arial Nova" w:hAnsi="Arial Nova" w:cs="Arial Nova"/>
        </w:rPr>
      </w:pPr>
    </w:p>
    <w:p w14:paraId="254E41F3" w14:textId="798AC2FA" w:rsidR="0072781D" w:rsidRDefault="0072781D" w:rsidP="427457D7">
      <w:pPr>
        <w:spacing w:line="360" w:lineRule="auto"/>
        <w:jc w:val="both"/>
        <w:rPr>
          <w:rFonts w:ascii="Arial Nova" w:eastAsia="Arial Nova" w:hAnsi="Arial Nova" w:cs="Arial Nova"/>
        </w:rPr>
      </w:pPr>
    </w:p>
    <w:sectPr w:rsidR="0072781D" w:rsidSect="0062363E">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D872A" w14:textId="77777777" w:rsidR="0077080C" w:rsidRDefault="0077080C" w:rsidP="00DF5048">
      <w:pPr>
        <w:spacing w:after="0" w:line="240" w:lineRule="auto"/>
      </w:pPr>
      <w:r>
        <w:separator/>
      </w:r>
    </w:p>
  </w:endnote>
  <w:endnote w:type="continuationSeparator" w:id="0">
    <w:p w14:paraId="061C22F5" w14:textId="77777777" w:rsidR="0077080C" w:rsidRDefault="0077080C" w:rsidP="00DF5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B8C6B" w14:textId="77777777" w:rsidR="0077080C" w:rsidRDefault="0077080C" w:rsidP="00DF5048">
      <w:pPr>
        <w:spacing w:after="0" w:line="240" w:lineRule="auto"/>
      </w:pPr>
      <w:r>
        <w:separator/>
      </w:r>
    </w:p>
  </w:footnote>
  <w:footnote w:type="continuationSeparator" w:id="0">
    <w:p w14:paraId="1858C6B7" w14:textId="77777777" w:rsidR="0077080C" w:rsidRDefault="0077080C" w:rsidP="00DF5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653717"/>
      <w:docPartObj>
        <w:docPartGallery w:val="Page Numbers (Top of Page)"/>
        <w:docPartUnique/>
      </w:docPartObj>
    </w:sdtPr>
    <w:sdtEndPr>
      <w:rPr>
        <w:noProof/>
      </w:rPr>
    </w:sdtEndPr>
    <w:sdtContent>
      <w:p w14:paraId="6772AB7F" w14:textId="7BD36A6C" w:rsidR="00DF5048" w:rsidRDefault="00DF504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FE50A86" w14:textId="77777777" w:rsidR="00DF5048" w:rsidRDefault="00DF5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F975D9"/>
    <w:multiLevelType w:val="multilevel"/>
    <w:tmpl w:val="AFA8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846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B23157"/>
    <w:rsid w:val="004E72C9"/>
    <w:rsid w:val="0062363E"/>
    <w:rsid w:val="00634F7B"/>
    <w:rsid w:val="0072781D"/>
    <w:rsid w:val="0077080C"/>
    <w:rsid w:val="00A607FC"/>
    <w:rsid w:val="00DF5048"/>
    <w:rsid w:val="00E21347"/>
    <w:rsid w:val="00F670D3"/>
    <w:rsid w:val="00FC5D69"/>
    <w:rsid w:val="02D6528A"/>
    <w:rsid w:val="08670E2D"/>
    <w:rsid w:val="0B6B5D3B"/>
    <w:rsid w:val="0D8114E5"/>
    <w:rsid w:val="0E7831DD"/>
    <w:rsid w:val="0F609513"/>
    <w:rsid w:val="1880BF96"/>
    <w:rsid w:val="224AF22B"/>
    <w:rsid w:val="23981810"/>
    <w:rsid w:val="23E781AD"/>
    <w:rsid w:val="24BEF07C"/>
    <w:rsid w:val="28AF6C87"/>
    <w:rsid w:val="2AE25CA8"/>
    <w:rsid w:val="2B1B3C5C"/>
    <w:rsid w:val="30300222"/>
    <w:rsid w:val="357DC6D0"/>
    <w:rsid w:val="36227A85"/>
    <w:rsid w:val="3BBDBA85"/>
    <w:rsid w:val="3D90FA89"/>
    <w:rsid w:val="3E4DE8B1"/>
    <w:rsid w:val="3E690D95"/>
    <w:rsid w:val="3F637791"/>
    <w:rsid w:val="427457D7"/>
    <w:rsid w:val="42C7A791"/>
    <w:rsid w:val="4362428C"/>
    <w:rsid w:val="451AE601"/>
    <w:rsid w:val="4B7F9345"/>
    <w:rsid w:val="56B23157"/>
    <w:rsid w:val="5877BD34"/>
    <w:rsid w:val="58A3AD00"/>
    <w:rsid w:val="619B0EA8"/>
    <w:rsid w:val="6DF5C351"/>
    <w:rsid w:val="7DE05505"/>
    <w:rsid w:val="7E721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B23157"/>
  <w15:chartTrackingRefBased/>
  <w15:docId w15:val="{F83FFF2C-7194-4DED-A0D2-2C442FEEF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363E"/>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62363E"/>
    <w:rPr>
      <w:sz w:val="22"/>
      <w:szCs w:val="22"/>
      <w:lang w:eastAsia="en-US"/>
    </w:rPr>
  </w:style>
  <w:style w:type="character" w:styleId="Hyperlink">
    <w:name w:val="Hyperlink"/>
    <w:basedOn w:val="DefaultParagraphFont"/>
    <w:uiPriority w:val="99"/>
    <w:unhideWhenUsed/>
    <w:rsid w:val="00634F7B"/>
    <w:rPr>
      <w:color w:val="467886" w:themeColor="hyperlink"/>
      <w:u w:val="single"/>
    </w:rPr>
  </w:style>
  <w:style w:type="character" w:styleId="UnresolvedMention">
    <w:name w:val="Unresolved Mention"/>
    <w:basedOn w:val="DefaultParagraphFont"/>
    <w:uiPriority w:val="99"/>
    <w:semiHidden/>
    <w:unhideWhenUsed/>
    <w:rsid w:val="00634F7B"/>
    <w:rPr>
      <w:color w:val="605E5C"/>
      <w:shd w:val="clear" w:color="auto" w:fill="E1DFDD"/>
    </w:rPr>
  </w:style>
  <w:style w:type="paragraph" w:styleId="Header">
    <w:name w:val="header"/>
    <w:basedOn w:val="Normal"/>
    <w:link w:val="HeaderChar"/>
    <w:uiPriority w:val="99"/>
    <w:unhideWhenUsed/>
    <w:rsid w:val="00DF5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048"/>
  </w:style>
  <w:style w:type="paragraph" w:styleId="Footer">
    <w:name w:val="footer"/>
    <w:basedOn w:val="Normal"/>
    <w:link w:val="FooterChar"/>
    <w:uiPriority w:val="99"/>
    <w:unhideWhenUsed/>
    <w:rsid w:val="00DF5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14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nvironment/201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2759</Words>
  <Characters>18822</Characters>
  <Application>Microsoft Office Word</Application>
  <DocSecurity>0</DocSecurity>
  <Lines>319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BMSM4007</dc:subject>
  <dc:creator>Chris Jones (2411533)</dc:creator>
  <cp:keywords/>
  <dc:description/>
  <cp:lastModifiedBy>Ceri Marie Jones (1806930)</cp:lastModifiedBy>
  <cp:revision>2</cp:revision>
  <dcterms:created xsi:type="dcterms:W3CDTF">2025-11-21T15:05:00Z</dcterms:created>
  <dcterms:modified xsi:type="dcterms:W3CDTF">2025-11-21T15:05:00Z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79367df5-28c3-4f3e-9cf1-7ff5937cf8a1</vt:lpwstr>
  </property>
</Properties>
</file>