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792E9" w14:textId="3710D7DA" w:rsidR="009C274C" w:rsidRPr="000346BB" w:rsidRDefault="004C1528" w:rsidP="000346BB">
      <w:pPr>
        <w:spacing w:line="360" w:lineRule="auto"/>
        <w:jc w:val="center"/>
        <w:rPr>
          <w:rFonts w:cs="Arial"/>
          <w:b/>
          <w:sz w:val="28"/>
          <w:szCs w:val="28"/>
        </w:rPr>
      </w:pPr>
      <w:r w:rsidRPr="000346BB">
        <w:rPr>
          <w:rFonts w:cs="Arial"/>
          <w:b/>
          <w:sz w:val="28"/>
          <w:szCs w:val="28"/>
        </w:rPr>
        <w:t>Research Proposal</w:t>
      </w:r>
    </w:p>
    <w:p w14:paraId="78211559" w14:textId="260BB216" w:rsidR="00520C86" w:rsidRPr="000346BB" w:rsidRDefault="004C1528" w:rsidP="000346BB">
      <w:pPr>
        <w:spacing w:line="360" w:lineRule="auto"/>
        <w:jc w:val="center"/>
        <w:rPr>
          <w:rFonts w:cs="Arial"/>
          <w:sz w:val="28"/>
          <w:szCs w:val="28"/>
        </w:rPr>
      </w:pPr>
      <w:r w:rsidRPr="000346BB">
        <w:rPr>
          <w:rFonts w:cs="Arial"/>
          <w:b/>
          <w:sz w:val="28"/>
          <w:szCs w:val="28"/>
        </w:rPr>
        <w:t>Digital Exclusion and Online GP Consultation Access in UK Primary Care</w:t>
      </w:r>
    </w:p>
    <w:p w14:paraId="283CF6B6" w14:textId="77777777" w:rsidR="00520C86" w:rsidRPr="000346BB" w:rsidRDefault="00520C86" w:rsidP="000346BB">
      <w:pPr>
        <w:spacing w:line="360" w:lineRule="auto"/>
        <w:rPr>
          <w:rFonts w:cs="Arial"/>
        </w:rPr>
      </w:pPr>
    </w:p>
    <w:tbl>
      <w:tblPr>
        <w:tblStyle w:val="TableGrid"/>
        <w:tblW w:w="0" w:type="auto"/>
        <w:tblLook w:val="04A0" w:firstRow="1" w:lastRow="0" w:firstColumn="1" w:lastColumn="0" w:noHBand="0" w:noVBand="1"/>
      </w:tblPr>
      <w:tblGrid>
        <w:gridCol w:w="4073"/>
        <w:gridCol w:w="5277"/>
      </w:tblGrid>
      <w:tr w:rsidR="00520C86" w:rsidRPr="000346BB" w14:paraId="0E64A70D" w14:textId="77777777" w:rsidTr="009C274C">
        <w:tc>
          <w:tcPr>
            <w:tcW w:w="4077" w:type="dxa"/>
          </w:tcPr>
          <w:p w14:paraId="45D175DD" w14:textId="77777777" w:rsidR="00520C86" w:rsidRPr="000346BB" w:rsidRDefault="004C1528" w:rsidP="000346BB">
            <w:pPr>
              <w:spacing w:after="60" w:line="360" w:lineRule="auto"/>
              <w:rPr>
                <w:rFonts w:cs="Arial"/>
              </w:rPr>
            </w:pPr>
            <w:r w:rsidRPr="000346BB">
              <w:rPr>
                <w:rFonts w:cs="Arial"/>
                <w:b/>
              </w:rPr>
              <w:t>Student Name:</w:t>
            </w:r>
          </w:p>
        </w:tc>
        <w:tc>
          <w:tcPr>
            <w:tcW w:w="5283" w:type="dxa"/>
          </w:tcPr>
          <w:p w14:paraId="0FA37FA5" w14:textId="3AE0F795" w:rsidR="00520C86" w:rsidRPr="000346BB" w:rsidRDefault="000346BB" w:rsidP="000346BB">
            <w:pPr>
              <w:spacing w:after="60" w:line="360" w:lineRule="auto"/>
              <w:rPr>
                <w:rFonts w:cs="Arial"/>
              </w:rPr>
            </w:pPr>
            <w:r w:rsidRPr="000346BB">
              <w:rPr>
                <w:rFonts w:cs="Arial"/>
              </w:rPr>
              <w:t>Musab Shah</w:t>
            </w:r>
          </w:p>
        </w:tc>
      </w:tr>
      <w:tr w:rsidR="00520C86" w:rsidRPr="000346BB" w14:paraId="1F2F42EE" w14:textId="77777777" w:rsidTr="009C274C">
        <w:tc>
          <w:tcPr>
            <w:tcW w:w="4077" w:type="dxa"/>
          </w:tcPr>
          <w:p w14:paraId="4669437D" w14:textId="77777777" w:rsidR="00520C86" w:rsidRPr="000346BB" w:rsidRDefault="004C1528" w:rsidP="000346BB">
            <w:pPr>
              <w:spacing w:after="60" w:line="360" w:lineRule="auto"/>
              <w:rPr>
                <w:rFonts w:cs="Arial"/>
              </w:rPr>
            </w:pPr>
            <w:r w:rsidRPr="000346BB">
              <w:rPr>
                <w:rFonts w:cs="Arial"/>
                <w:b/>
              </w:rPr>
              <w:t>Student Number:</w:t>
            </w:r>
          </w:p>
        </w:tc>
        <w:tc>
          <w:tcPr>
            <w:tcW w:w="5283" w:type="dxa"/>
          </w:tcPr>
          <w:p w14:paraId="4F4EDADD" w14:textId="10235509" w:rsidR="00520C86" w:rsidRPr="000346BB" w:rsidRDefault="000346BB" w:rsidP="000346BB">
            <w:pPr>
              <w:spacing w:after="60" w:line="360" w:lineRule="auto"/>
              <w:rPr>
                <w:rFonts w:cs="Arial"/>
              </w:rPr>
            </w:pPr>
            <w:r w:rsidRPr="000346BB">
              <w:rPr>
                <w:rFonts w:cs="Arial"/>
              </w:rPr>
              <w:t>2411894</w:t>
            </w:r>
          </w:p>
        </w:tc>
      </w:tr>
      <w:tr w:rsidR="00520C86" w:rsidRPr="000346BB" w14:paraId="470DC157" w14:textId="77777777" w:rsidTr="009C274C">
        <w:tc>
          <w:tcPr>
            <w:tcW w:w="4077" w:type="dxa"/>
          </w:tcPr>
          <w:p w14:paraId="7327547D" w14:textId="77777777" w:rsidR="00520C86" w:rsidRPr="000346BB" w:rsidRDefault="004C1528" w:rsidP="000346BB">
            <w:pPr>
              <w:spacing w:after="60" w:line="360" w:lineRule="auto"/>
              <w:rPr>
                <w:rFonts w:cs="Arial"/>
              </w:rPr>
            </w:pPr>
            <w:r w:rsidRPr="000346BB">
              <w:rPr>
                <w:rFonts w:cs="Arial"/>
                <w:b/>
              </w:rPr>
              <w:t>Module Code and Title:</w:t>
            </w:r>
          </w:p>
        </w:tc>
        <w:tc>
          <w:tcPr>
            <w:tcW w:w="5283" w:type="dxa"/>
          </w:tcPr>
          <w:p w14:paraId="46E129CF" w14:textId="77777777" w:rsidR="00520C86" w:rsidRPr="000346BB" w:rsidRDefault="004C1528" w:rsidP="000346BB">
            <w:pPr>
              <w:spacing w:after="60" w:line="360" w:lineRule="auto"/>
              <w:rPr>
                <w:rFonts w:cs="Arial"/>
              </w:rPr>
            </w:pPr>
            <w:r w:rsidRPr="000346BB">
              <w:rPr>
                <w:rFonts w:cs="Arial"/>
              </w:rPr>
              <w:t>BMHP5019 – Introduction to Independent Research Skills</w:t>
            </w:r>
          </w:p>
        </w:tc>
      </w:tr>
      <w:tr w:rsidR="00520C86" w:rsidRPr="000346BB" w14:paraId="101C9893" w14:textId="77777777" w:rsidTr="009C274C">
        <w:tc>
          <w:tcPr>
            <w:tcW w:w="4077" w:type="dxa"/>
          </w:tcPr>
          <w:p w14:paraId="75BF09F5" w14:textId="77777777" w:rsidR="00520C86" w:rsidRPr="000346BB" w:rsidRDefault="004C1528" w:rsidP="000346BB">
            <w:pPr>
              <w:spacing w:after="60" w:line="360" w:lineRule="auto"/>
              <w:rPr>
                <w:rFonts w:cs="Arial"/>
              </w:rPr>
            </w:pPr>
            <w:r w:rsidRPr="000346BB">
              <w:rPr>
                <w:rFonts w:cs="Arial"/>
                <w:b/>
              </w:rPr>
              <w:t>Assignment Title:</w:t>
            </w:r>
          </w:p>
        </w:tc>
        <w:tc>
          <w:tcPr>
            <w:tcW w:w="5283" w:type="dxa"/>
          </w:tcPr>
          <w:p w14:paraId="3CEDF6A9" w14:textId="77777777" w:rsidR="00520C86" w:rsidRPr="000346BB" w:rsidRDefault="004C1528" w:rsidP="000346BB">
            <w:pPr>
              <w:spacing w:after="60" w:line="360" w:lineRule="auto"/>
              <w:rPr>
                <w:rFonts w:cs="Arial"/>
              </w:rPr>
            </w:pPr>
            <w:r w:rsidRPr="000346BB">
              <w:rPr>
                <w:rFonts w:cs="Arial"/>
              </w:rPr>
              <w:t>Component 1: Written Assignment (Research Proposal)</w:t>
            </w:r>
          </w:p>
        </w:tc>
      </w:tr>
      <w:tr w:rsidR="00520C86" w:rsidRPr="000346BB" w14:paraId="510697DD" w14:textId="77777777" w:rsidTr="009C274C">
        <w:tc>
          <w:tcPr>
            <w:tcW w:w="4077" w:type="dxa"/>
          </w:tcPr>
          <w:p w14:paraId="3415F773" w14:textId="77777777" w:rsidR="00520C86" w:rsidRPr="000346BB" w:rsidRDefault="004C1528" w:rsidP="000346BB">
            <w:pPr>
              <w:spacing w:after="60" w:line="360" w:lineRule="auto"/>
              <w:rPr>
                <w:rFonts w:cs="Arial"/>
              </w:rPr>
            </w:pPr>
            <w:r w:rsidRPr="000346BB">
              <w:rPr>
                <w:rFonts w:cs="Arial"/>
                <w:b/>
              </w:rPr>
              <w:t>Programme:</w:t>
            </w:r>
          </w:p>
        </w:tc>
        <w:tc>
          <w:tcPr>
            <w:tcW w:w="5283" w:type="dxa"/>
          </w:tcPr>
          <w:p w14:paraId="49C2CB85" w14:textId="77777777" w:rsidR="00520C86" w:rsidRPr="000346BB" w:rsidRDefault="004C1528" w:rsidP="000346BB">
            <w:pPr>
              <w:spacing w:after="60" w:line="360" w:lineRule="auto"/>
              <w:rPr>
                <w:rFonts w:cs="Arial"/>
              </w:rPr>
            </w:pPr>
            <w:r w:rsidRPr="000346BB">
              <w:rPr>
                <w:rFonts w:cs="Arial"/>
              </w:rPr>
              <w:t>BSc Health and Social Care</w:t>
            </w:r>
          </w:p>
        </w:tc>
      </w:tr>
      <w:tr w:rsidR="00520C86" w:rsidRPr="000346BB" w14:paraId="2A56FC9A" w14:textId="77777777" w:rsidTr="009C274C">
        <w:tc>
          <w:tcPr>
            <w:tcW w:w="4077" w:type="dxa"/>
          </w:tcPr>
          <w:p w14:paraId="04FCDE5E" w14:textId="77777777" w:rsidR="00520C86" w:rsidRPr="000346BB" w:rsidRDefault="004C1528" w:rsidP="000346BB">
            <w:pPr>
              <w:spacing w:after="60" w:line="360" w:lineRule="auto"/>
              <w:rPr>
                <w:rFonts w:cs="Arial"/>
              </w:rPr>
            </w:pPr>
            <w:r w:rsidRPr="000346BB">
              <w:rPr>
                <w:rFonts w:cs="Arial"/>
                <w:b/>
              </w:rPr>
              <w:t>Word Count:</w:t>
            </w:r>
          </w:p>
        </w:tc>
        <w:tc>
          <w:tcPr>
            <w:tcW w:w="5283" w:type="dxa"/>
          </w:tcPr>
          <w:p w14:paraId="73EB70E5" w14:textId="77777777" w:rsidR="00520C86" w:rsidRPr="000346BB" w:rsidRDefault="004C1528" w:rsidP="000346BB">
            <w:pPr>
              <w:spacing w:after="60" w:line="360" w:lineRule="auto"/>
              <w:rPr>
                <w:rFonts w:cs="Arial"/>
              </w:rPr>
            </w:pPr>
            <w:r w:rsidRPr="000346BB">
              <w:rPr>
                <w:rFonts w:cs="Arial"/>
              </w:rPr>
              <w:t>400 words (excluding title page and reference list)</w:t>
            </w:r>
          </w:p>
        </w:tc>
      </w:tr>
    </w:tbl>
    <w:p w14:paraId="65228DBD" w14:textId="77777777" w:rsidR="00520C86" w:rsidRPr="000346BB" w:rsidRDefault="004C1528" w:rsidP="000346BB">
      <w:pPr>
        <w:spacing w:line="360" w:lineRule="auto"/>
        <w:rPr>
          <w:rFonts w:cs="Arial"/>
        </w:rPr>
      </w:pPr>
      <w:r w:rsidRPr="000346BB">
        <w:rPr>
          <w:rFonts w:cs="Arial"/>
        </w:rPr>
        <w:br w:type="page"/>
      </w:r>
    </w:p>
    <w:p w14:paraId="79A488DD" w14:textId="77777777" w:rsidR="00520C86" w:rsidRPr="000346BB" w:rsidRDefault="004C1528" w:rsidP="000346BB">
      <w:pPr>
        <w:pStyle w:val="Heading1"/>
        <w:spacing w:after="120" w:line="360" w:lineRule="auto"/>
        <w:jc w:val="center"/>
        <w:rPr>
          <w:rFonts w:ascii="Arial" w:hAnsi="Arial" w:cs="Arial"/>
          <w:color w:val="auto"/>
          <w:sz w:val="28"/>
        </w:rPr>
      </w:pPr>
      <w:r w:rsidRPr="000346BB">
        <w:rPr>
          <w:rFonts w:ascii="Arial" w:eastAsia="Arial" w:hAnsi="Arial" w:cs="Arial"/>
          <w:color w:val="auto"/>
          <w:sz w:val="28"/>
        </w:rPr>
        <w:lastRenderedPageBreak/>
        <w:t>Research Proposal</w:t>
      </w:r>
    </w:p>
    <w:p w14:paraId="38237421" w14:textId="77777777" w:rsidR="00520C86" w:rsidRPr="000346BB" w:rsidRDefault="004C1528" w:rsidP="000346BB">
      <w:pPr>
        <w:pStyle w:val="Heading2"/>
        <w:spacing w:after="60" w:line="360" w:lineRule="auto"/>
        <w:rPr>
          <w:rFonts w:ascii="Arial" w:hAnsi="Arial" w:cs="Arial"/>
          <w:color w:val="auto"/>
          <w:sz w:val="28"/>
          <w:szCs w:val="28"/>
        </w:rPr>
      </w:pPr>
      <w:r w:rsidRPr="000346BB">
        <w:rPr>
          <w:rFonts w:ascii="Arial" w:eastAsia="Arial" w:hAnsi="Arial" w:cs="Arial"/>
          <w:color w:val="auto"/>
          <w:sz w:val="28"/>
          <w:szCs w:val="28"/>
        </w:rPr>
        <w:t>Topic of focus, review question and objectives</w:t>
      </w:r>
    </w:p>
    <w:p w14:paraId="3579E122" w14:textId="77777777" w:rsidR="009C274C" w:rsidRPr="000346BB" w:rsidRDefault="004C1528" w:rsidP="000346BB">
      <w:pPr>
        <w:spacing w:after="120" w:line="360" w:lineRule="auto"/>
        <w:jc w:val="both"/>
        <w:rPr>
          <w:rFonts w:cs="Arial"/>
        </w:rPr>
      </w:pPr>
      <w:r w:rsidRPr="000346BB">
        <w:rPr>
          <w:rFonts w:cs="Arial"/>
        </w:rPr>
        <w:t xml:space="preserve">This proposal focuses on digital exclusion in access to online GP consultation systems among older adults and disadvantaged groups in England. </w:t>
      </w:r>
    </w:p>
    <w:p w14:paraId="6E1AC196" w14:textId="77777777" w:rsidR="009C274C" w:rsidRPr="000346BB" w:rsidRDefault="004C1528" w:rsidP="000346BB">
      <w:pPr>
        <w:spacing w:after="120" w:line="360" w:lineRule="auto"/>
        <w:jc w:val="both"/>
        <w:rPr>
          <w:rFonts w:cs="Arial"/>
        </w:rPr>
      </w:pPr>
      <w:r w:rsidRPr="000346BB">
        <w:rPr>
          <w:rFonts w:cs="Arial"/>
        </w:rPr>
        <w:t xml:space="preserve">Review question: How does digital exclusion influence patient access, experience and safety when using online GP consultation systems in UK primary care? </w:t>
      </w:r>
    </w:p>
    <w:p w14:paraId="432AFAEB" w14:textId="6C9A0583" w:rsidR="00520C86" w:rsidRDefault="004C1528" w:rsidP="000346BB">
      <w:pPr>
        <w:spacing w:after="120" w:line="360" w:lineRule="auto"/>
        <w:jc w:val="both"/>
        <w:rPr>
          <w:rFonts w:cs="Arial"/>
        </w:rPr>
      </w:pPr>
      <w:r w:rsidRPr="000346BB">
        <w:rPr>
          <w:rFonts w:cs="Arial"/>
        </w:rPr>
        <w:t xml:space="preserve">Objectives are </w:t>
      </w:r>
      <w:r w:rsidR="009C274C" w:rsidRPr="000346BB">
        <w:rPr>
          <w:rFonts w:cs="Arial"/>
        </w:rPr>
        <w:t>to</w:t>
      </w:r>
      <w:r w:rsidRPr="000346BB">
        <w:rPr>
          <w:rFonts w:cs="Arial"/>
        </w:rPr>
        <w:t xml:space="preserve"> map UK evidence on barriers to access; identify affected groups; examine impacts on appointment access, continuity, safety and self-care; and summarise implications for inclusive digital health practice.</w:t>
      </w:r>
    </w:p>
    <w:p w14:paraId="39FB1FCA" w14:textId="77777777" w:rsidR="000346BB" w:rsidRPr="000346BB" w:rsidRDefault="000346BB" w:rsidP="000346BB">
      <w:pPr>
        <w:spacing w:after="120" w:line="360" w:lineRule="auto"/>
        <w:jc w:val="both"/>
        <w:rPr>
          <w:rFonts w:cs="Arial"/>
        </w:rPr>
      </w:pPr>
    </w:p>
    <w:p w14:paraId="62E8D68C" w14:textId="77777777" w:rsidR="00520C86" w:rsidRPr="000346BB" w:rsidRDefault="004C1528" w:rsidP="000346BB">
      <w:pPr>
        <w:pStyle w:val="Heading2"/>
        <w:spacing w:after="60" w:line="360" w:lineRule="auto"/>
        <w:rPr>
          <w:rFonts w:ascii="Arial" w:hAnsi="Arial" w:cs="Arial"/>
          <w:color w:val="auto"/>
          <w:sz w:val="28"/>
          <w:szCs w:val="28"/>
        </w:rPr>
      </w:pPr>
      <w:r w:rsidRPr="000346BB">
        <w:rPr>
          <w:rFonts w:ascii="Arial" w:eastAsia="Arial" w:hAnsi="Arial" w:cs="Arial"/>
          <w:color w:val="auto"/>
          <w:sz w:val="28"/>
          <w:szCs w:val="28"/>
        </w:rPr>
        <w:t>Rationale</w:t>
      </w:r>
    </w:p>
    <w:p w14:paraId="24150F77" w14:textId="0938FA2D" w:rsidR="009C274C" w:rsidRDefault="009C274C" w:rsidP="000346BB">
      <w:pPr>
        <w:spacing w:after="120" w:line="360" w:lineRule="auto"/>
        <w:jc w:val="both"/>
        <w:rPr>
          <w:rFonts w:cs="Arial"/>
        </w:rPr>
      </w:pPr>
      <w:r w:rsidRPr="000346BB">
        <w:rPr>
          <w:rFonts w:cs="Arial"/>
        </w:rPr>
        <w:t xml:space="preserve">The topic is relevant because the online consultation system is becoming an </w:t>
      </w:r>
      <w:r w:rsidR="007B2FE1" w:rsidRPr="000346BB">
        <w:rPr>
          <w:rFonts w:cs="Arial"/>
        </w:rPr>
        <w:t>increasingly</w:t>
      </w:r>
      <w:r w:rsidRPr="000346BB">
        <w:rPr>
          <w:rFonts w:cs="Arial"/>
        </w:rPr>
        <w:t xml:space="preserve"> important tool for demand management and referral of patients to the right care in general practices in the UK. There is evidence that experience can be enhanced with the design and operation of systems for some groups but can be negatively impacted by lengthy online forms, systems that are confusing, or systems that are not well integrated (Ge et al., 2024). A study of GP online services has revealed that patients appreciate the convenience but are worried about the repetitive forms and gaps in continuity and feedback (Jones et al., 2022). Additionally, evidence from systematic reviews suggests that a focus on the availability of remote consulting is not solely a technology issue, as it is not equally available for all patients, and is a health inequality issue (Parker et al., 2021). </w:t>
      </w:r>
    </w:p>
    <w:p w14:paraId="6D0C2D49" w14:textId="77777777" w:rsidR="000346BB" w:rsidRPr="000346BB" w:rsidRDefault="000346BB" w:rsidP="000346BB">
      <w:pPr>
        <w:spacing w:after="120" w:line="360" w:lineRule="auto"/>
        <w:jc w:val="both"/>
        <w:rPr>
          <w:rFonts w:cs="Arial"/>
        </w:rPr>
      </w:pPr>
    </w:p>
    <w:p w14:paraId="353BE8C0" w14:textId="77777777" w:rsidR="00520C86" w:rsidRPr="000346BB" w:rsidRDefault="004C1528" w:rsidP="000346BB">
      <w:pPr>
        <w:pStyle w:val="Heading2"/>
        <w:spacing w:after="60" w:line="360" w:lineRule="auto"/>
        <w:rPr>
          <w:rFonts w:ascii="Arial" w:hAnsi="Arial" w:cs="Arial"/>
          <w:color w:val="auto"/>
          <w:sz w:val="28"/>
          <w:szCs w:val="28"/>
        </w:rPr>
      </w:pPr>
      <w:r w:rsidRPr="000346BB">
        <w:rPr>
          <w:rFonts w:ascii="Arial" w:eastAsia="Arial" w:hAnsi="Arial" w:cs="Arial"/>
          <w:color w:val="auto"/>
          <w:sz w:val="28"/>
          <w:szCs w:val="28"/>
        </w:rPr>
        <w:t>Methods for data collection and analysis</w:t>
      </w:r>
    </w:p>
    <w:p w14:paraId="565CE963" w14:textId="3990F5F8" w:rsidR="00520C86" w:rsidRDefault="009C274C" w:rsidP="000346BB">
      <w:pPr>
        <w:spacing w:after="120" w:line="360" w:lineRule="auto"/>
        <w:jc w:val="both"/>
        <w:rPr>
          <w:rFonts w:cs="Arial"/>
        </w:rPr>
      </w:pPr>
      <w:r w:rsidRPr="000346BB">
        <w:rPr>
          <w:rFonts w:cs="Arial"/>
        </w:rPr>
        <w:t xml:space="preserve">To map available evidence, clarify concepts and identify gaps the scoping review will be conducted (Arksey and O'Malley, 2005; Peters et al., 2020). Literature searches will be undertaken in CINAHL, MEDLINE/PubMed and Google Scholar with the following search terms; “digital exclusion”, “online consultation”, “GP access”, “older adults”, “primary care” and “UK”. Studies will be identified through peer-reviewed journals and will be published between 2020 and 2026 and be relevant to digital health in the UK and/or access to primary care and social care relevance. Opinion pieces, any studies not carried out in the UK (unless they are methodologically </w:t>
      </w:r>
      <w:r w:rsidRPr="000346BB">
        <w:rPr>
          <w:rFonts w:cs="Arial"/>
        </w:rPr>
        <w:lastRenderedPageBreak/>
        <w:t>useful), and studies not specifically about access and inequality will be excluded</w:t>
      </w:r>
      <w:r w:rsidR="007B2FE1" w:rsidRPr="000346BB">
        <w:rPr>
          <w:rFonts w:cs="Arial"/>
        </w:rPr>
        <w:t xml:space="preserve"> </w:t>
      </w:r>
      <w:r w:rsidRPr="000346BB">
        <w:rPr>
          <w:rFonts w:cs="Arial"/>
        </w:rPr>
        <w:t>(</w:t>
      </w:r>
      <w:proofErr w:type="spellStart"/>
      <w:r w:rsidRPr="000346BB">
        <w:rPr>
          <w:rFonts w:cs="Arial"/>
        </w:rPr>
        <w:t>Tricco</w:t>
      </w:r>
      <w:proofErr w:type="spellEnd"/>
      <w:r w:rsidRPr="000346BB">
        <w:rPr>
          <w:rFonts w:cs="Arial"/>
        </w:rPr>
        <w:t xml:space="preserve"> et al., 2018).</w:t>
      </w:r>
    </w:p>
    <w:p w14:paraId="2C605144" w14:textId="77777777" w:rsidR="000346BB" w:rsidRPr="000346BB" w:rsidRDefault="000346BB" w:rsidP="000346BB">
      <w:pPr>
        <w:spacing w:after="120" w:line="360" w:lineRule="auto"/>
        <w:jc w:val="both"/>
        <w:rPr>
          <w:rFonts w:cs="Arial"/>
        </w:rPr>
      </w:pPr>
    </w:p>
    <w:p w14:paraId="45725A6C" w14:textId="77777777" w:rsidR="00520C86" w:rsidRPr="000346BB" w:rsidRDefault="004C1528" w:rsidP="000346BB">
      <w:pPr>
        <w:pStyle w:val="Heading2"/>
        <w:spacing w:after="60" w:line="360" w:lineRule="auto"/>
        <w:rPr>
          <w:rFonts w:ascii="Arial" w:hAnsi="Arial" w:cs="Arial"/>
          <w:color w:val="auto"/>
          <w:sz w:val="28"/>
          <w:szCs w:val="28"/>
        </w:rPr>
      </w:pPr>
      <w:r w:rsidRPr="000346BB">
        <w:rPr>
          <w:rFonts w:ascii="Arial" w:eastAsia="Arial" w:hAnsi="Arial" w:cs="Arial"/>
          <w:color w:val="auto"/>
          <w:sz w:val="28"/>
          <w:szCs w:val="28"/>
        </w:rPr>
        <w:t>Ethical considerations</w:t>
      </w:r>
    </w:p>
    <w:p w14:paraId="4F03CACF" w14:textId="31185232" w:rsidR="00520C86" w:rsidRPr="000346BB" w:rsidRDefault="009C274C" w:rsidP="000346BB">
      <w:pPr>
        <w:spacing w:after="120" w:line="360" w:lineRule="auto"/>
        <w:jc w:val="both"/>
        <w:rPr>
          <w:rFonts w:cs="Arial"/>
        </w:rPr>
      </w:pPr>
      <w:r w:rsidRPr="000346BB">
        <w:rPr>
          <w:rFonts w:cs="Arial"/>
        </w:rPr>
        <w:t>This study is based on published data, which means that no recruitment, consent or clinical intervention are necessary. Ethical practice will include fair reporting, avoiding plagiarism, and the proper citation of information, as well as not misrepresenting vulnerable groups. The data will be gathered focusing on equity, confidentiality and respectful language, particularly in relation to studies that mention age, disability, ethnicity, deprivation or digital literacy.</w:t>
      </w:r>
    </w:p>
    <w:p w14:paraId="5F883E6A" w14:textId="77777777" w:rsidR="00520C86" w:rsidRPr="009C274C" w:rsidRDefault="004C1528">
      <w:r w:rsidRPr="009C274C">
        <w:br w:type="page"/>
      </w:r>
    </w:p>
    <w:p w14:paraId="08CF52D6" w14:textId="77777777" w:rsidR="00520C86" w:rsidRPr="000346BB" w:rsidRDefault="004C1528">
      <w:pPr>
        <w:pStyle w:val="Heading1"/>
        <w:spacing w:after="120" w:line="360" w:lineRule="auto"/>
        <w:jc w:val="center"/>
        <w:rPr>
          <w:color w:val="auto"/>
          <w:sz w:val="28"/>
        </w:rPr>
      </w:pPr>
      <w:r w:rsidRPr="000346BB">
        <w:rPr>
          <w:rFonts w:ascii="Arial" w:eastAsia="Arial" w:hAnsi="Arial"/>
          <w:color w:val="auto"/>
          <w:sz w:val="28"/>
        </w:rPr>
        <w:lastRenderedPageBreak/>
        <w:t>Reference List</w:t>
      </w:r>
    </w:p>
    <w:p w14:paraId="14A9858E" w14:textId="0822DA4B" w:rsidR="00520C86" w:rsidRPr="009C274C" w:rsidRDefault="009C274C" w:rsidP="009C274C">
      <w:pPr>
        <w:spacing w:after="120" w:line="360" w:lineRule="auto"/>
        <w:ind w:left="360" w:hanging="360"/>
        <w:jc w:val="both"/>
      </w:pPr>
      <w:r w:rsidRPr="009C274C">
        <w:t xml:space="preserve">Arksey, H., &amp; </w:t>
      </w:r>
      <w:proofErr w:type="spellStart"/>
      <w:r w:rsidRPr="009C274C">
        <w:t>O'malley</w:t>
      </w:r>
      <w:proofErr w:type="spellEnd"/>
      <w:r w:rsidRPr="009C274C">
        <w:t>, L. (2005). Scoping studies: towards a methodological framework. </w:t>
      </w:r>
      <w:r w:rsidRPr="009C274C">
        <w:rPr>
          <w:i/>
          <w:iCs/>
        </w:rPr>
        <w:t>International journal of social research methodology</w:t>
      </w:r>
      <w:r w:rsidRPr="009C274C">
        <w:t>, </w:t>
      </w:r>
      <w:r w:rsidRPr="009C274C">
        <w:rPr>
          <w:i/>
          <w:iCs/>
        </w:rPr>
        <w:t>8</w:t>
      </w:r>
      <w:r w:rsidRPr="009C274C">
        <w:t xml:space="preserve">(1), 19-32. </w:t>
      </w:r>
    </w:p>
    <w:p w14:paraId="467559B3" w14:textId="465DABD5" w:rsidR="00520C86" w:rsidRPr="009C274C" w:rsidRDefault="009C274C" w:rsidP="009C274C">
      <w:pPr>
        <w:spacing w:after="120" w:line="360" w:lineRule="auto"/>
        <w:ind w:left="360" w:hanging="360"/>
        <w:jc w:val="both"/>
      </w:pPr>
      <w:r w:rsidRPr="009C274C">
        <w:t xml:space="preserve">Ge, X., Chappell, P., Ledger, J., </w:t>
      </w:r>
      <w:proofErr w:type="spellStart"/>
      <w:r w:rsidRPr="009C274C">
        <w:t>Bakhai</w:t>
      </w:r>
      <w:proofErr w:type="spellEnd"/>
      <w:r w:rsidRPr="009C274C">
        <w:t>, M., &amp; Clarke, G. M. (2024). The use of online consultation systems and patient experience of primary care: cross-sectional analysis using the general practice patient survey. </w:t>
      </w:r>
      <w:r w:rsidRPr="009C274C">
        <w:rPr>
          <w:i/>
          <w:iCs/>
        </w:rPr>
        <w:t>Journal of Medical Internet Research</w:t>
      </w:r>
      <w:r w:rsidRPr="009C274C">
        <w:t>, </w:t>
      </w:r>
      <w:r w:rsidRPr="009C274C">
        <w:rPr>
          <w:i/>
          <w:iCs/>
        </w:rPr>
        <w:t>26</w:t>
      </w:r>
      <w:r w:rsidRPr="009C274C">
        <w:t>, e51272.</w:t>
      </w:r>
      <w:r>
        <w:t xml:space="preserve"> </w:t>
      </w:r>
    </w:p>
    <w:p w14:paraId="1EFEFBF3" w14:textId="04B98710" w:rsidR="00520C86" w:rsidRPr="009C274C" w:rsidRDefault="009C274C" w:rsidP="009C274C">
      <w:pPr>
        <w:spacing w:after="120" w:line="360" w:lineRule="auto"/>
        <w:ind w:left="360" w:hanging="360"/>
        <w:jc w:val="both"/>
      </w:pPr>
      <w:r w:rsidRPr="009C274C">
        <w:t xml:space="preserve">Jones, R. B., Tredinnick-Rowe, J., Baines, R., Maramba, I. D. C., &amp; Chatterjee, A. (2022). Use and usability of GP online services: </w:t>
      </w:r>
      <w:proofErr w:type="gramStart"/>
      <w:r w:rsidRPr="009C274C">
        <w:t>a mixed</w:t>
      </w:r>
      <w:proofErr w:type="gramEnd"/>
      <w:r w:rsidRPr="009C274C">
        <w:t>-methods sequential study, before and during the COVID-19 pandemic, based on qualitative interviews, analysis of routine eConsult usage and feedback data, and assessment of GP websites in Devon and Cornwall, England. </w:t>
      </w:r>
      <w:r w:rsidRPr="009C274C">
        <w:rPr>
          <w:i/>
          <w:iCs/>
        </w:rPr>
        <w:t>BMJ open</w:t>
      </w:r>
      <w:r w:rsidRPr="009C274C">
        <w:t>, </w:t>
      </w:r>
      <w:r w:rsidRPr="009C274C">
        <w:rPr>
          <w:i/>
          <w:iCs/>
        </w:rPr>
        <w:t>12</w:t>
      </w:r>
      <w:r w:rsidRPr="009C274C">
        <w:t>(3), e058247.</w:t>
      </w:r>
    </w:p>
    <w:p w14:paraId="37145D8A" w14:textId="398682D9" w:rsidR="00520C86" w:rsidRPr="009C274C" w:rsidRDefault="009C274C" w:rsidP="009C274C">
      <w:pPr>
        <w:spacing w:after="120" w:line="360" w:lineRule="auto"/>
        <w:ind w:left="360" w:hanging="360"/>
        <w:jc w:val="both"/>
      </w:pPr>
      <w:r w:rsidRPr="009C274C">
        <w:t>Parker, R. F., Figures, E. L., Paddison, C. A., Matheson, J. I., Blane, D. N., &amp; Ford, J. A. (2021). Inequalities in general practice remote consultations: a systematic review. </w:t>
      </w:r>
      <w:r w:rsidRPr="009C274C">
        <w:rPr>
          <w:i/>
          <w:iCs/>
        </w:rPr>
        <w:t>BJGP open</w:t>
      </w:r>
      <w:r w:rsidRPr="009C274C">
        <w:t>, </w:t>
      </w:r>
      <w:r w:rsidRPr="009C274C">
        <w:rPr>
          <w:i/>
          <w:iCs/>
        </w:rPr>
        <w:t>5</w:t>
      </w:r>
      <w:r w:rsidRPr="009C274C">
        <w:t>(3).</w:t>
      </w:r>
    </w:p>
    <w:p w14:paraId="23553CD1" w14:textId="413547A6" w:rsidR="00520C86" w:rsidRPr="009C274C" w:rsidRDefault="009C274C" w:rsidP="009C274C">
      <w:pPr>
        <w:spacing w:after="120" w:line="360" w:lineRule="auto"/>
        <w:ind w:left="360" w:hanging="360"/>
        <w:jc w:val="both"/>
      </w:pPr>
      <w:r w:rsidRPr="009C274C">
        <w:t xml:space="preserve">Peters, M. D., Marnie, C., </w:t>
      </w:r>
      <w:proofErr w:type="spellStart"/>
      <w:r w:rsidRPr="009C274C">
        <w:t>Tricco</w:t>
      </w:r>
      <w:proofErr w:type="spellEnd"/>
      <w:r w:rsidRPr="009C274C">
        <w:t>, A. C., Pollock, D., Munn, Z., Alexander, L., ... &amp; Khalil, H. (2020). Updated methodological guidance for the conduct of scoping reviews. </w:t>
      </w:r>
      <w:r w:rsidRPr="009C274C">
        <w:rPr>
          <w:i/>
          <w:iCs/>
        </w:rPr>
        <w:t>JBI evidence synthesis</w:t>
      </w:r>
      <w:r w:rsidRPr="009C274C">
        <w:t>, </w:t>
      </w:r>
      <w:r w:rsidRPr="009C274C">
        <w:rPr>
          <w:i/>
          <w:iCs/>
        </w:rPr>
        <w:t>18</w:t>
      </w:r>
      <w:r w:rsidRPr="009C274C">
        <w:t>(10), 2119-2126.</w:t>
      </w:r>
    </w:p>
    <w:p w14:paraId="180AF4EC" w14:textId="44F0D67C" w:rsidR="00520C86" w:rsidRDefault="009C274C" w:rsidP="009C274C">
      <w:pPr>
        <w:spacing w:after="120" w:line="360" w:lineRule="auto"/>
        <w:ind w:left="360" w:hanging="360"/>
        <w:jc w:val="both"/>
      </w:pPr>
      <w:r w:rsidRPr="009C274C">
        <w:rPr>
          <w:lang w:val="de-DE"/>
        </w:rPr>
        <w:t xml:space="preserve">Tricco, A. C., Lillie, E., Zarin, W., O'Brien, K. K., Colquhoun, H., Levac, D., ... &amp; Straus, S. E. (2018). </w:t>
      </w:r>
      <w:r w:rsidRPr="009C274C">
        <w:t>PRISMA extension for scoping reviews (PRISMA-</w:t>
      </w:r>
      <w:proofErr w:type="spellStart"/>
      <w:r w:rsidRPr="009C274C">
        <w:t>ScR</w:t>
      </w:r>
      <w:proofErr w:type="spellEnd"/>
      <w:r w:rsidRPr="009C274C">
        <w:t>): checklist and explanation. </w:t>
      </w:r>
      <w:r w:rsidRPr="009C274C">
        <w:rPr>
          <w:i/>
          <w:iCs/>
        </w:rPr>
        <w:t>Annals of internal medicine</w:t>
      </w:r>
      <w:r w:rsidRPr="009C274C">
        <w:t>, </w:t>
      </w:r>
      <w:r w:rsidRPr="009C274C">
        <w:rPr>
          <w:i/>
          <w:iCs/>
        </w:rPr>
        <w:t>169</w:t>
      </w:r>
      <w:r w:rsidRPr="009C274C">
        <w:t>(7), 467-473.</w:t>
      </w:r>
    </w:p>
    <w:sectPr w:rsidR="00520C86" w:rsidSect="0003461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665BD" w14:textId="77777777" w:rsidR="004C1528" w:rsidRDefault="004C1528">
      <w:pPr>
        <w:spacing w:after="0" w:line="240" w:lineRule="auto"/>
      </w:pPr>
      <w:r>
        <w:separator/>
      </w:r>
    </w:p>
  </w:endnote>
  <w:endnote w:type="continuationSeparator" w:id="0">
    <w:p w14:paraId="1A4FC351" w14:textId="77777777" w:rsidR="004C1528" w:rsidRDefault="004C1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26CEA" w14:textId="77777777" w:rsidR="00520C86" w:rsidRDefault="004C1528">
    <w:pPr>
      <w:pStyle w:val="Footer"/>
      <w:jc w:val="center"/>
    </w:pPr>
    <w:r>
      <w:rPr>
        <w:sz w:val="20"/>
      </w:rPr>
      <w:fldChar w:fldCharType="begin"/>
    </w:r>
    <w:r>
      <w:rPr>
        <w:sz w:val="20"/>
      </w:rPr>
      <w:instrText>PAGE</w:instrText>
    </w:r>
    <w:r>
      <w:rPr>
        <w:sz w:val="20"/>
      </w:rPr>
      <w:fldChar w:fldCharType="separate"/>
    </w:r>
    <w:r w:rsidR="009C274C">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EFFF4" w14:textId="77777777" w:rsidR="004C1528" w:rsidRDefault="004C1528">
      <w:pPr>
        <w:spacing w:after="0" w:line="240" w:lineRule="auto"/>
      </w:pPr>
      <w:r>
        <w:separator/>
      </w:r>
    </w:p>
  </w:footnote>
  <w:footnote w:type="continuationSeparator" w:id="0">
    <w:p w14:paraId="6EC3DA42" w14:textId="77777777" w:rsidR="004C1528" w:rsidRDefault="004C15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9BF87" w14:textId="091C179D" w:rsidR="000346BB" w:rsidRDefault="000346BB" w:rsidP="000346BB">
    <w:pPr>
      <w:spacing w:line="264" w:lineRule="auto"/>
    </w:pPr>
    <w:r>
      <w:rPr>
        <w:noProof/>
        <w:color w:val="000000"/>
      </w:rPr>
      <mc:AlternateContent>
        <mc:Choice Requires="wps">
          <w:drawing>
            <wp:anchor distT="0" distB="0" distL="114300" distR="114300" simplePos="0" relativeHeight="251659264" behindDoc="0" locked="0" layoutInCell="1" allowOverlap="1" wp14:anchorId="25676072" wp14:editId="09EBBD46">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4B5A98A"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r>
      <w:rPr>
        <w:color w:val="4F81BD" w:themeColor="accent1"/>
        <w:sz w:val="20"/>
        <w:szCs w:val="20"/>
      </w:rPr>
      <w:t>Musab Shah 2411894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26760718">
    <w:abstractNumId w:val="8"/>
  </w:num>
  <w:num w:numId="2" w16cid:durableId="563024905">
    <w:abstractNumId w:val="6"/>
  </w:num>
  <w:num w:numId="3" w16cid:durableId="1214848450">
    <w:abstractNumId w:val="5"/>
  </w:num>
  <w:num w:numId="4" w16cid:durableId="432631738">
    <w:abstractNumId w:val="4"/>
  </w:num>
  <w:num w:numId="5" w16cid:durableId="523784824">
    <w:abstractNumId w:val="7"/>
  </w:num>
  <w:num w:numId="6" w16cid:durableId="1535267247">
    <w:abstractNumId w:val="3"/>
  </w:num>
  <w:num w:numId="7" w16cid:durableId="1486630760">
    <w:abstractNumId w:val="2"/>
  </w:num>
  <w:num w:numId="8" w16cid:durableId="2047873328">
    <w:abstractNumId w:val="1"/>
  </w:num>
  <w:num w:numId="9" w16cid:durableId="881985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46BB"/>
    <w:rsid w:val="0006063C"/>
    <w:rsid w:val="0015074B"/>
    <w:rsid w:val="0029639D"/>
    <w:rsid w:val="00326F90"/>
    <w:rsid w:val="004C1528"/>
    <w:rsid w:val="00520C86"/>
    <w:rsid w:val="00657460"/>
    <w:rsid w:val="007B2FE1"/>
    <w:rsid w:val="00855CDE"/>
    <w:rsid w:val="00971527"/>
    <w:rsid w:val="009A4376"/>
    <w:rsid w:val="009C274C"/>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B2D075"/>
  <w14:defaultImageDpi w14:val="300"/>
  <w15:docId w15:val="{E4CD62BF-2264-4F81-86C5-3B294FD7E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693</Words>
  <Characters>3953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U S</dc:creator>
  <cp:keywords/>
  <cp:lastModifiedBy>Musab Umayr Shah (2411894)</cp:lastModifiedBy>
  <cp:revision>2</cp:revision>
  <dcterms:created xsi:type="dcterms:W3CDTF">2026-06-13T13:28:00Z</dcterms:created>
  <dcterms:modified xsi:type="dcterms:W3CDTF">2026-06-13T13:28:00Z</dcterms:modified>
  <cp:category/>
</cp:coreProperties>
</file>