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microsoft.com/office/2011/relationships/webextensiontaskpanes" Target="word/webextensions/taskpanes.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A57FF" w14:textId="77777777" w:rsidR="00601261" w:rsidRPr="0067155A" w:rsidRDefault="00601261" w:rsidP="0067155A">
      <w:pPr>
        <w:spacing w:line="360" w:lineRule="auto"/>
        <w:rPr>
          <w:rFonts w:ascii="Arial" w:hAnsi="Arial" w:cs="Arial"/>
          <w:b/>
          <w:bCs/>
          <w:sz w:val="22"/>
          <w:szCs w:val="22"/>
        </w:rPr>
      </w:pPr>
    </w:p>
    <w:p w14:paraId="0CC23544" w14:textId="31B9415B" w:rsidR="002006B9" w:rsidRPr="0067155A" w:rsidRDefault="002006B9" w:rsidP="0067155A">
      <w:pPr>
        <w:spacing w:line="360" w:lineRule="auto"/>
        <w:rPr>
          <w:rFonts w:ascii="Arial" w:hAnsi="Arial" w:cs="Arial"/>
          <w:b/>
          <w:bCs/>
          <w:sz w:val="22"/>
          <w:szCs w:val="22"/>
        </w:rPr>
      </w:pPr>
      <w:r w:rsidRPr="0067155A">
        <w:rPr>
          <w:rFonts w:ascii="Arial" w:hAnsi="Arial" w:cs="Arial"/>
          <w:b/>
          <w:bCs/>
          <w:sz w:val="22"/>
          <w:szCs w:val="22"/>
        </w:rPr>
        <w:t>Introduction</w:t>
      </w:r>
    </w:p>
    <w:p w14:paraId="5D59B1AF" w14:textId="25A70275" w:rsidR="002006B9" w:rsidRPr="0067155A" w:rsidRDefault="002006B9" w:rsidP="0067155A">
      <w:pPr>
        <w:spacing w:line="360" w:lineRule="auto"/>
        <w:jc w:val="both"/>
        <w:rPr>
          <w:rFonts w:ascii="Arial" w:hAnsi="Arial" w:cs="Arial"/>
          <w:sz w:val="22"/>
          <w:szCs w:val="22"/>
        </w:rPr>
      </w:pPr>
      <w:r w:rsidRPr="0067155A">
        <w:rPr>
          <w:rFonts w:ascii="Arial" w:hAnsi="Arial" w:cs="Arial"/>
          <w:sz w:val="22"/>
          <w:szCs w:val="22"/>
        </w:rPr>
        <w:t xml:space="preserve">Principles of health and social care form the fundamental core of health and social care practice. </w:t>
      </w:r>
      <w:r w:rsidR="00D271B6" w:rsidRPr="0067155A">
        <w:rPr>
          <w:rFonts w:ascii="Arial" w:hAnsi="Arial" w:cs="Arial"/>
          <w:sz w:val="22"/>
          <w:szCs w:val="22"/>
        </w:rPr>
        <w:t xml:space="preserve">While person-centred care (PCC) focuses and </w:t>
      </w:r>
      <w:r w:rsidR="00D271B6" w:rsidRPr="0067155A">
        <w:rPr>
          <w:rFonts w:ascii="Arial" w:hAnsi="Arial" w:cs="Arial"/>
          <w:sz w:val="22"/>
          <w:szCs w:val="22"/>
          <w:lang w:val="en-GB"/>
        </w:rPr>
        <w:t>prioritises</w:t>
      </w:r>
      <w:r w:rsidR="00D271B6" w:rsidRPr="0067155A">
        <w:rPr>
          <w:rFonts w:ascii="Arial" w:hAnsi="Arial" w:cs="Arial"/>
          <w:sz w:val="22"/>
          <w:szCs w:val="22"/>
        </w:rPr>
        <w:t xml:space="preserve"> the individual needs of each individual (Santana et al., 2018), reflection helps health and care practitioners to learn from their experience (Patel &amp; Metersky, 2022). PCC and self-reflection, together with collaborative working, have become crucial issues in contemporary nursing practice. This assignment reflects on the importance of the principles of health and social care, provides an examination of </w:t>
      </w:r>
      <w:r w:rsidR="002B1A43" w:rsidRPr="0067155A">
        <w:rPr>
          <w:rFonts w:ascii="Arial" w:hAnsi="Arial" w:cs="Arial"/>
          <w:sz w:val="22"/>
          <w:szCs w:val="22"/>
        </w:rPr>
        <w:t xml:space="preserve">a practical example in line with PCC, ethical decision-making, and collaborative working, and concludes with a reflection as a health and social care professional. </w:t>
      </w:r>
    </w:p>
    <w:p w14:paraId="4DDF52F7" w14:textId="1050F48B" w:rsidR="00267A92" w:rsidRPr="0067155A" w:rsidRDefault="004F3311" w:rsidP="0067155A">
      <w:pPr>
        <w:spacing w:line="360" w:lineRule="auto"/>
        <w:rPr>
          <w:rFonts w:ascii="Arial" w:hAnsi="Arial" w:cs="Arial"/>
          <w:b/>
          <w:bCs/>
          <w:sz w:val="22"/>
          <w:szCs w:val="22"/>
        </w:rPr>
      </w:pPr>
      <w:r w:rsidRPr="0067155A">
        <w:rPr>
          <w:rFonts w:ascii="Arial" w:hAnsi="Arial" w:cs="Arial"/>
          <w:b/>
          <w:bCs/>
          <w:sz w:val="22"/>
          <w:szCs w:val="22"/>
        </w:rPr>
        <w:t>Reflection on the importance of the principles of Health and Social Care (500 words)</w:t>
      </w:r>
    </w:p>
    <w:p w14:paraId="4613A416" w14:textId="2A47728F" w:rsidR="004F3311" w:rsidRPr="0067155A" w:rsidRDefault="00AF2C2D" w:rsidP="0067155A">
      <w:pPr>
        <w:spacing w:line="360" w:lineRule="auto"/>
        <w:jc w:val="both"/>
        <w:rPr>
          <w:rFonts w:ascii="Arial" w:hAnsi="Arial" w:cs="Arial"/>
          <w:kern w:val="0"/>
          <w:sz w:val="22"/>
          <w:szCs w:val="22"/>
          <w14:ligatures w14:val="none"/>
        </w:rPr>
      </w:pPr>
      <w:r w:rsidRPr="0067155A">
        <w:rPr>
          <w:rFonts w:ascii="Arial" w:hAnsi="Arial" w:cs="Arial"/>
          <w:sz w:val="22"/>
          <w:szCs w:val="22"/>
        </w:rPr>
        <w:t xml:space="preserve">Person-centered care is care designed to meet the needs and preferences of the individual while taking into account critical clinical decisions (Riley &amp; Jones, 2022). The World Health Organisation (WHO) supports the view in its definition that PCC is coordination around the needs of the individual, respecting their preference and empowering them to take an active role in their own health. (WHO, 2015). </w:t>
      </w:r>
      <w:r w:rsidR="00B3664E" w:rsidRPr="0067155A">
        <w:rPr>
          <w:rFonts w:ascii="Arial" w:hAnsi="Arial" w:cs="Arial"/>
          <w:sz w:val="22"/>
          <w:szCs w:val="22"/>
        </w:rPr>
        <w:t>In the UK, p</w:t>
      </w:r>
      <w:r w:rsidR="00A55F9D" w:rsidRPr="0067155A">
        <w:rPr>
          <w:rFonts w:ascii="Arial" w:hAnsi="Arial" w:cs="Arial"/>
          <w:sz w:val="22"/>
          <w:szCs w:val="22"/>
        </w:rPr>
        <w:t>artnership working, which involves working with other care and service professionals to deliver care, and ethical decision-making, which involves making decisions that prioritise the care of the individual</w:t>
      </w:r>
      <w:r w:rsidR="00B3664E" w:rsidRPr="0067155A">
        <w:rPr>
          <w:rFonts w:ascii="Arial" w:hAnsi="Arial" w:cs="Arial"/>
          <w:sz w:val="22"/>
          <w:szCs w:val="22"/>
        </w:rPr>
        <w:t>,</w:t>
      </w:r>
      <w:r w:rsidR="00A55F9D" w:rsidRPr="0067155A">
        <w:rPr>
          <w:rFonts w:ascii="Arial" w:hAnsi="Arial" w:cs="Arial"/>
          <w:sz w:val="22"/>
          <w:szCs w:val="22"/>
        </w:rPr>
        <w:t xml:space="preserve"> </w:t>
      </w:r>
      <w:r w:rsidR="00B3664E" w:rsidRPr="0067155A">
        <w:rPr>
          <w:rFonts w:ascii="Arial" w:hAnsi="Arial" w:cs="Arial"/>
          <w:sz w:val="22"/>
          <w:szCs w:val="22"/>
        </w:rPr>
        <w:t xml:space="preserve">are embedded in a professional and statutory framework such as the National Health Service (NHS) constitution, and the Nursing and Midwifery Code (NMC, 2018) to guide practice. </w:t>
      </w:r>
      <w:r w:rsidR="00914DA0" w:rsidRPr="0067155A">
        <w:rPr>
          <w:rFonts w:ascii="Arial" w:hAnsi="Arial" w:cs="Arial"/>
          <w:sz w:val="22"/>
          <w:szCs w:val="22"/>
        </w:rPr>
        <w:t xml:space="preserve">Among the key </w:t>
      </w:r>
      <w:r w:rsidR="00B3664E" w:rsidRPr="0067155A">
        <w:rPr>
          <w:rFonts w:ascii="Arial" w:hAnsi="Arial" w:cs="Arial"/>
          <w:sz w:val="22"/>
          <w:szCs w:val="22"/>
        </w:rPr>
        <w:t>advantage</w:t>
      </w:r>
      <w:r w:rsidR="00914DA0" w:rsidRPr="0067155A">
        <w:rPr>
          <w:rFonts w:ascii="Arial" w:hAnsi="Arial" w:cs="Arial"/>
          <w:sz w:val="22"/>
          <w:szCs w:val="22"/>
        </w:rPr>
        <w:t>s</w:t>
      </w:r>
      <w:r w:rsidR="00B3664E" w:rsidRPr="0067155A">
        <w:rPr>
          <w:rFonts w:ascii="Arial" w:hAnsi="Arial" w:cs="Arial"/>
          <w:sz w:val="22"/>
          <w:szCs w:val="22"/>
        </w:rPr>
        <w:t xml:space="preserve"> of </w:t>
      </w:r>
      <w:r w:rsidR="00914DA0" w:rsidRPr="0067155A">
        <w:rPr>
          <w:rFonts w:ascii="Arial" w:hAnsi="Arial" w:cs="Arial"/>
          <w:kern w:val="0"/>
          <w:sz w:val="22"/>
          <w:szCs w:val="22"/>
          <w14:ligatures w14:val="none"/>
        </w:rPr>
        <w:t>PCC is the enhancement of quality of life by shifting focus from just treating people to respecting individuals’ values</w:t>
      </w:r>
      <w:r w:rsidR="00B3664E" w:rsidRPr="0067155A">
        <w:rPr>
          <w:rFonts w:ascii="Arial" w:hAnsi="Arial" w:cs="Arial"/>
          <w:sz w:val="22"/>
          <w:szCs w:val="22"/>
        </w:rPr>
        <w:t xml:space="preserve"> and preferences</w:t>
      </w:r>
      <w:r w:rsidR="00914DA0" w:rsidRPr="0067155A">
        <w:rPr>
          <w:rFonts w:ascii="Arial" w:hAnsi="Arial" w:cs="Arial"/>
          <w:sz w:val="22"/>
          <w:szCs w:val="22"/>
        </w:rPr>
        <w:t xml:space="preserve"> (</w:t>
      </w:r>
      <w:r w:rsidR="00914DA0" w:rsidRPr="0067155A">
        <w:rPr>
          <w:rFonts w:ascii="Arial" w:hAnsi="Arial" w:cs="Arial"/>
          <w:kern w:val="0"/>
          <w:sz w:val="22"/>
          <w:szCs w:val="22"/>
          <w14:ligatures w14:val="none"/>
        </w:rPr>
        <w:t xml:space="preserve">Delaney, 2018). This is also consistent with the objectives indicated in the NHS long-term plan (NHS England, 2019), which promotes customised treatment to improve patient experiences, enhance independence and enable self-management of long-term sicknesses. </w:t>
      </w:r>
      <w:r w:rsidR="00B67321" w:rsidRPr="0067155A">
        <w:rPr>
          <w:rFonts w:ascii="Arial" w:hAnsi="Arial" w:cs="Arial"/>
          <w:kern w:val="0"/>
          <w:sz w:val="22"/>
          <w:szCs w:val="22"/>
          <w14:ligatures w14:val="none"/>
        </w:rPr>
        <w:t>However, a crucial challenge that still persists is that the ability to prioritise people in PCCC is largely constrainted by organisational structures which often fail to support certain components of PCC (Sharp et al., 2018). Despite this PCC remains a constitutional obligation which must be followed.</w:t>
      </w:r>
    </w:p>
    <w:p w14:paraId="7528F036" w14:textId="33936B6E" w:rsidR="00B67321" w:rsidRPr="0067155A" w:rsidRDefault="00B67321" w:rsidP="0067155A">
      <w:pPr>
        <w:spacing w:line="360" w:lineRule="auto"/>
        <w:jc w:val="both"/>
        <w:rPr>
          <w:rFonts w:ascii="Arial" w:hAnsi="Arial" w:cs="Arial"/>
          <w:kern w:val="0"/>
          <w:sz w:val="22"/>
          <w:szCs w:val="22"/>
          <w14:ligatures w14:val="none"/>
        </w:rPr>
      </w:pPr>
      <w:r w:rsidRPr="0067155A">
        <w:rPr>
          <w:rFonts w:ascii="Arial" w:hAnsi="Arial" w:cs="Arial"/>
          <w:kern w:val="0"/>
          <w:sz w:val="22"/>
          <w:szCs w:val="22"/>
          <w14:ligatures w14:val="none"/>
        </w:rPr>
        <w:t xml:space="preserve">Equally important to person-centered care is partnership working, which involves collaboration between care professionals and others such as social care providers, health care professionals, families, </w:t>
      </w:r>
      <w:r w:rsidR="00134C60" w:rsidRPr="0067155A">
        <w:rPr>
          <w:rFonts w:ascii="Arial" w:hAnsi="Arial" w:cs="Arial"/>
          <w:kern w:val="0"/>
          <w:sz w:val="22"/>
          <w:szCs w:val="22"/>
          <w14:ligatures w14:val="none"/>
        </w:rPr>
        <w:t>v</w:t>
      </w:r>
      <w:r w:rsidRPr="0067155A">
        <w:rPr>
          <w:rFonts w:ascii="Arial" w:hAnsi="Arial" w:cs="Arial"/>
          <w:kern w:val="0"/>
          <w:sz w:val="22"/>
          <w:szCs w:val="22"/>
          <w14:ligatures w14:val="none"/>
        </w:rPr>
        <w:t>oluntary organi</w:t>
      </w:r>
      <w:r w:rsidR="00134C60" w:rsidRPr="0067155A">
        <w:rPr>
          <w:rFonts w:ascii="Arial" w:hAnsi="Arial" w:cs="Arial"/>
          <w:kern w:val="0"/>
          <w:sz w:val="22"/>
          <w:szCs w:val="22"/>
          <w14:ligatures w14:val="none"/>
        </w:rPr>
        <w:t>z</w:t>
      </w:r>
      <w:r w:rsidRPr="0067155A">
        <w:rPr>
          <w:rFonts w:ascii="Arial" w:hAnsi="Arial" w:cs="Arial"/>
          <w:kern w:val="0"/>
          <w:sz w:val="22"/>
          <w:szCs w:val="22"/>
          <w14:ligatures w14:val="none"/>
        </w:rPr>
        <w:t>ations, and even patients</w:t>
      </w:r>
      <w:r w:rsidR="00134C60" w:rsidRPr="0067155A">
        <w:rPr>
          <w:rFonts w:ascii="Arial" w:hAnsi="Arial" w:cs="Arial"/>
          <w:kern w:val="0"/>
          <w:sz w:val="22"/>
          <w:szCs w:val="22"/>
          <w14:ligatures w14:val="none"/>
        </w:rPr>
        <w:t xml:space="preserve"> (Glasby, 2017). Effective partnership in the context of PCC extends beyond professionals and includes the patient</w:t>
      </w:r>
      <w:r w:rsidR="00BB1349" w:rsidRPr="0067155A">
        <w:rPr>
          <w:rFonts w:ascii="Arial" w:hAnsi="Arial" w:cs="Arial"/>
          <w:kern w:val="0"/>
          <w:sz w:val="22"/>
          <w:szCs w:val="22"/>
          <w14:ligatures w14:val="none"/>
        </w:rPr>
        <w:t>s'</w:t>
      </w:r>
      <w:r w:rsidR="00134C60" w:rsidRPr="0067155A">
        <w:rPr>
          <w:rFonts w:ascii="Arial" w:hAnsi="Arial" w:cs="Arial"/>
          <w:kern w:val="0"/>
          <w:sz w:val="22"/>
          <w:szCs w:val="22"/>
          <w14:ligatures w14:val="none"/>
        </w:rPr>
        <w:t xml:space="preserve"> </w:t>
      </w:r>
      <w:r w:rsidR="00BB1349" w:rsidRPr="0067155A">
        <w:rPr>
          <w:rFonts w:ascii="Arial" w:hAnsi="Arial" w:cs="Arial"/>
          <w:kern w:val="0"/>
          <w:sz w:val="22"/>
          <w:szCs w:val="22"/>
          <w14:ligatures w14:val="none"/>
        </w:rPr>
        <w:t>familie</w:t>
      </w:r>
      <w:r w:rsidR="00134C60" w:rsidRPr="0067155A">
        <w:rPr>
          <w:rFonts w:ascii="Arial" w:hAnsi="Arial" w:cs="Arial"/>
          <w:kern w:val="0"/>
          <w:sz w:val="22"/>
          <w:szCs w:val="22"/>
          <w14:ligatures w14:val="none"/>
        </w:rPr>
        <w:t xml:space="preserve">s. This is critical because the patients become a part of their treatment, a fundamental principle of PCC (DeRosa et al., 2019). Further, without effective partnership working, care becomes fragmented, </w:t>
      </w:r>
      <w:r w:rsidR="00BB1349" w:rsidRPr="0067155A">
        <w:rPr>
          <w:rFonts w:ascii="Arial" w:hAnsi="Arial" w:cs="Arial"/>
          <w:kern w:val="0"/>
          <w:sz w:val="22"/>
          <w:szCs w:val="22"/>
          <w14:ligatures w14:val="none"/>
        </w:rPr>
        <w:t>raising</w:t>
      </w:r>
      <w:r w:rsidR="00134C60" w:rsidRPr="0067155A">
        <w:rPr>
          <w:rFonts w:ascii="Arial" w:hAnsi="Arial" w:cs="Arial"/>
          <w:kern w:val="0"/>
          <w:sz w:val="22"/>
          <w:szCs w:val="22"/>
          <w14:ligatures w14:val="none"/>
        </w:rPr>
        <w:t xml:space="preserve"> the possibility of </w:t>
      </w:r>
      <w:r w:rsidR="00BB1349" w:rsidRPr="0067155A">
        <w:rPr>
          <w:rFonts w:ascii="Arial" w:hAnsi="Arial" w:cs="Arial"/>
          <w:kern w:val="0"/>
          <w:sz w:val="22"/>
          <w:szCs w:val="22"/>
          <w14:ligatures w14:val="none"/>
        </w:rPr>
        <w:t>treatment</w:t>
      </w:r>
      <w:r w:rsidR="00134C60" w:rsidRPr="0067155A">
        <w:rPr>
          <w:rFonts w:ascii="Arial" w:hAnsi="Arial" w:cs="Arial"/>
          <w:kern w:val="0"/>
          <w:sz w:val="22"/>
          <w:szCs w:val="22"/>
          <w14:ligatures w14:val="none"/>
        </w:rPr>
        <w:t xml:space="preserve"> </w:t>
      </w:r>
      <w:r w:rsidR="00BB1349" w:rsidRPr="0067155A">
        <w:rPr>
          <w:rFonts w:ascii="Arial" w:hAnsi="Arial" w:cs="Arial"/>
          <w:kern w:val="0"/>
          <w:sz w:val="22"/>
          <w:szCs w:val="22"/>
          <w14:ligatures w14:val="none"/>
        </w:rPr>
        <w:t>duplication</w:t>
      </w:r>
      <w:r w:rsidR="00134C60" w:rsidRPr="0067155A">
        <w:rPr>
          <w:rFonts w:ascii="Arial" w:hAnsi="Arial" w:cs="Arial"/>
          <w:kern w:val="0"/>
          <w:sz w:val="22"/>
          <w:szCs w:val="22"/>
          <w14:ligatures w14:val="none"/>
        </w:rPr>
        <w:t xml:space="preserve">, delayed discharge, poor continuity of care, and </w:t>
      </w:r>
      <w:r w:rsidR="00BB1349" w:rsidRPr="0067155A">
        <w:rPr>
          <w:rFonts w:ascii="Arial" w:hAnsi="Arial" w:cs="Arial"/>
          <w:kern w:val="0"/>
          <w:sz w:val="22"/>
          <w:szCs w:val="22"/>
          <w14:ligatures w14:val="none"/>
        </w:rPr>
        <w:t xml:space="preserve">an </w:t>
      </w:r>
      <w:r w:rsidR="00134C60" w:rsidRPr="0067155A">
        <w:rPr>
          <w:rFonts w:ascii="Arial" w:hAnsi="Arial" w:cs="Arial"/>
          <w:kern w:val="0"/>
          <w:sz w:val="22"/>
          <w:szCs w:val="22"/>
          <w14:ligatures w14:val="none"/>
        </w:rPr>
        <w:t xml:space="preserve">increased financial burden for the patient and their family. The Care Act (2014) explicitly </w:t>
      </w:r>
      <w:r w:rsidR="00BB1349" w:rsidRPr="0067155A">
        <w:rPr>
          <w:rFonts w:ascii="Arial" w:hAnsi="Arial" w:cs="Arial"/>
          <w:kern w:val="0"/>
          <w:sz w:val="22"/>
          <w:szCs w:val="22"/>
          <w14:ligatures w14:val="none"/>
        </w:rPr>
        <w:t>addresses</w:t>
      </w:r>
      <w:r w:rsidR="00134C60" w:rsidRPr="0067155A">
        <w:rPr>
          <w:rFonts w:ascii="Arial" w:hAnsi="Arial" w:cs="Arial"/>
          <w:kern w:val="0"/>
          <w:sz w:val="22"/>
          <w:szCs w:val="22"/>
          <w14:ligatures w14:val="none"/>
        </w:rPr>
        <w:t xml:space="preserve"> integrated care and working in multidisciplinary teams to promote health outcomes, further </w:t>
      </w:r>
      <w:r w:rsidR="00BB1349" w:rsidRPr="0067155A">
        <w:rPr>
          <w:rFonts w:ascii="Arial" w:hAnsi="Arial" w:cs="Arial"/>
          <w:kern w:val="0"/>
          <w:sz w:val="22"/>
          <w:szCs w:val="22"/>
          <w14:ligatures w14:val="none"/>
        </w:rPr>
        <w:t>underscor</w:t>
      </w:r>
      <w:r w:rsidR="00134C60" w:rsidRPr="0067155A">
        <w:rPr>
          <w:rFonts w:ascii="Arial" w:hAnsi="Arial" w:cs="Arial"/>
          <w:kern w:val="0"/>
          <w:sz w:val="22"/>
          <w:szCs w:val="22"/>
          <w14:ligatures w14:val="none"/>
        </w:rPr>
        <w:t xml:space="preserve">ing the importance of partnership working. If done correctly, partnership working prevents duplication, </w:t>
      </w:r>
      <w:r w:rsidR="00BF4695" w:rsidRPr="0067155A">
        <w:rPr>
          <w:rFonts w:ascii="Arial" w:hAnsi="Arial" w:cs="Arial"/>
          <w:kern w:val="0"/>
          <w:sz w:val="22"/>
          <w:szCs w:val="22"/>
          <w14:ligatures w14:val="none"/>
        </w:rPr>
        <w:t xml:space="preserve">speeds treatment, and increases overall health outcomes for the patient. </w:t>
      </w:r>
      <w:r w:rsidR="00BB1349" w:rsidRPr="0067155A">
        <w:rPr>
          <w:rFonts w:ascii="Arial" w:hAnsi="Arial" w:cs="Arial"/>
          <w:kern w:val="0"/>
          <w:sz w:val="22"/>
          <w:szCs w:val="22"/>
          <w14:ligatures w14:val="none"/>
        </w:rPr>
        <w:t>Nonetheless, a partnership fails when there is unclear boundaries and miscommunication (</w:t>
      </w:r>
      <w:r w:rsidR="00BB1349" w:rsidRPr="0067155A">
        <w:rPr>
          <w:rFonts w:ascii="Arial" w:hAnsi="Arial" w:cs="Arial"/>
          <w:sz w:val="22"/>
          <w:szCs w:val="22"/>
        </w:rPr>
        <w:t>Rawlinson et al., 2021)</w:t>
      </w:r>
    </w:p>
    <w:p w14:paraId="35F8EA98" w14:textId="2DF896CD" w:rsidR="00BF4695" w:rsidRPr="0067155A" w:rsidRDefault="00BF4695" w:rsidP="0067155A">
      <w:pPr>
        <w:spacing w:line="360" w:lineRule="auto"/>
        <w:jc w:val="both"/>
        <w:rPr>
          <w:rFonts w:ascii="Arial" w:hAnsi="Arial" w:cs="Arial"/>
          <w:kern w:val="0"/>
          <w:sz w:val="22"/>
          <w:szCs w:val="22"/>
          <w14:ligatures w14:val="none"/>
        </w:rPr>
      </w:pPr>
      <w:r w:rsidRPr="0067155A">
        <w:rPr>
          <w:rFonts w:ascii="Arial" w:hAnsi="Arial" w:cs="Arial"/>
          <w:kern w:val="0"/>
          <w:sz w:val="22"/>
          <w:szCs w:val="22"/>
          <w14:ligatures w14:val="none"/>
        </w:rPr>
        <w:t xml:space="preserve">At the heart of this is ethical decision-making, where care professionals have to balance health priorities with the respect for patients’ rights and responsibility for their actions. By and large, Beauchamps and Childress’s (2019) four principles of autonomy, beneficence, non-maleficence, and justice underpin most ethical decisions PCC. They serve as a benchmark </w:t>
      </w:r>
      <w:r w:rsidR="00BB1349" w:rsidRPr="0067155A">
        <w:rPr>
          <w:rFonts w:ascii="Arial" w:hAnsi="Arial" w:cs="Arial"/>
          <w:kern w:val="0"/>
          <w:sz w:val="22"/>
          <w:szCs w:val="22"/>
          <w14:ligatures w14:val="none"/>
        </w:rPr>
        <w:t>for</w:t>
      </w:r>
      <w:r w:rsidRPr="0067155A">
        <w:rPr>
          <w:rFonts w:ascii="Arial" w:hAnsi="Arial" w:cs="Arial"/>
          <w:kern w:val="0"/>
          <w:sz w:val="22"/>
          <w:szCs w:val="22"/>
          <w14:ligatures w14:val="none"/>
        </w:rPr>
        <w:t xml:space="preserve"> checking the decisions professionals make. Again, these ethical principles are reinforced by the NMC (2018), which requires nurses to prioritise people, practice effectively, preserve safety, and </w:t>
      </w:r>
      <w:r w:rsidR="00BB1349" w:rsidRPr="0067155A">
        <w:rPr>
          <w:rFonts w:ascii="Arial" w:hAnsi="Arial" w:cs="Arial"/>
          <w:kern w:val="0"/>
          <w:sz w:val="22"/>
          <w:szCs w:val="22"/>
          <w14:ligatures w14:val="none"/>
        </w:rPr>
        <w:t>always promote professionalism</w:t>
      </w:r>
      <w:r w:rsidRPr="0067155A">
        <w:rPr>
          <w:rFonts w:ascii="Arial" w:hAnsi="Arial" w:cs="Arial"/>
          <w:kern w:val="0"/>
          <w:sz w:val="22"/>
          <w:szCs w:val="22"/>
          <w14:ligatures w14:val="none"/>
        </w:rPr>
        <w:t>. In principle, collaborative</w:t>
      </w:r>
      <w:r w:rsidR="004B08DE" w:rsidRPr="0067155A">
        <w:rPr>
          <w:rFonts w:ascii="Arial" w:hAnsi="Arial" w:cs="Arial"/>
          <w:kern w:val="0"/>
          <w:sz w:val="22"/>
          <w:szCs w:val="22"/>
          <w14:ligatures w14:val="none"/>
        </w:rPr>
        <w:t xml:space="preserve"> working</w:t>
      </w:r>
      <w:r w:rsidRPr="0067155A">
        <w:rPr>
          <w:rFonts w:ascii="Arial" w:hAnsi="Arial" w:cs="Arial"/>
          <w:kern w:val="0"/>
          <w:sz w:val="22"/>
          <w:szCs w:val="22"/>
          <w14:ligatures w14:val="none"/>
        </w:rPr>
        <w:t xml:space="preserve">, ethical decision-making, and </w:t>
      </w:r>
      <w:r w:rsidR="00BB1349" w:rsidRPr="0067155A">
        <w:rPr>
          <w:rFonts w:ascii="Arial" w:hAnsi="Arial" w:cs="Arial"/>
          <w:kern w:val="0"/>
          <w:sz w:val="22"/>
          <w:szCs w:val="22"/>
          <w14:ligatures w14:val="none"/>
        </w:rPr>
        <w:t>PCC</w:t>
      </w:r>
      <w:r w:rsidRPr="0067155A">
        <w:rPr>
          <w:rFonts w:ascii="Arial" w:hAnsi="Arial" w:cs="Arial"/>
          <w:kern w:val="0"/>
          <w:sz w:val="22"/>
          <w:szCs w:val="22"/>
          <w14:ligatures w14:val="none"/>
        </w:rPr>
        <w:t xml:space="preserve"> all work in harmon</w:t>
      </w:r>
      <w:r w:rsidR="00BB1349" w:rsidRPr="0067155A">
        <w:rPr>
          <w:rFonts w:ascii="Arial" w:hAnsi="Arial" w:cs="Arial"/>
          <w:kern w:val="0"/>
          <w:sz w:val="22"/>
          <w:szCs w:val="22"/>
          <w14:ligatures w14:val="none"/>
        </w:rPr>
        <w:t xml:space="preserve">y. </w:t>
      </w:r>
      <w:r w:rsidRPr="0067155A">
        <w:rPr>
          <w:rFonts w:ascii="Arial" w:hAnsi="Arial" w:cs="Arial"/>
          <w:kern w:val="0"/>
          <w:sz w:val="22"/>
          <w:szCs w:val="22"/>
          <w14:ligatures w14:val="none"/>
        </w:rPr>
        <w:t xml:space="preserve">PCC cannot be delivered in an ethical manner without respecting </w:t>
      </w:r>
      <w:r w:rsidR="004B08DE" w:rsidRPr="0067155A">
        <w:rPr>
          <w:rFonts w:ascii="Arial" w:hAnsi="Arial" w:cs="Arial"/>
          <w:kern w:val="0"/>
          <w:sz w:val="22"/>
          <w:szCs w:val="22"/>
          <w14:ligatures w14:val="none"/>
        </w:rPr>
        <w:t>the patient's</w:t>
      </w:r>
      <w:r w:rsidRPr="0067155A">
        <w:rPr>
          <w:rFonts w:ascii="Arial" w:hAnsi="Arial" w:cs="Arial"/>
          <w:kern w:val="0"/>
          <w:sz w:val="22"/>
          <w:szCs w:val="22"/>
          <w14:ligatures w14:val="none"/>
        </w:rPr>
        <w:t xml:space="preserve"> </w:t>
      </w:r>
      <w:r w:rsidR="004B08DE" w:rsidRPr="0067155A">
        <w:rPr>
          <w:rFonts w:ascii="Arial" w:hAnsi="Arial" w:cs="Arial"/>
          <w:kern w:val="0"/>
          <w:sz w:val="22"/>
          <w:szCs w:val="22"/>
          <w14:ligatures w14:val="none"/>
        </w:rPr>
        <w:t>autonomy</w:t>
      </w:r>
      <w:r w:rsidRPr="0067155A">
        <w:rPr>
          <w:rFonts w:ascii="Arial" w:hAnsi="Arial" w:cs="Arial"/>
          <w:kern w:val="0"/>
          <w:sz w:val="22"/>
          <w:szCs w:val="22"/>
          <w14:ligatures w14:val="none"/>
        </w:rPr>
        <w:t>, and</w:t>
      </w:r>
      <w:r w:rsidR="004B08DE" w:rsidRPr="0067155A">
        <w:rPr>
          <w:rFonts w:ascii="Arial" w:hAnsi="Arial" w:cs="Arial"/>
          <w:kern w:val="0"/>
          <w:sz w:val="22"/>
          <w:szCs w:val="22"/>
          <w14:ligatures w14:val="none"/>
        </w:rPr>
        <w:t>,</w:t>
      </w:r>
      <w:r w:rsidRPr="0067155A">
        <w:rPr>
          <w:rFonts w:ascii="Arial" w:hAnsi="Arial" w:cs="Arial"/>
          <w:kern w:val="0"/>
          <w:sz w:val="22"/>
          <w:szCs w:val="22"/>
          <w14:ligatures w14:val="none"/>
        </w:rPr>
        <w:t xml:space="preserve"> </w:t>
      </w:r>
      <w:r w:rsidR="004B08DE" w:rsidRPr="0067155A">
        <w:rPr>
          <w:rFonts w:ascii="Arial" w:hAnsi="Arial" w:cs="Arial"/>
          <w:kern w:val="0"/>
          <w:sz w:val="22"/>
          <w:szCs w:val="22"/>
          <w14:ligatures w14:val="none"/>
        </w:rPr>
        <w:t xml:space="preserve">from a practical angle, it cannot be delivered without effective partnership working; therefore, the three principles are interdependent. </w:t>
      </w:r>
    </w:p>
    <w:p w14:paraId="1B47DD86" w14:textId="77777777" w:rsidR="004B08DE" w:rsidRPr="0067155A" w:rsidRDefault="004B08DE" w:rsidP="0067155A">
      <w:pPr>
        <w:spacing w:line="360" w:lineRule="auto"/>
        <w:jc w:val="both"/>
        <w:rPr>
          <w:rFonts w:ascii="Arial" w:hAnsi="Arial" w:cs="Arial"/>
          <w:kern w:val="0"/>
          <w:sz w:val="22"/>
          <w:szCs w:val="22"/>
          <w14:ligatures w14:val="none"/>
        </w:rPr>
      </w:pPr>
    </w:p>
    <w:p w14:paraId="38C85DE0" w14:textId="6F7262CE" w:rsidR="004F3311" w:rsidRPr="0067155A" w:rsidRDefault="004F3311" w:rsidP="0067155A">
      <w:pPr>
        <w:spacing w:line="360" w:lineRule="auto"/>
        <w:rPr>
          <w:rFonts w:ascii="Arial" w:hAnsi="Arial" w:cs="Arial"/>
          <w:b/>
          <w:bCs/>
          <w:sz w:val="22"/>
          <w:szCs w:val="22"/>
        </w:rPr>
      </w:pPr>
      <w:r w:rsidRPr="0067155A">
        <w:rPr>
          <w:rFonts w:ascii="Arial" w:hAnsi="Arial" w:cs="Arial"/>
          <w:b/>
          <w:bCs/>
          <w:sz w:val="22"/>
          <w:szCs w:val="22"/>
        </w:rPr>
        <w:t>Concepts in Practice</w:t>
      </w:r>
      <w:r w:rsidR="004B08DE" w:rsidRPr="0067155A">
        <w:rPr>
          <w:rFonts w:ascii="Arial" w:hAnsi="Arial" w:cs="Arial"/>
          <w:b/>
          <w:bCs/>
          <w:sz w:val="22"/>
          <w:szCs w:val="22"/>
        </w:rPr>
        <w:t>: The Case of Mrs. C</w:t>
      </w:r>
    </w:p>
    <w:p w14:paraId="082E22D6" w14:textId="07E34034" w:rsidR="004F3311" w:rsidRPr="0067155A" w:rsidRDefault="00BB1349" w:rsidP="0067155A">
      <w:pPr>
        <w:spacing w:line="360" w:lineRule="auto"/>
        <w:jc w:val="both"/>
        <w:rPr>
          <w:rFonts w:ascii="Arial" w:hAnsi="Arial" w:cs="Arial"/>
          <w:sz w:val="22"/>
          <w:szCs w:val="22"/>
        </w:rPr>
      </w:pPr>
      <w:r w:rsidRPr="0067155A">
        <w:rPr>
          <w:rFonts w:ascii="Arial" w:hAnsi="Arial" w:cs="Arial"/>
          <w:sz w:val="22"/>
          <w:szCs w:val="22"/>
        </w:rPr>
        <w:t xml:space="preserve">Mrs. C’s case illustrates an application of PCC, partnership working, and ethical considerations in practice. The case centers on a widow with COPD </w:t>
      </w:r>
      <w:r w:rsidR="00D27DB0" w:rsidRPr="0067155A">
        <w:rPr>
          <w:rFonts w:ascii="Arial" w:hAnsi="Arial" w:cs="Arial"/>
          <w:sz w:val="22"/>
          <w:szCs w:val="22"/>
        </w:rPr>
        <w:t xml:space="preserve">and metastatic lung cancer, with peculiar social conditions. This case is selected because it highlights critical issues relevant to PCC, partnership working, and ethics in nursing. </w:t>
      </w:r>
    </w:p>
    <w:p w14:paraId="340D8C66" w14:textId="1A291558" w:rsidR="00D27DB0" w:rsidRPr="0067155A" w:rsidRDefault="00D27DB0" w:rsidP="0067155A">
      <w:pPr>
        <w:spacing w:line="360" w:lineRule="auto"/>
        <w:jc w:val="both"/>
        <w:rPr>
          <w:rFonts w:ascii="Arial" w:hAnsi="Arial" w:cs="Arial"/>
          <w:sz w:val="22"/>
          <w:szCs w:val="22"/>
        </w:rPr>
      </w:pPr>
      <w:r w:rsidRPr="0067155A">
        <w:rPr>
          <w:rFonts w:ascii="Arial" w:hAnsi="Arial" w:cs="Arial"/>
          <w:sz w:val="22"/>
          <w:szCs w:val="22"/>
        </w:rPr>
        <w:t xml:space="preserve">First, from the lens of PCC, the holistic evaluation of physical, psychological, spiritual, emotional, and social needs aligns with the tenets of PCC, which is holistic care goes beyond clinical management and covers the entirety of the individual. (Grover et al., 2022). Rather than her oncological and respiratory issues alone, her assessment </w:t>
      </w:r>
      <w:r w:rsidR="00DE3CA3" w:rsidRPr="0067155A">
        <w:rPr>
          <w:rFonts w:ascii="Arial" w:hAnsi="Arial" w:cs="Arial"/>
          <w:sz w:val="22"/>
          <w:szCs w:val="22"/>
        </w:rPr>
        <w:t xml:space="preserve">extended to other areas of need, demonstrating a holistic assessment. This informed decisions about other aspects of her care. Holistic assessment is important because it allows care professionals to understand the patient’s needs, not just symptoms, but also psychological, social, and environmental context (Indriddadottir &amp; Nisco-Madden, 2025). For instance, from this assessment, her personalised care and support plan was designed around what was important to her, which was her welfare decision, drafting a will and having a conversation with her children about her burial arrangement. She was also encouraged to take part in her palliative treatment and symptom management. Ordinarily, care professionals </w:t>
      </w:r>
      <w:r w:rsidR="004E2C96" w:rsidRPr="0067155A">
        <w:rPr>
          <w:rFonts w:ascii="Arial" w:hAnsi="Arial" w:cs="Arial"/>
          <w:sz w:val="22"/>
          <w:szCs w:val="22"/>
        </w:rPr>
        <w:t>would actively be</w:t>
      </w:r>
      <w:r w:rsidR="00DE3CA3" w:rsidRPr="0067155A">
        <w:rPr>
          <w:rFonts w:ascii="Arial" w:hAnsi="Arial" w:cs="Arial"/>
          <w:sz w:val="22"/>
          <w:szCs w:val="22"/>
        </w:rPr>
        <w:t xml:space="preserve"> engaged in these decisions in the absence of PCC. However</w:t>
      </w:r>
      <w:r w:rsidR="004E2C96" w:rsidRPr="0067155A">
        <w:rPr>
          <w:rFonts w:ascii="Arial" w:hAnsi="Arial" w:cs="Arial"/>
          <w:sz w:val="22"/>
          <w:szCs w:val="22"/>
        </w:rPr>
        <w:t>,</w:t>
      </w:r>
      <w:r w:rsidR="00DE3CA3" w:rsidRPr="0067155A">
        <w:rPr>
          <w:rFonts w:ascii="Arial" w:hAnsi="Arial" w:cs="Arial"/>
          <w:sz w:val="22"/>
          <w:szCs w:val="22"/>
        </w:rPr>
        <w:t xml:space="preserve"> with PCC, she was involved in all these decisions</w:t>
      </w:r>
      <w:r w:rsidR="004E2C96" w:rsidRPr="0067155A">
        <w:rPr>
          <w:rFonts w:ascii="Arial" w:hAnsi="Arial" w:cs="Arial"/>
          <w:sz w:val="22"/>
          <w:szCs w:val="22"/>
        </w:rPr>
        <w:t xml:space="preserve">. This action reflects respect </w:t>
      </w:r>
      <w:r w:rsidR="004E2C96" w:rsidRPr="0067155A">
        <w:rPr>
          <w:rFonts w:ascii="Arial" w:hAnsi="Arial" w:cs="Arial"/>
          <w:kern w:val="0"/>
          <w:sz w:val="22"/>
          <w:szCs w:val="22"/>
          <w14:ligatures w14:val="none"/>
        </w:rPr>
        <w:t>for the patient's autonomy in making decisions and the care professionals acting in accordance with the patient's</w:t>
      </w:r>
      <w:r w:rsidR="004E2C96" w:rsidRPr="0067155A">
        <w:rPr>
          <w:rFonts w:ascii="Arial" w:hAnsi="Arial" w:cs="Arial"/>
          <w:sz w:val="22"/>
          <w:szCs w:val="22"/>
        </w:rPr>
        <w:t xml:space="preserve"> preference, an action enshrined in person-centered care (McCormack et al. 2021). It also illustrates the implementation of the Care Act (2014) principle on wellness, which requires services to be influenced by preferences.</w:t>
      </w:r>
    </w:p>
    <w:p w14:paraId="2E3232A1" w14:textId="77777777" w:rsidR="0072457D" w:rsidRPr="0067155A" w:rsidRDefault="004E2C96" w:rsidP="0067155A">
      <w:pPr>
        <w:spacing w:line="360" w:lineRule="auto"/>
        <w:jc w:val="both"/>
        <w:rPr>
          <w:rFonts w:ascii="Arial" w:hAnsi="Arial" w:cs="Arial"/>
          <w:kern w:val="0"/>
          <w:sz w:val="22"/>
          <w:szCs w:val="22"/>
          <w14:ligatures w14:val="none"/>
        </w:rPr>
      </w:pPr>
      <w:r w:rsidRPr="0067155A">
        <w:rPr>
          <w:rFonts w:ascii="Arial" w:hAnsi="Arial" w:cs="Arial"/>
          <w:sz w:val="22"/>
          <w:szCs w:val="22"/>
        </w:rPr>
        <w:t xml:space="preserve">Further partnership working is observed in this case through the collaboration between the general practitioner, respiratory specialist, oncology team, community nurses, palliative care professionals, and her family. From a clinical perspective, this action describes an MDT working arrangement </w:t>
      </w:r>
      <w:r w:rsidR="0072457D" w:rsidRPr="0067155A">
        <w:rPr>
          <w:rFonts w:ascii="Arial" w:hAnsi="Arial" w:cs="Arial"/>
          <w:sz w:val="22"/>
          <w:szCs w:val="22"/>
        </w:rPr>
        <w:t>in which</w:t>
      </w:r>
      <w:r w:rsidRPr="0067155A">
        <w:rPr>
          <w:rFonts w:ascii="Arial" w:hAnsi="Arial" w:cs="Arial"/>
          <w:sz w:val="22"/>
          <w:szCs w:val="22"/>
        </w:rPr>
        <w:t xml:space="preserve"> different professionals work in the </w:t>
      </w:r>
      <w:r w:rsidR="0072457D" w:rsidRPr="0067155A">
        <w:rPr>
          <w:rFonts w:ascii="Arial" w:hAnsi="Arial" w:cs="Arial"/>
          <w:sz w:val="22"/>
          <w:szCs w:val="22"/>
        </w:rPr>
        <w:t xml:space="preserve">patient's </w:t>
      </w:r>
      <w:r w:rsidRPr="0067155A">
        <w:rPr>
          <w:rFonts w:ascii="Arial" w:hAnsi="Arial" w:cs="Arial"/>
          <w:sz w:val="22"/>
          <w:szCs w:val="22"/>
        </w:rPr>
        <w:t xml:space="preserve">best interest (Taberna et al., 2020). Most </w:t>
      </w:r>
      <w:r w:rsidRPr="0067155A">
        <w:rPr>
          <w:rFonts w:ascii="Arial" w:hAnsi="Arial" w:cs="Arial"/>
          <w:kern w:val="0"/>
          <w:sz w:val="22"/>
          <w:szCs w:val="22"/>
          <w14:ligatures w14:val="none"/>
        </w:rPr>
        <w:t>importantly, in collaborative working, it was effective due to effective communication among the MDT</w:t>
      </w:r>
      <w:r w:rsidR="0072457D" w:rsidRPr="0067155A">
        <w:rPr>
          <w:rFonts w:ascii="Arial" w:hAnsi="Arial" w:cs="Arial"/>
          <w:kern w:val="0"/>
          <w:sz w:val="22"/>
          <w:szCs w:val="22"/>
          <w14:ligatures w14:val="none"/>
        </w:rPr>
        <w:t xml:space="preserve"> (</w:t>
      </w:r>
      <w:r w:rsidR="0072457D" w:rsidRPr="0067155A">
        <w:rPr>
          <w:rFonts w:ascii="Arial" w:hAnsi="Arial" w:cs="Arial"/>
          <w:sz w:val="22"/>
          <w:szCs w:val="22"/>
        </w:rPr>
        <w:t>Housley, 2017)</w:t>
      </w:r>
      <w:r w:rsidRPr="0067155A">
        <w:rPr>
          <w:rFonts w:ascii="Arial" w:hAnsi="Arial" w:cs="Arial"/>
          <w:kern w:val="0"/>
          <w:sz w:val="22"/>
          <w:szCs w:val="22"/>
          <w14:ligatures w14:val="none"/>
        </w:rPr>
        <w:t xml:space="preserve">. </w:t>
      </w:r>
      <w:r w:rsidR="0072457D" w:rsidRPr="0067155A">
        <w:rPr>
          <w:rFonts w:ascii="Arial" w:hAnsi="Arial" w:cs="Arial"/>
          <w:kern w:val="0"/>
          <w:sz w:val="22"/>
          <w:szCs w:val="22"/>
          <w14:ligatures w14:val="none"/>
        </w:rPr>
        <w:t>Key information about the patient was shared across all the professionals involved.</w:t>
      </w:r>
    </w:p>
    <w:p w14:paraId="6F79DB04" w14:textId="23BFEC7E" w:rsidR="004E2C96" w:rsidRPr="0067155A" w:rsidRDefault="0072457D" w:rsidP="0067155A">
      <w:pPr>
        <w:spacing w:line="360" w:lineRule="auto"/>
        <w:jc w:val="both"/>
        <w:rPr>
          <w:rFonts w:ascii="Arial" w:hAnsi="Arial" w:cs="Arial"/>
          <w:kern w:val="0"/>
          <w:sz w:val="22"/>
          <w:szCs w:val="22"/>
          <w14:ligatures w14:val="none"/>
        </w:rPr>
      </w:pPr>
      <w:r w:rsidRPr="0067155A">
        <w:rPr>
          <w:rFonts w:ascii="Arial" w:hAnsi="Arial" w:cs="Arial"/>
          <w:kern w:val="0"/>
          <w:sz w:val="22"/>
          <w:szCs w:val="22"/>
          <w14:ligatures w14:val="none"/>
        </w:rPr>
        <w:t>Also, ethical practice was very visible. Her decision regarding palliative care and receiving antibiotics was respected, reflecting the ethical principle of autonomy (Beauchamp &amp; Childress, 2019). Beneficence, as described by Beauchamp and Childress (2019) as the obligation to act for the benefit of others, was also demonstrated in symptom-control interventions for her. Autonomy is often grounded in mental capacity, and Mrs</w:t>
      </w:r>
      <w:r w:rsidR="00484283" w:rsidRPr="0067155A">
        <w:rPr>
          <w:rFonts w:ascii="Arial" w:hAnsi="Arial" w:cs="Arial"/>
          <w:kern w:val="0"/>
          <w:sz w:val="22"/>
          <w:szCs w:val="22"/>
          <w14:ligatures w14:val="none"/>
        </w:rPr>
        <w:t>.</w:t>
      </w:r>
      <w:r w:rsidRPr="0067155A">
        <w:rPr>
          <w:rFonts w:ascii="Arial" w:hAnsi="Arial" w:cs="Arial"/>
          <w:kern w:val="0"/>
          <w:sz w:val="22"/>
          <w:szCs w:val="22"/>
          <w14:ligatures w14:val="none"/>
        </w:rPr>
        <w:t xml:space="preserve"> C retained mental capacity under the Mental Capacity Act (2005)</w:t>
      </w:r>
      <w:r w:rsidR="00484283" w:rsidRPr="0067155A">
        <w:rPr>
          <w:rFonts w:ascii="Arial" w:hAnsi="Arial" w:cs="Arial"/>
          <w:kern w:val="0"/>
          <w:sz w:val="22"/>
          <w:szCs w:val="22"/>
          <w14:ligatures w14:val="none"/>
        </w:rPr>
        <w:t>,</w:t>
      </w:r>
      <w:r w:rsidRPr="0067155A">
        <w:rPr>
          <w:rFonts w:ascii="Arial" w:hAnsi="Arial" w:cs="Arial"/>
          <w:kern w:val="0"/>
          <w:sz w:val="22"/>
          <w:szCs w:val="22"/>
          <w14:ligatures w14:val="none"/>
        </w:rPr>
        <w:t xml:space="preserve"> thus her choices were respected. </w:t>
      </w:r>
      <w:r w:rsidR="00484283" w:rsidRPr="0067155A">
        <w:rPr>
          <w:rFonts w:ascii="Arial" w:hAnsi="Arial" w:cs="Arial"/>
          <w:kern w:val="0"/>
          <w:sz w:val="22"/>
          <w:szCs w:val="22"/>
          <w14:ligatures w14:val="none"/>
        </w:rPr>
        <w:t xml:space="preserve">The consideration that interventions did not cause suffering reflects non-maleficence, and by allowing her access to varied services, the ethical principle of justice was ensured. Clearly, the integrated application of PCC, collaborative working, and ethics enabled the professionals to respond to the needs of Mrs. C proactively while preserving her independence and dignity. </w:t>
      </w:r>
    </w:p>
    <w:p w14:paraId="0951973A" w14:textId="569CE045" w:rsidR="0072457D" w:rsidRPr="0067155A" w:rsidRDefault="0072457D" w:rsidP="0067155A">
      <w:pPr>
        <w:spacing w:line="360" w:lineRule="auto"/>
        <w:jc w:val="both"/>
        <w:rPr>
          <w:rFonts w:ascii="Arial" w:hAnsi="Arial" w:cs="Arial"/>
          <w:sz w:val="22"/>
          <w:szCs w:val="22"/>
        </w:rPr>
      </w:pPr>
    </w:p>
    <w:p w14:paraId="68238D70" w14:textId="77777777" w:rsidR="00DE3CA3" w:rsidRPr="0067155A" w:rsidRDefault="00DE3CA3" w:rsidP="0067155A">
      <w:pPr>
        <w:spacing w:line="360" w:lineRule="auto"/>
        <w:jc w:val="both"/>
        <w:rPr>
          <w:rFonts w:ascii="Arial" w:hAnsi="Arial" w:cs="Arial"/>
          <w:sz w:val="22"/>
          <w:szCs w:val="22"/>
        </w:rPr>
      </w:pPr>
    </w:p>
    <w:p w14:paraId="410345B3" w14:textId="77777777" w:rsidR="00BB1349" w:rsidRPr="0067155A" w:rsidRDefault="00BB1349" w:rsidP="0067155A">
      <w:pPr>
        <w:spacing w:line="360" w:lineRule="auto"/>
        <w:rPr>
          <w:rFonts w:ascii="Arial" w:hAnsi="Arial" w:cs="Arial"/>
          <w:sz w:val="22"/>
          <w:szCs w:val="22"/>
        </w:rPr>
      </w:pPr>
    </w:p>
    <w:p w14:paraId="499F61FB" w14:textId="77777777" w:rsidR="00BB1349" w:rsidRPr="0067155A" w:rsidRDefault="00BB1349" w:rsidP="0067155A">
      <w:pPr>
        <w:spacing w:line="360" w:lineRule="auto"/>
        <w:rPr>
          <w:rFonts w:ascii="Arial" w:hAnsi="Arial" w:cs="Arial"/>
          <w:sz w:val="22"/>
          <w:szCs w:val="22"/>
        </w:rPr>
      </w:pPr>
    </w:p>
    <w:p w14:paraId="50FF5EAB" w14:textId="77777777" w:rsidR="004E2C96" w:rsidRPr="0067155A" w:rsidRDefault="004E2C96" w:rsidP="0067155A">
      <w:pPr>
        <w:spacing w:line="360" w:lineRule="auto"/>
        <w:rPr>
          <w:rFonts w:ascii="Arial" w:hAnsi="Arial" w:cs="Arial"/>
          <w:sz w:val="22"/>
          <w:szCs w:val="22"/>
        </w:rPr>
      </w:pPr>
    </w:p>
    <w:p w14:paraId="7B285F26" w14:textId="6978C792" w:rsidR="004F3311" w:rsidRPr="0067155A" w:rsidRDefault="004F3311" w:rsidP="0067155A">
      <w:pPr>
        <w:spacing w:line="360" w:lineRule="auto"/>
        <w:rPr>
          <w:rFonts w:ascii="Arial" w:hAnsi="Arial" w:cs="Arial"/>
          <w:b/>
          <w:bCs/>
          <w:sz w:val="22"/>
          <w:szCs w:val="22"/>
        </w:rPr>
      </w:pPr>
      <w:r w:rsidRPr="0067155A">
        <w:rPr>
          <w:rFonts w:ascii="Arial" w:hAnsi="Arial" w:cs="Arial"/>
          <w:b/>
          <w:bCs/>
          <w:sz w:val="22"/>
          <w:szCs w:val="22"/>
        </w:rPr>
        <w:t xml:space="preserve">Self-Reflection as a Health and Social Care Professional </w:t>
      </w:r>
    </w:p>
    <w:p w14:paraId="1495EE36" w14:textId="049867AE" w:rsidR="005360B4" w:rsidRPr="0067155A" w:rsidRDefault="0027218C" w:rsidP="0067155A">
      <w:pPr>
        <w:spacing w:line="360" w:lineRule="auto"/>
        <w:jc w:val="both"/>
        <w:rPr>
          <w:rFonts w:ascii="Arial" w:hAnsi="Arial" w:cs="Arial"/>
          <w:sz w:val="22"/>
          <w:szCs w:val="22"/>
        </w:rPr>
      </w:pPr>
      <w:r w:rsidRPr="0067155A">
        <w:rPr>
          <w:rFonts w:ascii="Arial" w:hAnsi="Arial" w:cs="Arial"/>
          <w:sz w:val="22"/>
          <w:szCs w:val="22"/>
        </w:rPr>
        <w:t xml:space="preserve">According to Johns (202), reflective exercise is crucial to nursing practice because it strengthens clinical judgement, fosters self-awareness and elevates the quality of person-centred care. As a health and care professional, reflective practice is crucial to my development, as it affords me the opportunity to evaluate my own experience and learn from it to enhance my personal and professional development. I employed the Rolfe et al. (2001) reflective model, which answers three questions of what, so what, and what next, reflecting on my learning on how person-centered care, partnership working, and ethical practice can enhance my personal and professional development. </w:t>
      </w:r>
    </w:p>
    <w:p w14:paraId="34A24419" w14:textId="668819CD" w:rsidR="005360B4" w:rsidRPr="0067155A" w:rsidRDefault="005360B4" w:rsidP="0067155A">
      <w:pPr>
        <w:spacing w:line="360" w:lineRule="auto"/>
        <w:jc w:val="both"/>
        <w:rPr>
          <w:rFonts w:ascii="Arial" w:hAnsi="Arial" w:cs="Arial"/>
          <w:sz w:val="22"/>
          <w:szCs w:val="22"/>
        </w:rPr>
      </w:pPr>
      <w:r w:rsidRPr="0067155A">
        <w:rPr>
          <w:rFonts w:ascii="Arial" w:hAnsi="Arial" w:cs="Arial"/>
          <w:sz w:val="22"/>
          <w:szCs w:val="22"/>
        </w:rPr>
        <w:t xml:space="preserve">As a student professional in the health and social care field, I often </w:t>
      </w:r>
      <w:r w:rsidR="004B31F7">
        <w:rPr>
          <w:rFonts w:ascii="Arial" w:hAnsi="Arial" w:cs="Arial"/>
          <w:sz w:val="22"/>
          <w:szCs w:val="22"/>
        </w:rPr>
        <w:t>interact</w:t>
      </w:r>
      <w:r w:rsidRPr="0067155A">
        <w:rPr>
          <w:rFonts w:ascii="Arial" w:hAnsi="Arial" w:cs="Arial"/>
          <w:sz w:val="22"/>
          <w:szCs w:val="22"/>
        </w:rPr>
        <w:t xml:space="preserve"> with individuals across various care settings</w:t>
      </w:r>
      <w:r w:rsidR="004B31F7">
        <w:rPr>
          <w:rFonts w:ascii="Arial" w:hAnsi="Arial" w:cs="Arial"/>
          <w:sz w:val="22"/>
          <w:szCs w:val="22"/>
        </w:rPr>
        <w:t>,</w:t>
      </w:r>
      <w:r w:rsidRPr="0067155A">
        <w:rPr>
          <w:rFonts w:ascii="Arial" w:hAnsi="Arial" w:cs="Arial"/>
          <w:sz w:val="22"/>
          <w:szCs w:val="22"/>
        </w:rPr>
        <w:t xml:space="preserve"> including community-based placements, school</w:t>
      </w:r>
      <w:r w:rsidR="004B31F7">
        <w:rPr>
          <w:rFonts w:ascii="Arial" w:hAnsi="Arial" w:cs="Arial"/>
          <w:sz w:val="22"/>
          <w:szCs w:val="22"/>
        </w:rPr>
        <w:t>s,</w:t>
      </w:r>
      <w:r w:rsidRPr="0067155A">
        <w:rPr>
          <w:rFonts w:ascii="Arial" w:hAnsi="Arial" w:cs="Arial"/>
          <w:sz w:val="22"/>
          <w:szCs w:val="22"/>
        </w:rPr>
        <w:t xml:space="preserve"> and hospitals. Seeking professional growth in this field, I have actively developed critical skills in communication, active listening, and documentation, which </w:t>
      </w:r>
      <w:r w:rsidR="004B31F7">
        <w:rPr>
          <w:rFonts w:ascii="Arial" w:hAnsi="Arial" w:cs="Arial"/>
          <w:sz w:val="22"/>
          <w:szCs w:val="22"/>
        </w:rPr>
        <w:t>are</w:t>
      </w:r>
      <w:r w:rsidRPr="0067155A">
        <w:rPr>
          <w:rFonts w:ascii="Arial" w:hAnsi="Arial" w:cs="Arial"/>
          <w:sz w:val="22"/>
          <w:szCs w:val="22"/>
        </w:rPr>
        <w:t xml:space="preserve"> crucial skills at my level as a student professional. Mrs C’s case study significantly highlights crucial areas which I have come across in my practice, for instance, the application of person-centered care, collaborative working, and conforming to ethical standards.</w:t>
      </w:r>
      <w:r w:rsidR="00724AE2" w:rsidRPr="0067155A">
        <w:rPr>
          <w:rFonts w:ascii="Arial" w:hAnsi="Arial" w:cs="Arial"/>
          <w:sz w:val="22"/>
          <w:szCs w:val="22"/>
        </w:rPr>
        <w:t xml:space="preserve"> In specific situations where I was involved in an MDT for a </w:t>
      </w:r>
      <w:r w:rsidR="00724AE2" w:rsidRPr="0067155A">
        <w:rPr>
          <w:rFonts w:ascii="Arial" w:hAnsi="Arial" w:cs="Arial"/>
          <w:kern w:val="0"/>
          <w:sz w:val="22"/>
          <w:szCs w:val="22"/>
          <w14:ligatures w14:val="none"/>
        </w:rPr>
        <w:t>patient, I observed how decisions are occasionally reached expeditiously by senior professionals before even allowing a more junior member, including myself, the opportunity to provide information obtained directly from</w:t>
      </w:r>
      <w:r w:rsidR="00724AE2" w:rsidRPr="0067155A">
        <w:rPr>
          <w:rFonts w:ascii="Arial" w:hAnsi="Arial" w:cs="Arial"/>
          <w:sz w:val="22"/>
          <w:szCs w:val="22"/>
        </w:rPr>
        <w:t xml:space="preserve"> the service users. A situation that is realistically opposite to the theoretical principles of MDT working. </w:t>
      </w:r>
      <w:r w:rsidRPr="0067155A">
        <w:rPr>
          <w:rFonts w:ascii="Arial" w:hAnsi="Arial" w:cs="Arial"/>
          <w:sz w:val="22"/>
          <w:szCs w:val="22"/>
        </w:rPr>
        <w:t xml:space="preserve">Ethically, I guide myself with the NMC (2018) professional code to provide safe, person-centered care, while keeping in mind the four ethical principles of autonomy, beneficence, non-maleficence, and justice (Beauchamp &amp; Childress, 2019) at all times. </w:t>
      </w:r>
    </w:p>
    <w:p w14:paraId="276A2A64" w14:textId="2F36EEED" w:rsidR="00484283" w:rsidRPr="0067155A" w:rsidRDefault="00724AE2" w:rsidP="0067155A">
      <w:pPr>
        <w:spacing w:line="360" w:lineRule="auto"/>
        <w:jc w:val="both"/>
        <w:rPr>
          <w:rFonts w:ascii="Arial" w:hAnsi="Arial" w:cs="Arial"/>
          <w:sz w:val="22"/>
          <w:szCs w:val="22"/>
        </w:rPr>
      </w:pPr>
      <w:r w:rsidRPr="0067155A">
        <w:rPr>
          <w:rFonts w:ascii="Arial" w:hAnsi="Arial" w:cs="Arial"/>
          <w:sz w:val="22"/>
          <w:szCs w:val="22"/>
        </w:rPr>
        <w:t xml:space="preserve">Reflecting on these experiences against theories and Mrs C’s case study, I have gained a much deeper understanding and appreciation of the areas in which I excelled and those in which I still have room for improvement. Particularly, I have come to understand that delivering person-centered care is not an isolated activity </w:t>
      </w:r>
      <w:r w:rsidR="00E86956" w:rsidRPr="0067155A">
        <w:rPr>
          <w:rFonts w:ascii="Arial" w:hAnsi="Arial" w:cs="Arial"/>
          <w:sz w:val="22"/>
          <w:szCs w:val="22"/>
        </w:rPr>
        <w:t>that</w:t>
      </w:r>
      <w:r w:rsidRPr="0067155A">
        <w:rPr>
          <w:rFonts w:ascii="Arial" w:hAnsi="Arial" w:cs="Arial"/>
          <w:sz w:val="22"/>
          <w:szCs w:val="22"/>
        </w:rPr>
        <w:t xml:space="preserve"> is completed independently</w:t>
      </w:r>
      <w:r w:rsidR="00E86956" w:rsidRPr="0067155A">
        <w:rPr>
          <w:rFonts w:ascii="Arial" w:hAnsi="Arial" w:cs="Arial"/>
          <w:sz w:val="22"/>
          <w:szCs w:val="22"/>
        </w:rPr>
        <w:t>;</w:t>
      </w:r>
      <w:r w:rsidRPr="0067155A">
        <w:rPr>
          <w:rFonts w:ascii="Arial" w:hAnsi="Arial" w:cs="Arial"/>
          <w:sz w:val="22"/>
          <w:szCs w:val="22"/>
        </w:rPr>
        <w:t xml:space="preserve"> instead, a complete administration of person-centered care depends on other actions</w:t>
      </w:r>
      <w:r w:rsidR="00E86956" w:rsidRPr="0067155A">
        <w:rPr>
          <w:rFonts w:ascii="Arial" w:hAnsi="Arial" w:cs="Arial"/>
          <w:sz w:val="22"/>
          <w:szCs w:val="22"/>
        </w:rPr>
        <w:t>,</w:t>
      </w:r>
      <w:r w:rsidRPr="0067155A">
        <w:rPr>
          <w:rFonts w:ascii="Arial" w:hAnsi="Arial" w:cs="Arial"/>
          <w:sz w:val="22"/>
          <w:szCs w:val="22"/>
        </w:rPr>
        <w:t xml:space="preserve"> such as partnership working and ethical considerations in practice. The most important re</w:t>
      </w:r>
      <w:r w:rsidR="00E86956" w:rsidRPr="0067155A">
        <w:rPr>
          <w:rFonts w:ascii="Arial" w:hAnsi="Arial" w:cs="Arial"/>
          <w:sz w:val="22"/>
          <w:szCs w:val="22"/>
        </w:rPr>
        <w:t>alis</w:t>
      </w:r>
      <w:r w:rsidRPr="0067155A">
        <w:rPr>
          <w:rFonts w:ascii="Arial" w:hAnsi="Arial" w:cs="Arial"/>
          <w:sz w:val="22"/>
          <w:szCs w:val="22"/>
        </w:rPr>
        <w:t>ation to me is on autonomy and capacity. Mrs</w:t>
      </w:r>
      <w:r w:rsidR="00E86956" w:rsidRPr="0067155A">
        <w:rPr>
          <w:rFonts w:ascii="Arial" w:hAnsi="Arial" w:cs="Arial"/>
          <w:sz w:val="22"/>
          <w:szCs w:val="22"/>
        </w:rPr>
        <w:t xml:space="preserve"> C’s autonomy was respected because she possessed sufficient capacity as recognized under the Mental Capacity Act (2005). </w:t>
      </w:r>
      <w:r w:rsidR="004B31F7" w:rsidRPr="0067155A">
        <w:rPr>
          <w:rFonts w:ascii="Arial" w:hAnsi="Arial" w:cs="Arial"/>
          <w:sz w:val="22"/>
          <w:szCs w:val="22"/>
        </w:rPr>
        <w:t>Thus,</w:t>
      </w:r>
      <w:r w:rsidR="00E86956" w:rsidRPr="0067155A">
        <w:rPr>
          <w:rFonts w:ascii="Arial" w:hAnsi="Arial" w:cs="Arial"/>
          <w:sz w:val="22"/>
          <w:szCs w:val="22"/>
        </w:rPr>
        <w:t xml:space="preserve"> even though as care professionals we are bound by ethical obligations to respect the preferences of our patients and involve them in their care ( NMC 2018; Care Act, 2015), our actions should be guided by other constitutional acts such as the Mental Capacity Act, 2005. Further, I have also come to appreciate the need to know your patient. </w:t>
      </w:r>
      <w:r w:rsidR="008A5988" w:rsidRPr="0067155A">
        <w:rPr>
          <w:rFonts w:ascii="Arial" w:hAnsi="Arial" w:cs="Arial"/>
          <w:kern w:val="0"/>
          <w:sz w:val="22"/>
          <w:szCs w:val="22"/>
          <w14:ligatures w14:val="none"/>
        </w:rPr>
        <w:t>Regarding MDT working, I understand that every team member plays an important role in overall</w:t>
      </w:r>
      <w:r w:rsidR="00E86956" w:rsidRPr="0067155A">
        <w:rPr>
          <w:rFonts w:ascii="Arial" w:hAnsi="Arial" w:cs="Arial"/>
          <w:sz w:val="22"/>
          <w:szCs w:val="22"/>
        </w:rPr>
        <w:t xml:space="preserve"> care delivery. I have become aware of my deficiency in bringing a service user’s perspective to the forefront of a senior-led discussion, </w:t>
      </w:r>
      <w:r w:rsidR="008A5988" w:rsidRPr="0067155A">
        <w:rPr>
          <w:rFonts w:ascii="Arial" w:hAnsi="Arial" w:cs="Arial"/>
          <w:sz w:val="22"/>
          <w:szCs w:val="22"/>
        </w:rPr>
        <w:t xml:space="preserve">an area in which I still need to improve as a growing care professional. There have been </w:t>
      </w:r>
      <w:r w:rsidR="008A5988" w:rsidRPr="0067155A">
        <w:rPr>
          <w:rFonts w:ascii="Arial" w:hAnsi="Arial" w:cs="Arial"/>
          <w:kern w:val="0"/>
          <w:sz w:val="22"/>
          <w:szCs w:val="22"/>
          <w14:ligatures w14:val="none"/>
        </w:rPr>
        <w:t>instances where I have deferred to more experienced colleagues; however, I have realised the need to be assertive to bring my views to the fore</w:t>
      </w:r>
      <w:r w:rsidR="008A5988" w:rsidRPr="0067155A">
        <w:rPr>
          <w:rFonts w:ascii="Arial" w:hAnsi="Arial" w:cs="Arial"/>
          <w:sz w:val="22"/>
          <w:szCs w:val="22"/>
        </w:rPr>
        <w:t xml:space="preserve"> when needed. However, this is not a failed attribute, as research points out that junior professionals struggle to speak up in MDT settings due to professional hierarchies and fear of being perceived as difficult (Morrow et al., 2016). </w:t>
      </w:r>
    </w:p>
    <w:p w14:paraId="3DBCE7EC" w14:textId="432AA9FD" w:rsidR="008A5988" w:rsidRPr="0067155A" w:rsidRDefault="008A5988" w:rsidP="0067155A">
      <w:pPr>
        <w:spacing w:line="360" w:lineRule="auto"/>
        <w:jc w:val="both"/>
        <w:rPr>
          <w:rFonts w:ascii="Arial" w:hAnsi="Arial" w:cs="Arial"/>
          <w:sz w:val="22"/>
          <w:szCs w:val="22"/>
        </w:rPr>
      </w:pPr>
      <w:r w:rsidRPr="0067155A">
        <w:rPr>
          <w:rFonts w:ascii="Arial" w:hAnsi="Arial" w:cs="Arial"/>
          <w:sz w:val="22"/>
          <w:szCs w:val="22"/>
        </w:rPr>
        <w:t xml:space="preserve">Using the theoretical framework of Abraham Maslow hierarchy of needs to evaluate my own practice, I have come to the realization that my evaluation of the needs of individuals is sometimes insufficient. I tend to place more emphasis on </w:t>
      </w:r>
      <w:r w:rsidR="0067155A" w:rsidRPr="0067155A">
        <w:rPr>
          <w:rFonts w:ascii="Arial" w:hAnsi="Arial" w:cs="Arial"/>
          <w:sz w:val="22"/>
          <w:szCs w:val="22"/>
        </w:rPr>
        <w:t xml:space="preserve">the clinical and safety needs of individuals while ignoring higher level wants of belonging, actualisation and esteem. The narrative of Mrs. C exemplifies the need </w:t>
      </w:r>
      <w:r w:rsidR="009872C5">
        <w:rPr>
          <w:rFonts w:ascii="Arial" w:hAnsi="Arial" w:cs="Arial"/>
          <w:sz w:val="22"/>
          <w:szCs w:val="22"/>
        </w:rPr>
        <w:t>to</w:t>
      </w:r>
      <w:r w:rsidR="0067155A" w:rsidRPr="0067155A">
        <w:rPr>
          <w:rFonts w:ascii="Arial" w:hAnsi="Arial" w:cs="Arial"/>
          <w:sz w:val="22"/>
          <w:szCs w:val="22"/>
        </w:rPr>
        <w:t xml:space="preserve"> attend to all levels of need, beginning with the care of symptoms and progressing all the way up to social relationships and activities that have significance. In my capacity as a professional, it is imperative that I make certain that my practice takes into account the entirety of the individual, acknowledging that physical health cannot be divorced from psychological, social, and spiritual well-being. Mrs. C’s case has prompted me to prioritize other aspects of care, not just clinical and safety needs. </w:t>
      </w:r>
    </w:p>
    <w:p w14:paraId="2210729F" w14:textId="4053D709" w:rsidR="0067155A" w:rsidRPr="0067155A" w:rsidRDefault="0067155A" w:rsidP="0067155A">
      <w:pPr>
        <w:spacing w:line="360" w:lineRule="auto"/>
        <w:jc w:val="both"/>
        <w:rPr>
          <w:rFonts w:ascii="Arial" w:hAnsi="Arial" w:cs="Arial"/>
          <w:sz w:val="22"/>
          <w:szCs w:val="22"/>
        </w:rPr>
      </w:pPr>
      <w:r w:rsidRPr="0067155A">
        <w:rPr>
          <w:rFonts w:ascii="Arial" w:hAnsi="Arial" w:cs="Arial"/>
          <w:sz w:val="22"/>
          <w:szCs w:val="22"/>
        </w:rPr>
        <w:t xml:space="preserve">As a student professional this reflection has numerous implications for my future practice. As a first step, I intend to participate in structured continuing professional development (CPD) aligned with the requirements for NMC revalidation (NMC, 2018). More specifically, I intend to receive training in shared decision-making informed by NICE guideline NG197 (National Institute for Health and Care Excellence, 2021), as well as in mental capacity assessment. This will help me improve both my confidence and my documentation practice. I intend to prepare brief, evidence-based summaries of a service user's expressed wishes before meetings in order to address my reluctance to participate in multidisciplinary teams (MDTs). This will provide me with a clear basis for contributing even when more senior colleagues are present. Additionally, I will seek regular supervision in order to build assertiveness incrementally rather than waiting for confidence to appear on its own. Additionally, I would like to improve my digital literacy because technologies such as those that are used to facilitate Mrs. C's communication with her family are becoming an increasingly important component of personalised care, and I would like to be able to assist service users in using these technologies with confidence. </w:t>
      </w:r>
    </w:p>
    <w:p w14:paraId="7915FA32" w14:textId="35607286" w:rsidR="0067155A" w:rsidRPr="0067155A" w:rsidRDefault="0067155A" w:rsidP="0067155A">
      <w:pPr>
        <w:spacing w:line="360" w:lineRule="auto"/>
        <w:jc w:val="both"/>
        <w:rPr>
          <w:rFonts w:ascii="Arial" w:hAnsi="Arial" w:cs="Arial"/>
          <w:sz w:val="22"/>
          <w:szCs w:val="22"/>
        </w:rPr>
      </w:pPr>
      <w:r w:rsidRPr="0067155A">
        <w:rPr>
          <w:rFonts w:ascii="Arial" w:hAnsi="Arial" w:cs="Arial"/>
          <w:sz w:val="22"/>
          <w:szCs w:val="22"/>
        </w:rPr>
        <w:t xml:space="preserve">In conclusion, person-centered practice, although central to health and social care practice, is not delivered in isolation. Together with partnership working and ethical considerations in practice, PCC improves the overall patient outcome. Further, </w:t>
      </w:r>
      <w:r w:rsidRPr="0067155A">
        <w:rPr>
          <w:rFonts w:ascii="Arial" w:hAnsi="Arial" w:cs="Arial"/>
          <w:kern w:val="0"/>
          <w:sz w:val="22"/>
          <w:szCs w:val="22"/>
          <w14:ligatures w14:val="none"/>
        </w:rPr>
        <w:t>a health care professional must prioritize the need</w:t>
      </w:r>
      <w:r w:rsidRPr="0067155A">
        <w:rPr>
          <w:rFonts w:ascii="Arial" w:hAnsi="Arial" w:cs="Arial"/>
          <w:sz w:val="22"/>
          <w:szCs w:val="22"/>
        </w:rPr>
        <w:t xml:space="preserve"> for personal reflections to learn from their own experiences. </w:t>
      </w:r>
    </w:p>
    <w:p w14:paraId="3A49353B" w14:textId="77777777" w:rsidR="00484283" w:rsidRDefault="00484283" w:rsidP="00601261">
      <w:pPr>
        <w:spacing w:line="360" w:lineRule="auto"/>
        <w:rPr>
          <w:rFonts w:ascii="Arial" w:hAnsi="Arial" w:cs="Arial"/>
          <w:b/>
          <w:bCs/>
          <w:sz w:val="22"/>
          <w:szCs w:val="22"/>
        </w:rPr>
      </w:pPr>
    </w:p>
    <w:p w14:paraId="3281E629" w14:textId="77777777" w:rsidR="0067155A" w:rsidRDefault="0067155A" w:rsidP="00601261">
      <w:pPr>
        <w:spacing w:line="360" w:lineRule="auto"/>
        <w:rPr>
          <w:rFonts w:ascii="Arial" w:hAnsi="Arial" w:cs="Arial"/>
          <w:b/>
          <w:bCs/>
          <w:sz w:val="22"/>
          <w:szCs w:val="22"/>
        </w:rPr>
      </w:pPr>
    </w:p>
    <w:p w14:paraId="67560A98" w14:textId="77777777" w:rsidR="0067155A" w:rsidRDefault="0067155A" w:rsidP="00601261">
      <w:pPr>
        <w:spacing w:line="360" w:lineRule="auto"/>
        <w:rPr>
          <w:rFonts w:ascii="Arial" w:hAnsi="Arial" w:cs="Arial"/>
          <w:b/>
          <w:bCs/>
          <w:sz w:val="22"/>
          <w:szCs w:val="22"/>
        </w:rPr>
      </w:pPr>
    </w:p>
    <w:p w14:paraId="61040F08" w14:textId="77777777" w:rsidR="0067155A" w:rsidRDefault="0067155A" w:rsidP="00601261">
      <w:pPr>
        <w:spacing w:line="360" w:lineRule="auto"/>
        <w:rPr>
          <w:rFonts w:ascii="Arial" w:hAnsi="Arial" w:cs="Arial"/>
          <w:b/>
          <w:bCs/>
          <w:sz w:val="22"/>
          <w:szCs w:val="22"/>
        </w:rPr>
      </w:pPr>
    </w:p>
    <w:p w14:paraId="62290A3A" w14:textId="77777777" w:rsidR="0067155A" w:rsidRDefault="0067155A" w:rsidP="00601261">
      <w:pPr>
        <w:spacing w:line="360" w:lineRule="auto"/>
        <w:rPr>
          <w:rFonts w:ascii="Arial" w:hAnsi="Arial" w:cs="Arial"/>
          <w:b/>
          <w:bCs/>
          <w:sz w:val="22"/>
          <w:szCs w:val="22"/>
        </w:rPr>
      </w:pPr>
    </w:p>
    <w:p w14:paraId="1E2BD2BB" w14:textId="77777777" w:rsidR="00484283" w:rsidRDefault="00484283" w:rsidP="00601261">
      <w:pPr>
        <w:spacing w:line="360" w:lineRule="auto"/>
        <w:rPr>
          <w:rFonts w:ascii="Arial" w:hAnsi="Arial" w:cs="Arial"/>
          <w:b/>
          <w:bCs/>
          <w:sz w:val="22"/>
          <w:szCs w:val="22"/>
        </w:rPr>
      </w:pPr>
    </w:p>
    <w:p w14:paraId="3E95D062" w14:textId="77777777" w:rsidR="00484283" w:rsidRDefault="00484283" w:rsidP="00601261">
      <w:pPr>
        <w:spacing w:line="360" w:lineRule="auto"/>
        <w:rPr>
          <w:rFonts w:ascii="Arial" w:hAnsi="Arial" w:cs="Arial"/>
          <w:b/>
          <w:bCs/>
          <w:sz w:val="22"/>
          <w:szCs w:val="22"/>
        </w:rPr>
      </w:pPr>
    </w:p>
    <w:p w14:paraId="78BBD4AF" w14:textId="77777777" w:rsidR="00484283" w:rsidRDefault="00484283" w:rsidP="00601261">
      <w:pPr>
        <w:spacing w:line="360" w:lineRule="auto"/>
        <w:rPr>
          <w:rFonts w:ascii="Arial" w:hAnsi="Arial" w:cs="Arial"/>
          <w:sz w:val="22"/>
          <w:szCs w:val="22"/>
        </w:rPr>
      </w:pPr>
    </w:p>
    <w:p w14:paraId="52A46378" w14:textId="77777777" w:rsidR="0067155A" w:rsidRDefault="0067155A" w:rsidP="00601261">
      <w:pPr>
        <w:spacing w:line="360" w:lineRule="auto"/>
        <w:rPr>
          <w:rFonts w:ascii="Arial" w:hAnsi="Arial" w:cs="Arial"/>
          <w:sz w:val="22"/>
          <w:szCs w:val="22"/>
        </w:rPr>
      </w:pPr>
    </w:p>
    <w:p w14:paraId="270185FF" w14:textId="77777777" w:rsidR="0067155A" w:rsidRDefault="0067155A" w:rsidP="00601261">
      <w:pPr>
        <w:spacing w:line="360" w:lineRule="auto"/>
        <w:rPr>
          <w:rFonts w:ascii="Arial" w:hAnsi="Arial" w:cs="Arial"/>
          <w:sz w:val="22"/>
          <w:szCs w:val="22"/>
        </w:rPr>
      </w:pPr>
    </w:p>
    <w:p w14:paraId="078BC3BE" w14:textId="77777777" w:rsidR="0067155A" w:rsidRDefault="0067155A" w:rsidP="00601261">
      <w:pPr>
        <w:spacing w:line="360" w:lineRule="auto"/>
        <w:rPr>
          <w:rFonts w:ascii="Arial" w:hAnsi="Arial" w:cs="Arial"/>
          <w:sz w:val="22"/>
          <w:szCs w:val="22"/>
        </w:rPr>
      </w:pPr>
    </w:p>
    <w:p w14:paraId="2F361854" w14:textId="77777777" w:rsidR="0067155A" w:rsidRDefault="0067155A" w:rsidP="00601261">
      <w:pPr>
        <w:spacing w:line="360" w:lineRule="auto"/>
        <w:rPr>
          <w:rFonts w:ascii="Arial" w:hAnsi="Arial" w:cs="Arial"/>
          <w:sz w:val="22"/>
          <w:szCs w:val="22"/>
        </w:rPr>
      </w:pPr>
    </w:p>
    <w:p w14:paraId="21DFDB8A" w14:textId="77777777" w:rsidR="0067155A" w:rsidRDefault="0067155A" w:rsidP="00601261">
      <w:pPr>
        <w:spacing w:line="360" w:lineRule="auto"/>
        <w:rPr>
          <w:rFonts w:ascii="Arial" w:hAnsi="Arial" w:cs="Arial"/>
          <w:sz w:val="22"/>
          <w:szCs w:val="22"/>
        </w:rPr>
      </w:pPr>
    </w:p>
    <w:p w14:paraId="31A2CE3A" w14:textId="77777777" w:rsidR="0067155A" w:rsidRDefault="0067155A" w:rsidP="00601261">
      <w:pPr>
        <w:spacing w:line="360" w:lineRule="auto"/>
        <w:rPr>
          <w:rFonts w:ascii="Arial" w:hAnsi="Arial" w:cs="Arial"/>
          <w:sz w:val="22"/>
          <w:szCs w:val="22"/>
        </w:rPr>
      </w:pPr>
    </w:p>
    <w:p w14:paraId="7FAB105C" w14:textId="77777777" w:rsidR="0067155A" w:rsidRDefault="0067155A" w:rsidP="00601261">
      <w:pPr>
        <w:spacing w:line="360" w:lineRule="auto"/>
        <w:rPr>
          <w:rFonts w:ascii="Arial" w:hAnsi="Arial" w:cs="Arial"/>
          <w:sz w:val="22"/>
          <w:szCs w:val="22"/>
        </w:rPr>
      </w:pPr>
    </w:p>
    <w:p w14:paraId="63C198DF" w14:textId="77777777" w:rsidR="0067155A" w:rsidRDefault="0067155A" w:rsidP="00601261">
      <w:pPr>
        <w:spacing w:line="360" w:lineRule="auto"/>
        <w:rPr>
          <w:rFonts w:ascii="Arial" w:hAnsi="Arial" w:cs="Arial"/>
          <w:sz w:val="22"/>
          <w:szCs w:val="22"/>
        </w:rPr>
      </w:pPr>
    </w:p>
    <w:p w14:paraId="02971A00" w14:textId="77777777" w:rsidR="0067155A" w:rsidRDefault="0067155A" w:rsidP="00601261">
      <w:pPr>
        <w:spacing w:line="360" w:lineRule="auto"/>
        <w:rPr>
          <w:rFonts w:ascii="Arial" w:hAnsi="Arial" w:cs="Arial"/>
          <w:sz w:val="22"/>
          <w:szCs w:val="22"/>
        </w:rPr>
      </w:pPr>
    </w:p>
    <w:p w14:paraId="4C0A032E" w14:textId="77777777" w:rsidR="0067155A" w:rsidRPr="008A5988" w:rsidRDefault="0067155A" w:rsidP="00601261">
      <w:pPr>
        <w:spacing w:line="360" w:lineRule="auto"/>
        <w:rPr>
          <w:rFonts w:ascii="Arial" w:hAnsi="Arial" w:cs="Arial"/>
          <w:sz w:val="22"/>
          <w:szCs w:val="22"/>
        </w:rPr>
      </w:pPr>
    </w:p>
    <w:p w14:paraId="61B0FFC2" w14:textId="77777777" w:rsidR="00484283" w:rsidRDefault="00484283" w:rsidP="00601261">
      <w:pPr>
        <w:spacing w:line="360" w:lineRule="auto"/>
        <w:rPr>
          <w:rFonts w:ascii="Arial" w:hAnsi="Arial" w:cs="Arial"/>
          <w:b/>
          <w:bCs/>
          <w:sz w:val="22"/>
          <w:szCs w:val="22"/>
        </w:rPr>
      </w:pPr>
    </w:p>
    <w:p w14:paraId="1B621CE1" w14:textId="1971ACEB" w:rsidR="0067155A" w:rsidRPr="0067155A" w:rsidRDefault="00484283" w:rsidP="0067155A">
      <w:pPr>
        <w:spacing w:line="360" w:lineRule="auto"/>
        <w:jc w:val="center"/>
        <w:rPr>
          <w:rFonts w:ascii="Arial" w:hAnsi="Arial" w:cs="Arial"/>
          <w:b/>
          <w:bCs/>
          <w:sz w:val="22"/>
          <w:szCs w:val="22"/>
        </w:rPr>
      </w:pPr>
      <w:r>
        <w:rPr>
          <w:rFonts w:ascii="Arial" w:hAnsi="Arial" w:cs="Arial"/>
          <w:b/>
          <w:bCs/>
          <w:sz w:val="22"/>
          <w:szCs w:val="22"/>
        </w:rPr>
        <w:t>REFERENCES</w:t>
      </w:r>
    </w:p>
    <w:p w14:paraId="1DFA9F29" w14:textId="77777777" w:rsidR="0067155A" w:rsidRDefault="0067155A" w:rsidP="00484283">
      <w:pPr>
        <w:spacing w:line="360" w:lineRule="auto"/>
        <w:jc w:val="both"/>
        <w:rPr>
          <w:rFonts w:ascii="Arial" w:hAnsi="Arial" w:cs="Arial"/>
          <w:sz w:val="22"/>
          <w:szCs w:val="22"/>
        </w:rPr>
      </w:pPr>
      <w:bookmarkStart w:id="0" w:name="OLE_LINK5"/>
      <w:r w:rsidRPr="00BF4695">
        <w:rPr>
          <w:rFonts w:ascii="Arial" w:hAnsi="Arial" w:cs="Arial"/>
          <w:sz w:val="22"/>
          <w:szCs w:val="22"/>
        </w:rPr>
        <w:t>Beauchamp, T. and Childress, J., 2019</w:t>
      </w:r>
      <w:bookmarkEnd w:id="0"/>
      <w:r w:rsidRPr="00BF4695">
        <w:rPr>
          <w:rFonts w:ascii="Arial" w:hAnsi="Arial" w:cs="Arial"/>
          <w:sz w:val="22"/>
          <w:szCs w:val="22"/>
        </w:rPr>
        <w:t xml:space="preserve">. Principles of biomedical ethics: marking its fortieth anniversary. </w:t>
      </w:r>
      <w:r w:rsidRPr="00BF4695">
        <w:rPr>
          <w:rFonts w:ascii="Arial" w:hAnsi="Arial" w:cs="Arial"/>
          <w:i/>
          <w:iCs/>
          <w:sz w:val="22"/>
          <w:szCs w:val="22"/>
        </w:rPr>
        <w:t>The American Journal of Bioethics,</w:t>
      </w:r>
      <w:r w:rsidRPr="00BF4695">
        <w:rPr>
          <w:rFonts w:ascii="Arial" w:hAnsi="Arial" w:cs="Arial"/>
          <w:sz w:val="22"/>
          <w:szCs w:val="22"/>
        </w:rPr>
        <w:t xml:space="preserve"> 19(11), pp.9-12.</w:t>
      </w:r>
    </w:p>
    <w:p w14:paraId="32B89CF2" w14:textId="77777777" w:rsidR="0067155A" w:rsidRDefault="0067155A" w:rsidP="00484283">
      <w:pPr>
        <w:spacing w:line="360" w:lineRule="auto"/>
        <w:jc w:val="both"/>
        <w:rPr>
          <w:rFonts w:ascii="Arial" w:hAnsi="Arial" w:cs="Arial"/>
          <w:sz w:val="22"/>
          <w:szCs w:val="22"/>
        </w:rPr>
      </w:pPr>
      <w:r w:rsidRPr="00914DA0">
        <w:rPr>
          <w:rFonts w:ascii="Arial" w:hAnsi="Arial" w:cs="Arial"/>
          <w:sz w:val="22"/>
          <w:szCs w:val="22"/>
        </w:rPr>
        <w:t>Delaney, L. J. (2018). Patient-centred care as an approach to improving health care in Australia. Collegian, 25(1), 119-123.</w:t>
      </w:r>
    </w:p>
    <w:p w14:paraId="6F69BA77" w14:textId="77777777" w:rsidR="0067155A" w:rsidRDefault="0067155A" w:rsidP="00484283">
      <w:pPr>
        <w:spacing w:line="360" w:lineRule="auto"/>
        <w:jc w:val="both"/>
        <w:rPr>
          <w:rFonts w:ascii="Arial" w:hAnsi="Arial" w:cs="Arial"/>
          <w:sz w:val="22"/>
          <w:szCs w:val="22"/>
        </w:rPr>
      </w:pPr>
      <w:r w:rsidRPr="00134C60">
        <w:rPr>
          <w:rFonts w:ascii="Arial" w:hAnsi="Arial" w:cs="Arial"/>
          <w:sz w:val="22"/>
          <w:szCs w:val="22"/>
        </w:rPr>
        <w:t xml:space="preserve">DeRosa, A.P., Nelson, B.B., Delgado, D., Mages, K.C., Martin, L. and Stribling, J.C., 2019. Involvement of information professionals in patient-and family-centered care initiatives: a scoping review. </w:t>
      </w:r>
      <w:r w:rsidRPr="00134C60">
        <w:rPr>
          <w:rFonts w:ascii="Arial" w:hAnsi="Arial" w:cs="Arial"/>
          <w:i/>
          <w:iCs/>
          <w:sz w:val="22"/>
          <w:szCs w:val="22"/>
        </w:rPr>
        <w:t>Journal of the Medical Library Association</w:t>
      </w:r>
      <w:r w:rsidRPr="00134C60">
        <w:rPr>
          <w:rFonts w:ascii="Arial" w:hAnsi="Arial" w:cs="Arial"/>
          <w:sz w:val="22"/>
          <w:szCs w:val="22"/>
        </w:rPr>
        <w:t>: JMLA, 107(3), p.314.</w:t>
      </w:r>
    </w:p>
    <w:p w14:paraId="46235D2B" w14:textId="77777777" w:rsidR="0067155A" w:rsidRDefault="0067155A" w:rsidP="00484283">
      <w:pPr>
        <w:spacing w:line="360" w:lineRule="auto"/>
        <w:jc w:val="both"/>
        <w:rPr>
          <w:rFonts w:ascii="Arial" w:hAnsi="Arial" w:cs="Arial"/>
          <w:sz w:val="22"/>
          <w:szCs w:val="22"/>
        </w:rPr>
      </w:pPr>
      <w:r w:rsidRPr="00134C60">
        <w:rPr>
          <w:rFonts w:ascii="Arial" w:hAnsi="Arial" w:cs="Arial"/>
          <w:sz w:val="22"/>
          <w:szCs w:val="22"/>
        </w:rPr>
        <w:t>Glasby, J., 2017. Partnership working in health and social care (pp. 71-94). Policy Press.</w:t>
      </w:r>
    </w:p>
    <w:p w14:paraId="55BA10DD" w14:textId="77777777" w:rsidR="0067155A" w:rsidRPr="004E2C96" w:rsidRDefault="0067155A" w:rsidP="00484283">
      <w:pPr>
        <w:spacing w:line="360" w:lineRule="auto"/>
        <w:jc w:val="both"/>
        <w:rPr>
          <w:rFonts w:ascii="Arial" w:hAnsi="Arial" w:cs="Arial"/>
          <w:sz w:val="22"/>
          <w:szCs w:val="22"/>
        </w:rPr>
      </w:pPr>
      <w:r w:rsidRPr="004E2C96">
        <w:rPr>
          <w:rFonts w:ascii="Arial" w:hAnsi="Arial" w:cs="Arial"/>
          <w:sz w:val="22"/>
          <w:szCs w:val="22"/>
        </w:rPr>
        <w:t>Grover, S., Fitzpatrick, A., Azim, F.T., Ariza-Vega, P., Bellwood, P., Burns, J., Burton, E., Fleig, L., Clemson, L., Hoppmann, C.A. and Madden, K.M., 2022. Defining and implementing patient-centered care: An umbrella review. Patient education and counseling, 105(7), pp.1679-1688.</w:t>
      </w:r>
    </w:p>
    <w:p w14:paraId="5E25CABF" w14:textId="77777777" w:rsidR="0067155A" w:rsidRDefault="0067155A" w:rsidP="00484283">
      <w:pPr>
        <w:spacing w:line="360" w:lineRule="auto"/>
        <w:jc w:val="both"/>
        <w:rPr>
          <w:rFonts w:ascii="Arial" w:hAnsi="Arial" w:cs="Arial"/>
          <w:sz w:val="22"/>
          <w:szCs w:val="22"/>
        </w:rPr>
      </w:pPr>
      <w:r w:rsidRPr="0072457D">
        <w:rPr>
          <w:rFonts w:ascii="Arial" w:hAnsi="Arial" w:cs="Arial"/>
          <w:sz w:val="22"/>
          <w:szCs w:val="22"/>
        </w:rPr>
        <w:t>Housley, W., 2017. Interaction in multidisciplinary teams. Routledge.</w:t>
      </w:r>
    </w:p>
    <w:p w14:paraId="6ADFE0C5" w14:textId="77777777" w:rsidR="0067155A" w:rsidRPr="004E2C96" w:rsidRDefault="0067155A" w:rsidP="00484283">
      <w:pPr>
        <w:spacing w:line="360" w:lineRule="auto"/>
        <w:jc w:val="both"/>
        <w:rPr>
          <w:rFonts w:ascii="Arial" w:hAnsi="Arial" w:cs="Arial"/>
          <w:sz w:val="22"/>
          <w:szCs w:val="22"/>
        </w:rPr>
      </w:pPr>
      <w:r w:rsidRPr="004E2C96">
        <w:rPr>
          <w:rFonts w:ascii="Arial" w:hAnsi="Arial" w:cs="Arial"/>
          <w:sz w:val="22"/>
          <w:szCs w:val="22"/>
        </w:rPr>
        <w:t>Indridadottir, O. and Nisco-Madden, J., 2025. Holistic physical assessment: A new framework for nursing practice Honoring the whole person. Journal of Holistic Nursing, 43(3), pp.266-276</w:t>
      </w:r>
    </w:p>
    <w:p w14:paraId="29BEC82C" w14:textId="77777777" w:rsidR="0067155A" w:rsidRPr="0067155A" w:rsidRDefault="0067155A" w:rsidP="0067155A">
      <w:pPr>
        <w:spacing w:line="360" w:lineRule="auto"/>
        <w:rPr>
          <w:rFonts w:ascii="Arial" w:hAnsi="Arial" w:cs="Arial"/>
          <w:sz w:val="22"/>
          <w:szCs w:val="22"/>
        </w:rPr>
      </w:pPr>
      <w:r w:rsidRPr="0067155A">
        <w:rPr>
          <w:rFonts w:ascii="Arial" w:hAnsi="Arial" w:cs="Arial"/>
          <w:sz w:val="22"/>
          <w:szCs w:val="22"/>
        </w:rPr>
        <w:t>Johns, C. (2025). Becoming a reflective practitioner. John Wiley &amp; Sons.</w:t>
      </w:r>
    </w:p>
    <w:p w14:paraId="17121B53" w14:textId="77777777" w:rsidR="0067155A" w:rsidRPr="004E2C96" w:rsidRDefault="0067155A" w:rsidP="00484283">
      <w:pPr>
        <w:spacing w:line="360" w:lineRule="auto"/>
        <w:jc w:val="both"/>
        <w:rPr>
          <w:rFonts w:ascii="Arial" w:hAnsi="Arial" w:cs="Arial"/>
          <w:sz w:val="22"/>
          <w:szCs w:val="22"/>
        </w:rPr>
      </w:pPr>
      <w:r w:rsidRPr="004E2C96">
        <w:rPr>
          <w:rFonts w:ascii="Arial" w:hAnsi="Arial" w:cs="Arial"/>
          <w:sz w:val="22"/>
          <w:szCs w:val="22"/>
        </w:rPr>
        <w:t>McCormack, B., McCance, T., Bulley, C., Brown, D., McMillan, A. and Martin, S. eds., 2021. Fundamentals of person-centred healthcare practice. John Wiley &amp; Sons.</w:t>
      </w:r>
    </w:p>
    <w:p w14:paraId="2CAF02BD" w14:textId="14077632" w:rsidR="0067155A" w:rsidRPr="008A5988" w:rsidRDefault="0067155A" w:rsidP="0067155A">
      <w:pPr>
        <w:spacing w:line="360" w:lineRule="auto"/>
        <w:rPr>
          <w:rFonts w:ascii="Arial" w:hAnsi="Arial" w:cs="Arial"/>
          <w:sz w:val="22"/>
          <w:szCs w:val="22"/>
        </w:rPr>
      </w:pPr>
      <w:r w:rsidRPr="008A5988">
        <w:rPr>
          <w:rFonts w:ascii="Arial" w:hAnsi="Arial" w:cs="Arial"/>
          <w:sz w:val="22"/>
          <w:szCs w:val="22"/>
        </w:rPr>
        <w:t>Morrow, J., K., Gustavson M. A., and Jones . J., 2016.</w:t>
      </w:r>
      <w:r w:rsidRPr="008A5988">
        <w:t xml:space="preserve"> </w:t>
      </w:r>
      <w:r w:rsidRPr="008A5988">
        <w:rPr>
          <w:rFonts w:ascii="Arial" w:hAnsi="Arial" w:cs="Arial"/>
          <w:sz w:val="22"/>
          <w:szCs w:val="22"/>
        </w:rPr>
        <w:t xml:space="preserve">Speaking up behaviours (safety voices) of healthcare workers: A </w:t>
      </w:r>
      <w:r w:rsidR="006C2738" w:rsidRPr="008A5988">
        <w:rPr>
          <w:rFonts w:ascii="Arial" w:hAnsi="Arial" w:cs="Arial"/>
          <w:sz w:val="22"/>
          <w:szCs w:val="22"/>
        </w:rPr>
        <w:t>meta synthesis</w:t>
      </w:r>
      <w:r w:rsidRPr="008A5988">
        <w:rPr>
          <w:rFonts w:ascii="Arial" w:hAnsi="Arial" w:cs="Arial"/>
          <w:sz w:val="22"/>
          <w:szCs w:val="22"/>
        </w:rPr>
        <w:t xml:space="preserve"> of qualitative research studies</w:t>
      </w:r>
      <w:r>
        <w:rPr>
          <w:rFonts w:ascii="Arial" w:hAnsi="Arial" w:cs="Arial"/>
          <w:sz w:val="22"/>
          <w:szCs w:val="22"/>
        </w:rPr>
        <w:t xml:space="preserve">. International Journal of Nursing. </w:t>
      </w:r>
    </w:p>
    <w:p w14:paraId="5108E05B" w14:textId="31C6868B" w:rsidR="0067155A" w:rsidRDefault="0067155A" w:rsidP="00484283">
      <w:pPr>
        <w:spacing w:line="360" w:lineRule="auto"/>
        <w:jc w:val="both"/>
        <w:rPr>
          <w:rFonts w:ascii="Arial" w:hAnsi="Arial" w:cs="Arial"/>
          <w:sz w:val="22"/>
          <w:szCs w:val="22"/>
        </w:rPr>
      </w:pPr>
      <w:r>
        <w:rPr>
          <w:rFonts w:ascii="Arial" w:hAnsi="Arial" w:cs="Arial"/>
          <w:sz w:val="22"/>
          <w:szCs w:val="22"/>
        </w:rPr>
        <w:t xml:space="preserve">NHS Englandd, 2019. The NHS Long Term Plan. </w:t>
      </w:r>
      <w:r w:rsidR="00FA3595">
        <w:rPr>
          <w:rFonts w:ascii="Arial" w:hAnsi="Arial" w:cs="Arial"/>
          <w:sz w:val="22"/>
          <w:szCs w:val="22"/>
        </w:rPr>
        <w:t xml:space="preserve">Available at: </w:t>
      </w:r>
      <w:hyperlink r:id="rId6" w:history="1">
        <w:r w:rsidR="006C2738" w:rsidRPr="00190466">
          <w:rPr>
            <w:rStyle w:val="Hyperlink"/>
            <w:rFonts w:ascii="Arial" w:hAnsi="Arial" w:cs="Arial"/>
            <w:sz w:val="22"/>
            <w:szCs w:val="22"/>
          </w:rPr>
          <w:t>https://webarchive.nationalarchives.gov.uk/ukgwa/20250511091243/https://www.longtermplan.nhs.uk/wp-content/uploads/2019/08/nhs-long-term-plan-version-1.2.pdf</w:t>
        </w:r>
      </w:hyperlink>
      <w:r>
        <w:rPr>
          <w:rFonts w:ascii="Arial" w:hAnsi="Arial" w:cs="Arial"/>
          <w:sz w:val="22"/>
          <w:szCs w:val="22"/>
        </w:rPr>
        <w:t xml:space="preserve"> </w:t>
      </w:r>
      <w:r w:rsidR="005A666D">
        <w:rPr>
          <w:rFonts w:ascii="Arial" w:hAnsi="Arial" w:cs="Arial"/>
          <w:sz w:val="22"/>
          <w:szCs w:val="22"/>
        </w:rPr>
        <w:t xml:space="preserve"> (Accessed </w:t>
      </w:r>
      <w:r w:rsidR="00FA3595">
        <w:rPr>
          <w:rFonts w:ascii="Arial" w:hAnsi="Arial" w:cs="Arial"/>
          <w:sz w:val="22"/>
          <w:szCs w:val="22"/>
        </w:rPr>
        <w:t>J</w:t>
      </w:r>
      <w:r w:rsidR="005A666D">
        <w:rPr>
          <w:rFonts w:ascii="Arial" w:hAnsi="Arial" w:cs="Arial"/>
          <w:sz w:val="22"/>
          <w:szCs w:val="22"/>
        </w:rPr>
        <w:t>une 29, 2026).</w:t>
      </w:r>
    </w:p>
    <w:p w14:paraId="2EF01C57" w14:textId="77777777" w:rsidR="0067155A" w:rsidRPr="00601261" w:rsidRDefault="0067155A" w:rsidP="00484283">
      <w:pPr>
        <w:spacing w:line="360" w:lineRule="auto"/>
        <w:jc w:val="both"/>
        <w:rPr>
          <w:rFonts w:ascii="Arial" w:hAnsi="Arial" w:cs="Arial"/>
          <w:sz w:val="22"/>
          <w:szCs w:val="22"/>
        </w:rPr>
      </w:pPr>
      <w:r w:rsidRPr="00BF4695">
        <w:rPr>
          <w:rFonts w:ascii="Arial" w:hAnsi="Arial" w:cs="Arial"/>
          <w:sz w:val="22"/>
          <w:szCs w:val="22"/>
        </w:rPr>
        <w:t>Nursing and Midwifery Council (2018) The Code: Professional Standards of Practice and Behaviour for Nurses, Midwives and Nursing Associates.</w:t>
      </w:r>
    </w:p>
    <w:p w14:paraId="4C7C0B79" w14:textId="77777777" w:rsidR="0067155A" w:rsidRPr="00D271B6" w:rsidRDefault="0067155A" w:rsidP="00484283">
      <w:pPr>
        <w:spacing w:line="360" w:lineRule="auto"/>
        <w:jc w:val="both"/>
        <w:rPr>
          <w:rFonts w:ascii="Arial" w:hAnsi="Arial" w:cs="Arial"/>
          <w:sz w:val="22"/>
          <w:szCs w:val="22"/>
        </w:rPr>
      </w:pPr>
      <w:r w:rsidRPr="00D271B6">
        <w:rPr>
          <w:rFonts w:ascii="Arial" w:hAnsi="Arial" w:cs="Arial"/>
          <w:sz w:val="22"/>
          <w:szCs w:val="22"/>
        </w:rPr>
        <w:t xml:space="preserve">Patel, K.M. and Metersky, K., 2022. Reflective practice in nursing: A concept analysis. </w:t>
      </w:r>
      <w:r w:rsidRPr="00D271B6">
        <w:rPr>
          <w:rFonts w:ascii="Arial" w:hAnsi="Arial" w:cs="Arial"/>
          <w:i/>
          <w:iCs/>
          <w:sz w:val="22"/>
          <w:szCs w:val="22"/>
        </w:rPr>
        <w:t>International journal of nursing knowledge</w:t>
      </w:r>
      <w:r w:rsidRPr="00D271B6">
        <w:rPr>
          <w:rFonts w:ascii="Arial" w:hAnsi="Arial" w:cs="Arial"/>
          <w:sz w:val="22"/>
          <w:szCs w:val="22"/>
        </w:rPr>
        <w:t>, 33(3), pp.180-187.</w:t>
      </w:r>
    </w:p>
    <w:p w14:paraId="4DD100F1" w14:textId="77777777" w:rsidR="0067155A" w:rsidRPr="00484283" w:rsidRDefault="0067155A" w:rsidP="00484283">
      <w:pPr>
        <w:spacing w:line="360" w:lineRule="auto"/>
        <w:jc w:val="both"/>
        <w:rPr>
          <w:rFonts w:ascii="Arial" w:hAnsi="Arial" w:cs="Arial"/>
          <w:sz w:val="22"/>
          <w:szCs w:val="22"/>
        </w:rPr>
      </w:pPr>
      <w:r w:rsidRPr="00BB1349">
        <w:rPr>
          <w:rFonts w:ascii="Arial" w:hAnsi="Arial" w:cs="Arial"/>
          <w:sz w:val="22"/>
          <w:szCs w:val="22"/>
        </w:rPr>
        <w:t>Rawlinson, C., Carron, T., Cohidon, C., Arditi, C., Hong, Q.N., Pluye, P., Peytremann-Bridevaux, I. and Gilles, I., 2021. An overview of reviews on interprofessional collaboration in primary care: barriers and facilitators. International journal of integrated care, 21(2), p.32.</w:t>
      </w:r>
    </w:p>
    <w:p w14:paraId="661DEB2D" w14:textId="77777777" w:rsidR="0067155A" w:rsidRDefault="0067155A" w:rsidP="00484283">
      <w:pPr>
        <w:spacing w:line="360" w:lineRule="auto"/>
        <w:jc w:val="both"/>
        <w:rPr>
          <w:rFonts w:ascii="Arial" w:hAnsi="Arial" w:cs="Arial"/>
          <w:sz w:val="22"/>
          <w:szCs w:val="22"/>
        </w:rPr>
      </w:pPr>
      <w:r w:rsidRPr="00AF2C2D">
        <w:rPr>
          <w:rFonts w:ascii="Arial" w:hAnsi="Arial" w:cs="Arial"/>
          <w:sz w:val="22"/>
          <w:szCs w:val="22"/>
        </w:rPr>
        <w:t>Riley, E. and Jones, J.L., 2022. Person-Centered Care. Quality and Safety Education for Nurses: Core Competencies for Nursing Leadership and Care Management, 177.</w:t>
      </w:r>
    </w:p>
    <w:p w14:paraId="5B00FF3D" w14:textId="3EE3DC86" w:rsidR="005A666D" w:rsidRDefault="005A666D" w:rsidP="00484283">
      <w:pPr>
        <w:spacing w:line="360" w:lineRule="auto"/>
        <w:jc w:val="both"/>
        <w:rPr>
          <w:rFonts w:ascii="Arial" w:hAnsi="Arial" w:cs="Arial"/>
          <w:sz w:val="22"/>
          <w:szCs w:val="22"/>
        </w:rPr>
      </w:pPr>
      <w:r w:rsidRPr="005A666D">
        <w:rPr>
          <w:rFonts w:ascii="Arial" w:hAnsi="Arial" w:cs="Arial"/>
          <w:sz w:val="22"/>
          <w:szCs w:val="22"/>
        </w:rPr>
        <w:t>Rolfe, G., Freshwater, D. and Jasper, M., 2025. Critical Reflection in Practice: A Guide for Health and Social Care Professionals. Bloomsbury Publishing.</w:t>
      </w:r>
    </w:p>
    <w:p w14:paraId="24D3FE15" w14:textId="67C7F42B" w:rsidR="0067155A" w:rsidRDefault="0067155A" w:rsidP="00484283">
      <w:pPr>
        <w:spacing w:line="360" w:lineRule="auto"/>
        <w:jc w:val="both"/>
        <w:rPr>
          <w:rFonts w:ascii="Arial" w:hAnsi="Arial" w:cs="Arial"/>
          <w:sz w:val="22"/>
          <w:szCs w:val="22"/>
        </w:rPr>
      </w:pPr>
      <w:r w:rsidRPr="00D271B6">
        <w:rPr>
          <w:rFonts w:ascii="Arial" w:hAnsi="Arial" w:cs="Arial"/>
          <w:sz w:val="22"/>
          <w:szCs w:val="22"/>
        </w:rPr>
        <w:t>Santana, M.J., Manalili, K., Jolley, R.J., Zelinsky, S., Quan, H.</w:t>
      </w:r>
      <w:r w:rsidR="009872C5">
        <w:rPr>
          <w:rFonts w:ascii="Arial" w:hAnsi="Arial" w:cs="Arial"/>
          <w:sz w:val="22"/>
          <w:szCs w:val="22"/>
        </w:rPr>
        <w:t>,</w:t>
      </w:r>
      <w:r w:rsidRPr="00D271B6">
        <w:rPr>
          <w:rFonts w:ascii="Arial" w:hAnsi="Arial" w:cs="Arial"/>
          <w:sz w:val="22"/>
          <w:szCs w:val="22"/>
        </w:rPr>
        <w:t xml:space="preserve"> and Lu, M., 2018. How to practice person</w:t>
      </w:r>
      <w:r w:rsidRPr="00D271B6">
        <w:rPr>
          <w:rFonts w:ascii="Cambria Math" w:hAnsi="Cambria Math" w:cs="Cambria Math"/>
          <w:sz w:val="22"/>
          <w:szCs w:val="22"/>
        </w:rPr>
        <w:t>‐</w:t>
      </w:r>
      <w:r w:rsidRPr="00D271B6">
        <w:rPr>
          <w:rFonts w:ascii="Arial" w:hAnsi="Arial" w:cs="Arial"/>
          <w:sz w:val="22"/>
          <w:szCs w:val="22"/>
        </w:rPr>
        <w:t xml:space="preserve">centred care: A conceptual framework. </w:t>
      </w:r>
      <w:r w:rsidRPr="00D271B6">
        <w:rPr>
          <w:rFonts w:ascii="Arial" w:hAnsi="Arial" w:cs="Arial"/>
          <w:i/>
          <w:iCs/>
          <w:sz w:val="22"/>
          <w:szCs w:val="22"/>
        </w:rPr>
        <w:t>Health Expectations</w:t>
      </w:r>
      <w:r w:rsidRPr="00D271B6">
        <w:rPr>
          <w:rFonts w:ascii="Arial" w:hAnsi="Arial" w:cs="Arial"/>
          <w:sz w:val="22"/>
          <w:szCs w:val="22"/>
        </w:rPr>
        <w:t>, 21(2), pp.429-440.</w:t>
      </w:r>
    </w:p>
    <w:p w14:paraId="73C73235" w14:textId="77777777" w:rsidR="0067155A" w:rsidRDefault="0067155A" w:rsidP="00484283">
      <w:pPr>
        <w:spacing w:line="360" w:lineRule="auto"/>
        <w:jc w:val="both"/>
        <w:rPr>
          <w:rFonts w:ascii="Arial" w:hAnsi="Arial" w:cs="Arial"/>
          <w:sz w:val="22"/>
          <w:szCs w:val="22"/>
        </w:rPr>
      </w:pPr>
      <w:r w:rsidRPr="00B67321">
        <w:rPr>
          <w:rFonts w:ascii="Arial" w:hAnsi="Arial" w:cs="Arial"/>
          <w:sz w:val="22"/>
          <w:szCs w:val="22"/>
        </w:rPr>
        <w:t>Sharp, S., Mcallister, M., &amp; Broadbent, M. (2018). The tension between person centred and task focused care in an acute surgical setting: A critical ethnography. Collegian, 25(1), 11-17.</w:t>
      </w:r>
    </w:p>
    <w:p w14:paraId="3BDE1F81" w14:textId="7627968F" w:rsidR="0067155A" w:rsidRDefault="0067155A" w:rsidP="00484283">
      <w:pPr>
        <w:spacing w:line="360" w:lineRule="auto"/>
        <w:jc w:val="both"/>
        <w:rPr>
          <w:rFonts w:ascii="Arial" w:hAnsi="Arial" w:cs="Arial"/>
          <w:sz w:val="22"/>
          <w:szCs w:val="22"/>
        </w:rPr>
      </w:pPr>
      <w:r w:rsidRPr="004E2C96">
        <w:rPr>
          <w:rFonts w:ascii="Arial" w:hAnsi="Arial" w:cs="Arial"/>
          <w:sz w:val="22"/>
          <w:szCs w:val="22"/>
        </w:rPr>
        <w:t xml:space="preserve">Taberna, M., Gil Moncayo, F., Jané-Salas, E., Antonio, M., Arribas, L., Vilajosana, E., Peralvez Torres, E. and Mesía, R., 2020. The multidisciplinary team (MDT) approach and quality of care. Frontiers in </w:t>
      </w:r>
      <w:r w:rsidR="009872C5">
        <w:rPr>
          <w:rFonts w:ascii="Arial" w:hAnsi="Arial" w:cs="Arial"/>
          <w:sz w:val="22"/>
          <w:szCs w:val="22"/>
        </w:rPr>
        <w:t>O</w:t>
      </w:r>
      <w:r w:rsidRPr="004E2C96">
        <w:rPr>
          <w:rFonts w:ascii="Arial" w:hAnsi="Arial" w:cs="Arial"/>
          <w:sz w:val="22"/>
          <w:szCs w:val="22"/>
        </w:rPr>
        <w:t>ncology, 10, p.85.</w:t>
      </w:r>
    </w:p>
    <w:p w14:paraId="536B6244" w14:textId="77777777" w:rsidR="0067155A" w:rsidRDefault="0067155A" w:rsidP="00484283">
      <w:pPr>
        <w:spacing w:line="360" w:lineRule="auto"/>
        <w:jc w:val="both"/>
        <w:rPr>
          <w:rFonts w:ascii="Arial" w:hAnsi="Arial" w:cs="Arial"/>
          <w:sz w:val="22"/>
          <w:szCs w:val="22"/>
        </w:rPr>
      </w:pPr>
      <w:r w:rsidRPr="00AF2C2D">
        <w:rPr>
          <w:rFonts w:ascii="Arial" w:hAnsi="Arial" w:cs="Arial"/>
          <w:sz w:val="22"/>
          <w:szCs w:val="22"/>
        </w:rPr>
        <w:t>World Health Organization</w:t>
      </w:r>
      <w:r>
        <w:rPr>
          <w:rFonts w:ascii="Arial" w:hAnsi="Arial" w:cs="Arial"/>
          <w:sz w:val="22"/>
          <w:szCs w:val="22"/>
        </w:rPr>
        <w:t>, 2</w:t>
      </w:r>
      <w:r w:rsidRPr="00AF2C2D">
        <w:rPr>
          <w:rFonts w:ascii="Arial" w:hAnsi="Arial" w:cs="Arial"/>
          <w:sz w:val="22"/>
          <w:szCs w:val="22"/>
        </w:rPr>
        <w:t>01. WHO global strategy on people-centred and integrated health services: interim report (No. WHO/HIS/SDS/2015.6). World Health Organization.</w:t>
      </w:r>
    </w:p>
    <w:sectPr w:rsidR="0067155A">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0155C" w14:textId="77777777" w:rsidR="00B40D0B" w:rsidRDefault="00B40D0B" w:rsidP="008B2DF6">
      <w:pPr>
        <w:spacing w:after="0" w:line="240" w:lineRule="auto"/>
      </w:pPr>
      <w:r>
        <w:separator/>
      </w:r>
    </w:p>
  </w:endnote>
  <w:endnote w:type="continuationSeparator" w:id="0">
    <w:p w14:paraId="3F65DA8F" w14:textId="77777777" w:rsidR="00B40D0B" w:rsidRDefault="00B40D0B" w:rsidP="008B2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97022125"/>
      <w:docPartObj>
        <w:docPartGallery w:val="Page Numbers (Bottom of Page)"/>
        <w:docPartUnique/>
      </w:docPartObj>
    </w:sdtPr>
    <w:sdtEndPr>
      <w:rPr>
        <w:rStyle w:val="PageNumber"/>
      </w:rPr>
    </w:sdtEndPr>
    <w:sdtContent>
      <w:p w14:paraId="21EA029A" w14:textId="29155B52" w:rsidR="008B2DF6" w:rsidRDefault="008B2DF6" w:rsidP="001904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E7BE416" w14:textId="77777777" w:rsidR="008B2DF6" w:rsidRDefault="008B2D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23725993"/>
      <w:docPartObj>
        <w:docPartGallery w:val="Page Numbers (Bottom of Page)"/>
        <w:docPartUnique/>
      </w:docPartObj>
    </w:sdtPr>
    <w:sdtEndPr>
      <w:rPr>
        <w:rStyle w:val="PageNumber"/>
      </w:rPr>
    </w:sdtEndPr>
    <w:sdtContent>
      <w:p w14:paraId="24A43B5D" w14:textId="2CD23264" w:rsidR="008B2DF6" w:rsidRDefault="008B2DF6" w:rsidP="001904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877BC6" w14:textId="77777777" w:rsidR="008B2DF6" w:rsidRDefault="008B2D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E9084" w14:textId="77777777" w:rsidR="00B40D0B" w:rsidRDefault="00B40D0B" w:rsidP="008B2DF6">
      <w:pPr>
        <w:spacing w:after="0" w:line="240" w:lineRule="auto"/>
      </w:pPr>
      <w:r>
        <w:separator/>
      </w:r>
    </w:p>
  </w:footnote>
  <w:footnote w:type="continuationSeparator" w:id="0">
    <w:p w14:paraId="08E3AC40" w14:textId="77777777" w:rsidR="00B40D0B" w:rsidRDefault="00B40D0B" w:rsidP="008B2D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311"/>
    <w:rsid w:val="000D7E8F"/>
    <w:rsid w:val="00134C60"/>
    <w:rsid w:val="002006B9"/>
    <w:rsid w:val="00267A92"/>
    <w:rsid w:val="0027218C"/>
    <w:rsid w:val="002B1A43"/>
    <w:rsid w:val="00383D36"/>
    <w:rsid w:val="004101D9"/>
    <w:rsid w:val="00484283"/>
    <w:rsid w:val="004B08DE"/>
    <w:rsid w:val="004B31F7"/>
    <w:rsid w:val="004E2C96"/>
    <w:rsid w:val="004F3311"/>
    <w:rsid w:val="005360B4"/>
    <w:rsid w:val="005A666D"/>
    <w:rsid w:val="00601261"/>
    <w:rsid w:val="0067155A"/>
    <w:rsid w:val="006C2738"/>
    <w:rsid w:val="0072457D"/>
    <w:rsid w:val="00724AE2"/>
    <w:rsid w:val="008A5988"/>
    <w:rsid w:val="008B2DF6"/>
    <w:rsid w:val="00912AD6"/>
    <w:rsid w:val="00914DA0"/>
    <w:rsid w:val="009872C5"/>
    <w:rsid w:val="00A55F9D"/>
    <w:rsid w:val="00AF2C2D"/>
    <w:rsid w:val="00B3664E"/>
    <w:rsid w:val="00B40D0B"/>
    <w:rsid w:val="00B67321"/>
    <w:rsid w:val="00BB1349"/>
    <w:rsid w:val="00BF4695"/>
    <w:rsid w:val="00C33F8A"/>
    <w:rsid w:val="00D271B6"/>
    <w:rsid w:val="00D27DB0"/>
    <w:rsid w:val="00D36612"/>
    <w:rsid w:val="00DE3CA3"/>
    <w:rsid w:val="00E86956"/>
    <w:rsid w:val="00F35069"/>
    <w:rsid w:val="00FA35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A747BA6"/>
  <w15:chartTrackingRefBased/>
  <w15:docId w15:val="{0CB93936-94A2-E44E-ADA1-6C5FA86CE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33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33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33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33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33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33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33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33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33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83D36"/>
    <w:pPr>
      <w:spacing w:after="0" w:line="240" w:lineRule="auto"/>
    </w:pPr>
    <w:rPr>
      <w:rFonts w:ascii="Arial" w:hAnsi="Arial"/>
      <w:sz w:val="20"/>
      <w:szCs w:val="20"/>
    </w:rPr>
  </w:style>
  <w:style w:type="character" w:customStyle="1" w:styleId="FootnoteTextChar">
    <w:name w:val="Footnote Text Char"/>
    <w:basedOn w:val="DefaultParagraphFont"/>
    <w:link w:val="FootnoteText"/>
    <w:uiPriority w:val="99"/>
    <w:semiHidden/>
    <w:rsid w:val="00383D36"/>
    <w:rPr>
      <w:rFonts w:ascii="Arial" w:hAnsi="Arial"/>
      <w:sz w:val="20"/>
      <w:szCs w:val="20"/>
    </w:rPr>
  </w:style>
  <w:style w:type="character" w:customStyle="1" w:styleId="Heading1Char">
    <w:name w:val="Heading 1 Char"/>
    <w:basedOn w:val="DefaultParagraphFont"/>
    <w:link w:val="Heading1"/>
    <w:uiPriority w:val="9"/>
    <w:rsid w:val="004F33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33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33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33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33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33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33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33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3311"/>
    <w:rPr>
      <w:rFonts w:eastAsiaTheme="majorEastAsia" w:cstheme="majorBidi"/>
      <w:color w:val="272727" w:themeColor="text1" w:themeTint="D8"/>
    </w:rPr>
  </w:style>
  <w:style w:type="paragraph" w:styleId="Title">
    <w:name w:val="Title"/>
    <w:basedOn w:val="Normal"/>
    <w:next w:val="Normal"/>
    <w:link w:val="TitleChar"/>
    <w:uiPriority w:val="10"/>
    <w:qFormat/>
    <w:rsid w:val="004F33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33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33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33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3311"/>
    <w:pPr>
      <w:spacing w:before="160"/>
      <w:jc w:val="center"/>
    </w:pPr>
    <w:rPr>
      <w:i/>
      <w:iCs/>
      <w:color w:val="404040" w:themeColor="text1" w:themeTint="BF"/>
    </w:rPr>
  </w:style>
  <w:style w:type="character" w:customStyle="1" w:styleId="QuoteChar">
    <w:name w:val="Quote Char"/>
    <w:basedOn w:val="DefaultParagraphFont"/>
    <w:link w:val="Quote"/>
    <w:uiPriority w:val="29"/>
    <w:rsid w:val="004F3311"/>
    <w:rPr>
      <w:i/>
      <w:iCs/>
      <w:color w:val="404040" w:themeColor="text1" w:themeTint="BF"/>
    </w:rPr>
  </w:style>
  <w:style w:type="paragraph" w:styleId="ListParagraph">
    <w:name w:val="List Paragraph"/>
    <w:basedOn w:val="Normal"/>
    <w:uiPriority w:val="34"/>
    <w:qFormat/>
    <w:rsid w:val="004F3311"/>
    <w:pPr>
      <w:ind w:left="720"/>
      <w:contextualSpacing/>
    </w:pPr>
  </w:style>
  <w:style w:type="character" w:styleId="IntenseEmphasis">
    <w:name w:val="Intense Emphasis"/>
    <w:basedOn w:val="DefaultParagraphFont"/>
    <w:uiPriority w:val="21"/>
    <w:qFormat/>
    <w:rsid w:val="004F3311"/>
    <w:rPr>
      <w:i/>
      <w:iCs/>
      <w:color w:val="0F4761" w:themeColor="accent1" w:themeShade="BF"/>
    </w:rPr>
  </w:style>
  <w:style w:type="paragraph" w:styleId="IntenseQuote">
    <w:name w:val="Intense Quote"/>
    <w:basedOn w:val="Normal"/>
    <w:next w:val="Normal"/>
    <w:link w:val="IntenseQuoteChar"/>
    <w:uiPriority w:val="30"/>
    <w:qFormat/>
    <w:rsid w:val="004F33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3311"/>
    <w:rPr>
      <w:i/>
      <w:iCs/>
      <w:color w:val="0F4761" w:themeColor="accent1" w:themeShade="BF"/>
    </w:rPr>
  </w:style>
  <w:style w:type="character" w:styleId="IntenseReference">
    <w:name w:val="Intense Reference"/>
    <w:basedOn w:val="DefaultParagraphFont"/>
    <w:uiPriority w:val="32"/>
    <w:qFormat/>
    <w:rsid w:val="004F3311"/>
    <w:rPr>
      <w:b/>
      <w:bCs/>
      <w:smallCaps/>
      <w:color w:val="0F4761" w:themeColor="accent1" w:themeShade="BF"/>
      <w:spacing w:val="5"/>
    </w:rPr>
  </w:style>
  <w:style w:type="character" w:styleId="Hyperlink">
    <w:name w:val="Hyperlink"/>
    <w:basedOn w:val="DefaultParagraphFont"/>
    <w:uiPriority w:val="99"/>
    <w:unhideWhenUsed/>
    <w:rsid w:val="00914DA0"/>
    <w:rPr>
      <w:color w:val="467886" w:themeColor="hyperlink"/>
      <w:u w:val="single"/>
    </w:rPr>
  </w:style>
  <w:style w:type="character" w:styleId="UnresolvedMention">
    <w:name w:val="Unresolved Mention"/>
    <w:basedOn w:val="DefaultParagraphFont"/>
    <w:uiPriority w:val="99"/>
    <w:semiHidden/>
    <w:unhideWhenUsed/>
    <w:rsid w:val="00914DA0"/>
    <w:rPr>
      <w:color w:val="605E5C"/>
      <w:shd w:val="clear" w:color="auto" w:fill="E1DFDD"/>
    </w:rPr>
  </w:style>
  <w:style w:type="character" w:styleId="FollowedHyperlink">
    <w:name w:val="FollowedHyperlink"/>
    <w:basedOn w:val="DefaultParagraphFont"/>
    <w:uiPriority w:val="99"/>
    <w:semiHidden/>
    <w:unhideWhenUsed/>
    <w:rsid w:val="005A666D"/>
    <w:rPr>
      <w:color w:val="96607D" w:themeColor="followedHyperlink"/>
      <w:u w:val="single"/>
    </w:rPr>
  </w:style>
  <w:style w:type="paragraph" w:styleId="Footer">
    <w:name w:val="footer"/>
    <w:basedOn w:val="Normal"/>
    <w:link w:val="FooterChar"/>
    <w:uiPriority w:val="99"/>
    <w:unhideWhenUsed/>
    <w:rsid w:val="008B2D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2DF6"/>
  </w:style>
  <w:style w:type="character" w:styleId="PageNumber">
    <w:name w:val="page number"/>
    <w:basedOn w:val="DefaultParagraphFont"/>
    <w:uiPriority w:val="99"/>
    <w:semiHidden/>
    <w:unhideWhenUsed/>
    <w:rsid w:val="008B2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ebarchive.nationalarchives.gov.uk/ukgwa/20250511091243/https://www.longtermplan.nhs.uk/wp-content/uploads/2019/08/nhs-long-term-plan-version-1.2.pdf" TargetMode="External"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BE49AA3-B25B-3A48-AD7C-C0C53E36953C}">
  <we:reference id="f518cb36-c901-4d52-a9e7-4331342e485d" version="1.4.0.0" store="EXCatalog" storeType="EXCatalog"/>
  <we:alternateReferences>
    <we:reference id="WA200001011" version="1.4.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19</TotalTime>
  <Pages>1</Pages>
  <Words>2671</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17867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margaret Kwaw</cp:lastModifiedBy>
  <cp:revision>2</cp:revision>
  <dcterms:created xsi:type="dcterms:W3CDTF">2026-07-05T11:35:00Z</dcterms:created>
  <dcterms:modified xsi:type="dcterms:W3CDTF">2026-07-05T11:35:00Z</dcterms:modified>
  <cp:category/>
</cp:coreProperties>
</file>