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3B11" w:rsidRPr="009F3B11" w:rsidRDefault="009F3B11" w:rsidP="009F3B11">
      <w:pPr>
        <w:spacing w:before="375" w:after="0" w:line="460" w:lineRule="atLeast"/>
        <w:outlineLvl w:val="1"/>
        <w:rPr>
          <w:rFonts w:ascii="Times New Roman" w:eastAsia="Times New Roman" w:hAnsi="Times New Roman" w:cs="Times New Roman"/>
          <w:b/>
          <w:bCs/>
          <w:color w:val="000000"/>
          <w:sz w:val="38"/>
          <w:szCs w:val="38"/>
          <w:lang w:eastAsia="en-GB"/>
        </w:rPr>
      </w:pPr>
      <w:r w:rsidRPr="009F3B11">
        <w:rPr>
          <w:rFonts w:ascii="Times New Roman" w:eastAsia="Times New Roman" w:hAnsi="Times New Roman" w:cs="Times New Roman"/>
          <w:b/>
          <w:bCs/>
          <w:color w:val="000000"/>
          <w:sz w:val="38"/>
          <w:szCs w:val="38"/>
          <w:lang w:eastAsia="en-GB"/>
        </w:rPr>
        <w:t xml:space="preserve">Procedures for Conducting </w:t>
      </w:r>
      <w:proofErr w:type="gramStart"/>
      <w:r w:rsidRPr="009F3B11">
        <w:rPr>
          <w:rFonts w:ascii="Times New Roman" w:eastAsia="Times New Roman" w:hAnsi="Times New Roman" w:cs="Times New Roman"/>
          <w:b/>
          <w:bCs/>
          <w:color w:val="000000"/>
          <w:sz w:val="38"/>
          <w:szCs w:val="38"/>
          <w:lang w:eastAsia="en-GB"/>
        </w:rPr>
        <w:t>an Ethnography</w:t>
      </w:r>
      <w:proofErr w:type="gramEnd"/>
    </w:p>
    <w:p w:rsidR="009F3B11" w:rsidRPr="009F3B11" w:rsidRDefault="009F3B11" w:rsidP="009F3B11">
      <w:pPr>
        <w:spacing w:before="274" w:after="0" w:line="411" w:lineRule="atLeast"/>
        <w:rPr>
          <w:rFonts w:ascii="Times New Roman" w:eastAsia="Times New Roman" w:hAnsi="Times New Roman" w:cs="Times New Roman"/>
          <w:color w:val="000000"/>
          <w:sz w:val="27"/>
          <w:szCs w:val="27"/>
          <w:lang w:eastAsia="en-GB"/>
        </w:rPr>
      </w:pPr>
      <w:r w:rsidRPr="009F3B11">
        <w:rPr>
          <w:rFonts w:ascii="Times New Roman" w:eastAsia="Times New Roman" w:hAnsi="Times New Roman" w:cs="Times New Roman"/>
          <w:color w:val="000000"/>
          <w:sz w:val="27"/>
          <w:szCs w:val="27"/>
          <w:lang w:eastAsia="en-GB"/>
        </w:rPr>
        <w:t xml:space="preserve">As with all qualitative inquiry, there is no single way to conduct ethnographic research. Although current writings provide more guidance to this approach than ever (e.g., see the excellent overview found in Wolcott, 2008a; and for a concise description, see </w:t>
      </w:r>
      <w:proofErr w:type="spellStart"/>
      <w:r w:rsidRPr="009F3B11">
        <w:rPr>
          <w:rFonts w:ascii="Times New Roman" w:eastAsia="Times New Roman" w:hAnsi="Times New Roman" w:cs="Times New Roman"/>
          <w:color w:val="000000"/>
          <w:sz w:val="27"/>
          <w:szCs w:val="27"/>
          <w:lang w:eastAsia="en-GB"/>
        </w:rPr>
        <w:t>Jachyra</w:t>
      </w:r>
      <w:proofErr w:type="spellEnd"/>
      <w:r w:rsidRPr="009F3B11">
        <w:rPr>
          <w:rFonts w:ascii="Times New Roman" w:eastAsia="Times New Roman" w:hAnsi="Times New Roman" w:cs="Times New Roman"/>
          <w:color w:val="000000"/>
          <w:sz w:val="27"/>
          <w:szCs w:val="27"/>
          <w:lang w:eastAsia="en-GB"/>
        </w:rPr>
        <w:t xml:space="preserve">, Atkinson, &amp; </w:t>
      </w:r>
      <w:proofErr w:type="spellStart"/>
      <w:r w:rsidRPr="009F3B11">
        <w:rPr>
          <w:rFonts w:ascii="Times New Roman" w:eastAsia="Times New Roman" w:hAnsi="Times New Roman" w:cs="Times New Roman"/>
          <w:color w:val="000000"/>
          <w:sz w:val="27"/>
          <w:szCs w:val="27"/>
          <w:lang w:eastAsia="en-GB"/>
        </w:rPr>
        <w:t>Washiya</w:t>
      </w:r>
      <w:proofErr w:type="spellEnd"/>
      <w:r w:rsidRPr="009F3B11">
        <w:rPr>
          <w:rFonts w:ascii="Times New Roman" w:eastAsia="Times New Roman" w:hAnsi="Times New Roman" w:cs="Times New Roman"/>
          <w:color w:val="000000"/>
          <w:sz w:val="27"/>
          <w:szCs w:val="27"/>
          <w:lang w:eastAsia="en-GB"/>
        </w:rPr>
        <w:t xml:space="preserve">, 2015), the approach taken here includes elements of both realist ethnography and critical approaches (see </w:t>
      </w:r>
      <w:proofErr w:type="gramStart"/>
      <w:r w:rsidRPr="009F3B11">
        <w:rPr>
          <w:rFonts w:ascii="Times New Roman" w:eastAsia="Times New Roman" w:hAnsi="Times New Roman" w:cs="Times New Roman"/>
          <w:color w:val="0066CC"/>
          <w:sz w:val="27"/>
          <w:szCs w:val="27"/>
          <w:u w:val="single"/>
          <w:lang w:eastAsia="en-GB"/>
        </w:rPr>
        <w:t xml:space="preserve">Figure </w:t>
      </w:r>
      <w:r w:rsidRPr="009F3B11">
        <w:rPr>
          <w:rFonts w:ascii="Times New Roman" w:eastAsia="Times New Roman" w:hAnsi="Times New Roman" w:cs="Times New Roman"/>
          <w:color w:val="000000"/>
          <w:sz w:val="27"/>
          <w:szCs w:val="27"/>
          <w:lang w:eastAsia="en-GB"/>
        </w:rPr>
        <w:t>)</w:t>
      </w:r>
      <w:proofErr w:type="gramEnd"/>
      <w:r w:rsidRPr="009F3B11">
        <w:rPr>
          <w:rFonts w:ascii="Times New Roman" w:eastAsia="Times New Roman" w:hAnsi="Times New Roman" w:cs="Times New Roman"/>
          <w:color w:val="000000"/>
          <w:sz w:val="27"/>
          <w:szCs w:val="27"/>
          <w:lang w:eastAsia="en-GB"/>
        </w:rPr>
        <w:t xml:space="preserve">. The steps we would use to conduct </w:t>
      </w:r>
      <w:proofErr w:type="gramStart"/>
      <w:r w:rsidRPr="009F3B11">
        <w:rPr>
          <w:rFonts w:ascii="Times New Roman" w:eastAsia="Times New Roman" w:hAnsi="Times New Roman" w:cs="Times New Roman"/>
          <w:color w:val="000000"/>
          <w:sz w:val="27"/>
          <w:szCs w:val="27"/>
          <w:lang w:eastAsia="en-GB"/>
        </w:rPr>
        <w:t>an ethnography</w:t>
      </w:r>
      <w:proofErr w:type="gramEnd"/>
      <w:r w:rsidRPr="009F3B11">
        <w:rPr>
          <w:rFonts w:ascii="Times New Roman" w:eastAsia="Times New Roman" w:hAnsi="Times New Roman" w:cs="Times New Roman"/>
          <w:color w:val="000000"/>
          <w:sz w:val="27"/>
          <w:szCs w:val="27"/>
          <w:lang w:eastAsia="en-GB"/>
        </w:rPr>
        <w:t xml:space="preserve"> are as follows:</w:t>
      </w:r>
    </w:p>
    <w:p w:rsidR="00B1631A" w:rsidRDefault="009F3B11" w:rsidP="00B1631A">
      <w:pPr>
        <w:numPr>
          <w:ilvl w:val="0"/>
          <w:numId w:val="8"/>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9F3B11">
        <w:rPr>
          <w:rFonts w:ascii="Times New Roman" w:eastAsia="Times New Roman" w:hAnsi="Times New Roman" w:cs="Times New Roman"/>
          <w:i/>
          <w:iCs/>
          <w:color w:val="000000"/>
          <w:sz w:val="27"/>
          <w:szCs w:val="27"/>
          <w:lang w:eastAsia="en-GB"/>
        </w:rPr>
        <w:t>Determine if ethnography is the most appropriate design for studying the research problem</w:t>
      </w:r>
      <w:r w:rsidRPr="009F3B11">
        <w:rPr>
          <w:rFonts w:ascii="Times New Roman" w:eastAsia="Times New Roman" w:hAnsi="Times New Roman" w:cs="Times New Roman"/>
          <w:color w:val="000000"/>
          <w:sz w:val="27"/>
          <w:szCs w:val="27"/>
          <w:lang w:eastAsia="en-GB"/>
        </w:rPr>
        <w:t xml:space="preserve">. Ethnography is appropriate if the needs are to describe how a cultural group works and to explore the beliefs, language, </w:t>
      </w:r>
      <w:proofErr w:type="spellStart"/>
      <w:r w:rsidRPr="009F3B11">
        <w:rPr>
          <w:rFonts w:ascii="Times New Roman" w:eastAsia="Times New Roman" w:hAnsi="Times New Roman" w:cs="Times New Roman"/>
          <w:color w:val="000000"/>
          <w:sz w:val="27"/>
          <w:szCs w:val="27"/>
          <w:lang w:eastAsia="en-GB"/>
        </w:rPr>
        <w:t>behaviors</w:t>
      </w:r>
      <w:proofErr w:type="spellEnd"/>
      <w:r w:rsidRPr="009F3B11">
        <w:rPr>
          <w:rFonts w:ascii="Times New Roman" w:eastAsia="Times New Roman" w:hAnsi="Times New Roman" w:cs="Times New Roman"/>
          <w:color w:val="000000"/>
          <w:sz w:val="27"/>
          <w:szCs w:val="27"/>
          <w:lang w:eastAsia="en-GB"/>
        </w:rPr>
        <w:t>, and issues facing the group, such as power, resistance, and dominance. The literature may be deficient in actually knowing how the group works because the group is not in the mainstream, people may not be familiar with the group, or its ways are so different that readers may not identify with the group.</w:t>
      </w:r>
      <w:r w:rsidR="0059013E" w:rsidRPr="0059013E">
        <w:rPr>
          <w:i/>
          <w:iCs/>
          <w:color w:val="000000"/>
          <w:sz w:val="27"/>
          <w:szCs w:val="27"/>
        </w:rPr>
        <w:t xml:space="preserve"> </w:t>
      </w:r>
      <w:r w:rsidR="0059013E" w:rsidRPr="0059013E">
        <w:rPr>
          <w:rFonts w:ascii="Times New Roman" w:eastAsia="Times New Roman" w:hAnsi="Times New Roman" w:cs="Times New Roman"/>
          <w:i/>
          <w:iCs/>
          <w:color w:val="000000"/>
          <w:sz w:val="27"/>
          <w:szCs w:val="27"/>
          <w:lang w:eastAsia="en-GB"/>
        </w:rPr>
        <w:t>Identify and locate a culture-sharing group to study.</w:t>
      </w:r>
      <w:r w:rsidR="0059013E" w:rsidRPr="0059013E">
        <w:rPr>
          <w:rFonts w:ascii="Times New Roman" w:eastAsia="Times New Roman" w:hAnsi="Times New Roman" w:cs="Times New Roman"/>
          <w:color w:val="000000"/>
          <w:sz w:val="27"/>
          <w:szCs w:val="27"/>
          <w:lang w:eastAsia="en-GB"/>
        </w:rPr>
        <w:t xml:space="preserve"> Typically, this group is one whose members have been together for an extended period of time so that their shared language, patterns of </w:t>
      </w:r>
      <w:proofErr w:type="spellStart"/>
      <w:r w:rsidR="0059013E" w:rsidRPr="0059013E">
        <w:rPr>
          <w:rFonts w:ascii="Times New Roman" w:eastAsia="Times New Roman" w:hAnsi="Times New Roman" w:cs="Times New Roman"/>
          <w:color w:val="000000"/>
          <w:sz w:val="27"/>
          <w:szCs w:val="27"/>
          <w:lang w:eastAsia="en-GB"/>
        </w:rPr>
        <w:t>behavior</w:t>
      </w:r>
      <w:proofErr w:type="spellEnd"/>
      <w:r w:rsidR="0059013E" w:rsidRPr="0059013E">
        <w:rPr>
          <w:rFonts w:ascii="Times New Roman" w:eastAsia="Times New Roman" w:hAnsi="Times New Roman" w:cs="Times New Roman"/>
          <w:color w:val="000000"/>
          <w:sz w:val="27"/>
          <w:szCs w:val="27"/>
          <w:lang w:eastAsia="en-GB"/>
        </w:rPr>
        <w:t xml:space="preserve">, and attitudes have merged into </w:t>
      </w:r>
      <w:proofErr w:type="spellStart"/>
      <w:r w:rsidR="0059013E" w:rsidRPr="0059013E">
        <w:rPr>
          <w:rFonts w:ascii="Times New Roman" w:eastAsia="Times New Roman" w:hAnsi="Times New Roman" w:cs="Times New Roman"/>
          <w:color w:val="000000"/>
          <w:sz w:val="27"/>
          <w:szCs w:val="27"/>
          <w:lang w:eastAsia="en-GB"/>
        </w:rPr>
        <w:t>discernable</w:t>
      </w:r>
      <w:proofErr w:type="spellEnd"/>
      <w:r w:rsidR="0059013E" w:rsidRPr="0059013E">
        <w:rPr>
          <w:rFonts w:ascii="Times New Roman" w:eastAsia="Times New Roman" w:hAnsi="Times New Roman" w:cs="Times New Roman"/>
          <w:color w:val="000000"/>
          <w:sz w:val="27"/>
          <w:szCs w:val="27"/>
          <w:lang w:eastAsia="en-GB"/>
        </w:rPr>
        <w:t xml:space="preserve"> patterns. This may also be a group that has been marginalized by society. Because ethnographers spend time talking with and observing this group, access may require finding one or more individuals in the group who will allow the researcher in—a </w:t>
      </w:r>
      <w:r w:rsidR="0059013E" w:rsidRPr="0059013E">
        <w:rPr>
          <w:rFonts w:ascii="Times New Roman" w:eastAsia="Times New Roman" w:hAnsi="Times New Roman" w:cs="Times New Roman"/>
          <w:b/>
          <w:bCs/>
          <w:i/>
          <w:iCs/>
          <w:color w:val="000000"/>
          <w:sz w:val="27"/>
          <w:szCs w:val="27"/>
          <w:lang w:eastAsia="en-GB"/>
        </w:rPr>
        <w:t>gatekeeper</w:t>
      </w:r>
      <w:r w:rsidR="0059013E" w:rsidRPr="0059013E">
        <w:rPr>
          <w:rFonts w:ascii="Times New Roman" w:eastAsia="Times New Roman" w:hAnsi="Times New Roman" w:cs="Times New Roman"/>
          <w:color w:val="000000"/>
          <w:sz w:val="27"/>
          <w:szCs w:val="27"/>
          <w:lang w:eastAsia="en-GB"/>
        </w:rPr>
        <w:t xml:space="preserve"> or </w:t>
      </w:r>
      <w:r w:rsidR="0059013E" w:rsidRPr="0059013E">
        <w:rPr>
          <w:rFonts w:ascii="Times New Roman" w:eastAsia="Times New Roman" w:hAnsi="Times New Roman" w:cs="Times New Roman"/>
          <w:b/>
          <w:bCs/>
          <w:i/>
          <w:iCs/>
          <w:color w:val="000000"/>
          <w:sz w:val="27"/>
          <w:szCs w:val="27"/>
          <w:lang w:eastAsia="en-GB"/>
        </w:rPr>
        <w:t>key informants (or participants)</w:t>
      </w:r>
      <w:r w:rsidR="0059013E" w:rsidRPr="0059013E">
        <w:rPr>
          <w:rFonts w:ascii="Times New Roman" w:eastAsia="Times New Roman" w:hAnsi="Times New Roman" w:cs="Times New Roman"/>
          <w:color w:val="000000"/>
          <w:sz w:val="27"/>
          <w:szCs w:val="27"/>
          <w:lang w:eastAsia="en-GB"/>
        </w:rPr>
        <w:t>.</w:t>
      </w:r>
    </w:p>
    <w:p w:rsidR="00B1631A" w:rsidRPr="00B1631A" w:rsidRDefault="00B1631A" w:rsidP="00B1631A">
      <w:pPr>
        <w:numPr>
          <w:ilvl w:val="0"/>
          <w:numId w:val="8"/>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B1631A">
        <w:rPr>
          <w:i/>
          <w:iCs/>
          <w:color w:val="000000"/>
          <w:sz w:val="27"/>
          <w:szCs w:val="27"/>
        </w:rPr>
        <w:t xml:space="preserve"> </w:t>
      </w:r>
      <w:r w:rsidRPr="00B1631A">
        <w:rPr>
          <w:rFonts w:ascii="Times New Roman" w:eastAsia="Times New Roman" w:hAnsi="Times New Roman" w:cs="Times New Roman"/>
          <w:i/>
          <w:iCs/>
          <w:color w:val="000000"/>
          <w:sz w:val="27"/>
          <w:szCs w:val="27"/>
          <w:lang w:eastAsia="en-GB"/>
        </w:rPr>
        <w:t>Identify and locate a culture-sharing group to study.</w:t>
      </w:r>
      <w:r w:rsidRPr="00B1631A">
        <w:rPr>
          <w:rFonts w:ascii="Times New Roman" w:eastAsia="Times New Roman" w:hAnsi="Times New Roman" w:cs="Times New Roman"/>
          <w:color w:val="000000"/>
          <w:sz w:val="27"/>
          <w:szCs w:val="27"/>
          <w:lang w:eastAsia="en-GB"/>
        </w:rPr>
        <w:t xml:space="preserve"> Typically, this group is one whose members have been together for an extended period of time so that their shared language, patterns of </w:t>
      </w:r>
      <w:proofErr w:type="spellStart"/>
      <w:r w:rsidRPr="00B1631A">
        <w:rPr>
          <w:rFonts w:ascii="Times New Roman" w:eastAsia="Times New Roman" w:hAnsi="Times New Roman" w:cs="Times New Roman"/>
          <w:color w:val="000000"/>
          <w:sz w:val="27"/>
          <w:szCs w:val="27"/>
          <w:lang w:eastAsia="en-GB"/>
        </w:rPr>
        <w:t>behavior</w:t>
      </w:r>
      <w:proofErr w:type="spellEnd"/>
      <w:r w:rsidRPr="00B1631A">
        <w:rPr>
          <w:rFonts w:ascii="Times New Roman" w:eastAsia="Times New Roman" w:hAnsi="Times New Roman" w:cs="Times New Roman"/>
          <w:color w:val="000000"/>
          <w:sz w:val="27"/>
          <w:szCs w:val="27"/>
          <w:lang w:eastAsia="en-GB"/>
        </w:rPr>
        <w:t xml:space="preserve">, and attitudes have merged into </w:t>
      </w:r>
      <w:proofErr w:type="spellStart"/>
      <w:r w:rsidRPr="00B1631A">
        <w:rPr>
          <w:rFonts w:ascii="Times New Roman" w:eastAsia="Times New Roman" w:hAnsi="Times New Roman" w:cs="Times New Roman"/>
          <w:color w:val="000000"/>
          <w:sz w:val="27"/>
          <w:szCs w:val="27"/>
          <w:lang w:eastAsia="en-GB"/>
        </w:rPr>
        <w:t>discernable</w:t>
      </w:r>
      <w:proofErr w:type="spellEnd"/>
      <w:r w:rsidRPr="00B1631A">
        <w:rPr>
          <w:rFonts w:ascii="Times New Roman" w:eastAsia="Times New Roman" w:hAnsi="Times New Roman" w:cs="Times New Roman"/>
          <w:color w:val="000000"/>
          <w:sz w:val="27"/>
          <w:szCs w:val="27"/>
          <w:lang w:eastAsia="en-GB"/>
        </w:rPr>
        <w:t xml:space="preserve"> patterns. This may also be a group that has been marginalized by society. Because ethnographers spend time talking with and observing this group, access may require finding one or more individuals in the group who will allow the researcher in—a </w:t>
      </w:r>
      <w:r w:rsidRPr="00B1631A">
        <w:rPr>
          <w:rFonts w:ascii="Times New Roman" w:eastAsia="Times New Roman" w:hAnsi="Times New Roman" w:cs="Times New Roman"/>
          <w:b/>
          <w:bCs/>
          <w:i/>
          <w:iCs/>
          <w:color w:val="000000"/>
          <w:sz w:val="27"/>
          <w:szCs w:val="27"/>
          <w:lang w:eastAsia="en-GB"/>
        </w:rPr>
        <w:t>gatekeeper</w:t>
      </w:r>
      <w:r w:rsidRPr="00B1631A">
        <w:rPr>
          <w:rFonts w:ascii="Times New Roman" w:eastAsia="Times New Roman" w:hAnsi="Times New Roman" w:cs="Times New Roman"/>
          <w:color w:val="000000"/>
          <w:sz w:val="27"/>
          <w:szCs w:val="27"/>
          <w:lang w:eastAsia="en-GB"/>
        </w:rPr>
        <w:t xml:space="preserve"> or </w:t>
      </w:r>
      <w:r w:rsidRPr="00B1631A">
        <w:rPr>
          <w:rFonts w:ascii="Times New Roman" w:eastAsia="Times New Roman" w:hAnsi="Times New Roman" w:cs="Times New Roman"/>
          <w:b/>
          <w:bCs/>
          <w:i/>
          <w:iCs/>
          <w:color w:val="000000"/>
          <w:sz w:val="27"/>
          <w:szCs w:val="27"/>
          <w:lang w:eastAsia="en-GB"/>
        </w:rPr>
        <w:t>key informants (or participants)</w:t>
      </w:r>
      <w:r w:rsidRPr="00B1631A">
        <w:rPr>
          <w:rFonts w:ascii="Times New Roman" w:eastAsia="Times New Roman" w:hAnsi="Times New Roman" w:cs="Times New Roman"/>
          <w:color w:val="000000"/>
          <w:sz w:val="27"/>
          <w:szCs w:val="27"/>
          <w:lang w:eastAsia="en-GB"/>
        </w:rPr>
        <w:t>.</w:t>
      </w:r>
    </w:p>
    <w:p w:rsidR="00B1631A" w:rsidRPr="00B1631A" w:rsidRDefault="00B1631A" w:rsidP="00B1631A">
      <w:pPr>
        <w:numPr>
          <w:ilvl w:val="0"/>
          <w:numId w:val="8"/>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B1631A">
        <w:rPr>
          <w:rFonts w:ascii="Times New Roman" w:eastAsia="Times New Roman" w:hAnsi="Times New Roman" w:cs="Times New Roman"/>
          <w:i/>
          <w:iCs/>
          <w:color w:val="000000"/>
          <w:sz w:val="27"/>
          <w:szCs w:val="27"/>
          <w:lang w:eastAsia="en-GB"/>
        </w:rPr>
        <w:lastRenderedPageBreak/>
        <w:t>Select cultural themes, issues, or theories to study about the group.</w:t>
      </w:r>
      <w:r w:rsidRPr="00B1631A">
        <w:rPr>
          <w:rFonts w:ascii="Times New Roman" w:eastAsia="Times New Roman" w:hAnsi="Times New Roman" w:cs="Times New Roman"/>
          <w:color w:val="000000"/>
          <w:sz w:val="27"/>
          <w:szCs w:val="27"/>
          <w:lang w:eastAsia="en-GB"/>
        </w:rPr>
        <w:t xml:space="preserve"> These themes, issues, and theories provide an orienting framework for the study of the culture-sharing group. It also informs the </w:t>
      </w:r>
      <w:r w:rsidRPr="00B1631A">
        <w:rPr>
          <w:rFonts w:ascii="Times New Roman" w:eastAsia="Times New Roman" w:hAnsi="Times New Roman" w:cs="Times New Roman"/>
          <w:b/>
          <w:bCs/>
          <w:i/>
          <w:iCs/>
          <w:color w:val="000000"/>
          <w:sz w:val="27"/>
          <w:szCs w:val="27"/>
          <w:lang w:eastAsia="en-GB"/>
        </w:rPr>
        <w:t>analysis of the culture-sharing group</w:t>
      </w:r>
      <w:r w:rsidRPr="00B1631A">
        <w:rPr>
          <w:rFonts w:ascii="Times New Roman" w:eastAsia="Times New Roman" w:hAnsi="Times New Roman" w:cs="Times New Roman"/>
          <w:color w:val="000000"/>
          <w:sz w:val="27"/>
          <w:szCs w:val="27"/>
          <w:lang w:eastAsia="en-GB"/>
        </w:rPr>
        <w:t>. The themes may include such topics as enculturation, socialization, learning, cognition, domination, inequality, or child and adult development (</w:t>
      </w:r>
      <w:proofErr w:type="spellStart"/>
      <w:r w:rsidRPr="00B1631A">
        <w:rPr>
          <w:rFonts w:ascii="Times New Roman" w:eastAsia="Times New Roman" w:hAnsi="Times New Roman" w:cs="Times New Roman"/>
          <w:color w:val="000000"/>
          <w:sz w:val="27"/>
          <w:szCs w:val="27"/>
          <w:lang w:eastAsia="en-GB"/>
        </w:rPr>
        <w:t>LeCompte</w:t>
      </w:r>
      <w:proofErr w:type="spellEnd"/>
      <w:r w:rsidRPr="00B1631A">
        <w:rPr>
          <w:rFonts w:ascii="Times New Roman" w:eastAsia="Times New Roman" w:hAnsi="Times New Roman" w:cs="Times New Roman"/>
          <w:color w:val="000000"/>
          <w:sz w:val="27"/>
          <w:szCs w:val="27"/>
          <w:lang w:eastAsia="en-GB"/>
        </w:rPr>
        <w:t xml:space="preserve"> et al., 1992). As discussed by Hammersley and Atkinson (1995), Wolcott (1987, 1994, 2008a), and </w:t>
      </w:r>
      <w:proofErr w:type="spellStart"/>
      <w:r w:rsidRPr="00B1631A">
        <w:rPr>
          <w:rFonts w:ascii="Times New Roman" w:eastAsia="Times New Roman" w:hAnsi="Times New Roman" w:cs="Times New Roman"/>
          <w:color w:val="000000"/>
          <w:sz w:val="27"/>
          <w:szCs w:val="27"/>
          <w:lang w:eastAsia="en-GB"/>
        </w:rPr>
        <w:t>Fetterman</w:t>
      </w:r>
      <w:proofErr w:type="spellEnd"/>
      <w:r w:rsidRPr="00B1631A">
        <w:rPr>
          <w:rFonts w:ascii="Times New Roman" w:eastAsia="Times New Roman" w:hAnsi="Times New Roman" w:cs="Times New Roman"/>
          <w:color w:val="000000"/>
          <w:sz w:val="27"/>
          <w:szCs w:val="27"/>
          <w:lang w:eastAsia="en-GB"/>
        </w:rPr>
        <w:t xml:space="preserve"> (2010), the ethnographer begins the study by examining people in interaction in ordinary settings and discerns pervasive patterns such as life cycles, events, and cultural themes.</w:t>
      </w:r>
    </w:p>
    <w:p w:rsidR="00B1631A" w:rsidRPr="00B1631A" w:rsidRDefault="00B1631A" w:rsidP="00B1631A">
      <w:pPr>
        <w:numPr>
          <w:ilvl w:val="0"/>
          <w:numId w:val="8"/>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B1631A">
        <w:rPr>
          <w:rFonts w:ascii="Times New Roman" w:eastAsia="Times New Roman" w:hAnsi="Times New Roman" w:cs="Times New Roman"/>
          <w:i/>
          <w:iCs/>
          <w:color w:val="000000"/>
          <w:sz w:val="27"/>
          <w:szCs w:val="27"/>
          <w:lang w:eastAsia="en-GB"/>
        </w:rPr>
        <w:t>Determine which type of ethnography to use to study cultural concepts</w:t>
      </w:r>
      <w:r w:rsidRPr="00B1631A">
        <w:rPr>
          <w:rFonts w:ascii="Times New Roman" w:eastAsia="Times New Roman" w:hAnsi="Times New Roman" w:cs="Times New Roman"/>
          <w:color w:val="000000"/>
          <w:sz w:val="27"/>
          <w:szCs w:val="27"/>
          <w:lang w:eastAsia="en-GB"/>
        </w:rPr>
        <w:t>. Perhaps how the group works needs to be described, or a critical ethnography can expose issues such as power, hegemony, and advocacy for certain groups. A critical ethnographer, for example, might address an inequity in society or some part of it; use the research to advocate and call for changes; and specify an issue to explore, such as inequality, dominance, oppression, or empowerment.</w:t>
      </w:r>
    </w:p>
    <w:p w:rsidR="00B1631A" w:rsidRPr="00B1631A" w:rsidRDefault="00B1631A" w:rsidP="00B1631A">
      <w:pPr>
        <w:numPr>
          <w:ilvl w:val="0"/>
          <w:numId w:val="8"/>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B1631A">
        <w:rPr>
          <w:rFonts w:ascii="Times New Roman" w:eastAsia="Times New Roman" w:hAnsi="Times New Roman" w:cs="Times New Roman"/>
          <w:i/>
          <w:iCs/>
          <w:color w:val="000000"/>
          <w:sz w:val="27"/>
          <w:szCs w:val="27"/>
          <w:lang w:eastAsia="en-GB"/>
        </w:rPr>
        <w:t>Gather information in the context or setting where the group works or lives</w:t>
      </w:r>
      <w:r w:rsidRPr="00B1631A">
        <w:rPr>
          <w:rFonts w:ascii="Times New Roman" w:eastAsia="Times New Roman" w:hAnsi="Times New Roman" w:cs="Times New Roman"/>
          <w:color w:val="000000"/>
          <w:sz w:val="27"/>
          <w:szCs w:val="27"/>
          <w:lang w:eastAsia="en-GB"/>
        </w:rPr>
        <w:t xml:space="preserve">. This is called fieldwork (Wolcott, 2008a). Gathering the types of information typically needed in </w:t>
      </w:r>
      <w:proofErr w:type="gramStart"/>
      <w:r w:rsidRPr="00B1631A">
        <w:rPr>
          <w:rFonts w:ascii="Times New Roman" w:eastAsia="Times New Roman" w:hAnsi="Times New Roman" w:cs="Times New Roman"/>
          <w:color w:val="000000"/>
          <w:sz w:val="27"/>
          <w:szCs w:val="27"/>
          <w:lang w:eastAsia="en-GB"/>
        </w:rPr>
        <w:t>an ethnography</w:t>
      </w:r>
      <w:proofErr w:type="gramEnd"/>
      <w:r w:rsidRPr="00B1631A">
        <w:rPr>
          <w:rFonts w:ascii="Times New Roman" w:eastAsia="Times New Roman" w:hAnsi="Times New Roman" w:cs="Times New Roman"/>
          <w:color w:val="000000"/>
          <w:sz w:val="27"/>
          <w:szCs w:val="27"/>
          <w:lang w:eastAsia="en-GB"/>
        </w:rPr>
        <w:t xml:space="preserve"> involves going to the research site, respecting the daily lives of individuals at the site, and collecting a wide variety of materials. Field issues of respect, reciprocity, deciding who owns the data, and others are central to ethnography. Ethnographers bring </w:t>
      </w:r>
      <w:proofErr w:type="gramStart"/>
      <w:r w:rsidRPr="00B1631A">
        <w:rPr>
          <w:rFonts w:ascii="Times New Roman" w:eastAsia="Times New Roman" w:hAnsi="Times New Roman" w:cs="Times New Roman"/>
          <w:color w:val="000000"/>
          <w:sz w:val="27"/>
          <w:szCs w:val="27"/>
          <w:lang w:eastAsia="en-GB"/>
        </w:rPr>
        <w:t>a sensitivity</w:t>
      </w:r>
      <w:proofErr w:type="gramEnd"/>
      <w:r w:rsidRPr="00B1631A">
        <w:rPr>
          <w:rFonts w:ascii="Times New Roman" w:eastAsia="Times New Roman" w:hAnsi="Times New Roman" w:cs="Times New Roman"/>
          <w:color w:val="000000"/>
          <w:sz w:val="27"/>
          <w:szCs w:val="27"/>
          <w:lang w:eastAsia="en-GB"/>
        </w:rPr>
        <w:t xml:space="preserve"> to fieldwork issues (Hammersley &amp; Atkinson, 1995), such as attending to how they gain access, give back or reciprocate with the partici</w:t>
      </w:r>
      <w:r>
        <w:rPr>
          <w:color w:val="000000"/>
          <w:sz w:val="27"/>
          <w:szCs w:val="27"/>
        </w:rPr>
        <w:t xml:space="preserve">pants, and engage in ethical research, such as presenting themselves honestly and describing the purpose of the study. </w:t>
      </w:r>
      <w:proofErr w:type="spellStart"/>
      <w:r>
        <w:rPr>
          <w:color w:val="000000"/>
          <w:sz w:val="27"/>
          <w:szCs w:val="27"/>
        </w:rPr>
        <w:t>LeCompte</w:t>
      </w:r>
      <w:proofErr w:type="spellEnd"/>
      <w:r>
        <w:rPr>
          <w:color w:val="000000"/>
          <w:sz w:val="27"/>
          <w:szCs w:val="27"/>
        </w:rPr>
        <w:t xml:space="preserve"> and </w:t>
      </w:r>
      <w:proofErr w:type="spellStart"/>
      <w:r>
        <w:rPr>
          <w:color w:val="000000"/>
          <w:sz w:val="27"/>
          <w:szCs w:val="27"/>
        </w:rPr>
        <w:t>Schensul</w:t>
      </w:r>
      <w:proofErr w:type="spellEnd"/>
      <w:r>
        <w:rPr>
          <w:color w:val="000000"/>
          <w:sz w:val="27"/>
          <w:szCs w:val="27"/>
        </w:rPr>
        <w:t xml:space="preserve"> (1999) organize types of ethnographic data into observations, tests and measures, surveys, interviews, content analysis, elicitation methods, </w:t>
      </w:r>
      <w:proofErr w:type="spellStart"/>
      <w:r>
        <w:rPr>
          <w:color w:val="000000"/>
          <w:sz w:val="27"/>
          <w:szCs w:val="27"/>
        </w:rPr>
        <w:t>audiovisual</w:t>
      </w:r>
      <w:proofErr w:type="spellEnd"/>
      <w:r>
        <w:rPr>
          <w:color w:val="000000"/>
          <w:sz w:val="27"/>
          <w:szCs w:val="27"/>
        </w:rPr>
        <w:t xml:space="preserve"> methods, spatial mapping, and network research</w:t>
      </w:r>
    </w:p>
    <w:p w:rsidR="00B1631A" w:rsidRPr="00B1631A" w:rsidRDefault="0059013E" w:rsidP="00B1631A">
      <w:pPr>
        <w:numPr>
          <w:ilvl w:val="0"/>
          <w:numId w:val="9"/>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59013E">
        <w:rPr>
          <w:rFonts w:ascii="Times New Roman" w:eastAsia="Times New Roman" w:hAnsi="Times New Roman" w:cs="Times New Roman"/>
          <w:i/>
          <w:iCs/>
          <w:color w:val="000000"/>
          <w:sz w:val="27"/>
          <w:szCs w:val="27"/>
          <w:lang w:eastAsia="en-GB"/>
        </w:rPr>
        <w:t>Generate an overall cultural interpretation of the group from the analysis of patterns across many sources of data.</w:t>
      </w:r>
      <w:r w:rsidRPr="0059013E">
        <w:rPr>
          <w:rFonts w:ascii="Times New Roman" w:eastAsia="Times New Roman" w:hAnsi="Times New Roman" w:cs="Times New Roman"/>
          <w:color w:val="000000"/>
          <w:sz w:val="27"/>
          <w:szCs w:val="27"/>
          <w:lang w:eastAsia="en-GB"/>
        </w:rPr>
        <w:t xml:space="preserve"> The researcher begins by compiling a </w:t>
      </w:r>
      <w:r w:rsidRPr="0059013E">
        <w:rPr>
          <w:rFonts w:ascii="Times New Roman" w:eastAsia="Times New Roman" w:hAnsi="Times New Roman" w:cs="Times New Roman"/>
          <w:color w:val="000000"/>
          <w:sz w:val="27"/>
          <w:szCs w:val="27"/>
          <w:lang w:eastAsia="en-GB"/>
        </w:rPr>
        <w:lastRenderedPageBreak/>
        <w:t xml:space="preserve">detailed </w:t>
      </w:r>
      <w:r w:rsidRPr="0059013E">
        <w:rPr>
          <w:rFonts w:ascii="Times New Roman" w:eastAsia="Times New Roman" w:hAnsi="Times New Roman" w:cs="Times New Roman"/>
          <w:b/>
          <w:bCs/>
          <w:i/>
          <w:iCs/>
          <w:color w:val="000000"/>
          <w:sz w:val="27"/>
          <w:szCs w:val="27"/>
          <w:lang w:eastAsia="en-GB"/>
        </w:rPr>
        <w:t>description of the culture-sharing group</w:t>
      </w:r>
      <w:r w:rsidRPr="0059013E">
        <w:rPr>
          <w:rFonts w:ascii="Times New Roman" w:eastAsia="Times New Roman" w:hAnsi="Times New Roman" w:cs="Times New Roman"/>
          <w:color w:val="000000"/>
          <w:sz w:val="27"/>
          <w:szCs w:val="27"/>
          <w:lang w:eastAsia="en-GB"/>
        </w:rPr>
        <w:t>, focusing on a single event, on several activities, or on the group over a prolonged period of time. The ethnographer moves into a theme analysis of patterns or topics that signifies how the cultural group works and lives, and ends with an “overall picture of how a system works” (</w:t>
      </w:r>
      <w:proofErr w:type="spellStart"/>
      <w:r w:rsidRPr="0059013E">
        <w:rPr>
          <w:rFonts w:ascii="Times New Roman" w:eastAsia="Times New Roman" w:hAnsi="Times New Roman" w:cs="Times New Roman"/>
          <w:color w:val="000000"/>
          <w:sz w:val="27"/>
          <w:szCs w:val="27"/>
          <w:lang w:eastAsia="en-GB"/>
        </w:rPr>
        <w:t>Fetterman</w:t>
      </w:r>
      <w:proofErr w:type="spellEnd"/>
      <w:r w:rsidRPr="0059013E">
        <w:rPr>
          <w:rFonts w:ascii="Times New Roman" w:eastAsia="Times New Roman" w:hAnsi="Times New Roman" w:cs="Times New Roman"/>
          <w:color w:val="000000"/>
          <w:sz w:val="27"/>
          <w:szCs w:val="27"/>
          <w:lang w:eastAsia="en-GB"/>
        </w:rPr>
        <w:t xml:space="preserve">, 2010, p. 10). </w:t>
      </w:r>
      <w:proofErr w:type="spellStart"/>
      <w:r w:rsidRPr="0059013E">
        <w:rPr>
          <w:rFonts w:ascii="Times New Roman" w:eastAsia="Times New Roman" w:hAnsi="Times New Roman" w:cs="Times New Roman"/>
          <w:color w:val="000000"/>
          <w:sz w:val="27"/>
          <w:szCs w:val="27"/>
          <w:lang w:eastAsia="en-GB"/>
        </w:rPr>
        <w:t>Fetterman</w:t>
      </w:r>
      <w:proofErr w:type="spellEnd"/>
      <w:r w:rsidRPr="0059013E">
        <w:rPr>
          <w:rFonts w:ascii="Times New Roman" w:eastAsia="Times New Roman" w:hAnsi="Times New Roman" w:cs="Times New Roman"/>
          <w:color w:val="000000"/>
          <w:sz w:val="27"/>
          <w:szCs w:val="27"/>
          <w:lang w:eastAsia="en-GB"/>
        </w:rPr>
        <w:t xml:space="preserve"> (2010) describes the function of thick description for the reader, stating “ideally the ethnographer shares the participant’s understanding of the situation with the reader. Thick description is a written record of cultural interpretation” (p. 125). This description includes </w:t>
      </w:r>
      <w:proofErr w:type="spellStart"/>
      <w:r w:rsidR="00B1631A">
        <w:rPr>
          <w:rFonts w:ascii="Times New Roman" w:eastAsia="Times New Roman" w:hAnsi="Times New Roman" w:cs="Times New Roman"/>
          <w:color w:val="000000"/>
          <w:sz w:val="27"/>
          <w:szCs w:val="27"/>
          <w:lang w:eastAsia="en-GB"/>
        </w:rPr>
        <w:t>varba</w:t>
      </w:r>
      <w:r w:rsidR="00B1631A" w:rsidRPr="00B1631A">
        <w:rPr>
          <w:rFonts w:ascii="Times New Roman" w:eastAsia="Times New Roman" w:hAnsi="Times New Roman" w:cs="Times New Roman"/>
          <w:color w:val="000000"/>
          <w:sz w:val="27"/>
          <w:szCs w:val="27"/>
          <w:lang w:eastAsia="en-GB"/>
        </w:rPr>
        <w:t>tim</w:t>
      </w:r>
      <w:proofErr w:type="spellEnd"/>
      <w:r w:rsidR="00B1631A" w:rsidRPr="00B1631A">
        <w:rPr>
          <w:rFonts w:ascii="Times New Roman" w:eastAsia="Times New Roman" w:hAnsi="Times New Roman" w:cs="Times New Roman"/>
          <w:color w:val="000000"/>
          <w:sz w:val="27"/>
          <w:szCs w:val="27"/>
          <w:lang w:eastAsia="en-GB"/>
        </w:rPr>
        <w:t xml:space="preserve"> quotes reflective of cultural concepts such as the social structure, kinship, political structure, and the social relations or function among members incorporating the views of the participants (</w:t>
      </w:r>
      <w:r w:rsidR="00B1631A" w:rsidRPr="00B1631A">
        <w:rPr>
          <w:rFonts w:ascii="Times New Roman" w:eastAsia="Times New Roman" w:hAnsi="Times New Roman" w:cs="Times New Roman"/>
          <w:b/>
          <w:bCs/>
          <w:i/>
          <w:iCs/>
          <w:color w:val="000000"/>
          <w:sz w:val="27"/>
          <w:szCs w:val="27"/>
          <w:lang w:eastAsia="en-GB"/>
        </w:rPr>
        <w:t>emic</w:t>
      </w:r>
      <w:r w:rsidR="00B1631A" w:rsidRPr="00B1631A">
        <w:rPr>
          <w:rFonts w:ascii="Times New Roman" w:eastAsia="Times New Roman" w:hAnsi="Times New Roman" w:cs="Times New Roman"/>
          <w:color w:val="000000"/>
          <w:sz w:val="27"/>
          <w:szCs w:val="27"/>
          <w:lang w:eastAsia="en-GB"/>
        </w:rPr>
        <w:t>) as well as the views of the researcher (</w:t>
      </w:r>
      <w:r w:rsidR="00B1631A" w:rsidRPr="00B1631A">
        <w:rPr>
          <w:rFonts w:ascii="Times New Roman" w:eastAsia="Times New Roman" w:hAnsi="Times New Roman" w:cs="Times New Roman"/>
          <w:b/>
          <w:bCs/>
          <w:i/>
          <w:iCs/>
          <w:color w:val="000000"/>
          <w:sz w:val="27"/>
          <w:szCs w:val="27"/>
          <w:lang w:eastAsia="en-GB"/>
        </w:rPr>
        <w:t>etic</w:t>
      </w:r>
      <w:r w:rsidR="00B1631A" w:rsidRPr="00B1631A">
        <w:rPr>
          <w:rFonts w:ascii="Times New Roman" w:eastAsia="Times New Roman" w:hAnsi="Times New Roman" w:cs="Times New Roman"/>
          <w:color w:val="000000"/>
          <w:sz w:val="27"/>
          <w:szCs w:val="27"/>
          <w:lang w:eastAsia="en-GB"/>
        </w:rPr>
        <w:t>).</w:t>
      </w:r>
    </w:p>
    <w:p w:rsidR="00B1631A" w:rsidRPr="00B1631A" w:rsidRDefault="00B1631A" w:rsidP="00B1631A">
      <w:pPr>
        <w:numPr>
          <w:ilvl w:val="0"/>
          <w:numId w:val="9"/>
        </w:numPr>
        <w:spacing w:before="100" w:beforeAutospacing="1" w:after="100" w:afterAutospacing="1" w:line="411" w:lineRule="atLeast"/>
        <w:jc w:val="both"/>
        <w:rPr>
          <w:rFonts w:ascii="Times New Roman" w:eastAsia="Times New Roman" w:hAnsi="Times New Roman" w:cs="Times New Roman"/>
          <w:color w:val="000000"/>
          <w:sz w:val="27"/>
          <w:szCs w:val="27"/>
          <w:lang w:eastAsia="en-GB"/>
        </w:rPr>
      </w:pPr>
      <w:r w:rsidRPr="00B1631A">
        <w:rPr>
          <w:rFonts w:ascii="Times New Roman" w:eastAsia="Times New Roman" w:hAnsi="Times New Roman" w:cs="Times New Roman"/>
          <w:i/>
          <w:iCs/>
          <w:color w:val="000000"/>
          <w:sz w:val="27"/>
          <w:szCs w:val="27"/>
          <w:lang w:eastAsia="en-GB"/>
        </w:rPr>
        <w:t>Present the patterns of the culture-sharing group in written or performance formats.</w:t>
      </w:r>
      <w:r w:rsidRPr="00B1631A">
        <w:rPr>
          <w:rFonts w:ascii="Times New Roman" w:eastAsia="Times New Roman" w:hAnsi="Times New Roman" w:cs="Times New Roman"/>
          <w:color w:val="000000"/>
          <w:sz w:val="27"/>
          <w:szCs w:val="27"/>
          <w:lang w:eastAsia="en-GB"/>
        </w:rPr>
        <w:t xml:space="preserve"> This is often accomplished by describing a working set of rules or generalizations as to how the culture-sharing group functions. This may also be referred to as a holistic </w:t>
      </w:r>
      <w:r w:rsidRPr="00B1631A">
        <w:rPr>
          <w:rFonts w:ascii="Times New Roman" w:eastAsia="Times New Roman" w:hAnsi="Times New Roman" w:cs="Times New Roman"/>
          <w:b/>
          <w:bCs/>
          <w:i/>
          <w:iCs/>
          <w:color w:val="000000"/>
          <w:sz w:val="27"/>
          <w:szCs w:val="27"/>
          <w:lang w:eastAsia="en-GB"/>
        </w:rPr>
        <w:t>cultural portrait</w:t>
      </w:r>
      <w:r w:rsidRPr="00B1631A">
        <w:rPr>
          <w:rFonts w:ascii="Times New Roman" w:eastAsia="Times New Roman" w:hAnsi="Times New Roman" w:cs="Times New Roman"/>
          <w:color w:val="000000"/>
          <w:sz w:val="27"/>
          <w:szCs w:val="27"/>
          <w:lang w:eastAsia="en-GB"/>
        </w:rPr>
        <w:t xml:space="preserve">. Writing ethnographies involves an interactive analysis and writing process often begun during fieldwork. A general reporting structure includes an introduction to familiarize the reader with the culture-sharing group, research procedures to provide a rationale for use of </w:t>
      </w:r>
      <w:proofErr w:type="gramStart"/>
      <w:r w:rsidRPr="00B1631A">
        <w:rPr>
          <w:rFonts w:ascii="Times New Roman" w:eastAsia="Times New Roman" w:hAnsi="Times New Roman" w:cs="Times New Roman"/>
          <w:color w:val="000000"/>
          <w:sz w:val="27"/>
          <w:szCs w:val="27"/>
          <w:lang w:eastAsia="en-GB"/>
        </w:rPr>
        <w:t>an ethnography</w:t>
      </w:r>
      <w:proofErr w:type="gramEnd"/>
      <w:r w:rsidRPr="00B1631A">
        <w:rPr>
          <w:rFonts w:ascii="Times New Roman" w:eastAsia="Times New Roman" w:hAnsi="Times New Roman" w:cs="Times New Roman"/>
          <w:color w:val="000000"/>
          <w:sz w:val="27"/>
          <w:szCs w:val="27"/>
          <w:lang w:eastAsia="en-GB"/>
        </w:rPr>
        <w:t xml:space="preserve">, and details about data collection and analysis, providing a cultural interpretation using a variety of ways describing the patterns that emerge from an analysis of cultural. The final product is a holistic cultural portrait of the group from both the participants and the interpretation of the researcher that might also advocate for the needs of the group or suggest changes in society. Other products may be more performance based, such as </w:t>
      </w:r>
      <w:proofErr w:type="spellStart"/>
      <w:r w:rsidRPr="00B1631A">
        <w:rPr>
          <w:rFonts w:ascii="Times New Roman" w:eastAsia="Times New Roman" w:hAnsi="Times New Roman" w:cs="Times New Roman"/>
          <w:color w:val="000000"/>
          <w:sz w:val="27"/>
          <w:szCs w:val="27"/>
          <w:lang w:eastAsia="en-GB"/>
        </w:rPr>
        <w:t>theater</w:t>
      </w:r>
      <w:proofErr w:type="spellEnd"/>
      <w:r w:rsidRPr="00B1631A">
        <w:rPr>
          <w:rFonts w:ascii="Times New Roman" w:eastAsia="Times New Roman" w:hAnsi="Times New Roman" w:cs="Times New Roman"/>
          <w:color w:val="000000"/>
          <w:sz w:val="27"/>
          <w:szCs w:val="27"/>
          <w:lang w:eastAsia="en-GB"/>
        </w:rPr>
        <w:t xml:space="preserve"> productions, plays, or poems.</w:t>
      </w:r>
    </w:p>
    <w:p w:rsidR="00B01948" w:rsidRPr="0059013E" w:rsidRDefault="00900FD6" w:rsidP="00B1631A">
      <w:pPr>
        <w:spacing w:before="100" w:beforeAutospacing="1" w:after="100" w:afterAutospacing="1" w:line="411" w:lineRule="atLeast"/>
        <w:ind w:left="720"/>
        <w:jc w:val="both"/>
        <w:rPr>
          <w:color w:val="000000"/>
          <w:sz w:val="27"/>
          <w:szCs w:val="27"/>
        </w:rPr>
      </w:pPr>
      <w:r>
        <w:rPr>
          <w:noProof/>
          <w:lang w:eastAsia="en-GB"/>
        </w:rPr>
        <w:lastRenderedPageBreak/>
        <w:drawing>
          <wp:inline distT="0" distB="0" distL="0" distR="0" wp14:anchorId="6758C91F" wp14:editId="35BED8CF">
            <wp:extent cx="5539740" cy="50215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539740" cy="5021580"/>
                    </a:xfrm>
                    <a:prstGeom prst="rect">
                      <a:avLst/>
                    </a:prstGeom>
                  </pic:spPr>
                </pic:pic>
              </a:graphicData>
            </a:graphic>
          </wp:inline>
        </w:drawing>
      </w:r>
      <w:bookmarkStart w:id="0" w:name="_GoBack"/>
      <w:bookmarkEnd w:id="0"/>
    </w:p>
    <w:sectPr w:rsidR="00B01948" w:rsidRPr="005901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15207"/>
    <w:multiLevelType w:val="multilevel"/>
    <w:tmpl w:val="277AF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0217A4A"/>
    <w:multiLevelType w:val="multilevel"/>
    <w:tmpl w:val="7AD8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F762B10"/>
    <w:multiLevelType w:val="multilevel"/>
    <w:tmpl w:val="67EAE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50F0D9E"/>
    <w:multiLevelType w:val="multilevel"/>
    <w:tmpl w:val="4AC27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0273E37"/>
    <w:multiLevelType w:val="multilevel"/>
    <w:tmpl w:val="E8161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3B520FD"/>
    <w:multiLevelType w:val="multilevel"/>
    <w:tmpl w:val="6D94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644D187C"/>
    <w:multiLevelType w:val="multilevel"/>
    <w:tmpl w:val="055C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6F0A1758"/>
    <w:multiLevelType w:val="multilevel"/>
    <w:tmpl w:val="64046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9B43BF4"/>
    <w:multiLevelType w:val="multilevel"/>
    <w:tmpl w:val="725CA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7"/>
  </w:num>
  <w:num w:numId="3">
    <w:abstractNumId w:val="0"/>
  </w:num>
  <w:num w:numId="4">
    <w:abstractNumId w:val="4"/>
  </w:num>
  <w:num w:numId="5">
    <w:abstractNumId w:val="6"/>
  </w:num>
  <w:num w:numId="6">
    <w:abstractNumId w:val="5"/>
  </w:num>
  <w:num w:numId="7">
    <w:abstractNumId w:val="3"/>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948"/>
    <w:rsid w:val="00295C83"/>
    <w:rsid w:val="0059013E"/>
    <w:rsid w:val="00900FD6"/>
    <w:rsid w:val="009F3B11"/>
    <w:rsid w:val="00B01948"/>
    <w:rsid w:val="00B16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019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1948"/>
    <w:rPr>
      <w:rFonts w:ascii="Times New Roman" w:eastAsia="Times New Roman" w:hAnsi="Times New Roman" w:cs="Times New Roman"/>
      <w:b/>
      <w:bCs/>
      <w:sz w:val="36"/>
      <w:szCs w:val="36"/>
      <w:lang w:eastAsia="en-GB"/>
    </w:rPr>
  </w:style>
  <w:style w:type="paragraph" w:customStyle="1" w:styleId="edition">
    <w:name w:val="edition"/>
    <w:basedOn w:val="Normal"/>
    <w:rsid w:val="00B019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01948"/>
    <w:rPr>
      <w:color w:val="0000FF"/>
      <w:u w:val="single"/>
    </w:rPr>
  </w:style>
  <w:style w:type="character" w:customStyle="1" w:styleId="calibre12">
    <w:name w:val="calibre12"/>
    <w:basedOn w:val="DefaultParagraphFont"/>
    <w:rsid w:val="00B01948"/>
  </w:style>
  <w:style w:type="paragraph" w:styleId="BalloonText">
    <w:name w:val="Balloon Text"/>
    <w:basedOn w:val="Normal"/>
    <w:link w:val="BalloonTextChar"/>
    <w:uiPriority w:val="99"/>
    <w:semiHidden/>
    <w:unhideWhenUsed/>
    <w:rsid w:val="00900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F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0194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1948"/>
    <w:rPr>
      <w:rFonts w:ascii="Times New Roman" w:eastAsia="Times New Roman" w:hAnsi="Times New Roman" w:cs="Times New Roman"/>
      <w:b/>
      <w:bCs/>
      <w:sz w:val="36"/>
      <w:szCs w:val="36"/>
      <w:lang w:eastAsia="en-GB"/>
    </w:rPr>
  </w:style>
  <w:style w:type="paragraph" w:customStyle="1" w:styleId="edition">
    <w:name w:val="edition"/>
    <w:basedOn w:val="Normal"/>
    <w:rsid w:val="00B019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01948"/>
    <w:rPr>
      <w:color w:val="0000FF"/>
      <w:u w:val="single"/>
    </w:rPr>
  </w:style>
  <w:style w:type="character" w:customStyle="1" w:styleId="calibre12">
    <w:name w:val="calibre12"/>
    <w:basedOn w:val="DefaultParagraphFont"/>
    <w:rsid w:val="00B01948"/>
  </w:style>
  <w:style w:type="paragraph" w:styleId="BalloonText">
    <w:name w:val="Balloon Text"/>
    <w:basedOn w:val="Normal"/>
    <w:link w:val="BalloonTextChar"/>
    <w:uiPriority w:val="99"/>
    <w:semiHidden/>
    <w:unhideWhenUsed/>
    <w:rsid w:val="00900F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0F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9918547">
      <w:bodyDiv w:val="1"/>
      <w:marLeft w:val="0"/>
      <w:marRight w:val="0"/>
      <w:marTop w:val="0"/>
      <w:marBottom w:val="0"/>
      <w:divBdr>
        <w:top w:val="none" w:sz="0" w:space="0" w:color="auto"/>
        <w:left w:val="none" w:sz="0" w:space="0" w:color="auto"/>
        <w:bottom w:val="none" w:sz="0" w:space="0" w:color="auto"/>
        <w:right w:val="none" w:sz="0" w:space="0" w:color="auto"/>
      </w:divBdr>
    </w:div>
    <w:div w:id="705571098">
      <w:bodyDiv w:val="1"/>
      <w:marLeft w:val="0"/>
      <w:marRight w:val="0"/>
      <w:marTop w:val="0"/>
      <w:marBottom w:val="0"/>
      <w:divBdr>
        <w:top w:val="none" w:sz="0" w:space="0" w:color="auto"/>
        <w:left w:val="none" w:sz="0" w:space="0" w:color="auto"/>
        <w:bottom w:val="none" w:sz="0" w:space="0" w:color="auto"/>
        <w:right w:val="none" w:sz="0" w:space="0" w:color="auto"/>
      </w:divBdr>
    </w:div>
    <w:div w:id="1104956796">
      <w:bodyDiv w:val="1"/>
      <w:marLeft w:val="0"/>
      <w:marRight w:val="0"/>
      <w:marTop w:val="0"/>
      <w:marBottom w:val="0"/>
      <w:divBdr>
        <w:top w:val="none" w:sz="0" w:space="0" w:color="auto"/>
        <w:left w:val="none" w:sz="0" w:space="0" w:color="auto"/>
        <w:bottom w:val="none" w:sz="0" w:space="0" w:color="auto"/>
        <w:right w:val="none" w:sz="0" w:space="0" w:color="auto"/>
      </w:divBdr>
    </w:div>
    <w:div w:id="1225485276">
      <w:bodyDiv w:val="1"/>
      <w:marLeft w:val="0"/>
      <w:marRight w:val="0"/>
      <w:marTop w:val="0"/>
      <w:marBottom w:val="0"/>
      <w:divBdr>
        <w:top w:val="none" w:sz="0" w:space="0" w:color="auto"/>
        <w:left w:val="none" w:sz="0" w:space="0" w:color="auto"/>
        <w:bottom w:val="none" w:sz="0" w:space="0" w:color="auto"/>
        <w:right w:val="none" w:sz="0" w:space="0" w:color="auto"/>
      </w:divBdr>
    </w:div>
    <w:div w:id="1518930841">
      <w:bodyDiv w:val="1"/>
      <w:marLeft w:val="0"/>
      <w:marRight w:val="0"/>
      <w:marTop w:val="0"/>
      <w:marBottom w:val="0"/>
      <w:divBdr>
        <w:top w:val="none" w:sz="0" w:space="0" w:color="auto"/>
        <w:left w:val="none" w:sz="0" w:space="0" w:color="auto"/>
        <w:bottom w:val="none" w:sz="0" w:space="0" w:color="auto"/>
        <w:right w:val="none" w:sz="0" w:space="0" w:color="auto"/>
      </w:divBdr>
    </w:div>
    <w:div w:id="1605336765">
      <w:bodyDiv w:val="1"/>
      <w:marLeft w:val="0"/>
      <w:marRight w:val="0"/>
      <w:marTop w:val="0"/>
      <w:marBottom w:val="0"/>
      <w:divBdr>
        <w:top w:val="none" w:sz="0" w:space="0" w:color="auto"/>
        <w:left w:val="none" w:sz="0" w:space="0" w:color="auto"/>
        <w:bottom w:val="none" w:sz="0" w:space="0" w:color="auto"/>
        <w:right w:val="none" w:sz="0" w:space="0" w:color="auto"/>
      </w:divBdr>
    </w:div>
    <w:div w:id="1914241735">
      <w:bodyDiv w:val="1"/>
      <w:marLeft w:val="0"/>
      <w:marRight w:val="0"/>
      <w:marTop w:val="0"/>
      <w:marBottom w:val="0"/>
      <w:divBdr>
        <w:top w:val="none" w:sz="0" w:space="0" w:color="auto"/>
        <w:left w:val="none" w:sz="0" w:space="0" w:color="auto"/>
        <w:bottom w:val="none" w:sz="0" w:space="0" w:color="auto"/>
        <w:right w:val="none" w:sz="0" w:space="0" w:color="auto"/>
      </w:divBdr>
    </w:div>
    <w:div w:id="2094663968">
      <w:bodyDiv w:val="1"/>
      <w:marLeft w:val="0"/>
      <w:marRight w:val="0"/>
      <w:marTop w:val="0"/>
      <w:marBottom w:val="0"/>
      <w:divBdr>
        <w:top w:val="none" w:sz="0" w:space="0" w:color="auto"/>
        <w:left w:val="none" w:sz="0" w:space="0" w:color="auto"/>
        <w:bottom w:val="none" w:sz="0" w:space="0" w:color="auto"/>
        <w:right w:val="none" w:sz="0" w:space="0" w:color="auto"/>
      </w:divBdr>
    </w:div>
    <w:div w:id="2116362325">
      <w:bodyDiv w:val="1"/>
      <w:marLeft w:val="0"/>
      <w:marRight w:val="0"/>
      <w:marTop w:val="0"/>
      <w:marBottom w:val="0"/>
      <w:divBdr>
        <w:top w:val="none" w:sz="0" w:space="0" w:color="auto"/>
        <w:left w:val="none" w:sz="0" w:space="0" w:color="auto"/>
        <w:bottom w:val="none" w:sz="0" w:space="0" w:color="auto"/>
        <w:right w:val="none" w:sz="0" w:space="0" w:color="auto"/>
      </w:divBdr>
    </w:div>
    <w:div w:id="213150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7</cp:revision>
  <dcterms:created xsi:type="dcterms:W3CDTF">2019-05-15T06:25:00Z</dcterms:created>
  <dcterms:modified xsi:type="dcterms:W3CDTF">2019-05-15T06:29:00Z</dcterms:modified>
</cp:coreProperties>
</file>