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CF47A7" w14:textId="5F17DA89" w:rsidR="007E0CE7" w:rsidRPr="00EB15D4" w:rsidRDefault="007E0CE7" w:rsidP="007E0CE7">
      <w:pPr>
        <w:pStyle w:val="BodyText"/>
        <w:autoSpaceDN w:val="0"/>
        <w:rPr>
          <w:sz w:val="22"/>
          <w:szCs w:val="22"/>
          <w:u w:val="single"/>
        </w:rPr>
      </w:pPr>
      <w:r w:rsidRPr="00EB15D4">
        <w:rPr>
          <w:sz w:val="22"/>
          <w:szCs w:val="22"/>
          <w:u w:val="single"/>
        </w:rPr>
        <w:t>A closer analysis of the mood of Britons in the summer of 1914 suggests a less than enthusiastic response to the impending conflict. Discuss.</w:t>
      </w:r>
    </w:p>
    <w:p w14:paraId="3127B361" w14:textId="273DD39F" w:rsidR="007E0CE7" w:rsidRPr="00EB15D4" w:rsidRDefault="007E0CE7" w:rsidP="007E0CE7">
      <w:pPr>
        <w:pStyle w:val="BodyText"/>
        <w:autoSpaceDN w:val="0"/>
        <w:rPr>
          <w:sz w:val="22"/>
          <w:szCs w:val="22"/>
        </w:rPr>
      </w:pPr>
    </w:p>
    <w:p w14:paraId="77E4FFFF" w14:textId="6013C27C" w:rsidR="007E0CE7" w:rsidRPr="00EB15D4" w:rsidRDefault="007F48A4" w:rsidP="007E0CE7">
      <w:pPr>
        <w:pStyle w:val="BodyText"/>
        <w:autoSpaceDN w:val="0"/>
        <w:rPr>
          <w:sz w:val="22"/>
          <w:szCs w:val="22"/>
        </w:rPr>
      </w:pPr>
      <w:r w:rsidRPr="00EB15D4">
        <w:rPr>
          <w:sz w:val="22"/>
          <w:szCs w:val="22"/>
        </w:rPr>
        <w:t xml:space="preserve">     The Serbia and Austro-Hungry hostilities in the Balkans is considered the main motive for the outbreak of the First World War in 1914. The assassination of Archduke Franz Ferdinand in June 1914 sparked a series of events that forced European powers</w:t>
      </w:r>
      <w:r w:rsidR="001852DA" w:rsidRPr="00EB15D4">
        <w:rPr>
          <w:sz w:val="22"/>
          <w:szCs w:val="22"/>
        </w:rPr>
        <w:t xml:space="preserve"> against one another; Russia, Germany, France, Britain and America were at ‘total’ war. In this essay the mood of Britons in both the public and private sphere will be analysed to determine whether enthusiasm to the impending conflict did exist or whether Britons were less than enthusiastic. To examine the public sphere</w:t>
      </w:r>
      <w:r w:rsidR="009E2823" w:rsidRPr="00EB15D4">
        <w:rPr>
          <w:sz w:val="22"/>
          <w:szCs w:val="22"/>
        </w:rPr>
        <w:t xml:space="preserve"> pre</w:t>
      </w:r>
      <w:r w:rsidR="00EB19DD">
        <w:rPr>
          <w:sz w:val="22"/>
          <w:szCs w:val="22"/>
        </w:rPr>
        <w:t>-</w:t>
      </w:r>
      <w:r w:rsidR="009E2823" w:rsidRPr="00EB15D4">
        <w:rPr>
          <w:sz w:val="22"/>
          <w:szCs w:val="22"/>
        </w:rPr>
        <w:t>1914</w:t>
      </w:r>
      <w:r w:rsidR="00EB19DD">
        <w:rPr>
          <w:sz w:val="22"/>
          <w:szCs w:val="22"/>
        </w:rPr>
        <w:t xml:space="preserve">, historian Adrian Gregory’s work and </w:t>
      </w:r>
      <w:r w:rsidR="009E2823" w:rsidRPr="00EB15D4">
        <w:rPr>
          <w:sz w:val="22"/>
          <w:szCs w:val="22"/>
        </w:rPr>
        <w:t>conceptions of Germany and Germans will be explored through anti-German literature, one notable piece from William Le Queux who wrote ‘The Invasion of 1910’, a piece of fiction describing a German attack on Britain and an account of ‘the siege of London’.</w:t>
      </w:r>
      <w:r w:rsidR="009E2823" w:rsidRPr="00EB15D4">
        <w:rPr>
          <w:rStyle w:val="FootnoteReference"/>
          <w:sz w:val="22"/>
          <w:szCs w:val="22"/>
        </w:rPr>
        <w:footnoteReference w:id="1"/>
      </w:r>
      <w:r w:rsidR="009E2823" w:rsidRPr="00EB15D4">
        <w:rPr>
          <w:sz w:val="22"/>
          <w:szCs w:val="22"/>
        </w:rPr>
        <w:t xml:space="preserve"> </w:t>
      </w:r>
      <w:r w:rsidR="008D0067" w:rsidRPr="00EB15D4">
        <w:rPr>
          <w:sz w:val="22"/>
          <w:szCs w:val="22"/>
        </w:rPr>
        <w:t>Pro-war versus anti-war sentiments in the summer of 1914, will ultimately have an effect on the mass public opinion and exploration of the subconscious message of the public school ethos</w:t>
      </w:r>
      <w:r w:rsidR="0061323F" w:rsidRPr="00EB15D4">
        <w:rPr>
          <w:sz w:val="22"/>
          <w:szCs w:val="22"/>
        </w:rPr>
        <w:t xml:space="preserve"> on young men. Social and political movements such as the: suffrage movement, socialists, pacifis</w:t>
      </w:r>
      <w:r w:rsidR="00527465" w:rsidRPr="00EB15D4">
        <w:rPr>
          <w:sz w:val="22"/>
          <w:szCs w:val="22"/>
        </w:rPr>
        <w:t xml:space="preserve">ts </w:t>
      </w:r>
      <w:r w:rsidR="0061323F" w:rsidRPr="00EB15D4">
        <w:rPr>
          <w:sz w:val="22"/>
          <w:szCs w:val="22"/>
        </w:rPr>
        <w:t xml:space="preserve">had great influence. To analyse the private sphere testimonies from Vera </w:t>
      </w:r>
      <w:r w:rsidR="0005213F" w:rsidRPr="00EB15D4">
        <w:rPr>
          <w:sz w:val="22"/>
          <w:szCs w:val="22"/>
        </w:rPr>
        <w:t>Brittain’s</w:t>
      </w:r>
      <w:r w:rsidR="0061323F" w:rsidRPr="00EB15D4">
        <w:rPr>
          <w:sz w:val="22"/>
          <w:szCs w:val="22"/>
        </w:rPr>
        <w:t xml:space="preserve"> ‘Testament of Youth’, </w:t>
      </w:r>
      <w:r w:rsidR="00F436B4" w:rsidRPr="00EB15D4">
        <w:rPr>
          <w:sz w:val="22"/>
          <w:szCs w:val="22"/>
        </w:rPr>
        <w:t xml:space="preserve">and </w:t>
      </w:r>
      <w:r w:rsidR="0061323F" w:rsidRPr="00EB15D4">
        <w:rPr>
          <w:sz w:val="22"/>
          <w:szCs w:val="22"/>
        </w:rPr>
        <w:t>Edmund Blunden will be assessed.</w:t>
      </w:r>
      <w:r w:rsidR="0061323F" w:rsidRPr="00EB15D4">
        <w:rPr>
          <w:rStyle w:val="FootnoteReference"/>
          <w:sz w:val="22"/>
          <w:szCs w:val="22"/>
        </w:rPr>
        <w:footnoteReference w:id="2"/>
      </w:r>
      <w:r w:rsidR="00D656DF" w:rsidRPr="00EB15D4">
        <w:rPr>
          <w:sz w:val="22"/>
          <w:szCs w:val="22"/>
        </w:rPr>
        <w:t xml:space="preserve"> </w:t>
      </w:r>
      <w:r w:rsidR="0005213F" w:rsidRPr="00EB15D4">
        <w:rPr>
          <w:sz w:val="22"/>
          <w:szCs w:val="22"/>
        </w:rPr>
        <w:t>Was war enthusiasm present among Britons in 1914 or was there lack of enthusiasm as First World War historiography</w:t>
      </w:r>
      <w:r w:rsidR="00836A17" w:rsidRPr="00EB15D4">
        <w:rPr>
          <w:sz w:val="22"/>
          <w:szCs w:val="22"/>
        </w:rPr>
        <w:t xml:space="preserve"> in particular </w:t>
      </w:r>
      <w:r w:rsidR="00EF5452" w:rsidRPr="00EB15D4">
        <w:rPr>
          <w:sz w:val="22"/>
          <w:szCs w:val="22"/>
        </w:rPr>
        <w:t>produced by Adrian Gregory concludes.</w:t>
      </w:r>
    </w:p>
    <w:p w14:paraId="6BE555B1" w14:textId="560AD30A" w:rsidR="00EF5452" w:rsidRPr="00EB15D4" w:rsidRDefault="00EF5452" w:rsidP="007E0CE7">
      <w:pPr>
        <w:pStyle w:val="BodyText"/>
        <w:autoSpaceDN w:val="0"/>
        <w:rPr>
          <w:sz w:val="22"/>
          <w:szCs w:val="22"/>
        </w:rPr>
      </w:pPr>
      <w:r w:rsidRPr="00EB15D4">
        <w:rPr>
          <w:sz w:val="22"/>
          <w:szCs w:val="22"/>
        </w:rPr>
        <w:t xml:space="preserve"> </w:t>
      </w:r>
    </w:p>
    <w:p w14:paraId="1CFC6832" w14:textId="4898D1CE" w:rsidR="00367716" w:rsidRPr="00EB15D4" w:rsidRDefault="00836A17" w:rsidP="00B77A63">
      <w:pPr>
        <w:rPr>
          <w:rFonts w:ascii="Times New Roman" w:hAnsi="Times New Roman" w:cs="Times New Roman"/>
          <w:sz w:val="22"/>
          <w:szCs w:val="22"/>
        </w:rPr>
      </w:pPr>
      <w:r w:rsidRPr="00EB15D4">
        <w:rPr>
          <w:rFonts w:ascii="Times New Roman" w:hAnsi="Times New Roman" w:cs="Times New Roman"/>
          <w:sz w:val="22"/>
          <w:szCs w:val="22"/>
        </w:rPr>
        <w:t xml:space="preserve">     Much post-war historiography concludes the people of Britain during the summer of 1914 were full of war enthusiasm and swept up within a patriotic feeling. </w:t>
      </w:r>
      <w:r w:rsidR="00F63FBF" w:rsidRPr="00EB15D4">
        <w:rPr>
          <w:rFonts w:ascii="Times New Roman" w:hAnsi="Times New Roman" w:cs="Times New Roman"/>
          <w:sz w:val="22"/>
          <w:szCs w:val="22"/>
        </w:rPr>
        <w:t>The political ideology of patriotism means an individual is devoted to one’s country and willing to protect its boarders, values and traditions. In the case of the First World War, British patriotism meant defending Britain from German militarism and antagonism. But this patriotic, war enthusiasm has been revised by revisionist historians, who present this pre-war mood as an illusion that faced opposition in many forms. Historian Adrian Gregory exp</w:t>
      </w:r>
      <w:r w:rsidR="00185348" w:rsidRPr="00EB15D4">
        <w:rPr>
          <w:rFonts w:ascii="Times New Roman" w:hAnsi="Times New Roman" w:cs="Times New Roman"/>
          <w:sz w:val="22"/>
          <w:szCs w:val="22"/>
        </w:rPr>
        <w:t xml:space="preserve">lained </w:t>
      </w:r>
      <w:r w:rsidR="00F63FBF" w:rsidRPr="00EB15D4">
        <w:rPr>
          <w:rFonts w:ascii="Times New Roman" w:hAnsi="Times New Roman" w:cs="Times New Roman"/>
          <w:sz w:val="22"/>
          <w:szCs w:val="22"/>
        </w:rPr>
        <w:t xml:space="preserve">Martin </w:t>
      </w:r>
      <w:r w:rsidR="00185348" w:rsidRPr="00EB15D4">
        <w:rPr>
          <w:rFonts w:ascii="Times New Roman" w:hAnsi="Times New Roman" w:cs="Times New Roman"/>
          <w:sz w:val="22"/>
          <w:szCs w:val="22"/>
        </w:rPr>
        <w:t xml:space="preserve">Ceadels five attitudes to war, in which the British public are categorised: </w:t>
      </w:r>
      <w:r w:rsidR="00B11A25" w:rsidRPr="00EB15D4">
        <w:rPr>
          <w:rFonts w:ascii="Times New Roman" w:hAnsi="Times New Roman" w:cs="Times New Roman"/>
          <w:sz w:val="22"/>
          <w:szCs w:val="22"/>
        </w:rPr>
        <w:t>‘</w:t>
      </w:r>
      <w:r w:rsidR="00185348" w:rsidRPr="00EB15D4">
        <w:rPr>
          <w:rFonts w:ascii="Times New Roman" w:hAnsi="Times New Roman" w:cs="Times New Roman"/>
          <w:sz w:val="22"/>
          <w:szCs w:val="22"/>
        </w:rPr>
        <w:t xml:space="preserve">pacifist, </w:t>
      </w:r>
      <w:r w:rsidR="00B11A25" w:rsidRPr="00EB15D4">
        <w:rPr>
          <w:rFonts w:ascii="Times New Roman" w:hAnsi="Times New Roman" w:cs="Times New Roman"/>
          <w:sz w:val="22"/>
          <w:szCs w:val="22"/>
        </w:rPr>
        <w:t>pacifism</w:t>
      </w:r>
      <w:r w:rsidR="00185348" w:rsidRPr="00EB15D4">
        <w:rPr>
          <w:rFonts w:ascii="Times New Roman" w:hAnsi="Times New Roman" w:cs="Times New Roman"/>
          <w:sz w:val="22"/>
          <w:szCs w:val="22"/>
        </w:rPr>
        <w:t xml:space="preserve">, defencism, </w:t>
      </w:r>
      <w:r w:rsidR="00B11A25" w:rsidRPr="00EB15D4">
        <w:rPr>
          <w:rFonts w:ascii="Times New Roman" w:hAnsi="Times New Roman" w:cs="Times New Roman"/>
          <w:sz w:val="22"/>
          <w:szCs w:val="22"/>
        </w:rPr>
        <w:t>crusading and militarism’.</w:t>
      </w:r>
      <w:r w:rsidR="00B11A25" w:rsidRPr="00EB15D4">
        <w:rPr>
          <w:rStyle w:val="FootnoteReference"/>
          <w:rFonts w:ascii="Times New Roman" w:hAnsi="Times New Roman" w:cs="Times New Roman"/>
          <w:sz w:val="22"/>
          <w:szCs w:val="22"/>
        </w:rPr>
        <w:footnoteReference w:id="3"/>
      </w:r>
      <w:r w:rsidR="00B11A25" w:rsidRPr="00EB15D4">
        <w:rPr>
          <w:rFonts w:ascii="Times New Roman" w:hAnsi="Times New Roman" w:cs="Times New Roman"/>
          <w:sz w:val="22"/>
          <w:szCs w:val="22"/>
        </w:rPr>
        <w:t xml:space="preserve"> Gregory explains during the Great War opposition was mainly between those of a pacifist ideology and those of a defencist ideology, but the outbreak of war saw defencists win, as there was a need to defend Britain from German invasion.</w:t>
      </w:r>
      <w:r w:rsidR="005E16FF" w:rsidRPr="00EB15D4">
        <w:rPr>
          <w:rFonts w:ascii="Times New Roman" w:hAnsi="Times New Roman" w:cs="Times New Roman"/>
          <w:sz w:val="22"/>
          <w:szCs w:val="22"/>
        </w:rPr>
        <w:t xml:space="preserve"> Arthur Marwick</w:t>
      </w:r>
      <w:r w:rsidR="00EB19DD">
        <w:rPr>
          <w:rFonts w:ascii="Times New Roman" w:hAnsi="Times New Roman" w:cs="Times New Roman"/>
          <w:sz w:val="22"/>
          <w:szCs w:val="22"/>
        </w:rPr>
        <w:t xml:space="preserve"> </w:t>
      </w:r>
      <w:r w:rsidR="005E16FF" w:rsidRPr="00EB15D4">
        <w:rPr>
          <w:rFonts w:ascii="Times New Roman" w:hAnsi="Times New Roman" w:cs="Times New Roman"/>
          <w:sz w:val="22"/>
          <w:szCs w:val="22"/>
        </w:rPr>
        <w:t>quotes ‘British society in 1914 was strongly jingoistic and showed marked enthusiasm for the outbreak of war’, to which Gregory disagrees due to a lack of evidence.</w:t>
      </w:r>
      <w:r w:rsidR="005E16FF" w:rsidRPr="00EB15D4">
        <w:rPr>
          <w:rStyle w:val="FootnoteReference"/>
          <w:rFonts w:ascii="Times New Roman" w:hAnsi="Times New Roman" w:cs="Times New Roman"/>
          <w:sz w:val="22"/>
          <w:szCs w:val="22"/>
        </w:rPr>
        <w:footnoteReference w:id="4"/>
      </w:r>
      <w:r w:rsidR="005E16FF" w:rsidRPr="00EB15D4">
        <w:rPr>
          <w:rFonts w:ascii="Times New Roman" w:hAnsi="Times New Roman" w:cs="Times New Roman"/>
          <w:sz w:val="22"/>
          <w:szCs w:val="22"/>
        </w:rPr>
        <w:t xml:space="preserve"> Evidence such as cheering crowds, lines outside the recruitment office does not prove war enthusiasm </w:t>
      </w:r>
      <w:r w:rsidR="00033A21" w:rsidRPr="00EB15D4">
        <w:rPr>
          <w:rFonts w:ascii="Times New Roman" w:hAnsi="Times New Roman" w:cs="Times New Roman"/>
          <w:sz w:val="22"/>
          <w:szCs w:val="22"/>
        </w:rPr>
        <w:t>can be generalised to the British population, instead Gregory offers Jeffery Verhey’s concept of ‘audience crowds’.</w:t>
      </w:r>
      <w:r w:rsidR="00033A21" w:rsidRPr="00EB15D4">
        <w:rPr>
          <w:rStyle w:val="FootnoteReference"/>
          <w:rFonts w:ascii="Times New Roman" w:hAnsi="Times New Roman" w:cs="Times New Roman"/>
          <w:sz w:val="22"/>
          <w:szCs w:val="22"/>
        </w:rPr>
        <w:footnoteReference w:id="5"/>
      </w:r>
      <w:r w:rsidR="00033A21" w:rsidRPr="00EB15D4">
        <w:rPr>
          <w:rFonts w:ascii="Times New Roman" w:hAnsi="Times New Roman" w:cs="Times New Roman"/>
          <w:sz w:val="22"/>
          <w:szCs w:val="22"/>
        </w:rPr>
        <w:t xml:space="preserve"> Verhey explains audience crowds were not ‘necessary pro-war but interested spectators’, backing Gregory’s argument that huge crowds outside Buckingham palace during the declaration of war, are not enough to suggest that the British nation were enthusiastic about war, it is not representative.</w:t>
      </w:r>
      <w:r w:rsidR="00033A21" w:rsidRPr="00EB15D4">
        <w:rPr>
          <w:rStyle w:val="FootnoteReference"/>
          <w:rFonts w:ascii="Times New Roman" w:hAnsi="Times New Roman" w:cs="Times New Roman"/>
          <w:sz w:val="22"/>
          <w:szCs w:val="22"/>
        </w:rPr>
        <w:footnoteReference w:id="6"/>
      </w:r>
      <w:r w:rsidR="00E3765F" w:rsidRPr="00EB15D4">
        <w:rPr>
          <w:rFonts w:ascii="Times New Roman" w:hAnsi="Times New Roman" w:cs="Times New Roman"/>
          <w:sz w:val="22"/>
          <w:szCs w:val="22"/>
        </w:rPr>
        <w:t xml:space="preserve"> </w:t>
      </w:r>
    </w:p>
    <w:p w14:paraId="27BECBD3" w14:textId="77777777" w:rsidR="00367716" w:rsidRPr="00EB15D4" w:rsidRDefault="00367716" w:rsidP="00B77A63">
      <w:pPr>
        <w:rPr>
          <w:rFonts w:ascii="Times New Roman" w:hAnsi="Times New Roman" w:cs="Times New Roman"/>
          <w:sz w:val="22"/>
          <w:szCs w:val="22"/>
        </w:rPr>
      </w:pPr>
    </w:p>
    <w:p w14:paraId="46BE0AE9" w14:textId="39AA16F3" w:rsidR="00367716" w:rsidRPr="00EB15D4" w:rsidRDefault="00367716" w:rsidP="00B77A63">
      <w:pPr>
        <w:rPr>
          <w:rFonts w:ascii="Times New Roman" w:hAnsi="Times New Roman" w:cs="Times New Roman"/>
          <w:sz w:val="22"/>
          <w:szCs w:val="22"/>
        </w:rPr>
      </w:pPr>
      <w:r w:rsidRPr="00EB15D4">
        <w:rPr>
          <w:rFonts w:ascii="Times New Roman" w:hAnsi="Times New Roman" w:cs="Times New Roman"/>
          <w:sz w:val="22"/>
          <w:szCs w:val="22"/>
        </w:rPr>
        <w:t xml:space="preserve">     </w:t>
      </w:r>
      <w:r w:rsidR="00E3765F" w:rsidRPr="00EB15D4">
        <w:rPr>
          <w:rFonts w:ascii="Times New Roman" w:hAnsi="Times New Roman" w:cs="Times New Roman"/>
          <w:sz w:val="22"/>
          <w:szCs w:val="22"/>
        </w:rPr>
        <w:t xml:space="preserve">Instead of grouping the British population as a whole, Gregory explores different sections and divisions within society, for example war enthusiasm in relation to class, gender, religion, demographics and political ideologies. It is suggested the working class </w:t>
      </w:r>
      <w:r w:rsidR="00BA462C" w:rsidRPr="00EB15D4">
        <w:rPr>
          <w:rFonts w:ascii="Times New Roman" w:hAnsi="Times New Roman" w:cs="Times New Roman"/>
          <w:sz w:val="22"/>
          <w:szCs w:val="22"/>
        </w:rPr>
        <w:t>had a different attitude to the war compared to the middle class. Working class men were hard working labours, mainly of a manufacturing or agricultural background, who considered themselves to be independent</w:t>
      </w:r>
      <w:r w:rsidR="00EB19DD">
        <w:rPr>
          <w:rFonts w:ascii="Times New Roman" w:hAnsi="Times New Roman" w:cs="Times New Roman"/>
          <w:sz w:val="22"/>
          <w:szCs w:val="22"/>
        </w:rPr>
        <w:t xml:space="preserve"> and</w:t>
      </w:r>
      <w:r w:rsidR="00BA462C" w:rsidRPr="00EB15D4">
        <w:rPr>
          <w:rFonts w:ascii="Times New Roman" w:hAnsi="Times New Roman" w:cs="Times New Roman"/>
          <w:sz w:val="22"/>
          <w:szCs w:val="22"/>
        </w:rPr>
        <w:t xml:space="preserve"> loyal, making them ideal candidates for foot soldiers to work the trenches. </w:t>
      </w:r>
      <w:r w:rsidR="00B77A63" w:rsidRPr="00EB15D4">
        <w:rPr>
          <w:rFonts w:ascii="Times New Roman" w:hAnsi="Times New Roman" w:cs="Times New Roman"/>
          <w:sz w:val="22"/>
          <w:szCs w:val="22"/>
        </w:rPr>
        <w:t xml:space="preserve">Many middle-class young men grew up being subconsciously prepared for war under what is now recognised by historians as a public-school ethos. This ethos embedded honour, duty, sacrifice and loyalty into young men, </w:t>
      </w:r>
      <w:r w:rsidR="00B77A63" w:rsidRPr="00EB15D4">
        <w:rPr>
          <w:rFonts w:ascii="Times New Roman" w:hAnsi="Times New Roman" w:cs="Times New Roman"/>
          <w:sz w:val="22"/>
          <w:szCs w:val="22"/>
        </w:rPr>
        <w:lastRenderedPageBreak/>
        <w:t xml:space="preserve">preparing them and making them ideal for official ranks within the army. Stephen </w:t>
      </w:r>
      <w:proofErr w:type="spellStart"/>
      <w:r w:rsidR="00B77A63" w:rsidRPr="00EB15D4">
        <w:rPr>
          <w:rFonts w:ascii="Times New Roman" w:hAnsi="Times New Roman" w:cs="Times New Roman"/>
          <w:sz w:val="22"/>
          <w:szCs w:val="22"/>
        </w:rPr>
        <w:t>Basdeo</w:t>
      </w:r>
      <w:proofErr w:type="spellEnd"/>
      <w:r w:rsidR="00B77A63" w:rsidRPr="00EB15D4">
        <w:rPr>
          <w:rFonts w:ascii="Times New Roman" w:hAnsi="Times New Roman" w:cs="Times New Roman"/>
          <w:sz w:val="22"/>
          <w:szCs w:val="22"/>
        </w:rPr>
        <w:t xml:space="preserve"> explains that the public-school ethos was designed to ‘prepare boys for a life of imperial service’, this ethos made schooling more militaristic and made war seem like a</w:t>
      </w:r>
      <w:r w:rsidR="00D41898" w:rsidRPr="00EB15D4">
        <w:rPr>
          <w:rFonts w:ascii="Times New Roman" w:hAnsi="Times New Roman" w:cs="Times New Roman"/>
          <w:sz w:val="22"/>
          <w:szCs w:val="22"/>
        </w:rPr>
        <w:t xml:space="preserve"> game.</w:t>
      </w:r>
      <w:r w:rsidR="00D41898" w:rsidRPr="00EB15D4">
        <w:rPr>
          <w:rStyle w:val="FootnoteReference"/>
          <w:rFonts w:ascii="Times New Roman" w:hAnsi="Times New Roman" w:cs="Times New Roman"/>
          <w:sz w:val="22"/>
          <w:szCs w:val="22"/>
        </w:rPr>
        <w:footnoteReference w:id="7"/>
      </w:r>
      <w:r w:rsidR="00D41898" w:rsidRPr="00EB15D4">
        <w:rPr>
          <w:rFonts w:ascii="Times New Roman" w:hAnsi="Times New Roman" w:cs="Times New Roman"/>
          <w:sz w:val="22"/>
          <w:szCs w:val="22"/>
        </w:rPr>
        <w:t xml:space="preserve"> In conclusion Gregory believes young middle-class men were more patriotic than the young working-class men, but the majority of the conservative middle-class were ‘quiet and secretive’ when it came to their public opinion on the war.</w:t>
      </w:r>
      <w:r w:rsidR="00D41898" w:rsidRPr="00EB15D4">
        <w:rPr>
          <w:rStyle w:val="FootnoteReference"/>
          <w:rFonts w:ascii="Times New Roman" w:hAnsi="Times New Roman" w:cs="Times New Roman"/>
          <w:sz w:val="22"/>
          <w:szCs w:val="22"/>
        </w:rPr>
        <w:footnoteReference w:id="8"/>
      </w:r>
      <w:r w:rsidRPr="00EB15D4">
        <w:rPr>
          <w:rFonts w:ascii="Times New Roman" w:hAnsi="Times New Roman" w:cs="Times New Roman"/>
          <w:sz w:val="22"/>
          <w:szCs w:val="22"/>
        </w:rPr>
        <w:t xml:space="preserve"> Gregory explores gender by examining women’s suffrage movements at the time such as, the suffragist and suffragettes. During the summer of 1914 the National Union of Women’s Suffrage societies held a protest meeting to mutually agree to take a neutral stance towards the impending conflict. Gregory determines while ‘most supported the war effort’ there was a few individuals who opposed the war altogether, for example Sylvia Pankhur</w:t>
      </w:r>
      <w:r w:rsidR="00056F25" w:rsidRPr="00EB15D4">
        <w:rPr>
          <w:rFonts w:ascii="Times New Roman" w:hAnsi="Times New Roman" w:cs="Times New Roman"/>
          <w:sz w:val="22"/>
          <w:szCs w:val="22"/>
        </w:rPr>
        <w:t>s</w:t>
      </w:r>
      <w:r w:rsidRPr="00EB15D4">
        <w:rPr>
          <w:rFonts w:ascii="Times New Roman" w:hAnsi="Times New Roman" w:cs="Times New Roman"/>
          <w:sz w:val="22"/>
          <w:szCs w:val="22"/>
        </w:rPr>
        <w:t>t</w:t>
      </w:r>
      <w:r w:rsidR="00056F25" w:rsidRPr="00EB15D4">
        <w:rPr>
          <w:rFonts w:ascii="Times New Roman" w:hAnsi="Times New Roman" w:cs="Times New Roman"/>
          <w:sz w:val="22"/>
          <w:szCs w:val="22"/>
        </w:rPr>
        <w:t>, who led an anti-war campaign of her own and was disheartened when many of her political group agreed to help the war effort.</w:t>
      </w:r>
      <w:r w:rsidR="00056F25" w:rsidRPr="00EB15D4">
        <w:rPr>
          <w:rStyle w:val="FootnoteReference"/>
          <w:rFonts w:ascii="Times New Roman" w:hAnsi="Times New Roman" w:cs="Times New Roman"/>
          <w:sz w:val="22"/>
          <w:szCs w:val="22"/>
        </w:rPr>
        <w:footnoteReference w:id="9"/>
      </w:r>
      <w:r w:rsidR="00056F25" w:rsidRPr="00EB15D4">
        <w:rPr>
          <w:rFonts w:ascii="Times New Roman" w:hAnsi="Times New Roman" w:cs="Times New Roman"/>
          <w:sz w:val="22"/>
          <w:szCs w:val="22"/>
        </w:rPr>
        <w:t xml:space="preserve"> Religion had an influence on war enthusiasm. Gregory identifies that the Jewish community were largely anti-interventionalists and had strong anti-Russian sentiments within the community which led to them being accused of being pro-German. </w:t>
      </w:r>
      <w:r w:rsidR="00FD40E4" w:rsidRPr="00EB15D4">
        <w:rPr>
          <w:rFonts w:ascii="Times New Roman" w:hAnsi="Times New Roman" w:cs="Times New Roman"/>
          <w:sz w:val="22"/>
          <w:szCs w:val="22"/>
        </w:rPr>
        <w:t>The Church of England was identified as anti-war, they understood the consequences of going to war, for example the impact it would have on the British economy, but they also wanted answers from the British government as to why Britain was going to war with Germany in the first place. Gregory found evidence of clergy men liaising with Sir Edward Grey ‘for neutrality’, Britain to remain isolated from the war.</w:t>
      </w:r>
      <w:r w:rsidR="00FD40E4" w:rsidRPr="00EB15D4">
        <w:rPr>
          <w:rStyle w:val="FootnoteReference"/>
          <w:rFonts w:ascii="Times New Roman" w:hAnsi="Times New Roman" w:cs="Times New Roman"/>
          <w:sz w:val="22"/>
          <w:szCs w:val="22"/>
        </w:rPr>
        <w:footnoteReference w:id="10"/>
      </w:r>
      <w:r w:rsidR="00920937" w:rsidRPr="00EB15D4">
        <w:rPr>
          <w:rFonts w:ascii="Times New Roman" w:hAnsi="Times New Roman" w:cs="Times New Roman"/>
          <w:sz w:val="22"/>
          <w:szCs w:val="22"/>
        </w:rPr>
        <w:t xml:space="preserve"> </w:t>
      </w:r>
      <w:r w:rsidR="00F1072F" w:rsidRPr="00EB15D4">
        <w:rPr>
          <w:rFonts w:ascii="Times New Roman" w:hAnsi="Times New Roman" w:cs="Times New Roman"/>
          <w:sz w:val="22"/>
          <w:szCs w:val="22"/>
        </w:rPr>
        <w:t>Demographically, Wales throughout history has been categorised as industrial and the Welsh people very patriotic. Gregory disagrees with Kenneth Morgan who argues ‘the mass of Welsh people cast aside their political and industrial divisions and threw themselves into the war with gusto’.</w:t>
      </w:r>
      <w:r w:rsidR="00F1072F" w:rsidRPr="00EB15D4">
        <w:rPr>
          <w:rStyle w:val="FootnoteReference"/>
          <w:rFonts w:ascii="Times New Roman" w:hAnsi="Times New Roman" w:cs="Times New Roman"/>
          <w:sz w:val="22"/>
          <w:szCs w:val="22"/>
        </w:rPr>
        <w:footnoteReference w:id="11"/>
      </w:r>
      <w:r w:rsidR="00F1072F" w:rsidRPr="00EB15D4">
        <w:rPr>
          <w:rFonts w:ascii="Times New Roman" w:hAnsi="Times New Roman" w:cs="Times New Roman"/>
          <w:sz w:val="22"/>
          <w:szCs w:val="22"/>
        </w:rPr>
        <w:t xml:space="preserve"> Gregory suggests Wales was very anti-war and heavily influenced by powerful trade unions in Wales, who understood the potential industrial crisis war would bring. Although the Welsh people were considered anti-war</w:t>
      </w:r>
      <w:r w:rsidR="00527465" w:rsidRPr="00EB15D4">
        <w:rPr>
          <w:rFonts w:ascii="Times New Roman" w:hAnsi="Times New Roman" w:cs="Times New Roman"/>
          <w:sz w:val="22"/>
          <w:szCs w:val="22"/>
        </w:rPr>
        <w:t xml:space="preserve">, Gregory explains overtime they began to accept the war. Politically many socialist and liberal newspapers such as the </w:t>
      </w:r>
      <w:r w:rsidR="00527465" w:rsidRPr="00EB15D4">
        <w:rPr>
          <w:rFonts w:ascii="Times New Roman" w:hAnsi="Times New Roman" w:cs="Times New Roman"/>
          <w:i/>
          <w:iCs/>
          <w:sz w:val="22"/>
          <w:szCs w:val="22"/>
        </w:rPr>
        <w:t>Daily Herald</w:t>
      </w:r>
      <w:r w:rsidR="00527465" w:rsidRPr="00EB15D4">
        <w:rPr>
          <w:rFonts w:ascii="Times New Roman" w:hAnsi="Times New Roman" w:cs="Times New Roman"/>
          <w:sz w:val="22"/>
          <w:szCs w:val="22"/>
        </w:rPr>
        <w:t xml:space="preserve">, </w:t>
      </w:r>
      <w:r w:rsidR="00527465" w:rsidRPr="00EB15D4">
        <w:rPr>
          <w:rFonts w:ascii="Times New Roman" w:hAnsi="Times New Roman" w:cs="Times New Roman"/>
          <w:i/>
          <w:iCs/>
          <w:sz w:val="22"/>
          <w:szCs w:val="22"/>
        </w:rPr>
        <w:t>Daily Chronical</w:t>
      </w:r>
      <w:r w:rsidR="00527465" w:rsidRPr="00EB15D4">
        <w:rPr>
          <w:rFonts w:ascii="Times New Roman" w:hAnsi="Times New Roman" w:cs="Times New Roman"/>
          <w:sz w:val="22"/>
          <w:szCs w:val="22"/>
        </w:rPr>
        <w:t xml:space="preserve"> and </w:t>
      </w:r>
      <w:r w:rsidR="00527465" w:rsidRPr="00EB15D4">
        <w:rPr>
          <w:rFonts w:ascii="Times New Roman" w:hAnsi="Times New Roman" w:cs="Times New Roman"/>
          <w:i/>
          <w:iCs/>
          <w:sz w:val="22"/>
          <w:szCs w:val="22"/>
        </w:rPr>
        <w:t>Yorkshire post</w:t>
      </w:r>
      <w:r w:rsidR="00527465" w:rsidRPr="00EB15D4">
        <w:rPr>
          <w:rFonts w:ascii="Times New Roman" w:hAnsi="Times New Roman" w:cs="Times New Roman"/>
          <w:sz w:val="22"/>
          <w:szCs w:val="22"/>
        </w:rPr>
        <w:t xml:space="preserve"> fought an anti-war campaign with the help of pacifists, through anti-war sentiments. Gregory argues these ‘major organised manifestos of public opinion were pro-neutrality and anti-war’ as evidence seems to suggest Britons during the summer of 1914 lacked war enthusiasm. </w:t>
      </w:r>
    </w:p>
    <w:p w14:paraId="784F17D9" w14:textId="3E1FE24F" w:rsidR="00836A17" w:rsidRPr="00EB15D4" w:rsidRDefault="00836A17" w:rsidP="007E0CE7">
      <w:pPr>
        <w:pStyle w:val="BodyText"/>
        <w:autoSpaceDN w:val="0"/>
        <w:rPr>
          <w:sz w:val="22"/>
          <w:szCs w:val="22"/>
        </w:rPr>
      </w:pPr>
    </w:p>
    <w:p w14:paraId="14CF584D" w14:textId="5132F52B" w:rsidR="00756041" w:rsidRPr="00EB15D4" w:rsidRDefault="00EF5452" w:rsidP="007E0CE7">
      <w:pPr>
        <w:pStyle w:val="BodyText"/>
        <w:autoSpaceDN w:val="0"/>
        <w:rPr>
          <w:sz w:val="22"/>
          <w:szCs w:val="22"/>
        </w:rPr>
      </w:pPr>
      <w:r w:rsidRPr="00EB15D4">
        <w:rPr>
          <w:sz w:val="22"/>
          <w:szCs w:val="22"/>
        </w:rPr>
        <w:t xml:space="preserve">     </w:t>
      </w:r>
      <w:r w:rsidR="00756041" w:rsidRPr="00EB15D4">
        <w:rPr>
          <w:sz w:val="22"/>
          <w:szCs w:val="22"/>
        </w:rPr>
        <w:t>Post-war historian</w:t>
      </w:r>
      <w:r w:rsidR="00FD40E4" w:rsidRPr="00EB15D4">
        <w:rPr>
          <w:sz w:val="22"/>
          <w:szCs w:val="22"/>
        </w:rPr>
        <w:t xml:space="preserve"> </w:t>
      </w:r>
      <w:r w:rsidR="00756041" w:rsidRPr="00EB15D4">
        <w:rPr>
          <w:sz w:val="22"/>
          <w:szCs w:val="22"/>
        </w:rPr>
        <w:t>Gary S. Messinger ha</w:t>
      </w:r>
      <w:r w:rsidR="00FD40E4" w:rsidRPr="00EB15D4">
        <w:rPr>
          <w:sz w:val="22"/>
          <w:szCs w:val="22"/>
        </w:rPr>
        <w:t xml:space="preserve">s </w:t>
      </w:r>
      <w:r w:rsidR="00756041" w:rsidRPr="00EB15D4">
        <w:rPr>
          <w:sz w:val="22"/>
          <w:szCs w:val="22"/>
        </w:rPr>
        <w:t xml:space="preserve">explored the impact anti-German popular literature had on the public. </w:t>
      </w:r>
      <w:r w:rsidR="009A0DE6" w:rsidRPr="00EB15D4">
        <w:rPr>
          <w:sz w:val="22"/>
          <w:szCs w:val="22"/>
        </w:rPr>
        <w:t xml:space="preserve">An increase in </w:t>
      </w:r>
      <w:r w:rsidR="002B5A00" w:rsidRPr="00EB15D4">
        <w:rPr>
          <w:sz w:val="22"/>
          <w:szCs w:val="22"/>
        </w:rPr>
        <w:t xml:space="preserve">the </w:t>
      </w:r>
      <w:r w:rsidR="009A0DE6" w:rsidRPr="00EB15D4">
        <w:rPr>
          <w:sz w:val="22"/>
          <w:szCs w:val="22"/>
        </w:rPr>
        <w:t>mass publication of newspapers made international foreign affairs more present in people’s everyday life. The Franco-Prussian war (1870-71), saw the unified states of Germany defeat France and expand into French territory claiming ‘Alsace-Lorraine’ as German territory.</w:t>
      </w:r>
      <w:r w:rsidR="009A0DE6" w:rsidRPr="00EB15D4">
        <w:rPr>
          <w:rStyle w:val="FootnoteReference"/>
          <w:sz w:val="22"/>
          <w:szCs w:val="22"/>
        </w:rPr>
        <w:footnoteReference w:id="12"/>
      </w:r>
      <w:r w:rsidR="009A0DE6" w:rsidRPr="00EB15D4">
        <w:rPr>
          <w:sz w:val="22"/>
          <w:szCs w:val="22"/>
        </w:rPr>
        <w:t xml:space="preserve"> </w:t>
      </w:r>
      <w:r w:rsidR="002B5A00" w:rsidRPr="00EB15D4">
        <w:rPr>
          <w:sz w:val="22"/>
          <w:szCs w:val="22"/>
        </w:rPr>
        <w:t xml:space="preserve">The Franco-Prussian war spread fear across the globe, fear of German militarism; </w:t>
      </w:r>
      <w:r w:rsidR="003F267D">
        <w:rPr>
          <w:sz w:val="22"/>
          <w:szCs w:val="22"/>
        </w:rPr>
        <w:t>t</w:t>
      </w:r>
      <w:r w:rsidR="002B5A00" w:rsidRPr="00EB15D4">
        <w:rPr>
          <w:sz w:val="22"/>
          <w:szCs w:val="22"/>
        </w:rPr>
        <w:t>he Germans using their newly advanced military to aggressively expand their empire and values. The fear of Teutonic domination spread rapidly after the Franco-Prussian war, and this saw a rise in the anti-German feeling worldwide. In Britain particularly popular anti-German literature came from Erskin</w:t>
      </w:r>
      <w:r w:rsidR="00AB3F2E" w:rsidRPr="00EB15D4">
        <w:rPr>
          <w:sz w:val="22"/>
          <w:szCs w:val="22"/>
        </w:rPr>
        <w:t>e Childers and William Le Queux. Novelist William Le Queux wrote anti-French, anti-Russian and anti-German literature, despite being of mixed heritage, both British and French. William’s first piece of successful anti-German literature came in 1894, ‘</w:t>
      </w:r>
      <w:r w:rsidR="00AB3F2E" w:rsidRPr="00EB15D4">
        <w:rPr>
          <w:i/>
          <w:iCs/>
          <w:sz w:val="22"/>
          <w:szCs w:val="22"/>
        </w:rPr>
        <w:t>The Great War in England in 1897</w:t>
      </w:r>
      <w:r w:rsidR="00AB3F2E" w:rsidRPr="00EB15D4">
        <w:rPr>
          <w:sz w:val="22"/>
          <w:szCs w:val="22"/>
        </w:rPr>
        <w:t>’, in which William described and invasion on Britain by the Germans.</w:t>
      </w:r>
      <w:r w:rsidR="00AB3F2E" w:rsidRPr="00EB15D4">
        <w:rPr>
          <w:rStyle w:val="FootnoteReference"/>
          <w:sz w:val="22"/>
          <w:szCs w:val="22"/>
        </w:rPr>
        <w:footnoteReference w:id="13"/>
      </w:r>
      <w:r w:rsidR="00AB3F2E" w:rsidRPr="00EB15D4">
        <w:rPr>
          <w:sz w:val="22"/>
          <w:szCs w:val="22"/>
        </w:rPr>
        <w:t xml:space="preserve"> Historian Gary S. Messinger </w:t>
      </w:r>
      <w:r w:rsidR="00E048C4" w:rsidRPr="00EB15D4">
        <w:rPr>
          <w:sz w:val="22"/>
          <w:szCs w:val="22"/>
        </w:rPr>
        <w:t>states the book sold ‘five editions in its first four weeks in book form in 1894’, highlighting mass interest from the British population. Fifteen years later in 1909, William Le Queux published ‘</w:t>
      </w:r>
      <w:r w:rsidR="00E048C4" w:rsidRPr="00EB15D4">
        <w:rPr>
          <w:i/>
          <w:iCs/>
          <w:sz w:val="22"/>
          <w:szCs w:val="22"/>
        </w:rPr>
        <w:t>Spies of the Kaiser plotting the downfall of England</w:t>
      </w:r>
      <w:r w:rsidR="00E048C4" w:rsidRPr="00EB15D4">
        <w:rPr>
          <w:sz w:val="22"/>
          <w:szCs w:val="22"/>
        </w:rPr>
        <w:t xml:space="preserve">’, in which William believes England is covered in German spies and an attack is </w:t>
      </w:r>
      <w:r w:rsidR="00E048C4" w:rsidRPr="00EB15D4">
        <w:rPr>
          <w:sz w:val="22"/>
          <w:szCs w:val="22"/>
        </w:rPr>
        <w:lastRenderedPageBreak/>
        <w:t>imminent.</w:t>
      </w:r>
      <w:r w:rsidR="00174D17" w:rsidRPr="00EB15D4">
        <w:rPr>
          <w:rStyle w:val="FootnoteReference"/>
          <w:sz w:val="22"/>
          <w:szCs w:val="22"/>
        </w:rPr>
        <w:footnoteReference w:id="14"/>
      </w:r>
      <w:r w:rsidR="00E048C4" w:rsidRPr="00EB15D4">
        <w:rPr>
          <w:sz w:val="22"/>
          <w:szCs w:val="22"/>
        </w:rPr>
        <w:t xml:space="preserve"> The content of this book would increase the anti-German feeling among Britons</w:t>
      </w:r>
      <w:r w:rsidR="00174D17" w:rsidRPr="00EB15D4">
        <w:rPr>
          <w:sz w:val="22"/>
          <w:szCs w:val="22"/>
        </w:rPr>
        <w:t>, sections in the book, for example ‘how the Germans are preparing for invasion’, will ultimately increase fear of the British people.</w:t>
      </w:r>
      <w:r w:rsidR="00174D17" w:rsidRPr="00EB15D4">
        <w:rPr>
          <w:rStyle w:val="FootnoteReference"/>
          <w:sz w:val="22"/>
          <w:szCs w:val="22"/>
        </w:rPr>
        <w:footnoteReference w:id="15"/>
      </w:r>
      <w:r w:rsidR="00174D17" w:rsidRPr="00EB15D4">
        <w:rPr>
          <w:sz w:val="22"/>
          <w:szCs w:val="22"/>
        </w:rPr>
        <w:t xml:space="preserve"> </w:t>
      </w:r>
      <w:r w:rsidR="00440F09" w:rsidRPr="00EB15D4">
        <w:rPr>
          <w:sz w:val="22"/>
          <w:szCs w:val="22"/>
        </w:rPr>
        <w:t>Le Queux went on to publish the famous ‘</w:t>
      </w:r>
      <w:r w:rsidR="00440F09" w:rsidRPr="00EB15D4">
        <w:rPr>
          <w:i/>
          <w:iCs/>
          <w:sz w:val="22"/>
          <w:szCs w:val="22"/>
        </w:rPr>
        <w:t>The invasion of 1910</w:t>
      </w:r>
      <w:r w:rsidR="00440F09" w:rsidRPr="00EB15D4">
        <w:rPr>
          <w:sz w:val="22"/>
          <w:szCs w:val="22"/>
        </w:rPr>
        <w:t>’, which depicted the Germans at all-out war with the British.</w:t>
      </w:r>
      <w:r w:rsidR="00440F09" w:rsidRPr="00EB15D4">
        <w:rPr>
          <w:rStyle w:val="FootnoteReference"/>
          <w:sz w:val="22"/>
          <w:szCs w:val="22"/>
        </w:rPr>
        <w:footnoteReference w:id="16"/>
      </w:r>
      <w:r w:rsidR="002E3FE7" w:rsidRPr="00EB15D4">
        <w:rPr>
          <w:sz w:val="22"/>
          <w:szCs w:val="22"/>
        </w:rPr>
        <w:t xml:space="preserve"> Another famous anti-German literature writer is Erskine Childers who wrote </w:t>
      </w:r>
      <w:r w:rsidR="002E3FE7" w:rsidRPr="00EB15D4">
        <w:rPr>
          <w:i/>
          <w:iCs/>
          <w:sz w:val="22"/>
          <w:szCs w:val="22"/>
        </w:rPr>
        <w:t>The Riddle of the Sands</w:t>
      </w:r>
      <w:r w:rsidR="002E3FE7" w:rsidRPr="00EB15D4">
        <w:rPr>
          <w:sz w:val="22"/>
          <w:szCs w:val="22"/>
        </w:rPr>
        <w:t xml:space="preserve"> published in 1903, another fiction based novel depicting the invasion of Britain by the Germans. Childers himself played an active role in politics and war, he actively supported </w:t>
      </w:r>
      <w:r w:rsidR="00E26867" w:rsidRPr="00EB15D4">
        <w:rPr>
          <w:sz w:val="22"/>
          <w:szCs w:val="22"/>
        </w:rPr>
        <w:t>Irish home rule and played a role in the Irish War of Independence. Childers was considered to have great ‘publicity skills’ and used this to promote propaganda on behalf of the Irish Republican Army.</w:t>
      </w:r>
      <w:r w:rsidR="00E26867" w:rsidRPr="00EB15D4">
        <w:rPr>
          <w:rStyle w:val="FootnoteReference"/>
          <w:sz w:val="22"/>
          <w:szCs w:val="22"/>
        </w:rPr>
        <w:footnoteReference w:id="17"/>
      </w:r>
      <w:r w:rsidR="00E26867" w:rsidRPr="00EB15D4">
        <w:rPr>
          <w:sz w:val="22"/>
          <w:szCs w:val="22"/>
        </w:rPr>
        <w:t xml:space="preserve"> Messinger explores many writers in this particular genre, for example ‘Sir George Tomkyns Chesney, Hugh Arnold-Fraser</w:t>
      </w:r>
      <w:r w:rsidR="00137142" w:rsidRPr="00EB15D4">
        <w:rPr>
          <w:sz w:val="22"/>
          <w:szCs w:val="22"/>
        </w:rPr>
        <w:t xml:space="preserve">, </w:t>
      </w:r>
      <w:r w:rsidR="00E26867" w:rsidRPr="00EB15D4">
        <w:rPr>
          <w:sz w:val="22"/>
          <w:szCs w:val="22"/>
        </w:rPr>
        <w:t>Sir Arthur Conan Doyle</w:t>
      </w:r>
      <w:r w:rsidR="00137142" w:rsidRPr="00EB15D4">
        <w:rPr>
          <w:sz w:val="22"/>
          <w:szCs w:val="22"/>
        </w:rPr>
        <w:t xml:space="preserve"> and H. G. Wells</w:t>
      </w:r>
      <w:r w:rsidR="00E26867" w:rsidRPr="00EB15D4">
        <w:rPr>
          <w:sz w:val="22"/>
          <w:szCs w:val="22"/>
        </w:rPr>
        <w:t xml:space="preserve">’ and identifies their original works first appear in popular news magazines across </w:t>
      </w:r>
      <w:r w:rsidR="00F4139B" w:rsidRPr="00EB15D4">
        <w:rPr>
          <w:sz w:val="22"/>
          <w:szCs w:val="22"/>
        </w:rPr>
        <w:t>Britain</w:t>
      </w:r>
      <w:r w:rsidR="00E26867" w:rsidRPr="00EB15D4">
        <w:rPr>
          <w:sz w:val="22"/>
          <w:szCs w:val="22"/>
        </w:rPr>
        <w:t>.</w:t>
      </w:r>
      <w:r w:rsidR="00137142" w:rsidRPr="00EB15D4">
        <w:rPr>
          <w:rStyle w:val="FootnoteReference"/>
          <w:sz w:val="22"/>
          <w:szCs w:val="22"/>
        </w:rPr>
        <w:footnoteReference w:id="18"/>
      </w:r>
      <w:r w:rsidR="00E26867" w:rsidRPr="00EB15D4">
        <w:rPr>
          <w:sz w:val="22"/>
          <w:szCs w:val="22"/>
        </w:rPr>
        <w:t xml:space="preserve"> </w:t>
      </w:r>
      <w:r w:rsidR="00137142" w:rsidRPr="00EB15D4">
        <w:rPr>
          <w:sz w:val="22"/>
          <w:szCs w:val="22"/>
        </w:rPr>
        <w:t>Messinger concludes that anti-German literature would have had an effect on ‘British mentalities’, due to real time rising tensions between European powers, these pieces of literature made the imaginary seem highly realistic and approaching fast, making the people of Britain potentially ready to go to war to defend their country, beliefs and values.</w:t>
      </w:r>
      <w:r w:rsidR="00137142" w:rsidRPr="00EB15D4">
        <w:rPr>
          <w:rStyle w:val="FootnoteReference"/>
          <w:sz w:val="22"/>
          <w:szCs w:val="22"/>
        </w:rPr>
        <w:footnoteReference w:id="19"/>
      </w:r>
      <w:r w:rsidR="00137142" w:rsidRPr="00EB15D4">
        <w:rPr>
          <w:sz w:val="22"/>
          <w:szCs w:val="22"/>
        </w:rPr>
        <w:t xml:space="preserve"> </w:t>
      </w:r>
    </w:p>
    <w:p w14:paraId="6F812D12" w14:textId="49AB07C5" w:rsidR="00137142" w:rsidRPr="00EB15D4" w:rsidRDefault="00137142" w:rsidP="007E0CE7">
      <w:pPr>
        <w:pStyle w:val="BodyText"/>
        <w:autoSpaceDN w:val="0"/>
        <w:rPr>
          <w:sz w:val="22"/>
          <w:szCs w:val="22"/>
        </w:rPr>
      </w:pPr>
    </w:p>
    <w:p w14:paraId="4155F0B3" w14:textId="70C140B0" w:rsidR="00137142" w:rsidRPr="00EB15D4" w:rsidRDefault="00137142" w:rsidP="007E0CE7">
      <w:pPr>
        <w:pStyle w:val="BodyText"/>
        <w:autoSpaceDN w:val="0"/>
        <w:rPr>
          <w:sz w:val="22"/>
          <w:szCs w:val="22"/>
        </w:rPr>
      </w:pPr>
      <w:r w:rsidRPr="00EB15D4">
        <w:rPr>
          <w:sz w:val="22"/>
          <w:szCs w:val="22"/>
        </w:rPr>
        <w:t xml:space="preserve">     </w:t>
      </w:r>
      <w:r w:rsidR="001017EB" w:rsidRPr="00EB15D4">
        <w:rPr>
          <w:sz w:val="22"/>
          <w:szCs w:val="22"/>
        </w:rPr>
        <w:t>Influential pro-war politicians, Herbert Asquith and David Lloyd George, would have had an impact on war enthusiasm and had the power to shape and manipulate the public opinion. During summer 1914</w:t>
      </w:r>
      <w:r w:rsidR="004655DF" w:rsidRPr="00EB15D4">
        <w:rPr>
          <w:sz w:val="22"/>
          <w:szCs w:val="22"/>
        </w:rPr>
        <w:t xml:space="preserve"> the British government and leading figures believed foreign affairs should remain private, not for the eyes of the British </w:t>
      </w:r>
      <w:r w:rsidR="003F267D">
        <w:rPr>
          <w:sz w:val="22"/>
          <w:szCs w:val="22"/>
        </w:rPr>
        <w:t>nation</w:t>
      </w:r>
      <w:r w:rsidR="004655DF" w:rsidRPr="00EB15D4">
        <w:rPr>
          <w:sz w:val="22"/>
          <w:szCs w:val="22"/>
        </w:rPr>
        <w:t xml:space="preserve">. With the </w:t>
      </w:r>
      <w:r w:rsidR="00736160" w:rsidRPr="00EB15D4">
        <w:rPr>
          <w:sz w:val="22"/>
          <w:szCs w:val="22"/>
        </w:rPr>
        <w:t xml:space="preserve">vast </w:t>
      </w:r>
      <w:r w:rsidR="004655DF" w:rsidRPr="00EB15D4">
        <w:rPr>
          <w:sz w:val="22"/>
          <w:szCs w:val="22"/>
        </w:rPr>
        <w:t xml:space="preserve">growth of </w:t>
      </w:r>
      <w:r w:rsidR="00736160" w:rsidRPr="00EB15D4">
        <w:rPr>
          <w:sz w:val="22"/>
          <w:szCs w:val="22"/>
        </w:rPr>
        <w:t>national</w:t>
      </w:r>
      <w:r w:rsidR="004655DF" w:rsidRPr="00EB15D4">
        <w:rPr>
          <w:sz w:val="22"/>
          <w:szCs w:val="22"/>
        </w:rPr>
        <w:t xml:space="preserve"> press </w:t>
      </w:r>
      <w:r w:rsidR="00736160" w:rsidRPr="00EB15D4">
        <w:rPr>
          <w:sz w:val="22"/>
          <w:szCs w:val="22"/>
        </w:rPr>
        <w:t xml:space="preserve">and the </w:t>
      </w:r>
      <w:r w:rsidR="004655DF" w:rsidRPr="00EB15D4">
        <w:rPr>
          <w:sz w:val="22"/>
          <w:szCs w:val="22"/>
        </w:rPr>
        <w:t xml:space="preserve">publishing </w:t>
      </w:r>
      <w:r w:rsidR="00736160" w:rsidRPr="00EB15D4">
        <w:rPr>
          <w:sz w:val="22"/>
          <w:szCs w:val="22"/>
        </w:rPr>
        <w:t xml:space="preserve">of </w:t>
      </w:r>
      <w:r w:rsidR="004655DF" w:rsidRPr="00EB15D4">
        <w:rPr>
          <w:sz w:val="22"/>
          <w:szCs w:val="22"/>
        </w:rPr>
        <w:t xml:space="preserve">worrying reports </w:t>
      </w:r>
      <w:r w:rsidR="00736160" w:rsidRPr="00EB15D4">
        <w:rPr>
          <w:sz w:val="22"/>
          <w:szCs w:val="22"/>
        </w:rPr>
        <w:t>regarding</w:t>
      </w:r>
      <w:r w:rsidR="004655DF" w:rsidRPr="00EB15D4">
        <w:rPr>
          <w:sz w:val="22"/>
          <w:szCs w:val="22"/>
        </w:rPr>
        <w:t xml:space="preserve"> German antagonism</w:t>
      </w:r>
      <w:r w:rsidR="00736160" w:rsidRPr="00EB15D4">
        <w:rPr>
          <w:sz w:val="22"/>
          <w:szCs w:val="22"/>
        </w:rPr>
        <w:t>, mixed with</w:t>
      </w:r>
      <w:r w:rsidR="004655DF" w:rsidRPr="00EB15D4">
        <w:rPr>
          <w:sz w:val="22"/>
          <w:szCs w:val="22"/>
        </w:rPr>
        <w:t xml:space="preserve"> the so-called patriotic enthusiasm sweeping the British population during the summer of 1914, the Liberal government under Herbert Asquith, did not feel it necessary to start a domestic propaganda campaign. </w:t>
      </w:r>
      <w:r w:rsidR="00736160" w:rsidRPr="00EB15D4">
        <w:rPr>
          <w:sz w:val="22"/>
          <w:szCs w:val="22"/>
        </w:rPr>
        <w:t>This ultimately changed not long after the declaration of war when the British public started to challenge the ‘illusion’ of a short war.</w:t>
      </w:r>
      <w:r w:rsidR="00736160" w:rsidRPr="00EB15D4">
        <w:rPr>
          <w:rStyle w:val="FootnoteReference"/>
          <w:sz w:val="22"/>
          <w:szCs w:val="22"/>
        </w:rPr>
        <w:footnoteReference w:id="20"/>
      </w:r>
      <w:r w:rsidR="00736160" w:rsidRPr="00EB15D4">
        <w:rPr>
          <w:sz w:val="22"/>
          <w:szCs w:val="22"/>
        </w:rPr>
        <w:t xml:space="preserve"> Early 1914 Prime Minister Herbert Asquith</w:t>
      </w:r>
      <w:r w:rsidR="005101DA" w:rsidRPr="00EB15D4">
        <w:rPr>
          <w:sz w:val="22"/>
          <w:szCs w:val="22"/>
        </w:rPr>
        <w:t>’s position and capability to rule was under threat from the conservative party due to imminent issues in Ireland. Due to pending war with Germany the speeches of ‘David Lloyd George, Winston Churchill and Lord Kitchener’, benefitted the government with a ‘surge of patriotic ardour’, meaning the general public were filled with the patriotic feeling, making them ready to fight for Britain, in what they believed to be a short pending war.</w:t>
      </w:r>
      <w:r w:rsidR="005101DA" w:rsidRPr="00EB15D4">
        <w:rPr>
          <w:rStyle w:val="FootnoteReference"/>
          <w:sz w:val="22"/>
          <w:szCs w:val="22"/>
        </w:rPr>
        <w:footnoteReference w:id="21"/>
      </w:r>
      <w:r w:rsidR="00C47C4F" w:rsidRPr="00EB15D4">
        <w:rPr>
          <w:sz w:val="22"/>
          <w:szCs w:val="22"/>
        </w:rPr>
        <w:t xml:space="preserve"> </w:t>
      </w:r>
    </w:p>
    <w:p w14:paraId="2BCF9FC2" w14:textId="57309EFB" w:rsidR="00BA63D6" w:rsidRPr="00EB15D4" w:rsidRDefault="00BA63D6" w:rsidP="007E0CE7">
      <w:pPr>
        <w:pStyle w:val="BodyText"/>
        <w:autoSpaceDN w:val="0"/>
        <w:rPr>
          <w:sz w:val="22"/>
          <w:szCs w:val="22"/>
        </w:rPr>
      </w:pPr>
    </w:p>
    <w:p w14:paraId="7F4FE44A" w14:textId="3EAF9B87" w:rsidR="00BA63D6" w:rsidRPr="00EB15D4" w:rsidRDefault="00BA63D6" w:rsidP="007E0CE7">
      <w:pPr>
        <w:pStyle w:val="BodyText"/>
        <w:autoSpaceDN w:val="0"/>
        <w:rPr>
          <w:sz w:val="22"/>
          <w:szCs w:val="22"/>
        </w:rPr>
      </w:pPr>
      <w:r w:rsidRPr="00EB15D4">
        <w:rPr>
          <w:sz w:val="22"/>
          <w:szCs w:val="22"/>
        </w:rPr>
        <w:t xml:space="preserve">     To argue against the theory that the British people were </w:t>
      </w:r>
      <w:r w:rsidR="002F222F" w:rsidRPr="00EB15D4">
        <w:rPr>
          <w:sz w:val="22"/>
          <w:szCs w:val="22"/>
        </w:rPr>
        <w:t xml:space="preserve">full of war enthusiasm </w:t>
      </w:r>
      <w:r w:rsidRPr="00EB15D4">
        <w:rPr>
          <w:sz w:val="22"/>
          <w:szCs w:val="22"/>
        </w:rPr>
        <w:t xml:space="preserve">and ready to fight in the summer of 1914, </w:t>
      </w:r>
      <w:r w:rsidR="002F222F" w:rsidRPr="00EB15D4">
        <w:rPr>
          <w:sz w:val="22"/>
          <w:szCs w:val="22"/>
        </w:rPr>
        <w:t xml:space="preserve">is evidence in the form of </w:t>
      </w:r>
      <w:r w:rsidRPr="00EB15D4">
        <w:rPr>
          <w:sz w:val="22"/>
          <w:szCs w:val="22"/>
        </w:rPr>
        <w:t xml:space="preserve">anti-war sentiments </w:t>
      </w:r>
      <w:r w:rsidR="002F222F" w:rsidRPr="00EB15D4">
        <w:rPr>
          <w:sz w:val="22"/>
          <w:szCs w:val="22"/>
        </w:rPr>
        <w:t xml:space="preserve">that </w:t>
      </w:r>
      <w:r w:rsidRPr="00EB15D4">
        <w:rPr>
          <w:sz w:val="22"/>
          <w:szCs w:val="22"/>
        </w:rPr>
        <w:t xml:space="preserve">started to appear in newspapers. </w:t>
      </w:r>
      <w:r w:rsidR="002F222F" w:rsidRPr="00EB15D4">
        <w:rPr>
          <w:sz w:val="22"/>
          <w:szCs w:val="22"/>
        </w:rPr>
        <w:t>One famous letter came from Norman Angell, a well-established lecturer, author, journalist and member of parliament</w:t>
      </w:r>
      <w:r w:rsidR="005E16FF" w:rsidRPr="00EB15D4">
        <w:rPr>
          <w:sz w:val="22"/>
          <w:szCs w:val="22"/>
        </w:rPr>
        <w:t xml:space="preserve"> and one of the founders of the Union of Democratic Control.</w:t>
      </w:r>
      <w:r w:rsidR="004314B3" w:rsidRPr="00EB15D4">
        <w:rPr>
          <w:sz w:val="22"/>
          <w:szCs w:val="22"/>
        </w:rPr>
        <w:t xml:space="preserve"> Angell wrote a letter to </w:t>
      </w:r>
      <w:r w:rsidR="004314B3" w:rsidRPr="00EB15D4">
        <w:rPr>
          <w:i/>
          <w:iCs/>
          <w:sz w:val="22"/>
          <w:szCs w:val="22"/>
        </w:rPr>
        <w:t>The Times</w:t>
      </w:r>
      <w:r w:rsidR="004314B3" w:rsidRPr="00EB15D4">
        <w:rPr>
          <w:sz w:val="22"/>
          <w:szCs w:val="22"/>
        </w:rPr>
        <w:t>, that was published on the 1</w:t>
      </w:r>
      <w:r w:rsidR="004314B3" w:rsidRPr="00EB15D4">
        <w:rPr>
          <w:sz w:val="22"/>
          <w:szCs w:val="22"/>
          <w:vertAlign w:val="superscript"/>
        </w:rPr>
        <w:t>st</w:t>
      </w:r>
      <w:r w:rsidR="004314B3" w:rsidRPr="00EB15D4">
        <w:rPr>
          <w:sz w:val="22"/>
          <w:szCs w:val="22"/>
        </w:rPr>
        <w:t xml:space="preserve"> of August 1914, just three days before Britain declared war with Germany. The content of Angell’s letter surrounds the ‘concern of Russia over Germany’, referring to </w:t>
      </w:r>
      <w:r w:rsidR="004314B3" w:rsidRPr="00EB15D4">
        <w:rPr>
          <w:sz w:val="22"/>
          <w:szCs w:val="22"/>
        </w:rPr>
        <w:lastRenderedPageBreak/>
        <w:t>Russia as a more likely threat to Britain that Germany.</w:t>
      </w:r>
      <w:r w:rsidR="004314B3" w:rsidRPr="00EB15D4">
        <w:rPr>
          <w:rStyle w:val="FootnoteReference"/>
          <w:sz w:val="22"/>
          <w:szCs w:val="22"/>
        </w:rPr>
        <w:footnoteReference w:id="22"/>
      </w:r>
      <w:r w:rsidR="004314B3" w:rsidRPr="00EB15D4">
        <w:rPr>
          <w:sz w:val="22"/>
          <w:szCs w:val="22"/>
        </w:rPr>
        <w:t xml:space="preserve"> </w:t>
      </w:r>
      <w:r w:rsidR="00C54839" w:rsidRPr="00EB15D4">
        <w:rPr>
          <w:sz w:val="22"/>
          <w:szCs w:val="22"/>
        </w:rPr>
        <w:t>Within this letter of concern Angell states ‘isolation’ is best for the British people, by remaining isolated from the war Britain will become ‘the strongest power in Europe’, but this is not a possibility due to the British government already in conversation with the Kaiser, awaiting his response to their ultimatum.</w:t>
      </w:r>
      <w:r w:rsidR="00C54839" w:rsidRPr="00EB15D4">
        <w:rPr>
          <w:rStyle w:val="FootnoteReference"/>
          <w:sz w:val="22"/>
          <w:szCs w:val="22"/>
        </w:rPr>
        <w:footnoteReference w:id="23"/>
      </w:r>
      <w:r w:rsidR="00C54839" w:rsidRPr="00EB15D4">
        <w:rPr>
          <w:sz w:val="22"/>
          <w:szCs w:val="22"/>
        </w:rPr>
        <w:t xml:space="preserve"> Angell goes on to present anti-Russia ideas, using language such as ‘menace, autocratically governed people, rudimentary civilization’ to compare them to a ‘civilised </w:t>
      </w:r>
      <w:r w:rsidR="00984E2A" w:rsidRPr="00EB15D4">
        <w:rPr>
          <w:sz w:val="22"/>
          <w:szCs w:val="22"/>
        </w:rPr>
        <w:t>Germany’, of whom Britain should not fight with.</w:t>
      </w:r>
      <w:r w:rsidR="00984E2A" w:rsidRPr="00EB15D4">
        <w:rPr>
          <w:rStyle w:val="FootnoteReference"/>
          <w:sz w:val="22"/>
          <w:szCs w:val="22"/>
        </w:rPr>
        <w:footnoteReference w:id="24"/>
      </w:r>
      <w:r w:rsidR="00324D58" w:rsidRPr="00EB15D4">
        <w:rPr>
          <w:sz w:val="22"/>
          <w:szCs w:val="22"/>
        </w:rPr>
        <w:t xml:space="preserve"> </w:t>
      </w:r>
      <w:r w:rsidR="00285844" w:rsidRPr="00EB15D4">
        <w:rPr>
          <w:sz w:val="22"/>
          <w:szCs w:val="22"/>
        </w:rPr>
        <w:t xml:space="preserve">Angell believes no one will benefit from a continental war, and that the rapid growth of Russia and its militarism is more of a threat and danger to Britain. At the latter end of his letter, Angell makes reference to Sir Edward Grey, who actively and publicly tried to sway the British government to not enter war with Germany and remain neutral, although this </w:t>
      </w:r>
      <w:r w:rsidR="008D6AE6" w:rsidRPr="00EB15D4">
        <w:rPr>
          <w:sz w:val="22"/>
          <w:szCs w:val="22"/>
        </w:rPr>
        <w:t>failed,</w:t>
      </w:r>
      <w:r w:rsidR="00285844" w:rsidRPr="00EB15D4">
        <w:rPr>
          <w:sz w:val="22"/>
          <w:szCs w:val="22"/>
        </w:rPr>
        <w:t xml:space="preserve"> and he ended up in negotiations with the Kaiser on behalf of the British government. </w:t>
      </w:r>
      <w:r w:rsidR="006A301B" w:rsidRPr="00EB15D4">
        <w:rPr>
          <w:sz w:val="22"/>
          <w:szCs w:val="22"/>
        </w:rPr>
        <w:t xml:space="preserve">To support Normal Angell’s argument that Germany is not the enemy, two more letters were published by </w:t>
      </w:r>
      <w:r w:rsidR="006A301B" w:rsidRPr="00EB15D4">
        <w:rPr>
          <w:i/>
          <w:iCs/>
          <w:sz w:val="22"/>
          <w:szCs w:val="22"/>
        </w:rPr>
        <w:t>The Times</w:t>
      </w:r>
      <w:r w:rsidR="006A301B" w:rsidRPr="00EB15D4">
        <w:rPr>
          <w:sz w:val="22"/>
          <w:szCs w:val="22"/>
        </w:rPr>
        <w:t xml:space="preserve"> on the same date. The ‘Scholars protest against war with Germany and a Socialist Demonstration’, both of which express confusion as to why Britain are considering war with the people of Germany </w:t>
      </w:r>
      <w:r w:rsidR="00203021" w:rsidRPr="00EB15D4">
        <w:rPr>
          <w:sz w:val="22"/>
          <w:szCs w:val="22"/>
        </w:rPr>
        <w:t>but also highlight</w:t>
      </w:r>
      <w:r w:rsidR="006A301B" w:rsidRPr="00EB15D4">
        <w:rPr>
          <w:sz w:val="22"/>
          <w:szCs w:val="22"/>
        </w:rPr>
        <w:t xml:space="preserve"> how war is the wrong approach to the heightened tensions across Europe.</w:t>
      </w:r>
      <w:r w:rsidR="006A301B" w:rsidRPr="00EB15D4">
        <w:rPr>
          <w:rStyle w:val="FootnoteReference"/>
          <w:sz w:val="22"/>
          <w:szCs w:val="22"/>
        </w:rPr>
        <w:footnoteReference w:id="25"/>
      </w:r>
      <w:r w:rsidR="006A301B" w:rsidRPr="00EB15D4">
        <w:rPr>
          <w:sz w:val="22"/>
          <w:szCs w:val="22"/>
        </w:rPr>
        <w:t xml:space="preserve"> In the scholars protest focus is placed on Germany being enlightened and producers of great art and innovators in science. Like Angell, they believe Russia is more of a threat that Germany</w:t>
      </w:r>
      <w:r w:rsidR="007448B7" w:rsidRPr="00EB15D4">
        <w:rPr>
          <w:sz w:val="22"/>
          <w:szCs w:val="22"/>
        </w:rPr>
        <w:t xml:space="preserve"> and highlight patriotism as a form of </w:t>
      </w:r>
      <w:r w:rsidR="00203021" w:rsidRPr="00EB15D4">
        <w:rPr>
          <w:sz w:val="22"/>
          <w:szCs w:val="22"/>
        </w:rPr>
        <w:t>public control. Similar to Norman Angell and the scholars, the Socialist Demonstration believe alliance with Russia is not the answer. Not only do they agree that Russia is a bigger threat to Britain tha</w:t>
      </w:r>
      <w:r w:rsidR="003F267D">
        <w:rPr>
          <w:sz w:val="22"/>
          <w:szCs w:val="22"/>
        </w:rPr>
        <w:t>n</w:t>
      </w:r>
      <w:r w:rsidR="00203021" w:rsidRPr="00EB15D4">
        <w:rPr>
          <w:sz w:val="22"/>
          <w:szCs w:val="22"/>
        </w:rPr>
        <w:t xml:space="preserve"> Germany, they preach for the ‘government of Britain should decline to engage in war’ and Britain should isolate itself to focus on brin</w:t>
      </w:r>
      <w:r w:rsidR="003F267D">
        <w:rPr>
          <w:sz w:val="22"/>
          <w:szCs w:val="22"/>
        </w:rPr>
        <w:t>g</w:t>
      </w:r>
      <w:r w:rsidR="00203021" w:rsidRPr="00EB15D4">
        <w:rPr>
          <w:sz w:val="22"/>
          <w:szCs w:val="22"/>
        </w:rPr>
        <w:t>ing ‘peace’.</w:t>
      </w:r>
      <w:r w:rsidR="00EF5452" w:rsidRPr="00EB15D4">
        <w:rPr>
          <w:rStyle w:val="FootnoteReference"/>
          <w:sz w:val="22"/>
          <w:szCs w:val="22"/>
        </w:rPr>
        <w:footnoteReference w:id="26"/>
      </w:r>
      <w:r w:rsidR="00203021" w:rsidRPr="00EB15D4">
        <w:rPr>
          <w:sz w:val="22"/>
          <w:szCs w:val="22"/>
        </w:rPr>
        <w:t xml:space="preserve"> These anti-war sentiments all have neutrality in common, alongside a concern</w:t>
      </w:r>
      <w:r w:rsidR="003F267D">
        <w:rPr>
          <w:sz w:val="22"/>
          <w:szCs w:val="22"/>
        </w:rPr>
        <w:t xml:space="preserve"> for </w:t>
      </w:r>
      <w:r w:rsidR="00203021" w:rsidRPr="00EB15D4">
        <w:rPr>
          <w:sz w:val="22"/>
          <w:szCs w:val="22"/>
        </w:rPr>
        <w:t xml:space="preserve">growing Russia and its potential threat, </w:t>
      </w:r>
      <w:r w:rsidR="00EF5452" w:rsidRPr="00EB15D4">
        <w:rPr>
          <w:sz w:val="22"/>
          <w:szCs w:val="22"/>
        </w:rPr>
        <w:t xml:space="preserve">they believe war with Germany is not practical and no side will gain from war, but also believe to be representing the national public opinion. </w:t>
      </w:r>
    </w:p>
    <w:p w14:paraId="3EA49315" w14:textId="4AAB5C47" w:rsidR="00527465" w:rsidRPr="00EB15D4" w:rsidRDefault="00527465" w:rsidP="007E0CE7">
      <w:pPr>
        <w:pStyle w:val="BodyText"/>
        <w:autoSpaceDN w:val="0"/>
        <w:rPr>
          <w:sz w:val="22"/>
          <w:szCs w:val="22"/>
        </w:rPr>
      </w:pPr>
    </w:p>
    <w:p w14:paraId="2AFFECDB" w14:textId="6FB51F82" w:rsidR="00527465" w:rsidRPr="00EB15D4" w:rsidRDefault="00527465" w:rsidP="007E0CE7">
      <w:pPr>
        <w:pStyle w:val="BodyText"/>
        <w:autoSpaceDN w:val="0"/>
        <w:rPr>
          <w:sz w:val="22"/>
          <w:szCs w:val="22"/>
        </w:rPr>
      </w:pPr>
      <w:r w:rsidRPr="00EB15D4">
        <w:rPr>
          <w:sz w:val="22"/>
          <w:szCs w:val="22"/>
        </w:rPr>
        <w:t xml:space="preserve">     </w:t>
      </w:r>
      <w:r w:rsidR="00BB33E0" w:rsidRPr="00EB15D4">
        <w:rPr>
          <w:sz w:val="22"/>
          <w:szCs w:val="22"/>
        </w:rPr>
        <w:t>After the Great War, once private accounts of feelings and events became public. Edmund Blunden was a war poet of the time, writing a collection of poetry called ‘Shells by a Stream’.</w:t>
      </w:r>
      <w:r w:rsidR="00BB33E0" w:rsidRPr="00EB15D4">
        <w:rPr>
          <w:rStyle w:val="FootnoteReference"/>
          <w:sz w:val="22"/>
          <w:szCs w:val="22"/>
        </w:rPr>
        <w:footnoteReference w:id="27"/>
      </w:r>
      <w:r w:rsidR="00BB33E0" w:rsidRPr="00EB15D4">
        <w:rPr>
          <w:sz w:val="22"/>
          <w:szCs w:val="22"/>
        </w:rPr>
        <w:t xml:space="preserve"> Throughout Blunden’s poetry war is romanticised and his poetry gives an insight into his personal feelings at the time, which is open to interpretation depending on the reader. Another famous book </w:t>
      </w:r>
      <w:r w:rsidR="00622A4E" w:rsidRPr="00EB15D4">
        <w:rPr>
          <w:sz w:val="22"/>
          <w:szCs w:val="22"/>
        </w:rPr>
        <w:t xml:space="preserve">that highlights war enthusiasm during the summer of 1914 is by Vera Brittain. Vera wrote the ‘Testament of Youth’ detailing her everyday life, activities and feelings. Vera details how she considered war as an ‘infuriating personal interruption’ to begin with, before considering reasons </w:t>
      </w:r>
      <w:r w:rsidR="003F267D">
        <w:rPr>
          <w:sz w:val="22"/>
          <w:szCs w:val="22"/>
        </w:rPr>
        <w:t>for going</w:t>
      </w:r>
      <w:bookmarkStart w:id="0" w:name="_GoBack"/>
      <w:bookmarkEnd w:id="0"/>
      <w:r w:rsidR="00622A4E" w:rsidRPr="00EB15D4">
        <w:rPr>
          <w:sz w:val="22"/>
          <w:szCs w:val="22"/>
        </w:rPr>
        <w:t xml:space="preserve"> to war.</w:t>
      </w:r>
      <w:r w:rsidR="00622A4E" w:rsidRPr="00EB15D4">
        <w:rPr>
          <w:rStyle w:val="FootnoteReference"/>
          <w:sz w:val="22"/>
          <w:szCs w:val="22"/>
        </w:rPr>
        <w:footnoteReference w:id="28"/>
      </w:r>
      <w:r w:rsidR="00622A4E" w:rsidRPr="00EB15D4">
        <w:rPr>
          <w:sz w:val="22"/>
          <w:szCs w:val="22"/>
        </w:rPr>
        <w:t xml:space="preserve"> Vera later took a pro-war stance, preaching ‘refusing to help our friend France, we should be guilty of the grossest treachery’.</w:t>
      </w:r>
      <w:r w:rsidR="00622A4E" w:rsidRPr="00EB15D4">
        <w:rPr>
          <w:rStyle w:val="FootnoteReference"/>
          <w:sz w:val="22"/>
          <w:szCs w:val="22"/>
        </w:rPr>
        <w:footnoteReference w:id="29"/>
      </w:r>
      <w:r w:rsidR="00622A4E" w:rsidRPr="00EB15D4">
        <w:rPr>
          <w:sz w:val="22"/>
          <w:szCs w:val="22"/>
        </w:rPr>
        <w:t xml:space="preserve"> Like many pro-war campaigners Vera’s testament ends with a shift in opinion</w:t>
      </w:r>
      <w:r w:rsidR="00F436B4" w:rsidRPr="00EB15D4">
        <w:rPr>
          <w:sz w:val="22"/>
          <w:szCs w:val="22"/>
        </w:rPr>
        <w:t xml:space="preserve"> due to the loss of ‘Edward, Roland, Victor and Geoffrey’, Vera ends part two with ‘The war was over; a new age was beginning; but the dead were dead and would never return’, suggesting through loss, only then had she realised war is not the answer.</w:t>
      </w:r>
      <w:r w:rsidR="00F436B4" w:rsidRPr="00EB15D4">
        <w:rPr>
          <w:rStyle w:val="FootnoteReference"/>
          <w:sz w:val="22"/>
          <w:szCs w:val="22"/>
        </w:rPr>
        <w:footnoteReference w:id="30"/>
      </w:r>
      <w:r w:rsidR="00F436B4" w:rsidRPr="00EB15D4">
        <w:rPr>
          <w:sz w:val="22"/>
          <w:szCs w:val="22"/>
        </w:rPr>
        <w:t xml:space="preserve"> </w:t>
      </w:r>
    </w:p>
    <w:p w14:paraId="049F4746" w14:textId="6D7DEFD7" w:rsidR="00F436B4" w:rsidRPr="00EB15D4" w:rsidRDefault="00F436B4" w:rsidP="007E0CE7">
      <w:pPr>
        <w:pStyle w:val="BodyText"/>
        <w:autoSpaceDN w:val="0"/>
        <w:rPr>
          <w:sz w:val="22"/>
          <w:szCs w:val="22"/>
        </w:rPr>
      </w:pPr>
    </w:p>
    <w:p w14:paraId="1366F9C7" w14:textId="7C9EC8D6" w:rsidR="00F436B4" w:rsidRPr="00EB15D4" w:rsidRDefault="00F436B4" w:rsidP="007E0CE7">
      <w:pPr>
        <w:pStyle w:val="BodyText"/>
        <w:autoSpaceDN w:val="0"/>
        <w:rPr>
          <w:sz w:val="22"/>
          <w:szCs w:val="22"/>
        </w:rPr>
      </w:pPr>
      <w:r w:rsidRPr="00EB15D4">
        <w:rPr>
          <w:sz w:val="22"/>
          <w:szCs w:val="22"/>
        </w:rPr>
        <w:t xml:space="preserve">     As Gregory concludes war enthusiasm and the patriotic craze cannot be generalised to the British nation as a whole during the summer of 1914. There is not enough evidence to suggest Britons were enthusiastic, but more evidence </w:t>
      </w:r>
      <w:r w:rsidR="00AE2902" w:rsidRPr="00EB15D4">
        <w:rPr>
          <w:sz w:val="22"/>
          <w:szCs w:val="22"/>
        </w:rPr>
        <w:t xml:space="preserve">to </w:t>
      </w:r>
      <w:r w:rsidRPr="00EB15D4">
        <w:rPr>
          <w:sz w:val="22"/>
          <w:szCs w:val="22"/>
        </w:rPr>
        <w:t>support a lack of enthusiasm towards the impending conflict with Germany. The British public did not understand the reality of war nor the consequences of total war.</w:t>
      </w:r>
      <w:r w:rsidR="00AE2902" w:rsidRPr="00EB15D4">
        <w:rPr>
          <w:sz w:val="22"/>
          <w:szCs w:val="22"/>
        </w:rPr>
        <w:t xml:space="preserve"> Many did not understand why the British government sought to declare war on Germany, instead there was mass confusion. After the outbreak of war there was a shift in public opinion, that resulted in the </w:t>
      </w:r>
      <w:r w:rsidR="00AE2902" w:rsidRPr="00EB15D4">
        <w:rPr>
          <w:sz w:val="22"/>
          <w:szCs w:val="22"/>
        </w:rPr>
        <w:lastRenderedPageBreak/>
        <w:t>need for scaremongering through anti-German propaganda, suggesting an even more predominant anti-war feeling. Overall the majority of Britons lacked war enthusiasm during the summer of 1914.</w:t>
      </w:r>
    </w:p>
    <w:p w14:paraId="728BA3D6" w14:textId="721950BC" w:rsidR="00EF6721" w:rsidRPr="00EB15D4" w:rsidRDefault="00EF6721" w:rsidP="007E0CE7">
      <w:pPr>
        <w:pStyle w:val="BodyText"/>
        <w:autoSpaceDN w:val="0"/>
        <w:rPr>
          <w:sz w:val="22"/>
          <w:szCs w:val="22"/>
        </w:rPr>
      </w:pPr>
    </w:p>
    <w:p w14:paraId="503B3036" w14:textId="5D7C72BC" w:rsidR="00EF6721" w:rsidRPr="00EB15D4" w:rsidRDefault="00EF6721" w:rsidP="007E0CE7">
      <w:pPr>
        <w:pStyle w:val="BodyText"/>
        <w:autoSpaceDN w:val="0"/>
        <w:rPr>
          <w:sz w:val="22"/>
          <w:szCs w:val="22"/>
        </w:rPr>
      </w:pPr>
    </w:p>
    <w:p w14:paraId="0A4A8AE4" w14:textId="7CB3F4EB" w:rsidR="00EF6721" w:rsidRPr="00EB15D4" w:rsidRDefault="00EF6721" w:rsidP="007E0CE7">
      <w:pPr>
        <w:pStyle w:val="BodyText"/>
        <w:autoSpaceDN w:val="0"/>
        <w:rPr>
          <w:b/>
          <w:bCs/>
          <w:sz w:val="22"/>
          <w:szCs w:val="22"/>
          <w:u w:val="single"/>
        </w:rPr>
      </w:pPr>
      <w:r w:rsidRPr="00EB15D4">
        <w:rPr>
          <w:b/>
          <w:bCs/>
          <w:sz w:val="22"/>
          <w:szCs w:val="22"/>
          <w:u w:val="single"/>
        </w:rPr>
        <w:t>Bibliography</w:t>
      </w:r>
    </w:p>
    <w:p w14:paraId="1EC7E6D1" w14:textId="33502839" w:rsidR="00EF6721" w:rsidRPr="00EB15D4" w:rsidRDefault="00EF6721" w:rsidP="007E0CE7">
      <w:pPr>
        <w:pStyle w:val="BodyText"/>
        <w:autoSpaceDN w:val="0"/>
        <w:rPr>
          <w:sz w:val="22"/>
          <w:szCs w:val="22"/>
        </w:rPr>
      </w:pPr>
    </w:p>
    <w:p w14:paraId="2523D7F1" w14:textId="5C2A40CF" w:rsidR="00EF6721" w:rsidRPr="00EB15D4" w:rsidRDefault="00EF6721" w:rsidP="007E0CE7">
      <w:pPr>
        <w:pStyle w:val="BodyText"/>
        <w:autoSpaceDN w:val="0"/>
        <w:rPr>
          <w:b/>
          <w:bCs/>
          <w:sz w:val="22"/>
          <w:szCs w:val="22"/>
          <w:u w:val="single"/>
        </w:rPr>
      </w:pPr>
      <w:r w:rsidRPr="00EB15D4">
        <w:rPr>
          <w:b/>
          <w:bCs/>
          <w:sz w:val="22"/>
          <w:szCs w:val="22"/>
          <w:u w:val="single"/>
        </w:rPr>
        <w:t>Primary Sources</w:t>
      </w:r>
    </w:p>
    <w:p w14:paraId="5C051D04" w14:textId="4B36F7CC" w:rsidR="00EF6721" w:rsidRPr="00EB15D4" w:rsidRDefault="00EF6721" w:rsidP="007E0CE7">
      <w:pPr>
        <w:pStyle w:val="BodyText"/>
        <w:autoSpaceDN w:val="0"/>
        <w:rPr>
          <w:b/>
          <w:bCs/>
          <w:sz w:val="22"/>
          <w:szCs w:val="22"/>
          <w:u w:val="single"/>
        </w:rPr>
      </w:pPr>
    </w:p>
    <w:p w14:paraId="0AD5A785" w14:textId="28ADE734" w:rsidR="0038196B" w:rsidRPr="00EB15D4" w:rsidRDefault="0038196B" w:rsidP="007E0CE7">
      <w:pPr>
        <w:pStyle w:val="BodyText"/>
        <w:autoSpaceDN w:val="0"/>
        <w:rPr>
          <w:sz w:val="22"/>
          <w:szCs w:val="22"/>
        </w:rPr>
      </w:pPr>
      <w:r w:rsidRPr="00EB15D4">
        <w:rPr>
          <w:sz w:val="22"/>
          <w:szCs w:val="22"/>
        </w:rPr>
        <w:t xml:space="preserve">Blunden E., </w:t>
      </w:r>
      <w:r w:rsidRPr="00EB15D4">
        <w:rPr>
          <w:i/>
          <w:iCs/>
          <w:sz w:val="22"/>
          <w:szCs w:val="22"/>
        </w:rPr>
        <w:t>Shells by a stream</w:t>
      </w:r>
      <w:r w:rsidRPr="00EB15D4">
        <w:rPr>
          <w:sz w:val="22"/>
          <w:szCs w:val="22"/>
        </w:rPr>
        <w:t xml:space="preserve"> (London: Macmillan &amp; Co. LTD, 1945).</w:t>
      </w:r>
    </w:p>
    <w:p w14:paraId="264D0106" w14:textId="77777777" w:rsidR="0038196B" w:rsidRPr="00EB15D4" w:rsidRDefault="0038196B" w:rsidP="007E0CE7">
      <w:pPr>
        <w:pStyle w:val="BodyText"/>
        <w:autoSpaceDN w:val="0"/>
        <w:rPr>
          <w:sz w:val="22"/>
          <w:szCs w:val="22"/>
        </w:rPr>
      </w:pPr>
    </w:p>
    <w:p w14:paraId="16CD22AE" w14:textId="418855B6" w:rsidR="00EF6721" w:rsidRPr="00EB15D4" w:rsidRDefault="0038196B" w:rsidP="007E0CE7">
      <w:pPr>
        <w:pStyle w:val="BodyText"/>
        <w:autoSpaceDN w:val="0"/>
        <w:rPr>
          <w:sz w:val="22"/>
          <w:szCs w:val="22"/>
        </w:rPr>
      </w:pPr>
      <w:r w:rsidRPr="00EB15D4">
        <w:rPr>
          <w:sz w:val="22"/>
          <w:szCs w:val="22"/>
        </w:rPr>
        <w:t>Brittain</w:t>
      </w:r>
      <w:r w:rsidRPr="00EB15D4">
        <w:rPr>
          <w:sz w:val="22"/>
          <w:szCs w:val="22"/>
        </w:rPr>
        <w:t xml:space="preserve"> V.</w:t>
      </w:r>
      <w:r w:rsidRPr="00EB15D4">
        <w:rPr>
          <w:sz w:val="22"/>
          <w:szCs w:val="22"/>
        </w:rPr>
        <w:t xml:space="preserve">, </w:t>
      </w:r>
      <w:r w:rsidRPr="00EB15D4">
        <w:rPr>
          <w:i/>
          <w:iCs/>
          <w:sz w:val="22"/>
          <w:szCs w:val="22"/>
        </w:rPr>
        <w:t>Testament of Youth</w:t>
      </w:r>
      <w:r w:rsidRPr="00EB15D4">
        <w:rPr>
          <w:sz w:val="22"/>
          <w:szCs w:val="22"/>
        </w:rPr>
        <w:t xml:space="preserve"> (Glasgow: Virago Ltd 1979 [1933]).</w:t>
      </w:r>
    </w:p>
    <w:p w14:paraId="03E91937" w14:textId="35BE978B" w:rsidR="0038196B" w:rsidRPr="00EB15D4" w:rsidRDefault="0038196B" w:rsidP="007E0CE7">
      <w:pPr>
        <w:pStyle w:val="BodyText"/>
        <w:autoSpaceDN w:val="0"/>
        <w:rPr>
          <w:sz w:val="22"/>
          <w:szCs w:val="22"/>
        </w:rPr>
      </w:pPr>
    </w:p>
    <w:p w14:paraId="08E1B254" w14:textId="1FB7CFE6" w:rsidR="00CA2909" w:rsidRPr="00EB15D4" w:rsidRDefault="00CA2909" w:rsidP="007E0CE7">
      <w:pPr>
        <w:pStyle w:val="BodyText"/>
        <w:autoSpaceDN w:val="0"/>
        <w:rPr>
          <w:color w:val="000000"/>
          <w:sz w:val="22"/>
          <w:szCs w:val="22"/>
        </w:rPr>
      </w:pPr>
      <w:r w:rsidRPr="00EB15D4">
        <w:rPr>
          <w:sz w:val="22"/>
          <w:szCs w:val="22"/>
        </w:rPr>
        <w:t xml:space="preserve">Le Queux W., </w:t>
      </w:r>
      <w:r w:rsidRPr="00EB15D4">
        <w:rPr>
          <w:i/>
          <w:iCs/>
          <w:sz w:val="22"/>
          <w:szCs w:val="22"/>
        </w:rPr>
        <w:t>The Invasion of 1910: With a full account of the siege of London</w:t>
      </w:r>
      <w:r w:rsidRPr="00EB15D4">
        <w:rPr>
          <w:sz w:val="22"/>
          <w:szCs w:val="22"/>
        </w:rPr>
        <w:t xml:space="preserve"> (Salt Lake City: The Project Gutenberg eBook 2016 [1906]), eBook </w:t>
      </w:r>
      <w:r w:rsidRPr="00EB15D4">
        <w:rPr>
          <w:color w:val="000000"/>
          <w:sz w:val="22"/>
          <w:szCs w:val="22"/>
        </w:rPr>
        <w:t>#</w:t>
      </w:r>
      <w:r w:rsidRPr="00EB15D4">
        <w:rPr>
          <w:color w:val="000000"/>
          <w:sz w:val="22"/>
          <w:szCs w:val="22"/>
        </w:rPr>
        <w:t>51905.</w:t>
      </w:r>
    </w:p>
    <w:p w14:paraId="4F5F7DA1" w14:textId="1D63790F" w:rsidR="00CA2909" w:rsidRPr="00EB15D4" w:rsidRDefault="00CA2909" w:rsidP="007E0CE7">
      <w:pPr>
        <w:pStyle w:val="BodyText"/>
        <w:autoSpaceDN w:val="0"/>
        <w:rPr>
          <w:color w:val="000000"/>
          <w:sz w:val="22"/>
          <w:szCs w:val="22"/>
        </w:rPr>
      </w:pPr>
    </w:p>
    <w:p w14:paraId="0C27F9B0" w14:textId="35D6F04A" w:rsidR="00CA2909" w:rsidRPr="00EB15D4" w:rsidRDefault="00CA2909" w:rsidP="007E0CE7">
      <w:pPr>
        <w:pStyle w:val="BodyText"/>
        <w:autoSpaceDN w:val="0"/>
        <w:rPr>
          <w:sz w:val="22"/>
          <w:szCs w:val="22"/>
        </w:rPr>
      </w:pPr>
      <w:r w:rsidRPr="00EB15D4">
        <w:rPr>
          <w:color w:val="000000"/>
          <w:sz w:val="22"/>
          <w:szCs w:val="22"/>
        </w:rPr>
        <w:t xml:space="preserve">Le Queux W., </w:t>
      </w:r>
      <w:r w:rsidRPr="00EB15D4">
        <w:rPr>
          <w:i/>
          <w:iCs/>
          <w:color w:val="000000"/>
          <w:sz w:val="22"/>
          <w:szCs w:val="22"/>
        </w:rPr>
        <w:t>Spies of the Kaiser plotting the downfall of England</w:t>
      </w:r>
      <w:r w:rsidRPr="00EB15D4">
        <w:rPr>
          <w:color w:val="000000"/>
          <w:sz w:val="22"/>
          <w:szCs w:val="22"/>
        </w:rPr>
        <w:t xml:space="preserve"> (Salt Lake City: The Project Gutenberg eBook 2010 [1909]), eBook </w:t>
      </w:r>
      <w:r w:rsidRPr="00EB15D4">
        <w:rPr>
          <w:color w:val="000000"/>
          <w:sz w:val="22"/>
          <w:szCs w:val="22"/>
        </w:rPr>
        <w:t>#</w:t>
      </w:r>
      <w:r w:rsidRPr="00EB15D4">
        <w:rPr>
          <w:color w:val="000000"/>
          <w:sz w:val="22"/>
          <w:szCs w:val="22"/>
        </w:rPr>
        <w:t>33298.</w:t>
      </w:r>
    </w:p>
    <w:p w14:paraId="0367C229" w14:textId="77777777" w:rsidR="00CA2909" w:rsidRPr="00EB15D4" w:rsidRDefault="00CA2909" w:rsidP="007E0CE7">
      <w:pPr>
        <w:pStyle w:val="BodyText"/>
        <w:autoSpaceDN w:val="0"/>
        <w:rPr>
          <w:sz w:val="22"/>
          <w:szCs w:val="22"/>
        </w:rPr>
      </w:pPr>
    </w:p>
    <w:p w14:paraId="6BC880F1" w14:textId="11CD133D" w:rsidR="0038196B" w:rsidRPr="00EB15D4" w:rsidRDefault="0038196B" w:rsidP="007E0CE7">
      <w:pPr>
        <w:pStyle w:val="BodyText"/>
        <w:autoSpaceDN w:val="0"/>
        <w:rPr>
          <w:sz w:val="22"/>
          <w:szCs w:val="22"/>
        </w:rPr>
      </w:pPr>
      <w:r w:rsidRPr="00EB15D4">
        <w:rPr>
          <w:sz w:val="22"/>
          <w:szCs w:val="22"/>
        </w:rPr>
        <w:t>Marwick A. and Simpson W.</w:t>
      </w:r>
      <w:r w:rsidRPr="00EB15D4">
        <w:rPr>
          <w:sz w:val="22"/>
          <w:szCs w:val="22"/>
        </w:rPr>
        <w:t xml:space="preserve">, </w:t>
      </w:r>
      <w:r w:rsidRPr="00EB15D4">
        <w:rPr>
          <w:sz w:val="22"/>
          <w:szCs w:val="22"/>
        </w:rPr>
        <w:t xml:space="preserve">(eds) </w:t>
      </w:r>
      <w:r w:rsidRPr="00EB15D4">
        <w:rPr>
          <w:i/>
          <w:sz w:val="22"/>
          <w:szCs w:val="22"/>
        </w:rPr>
        <w:t>War, Peace and Social Change</w:t>
      </w:r>
      <w:r w:rsidRPr="00EB15D4">
        <w:rPr>
          <w:i/>
          <w:sz w:val="22"/>
          <w:szCs w:val="22"/>
        </w:rPr>
        <w:t xml:space="preserve">, – </w:t>
      </w:r>
      <w:r w:rsidRPr="00EB15D4">
        <w:rPr>
          <w:i/>
          <w:sz w:val="22"/>
          <w:szCs w:val="22"/>
        </w:rPr>
        <w:t>Documents</w:t>
      </w:r>
      <w:r w:rsidRPr="00EB15D4">
        <w:rPr>
          <w:i/>
          <w:sz w:val="22"/>
          <w:szCs w:val="22"/>
        </w:rPr>
        <w:t xml:space="preserve"> 1 1900-1929</w:t>
      </w:r>
      <w:r w:rsidRPr="00EB15D4">
        <w:rPr>
          <w:sz w:val="22"/>
          <w:szCs w:val="22"/>
        </w:rPr>
        <w:t xml:space="preserve"> (</w:t>
      </w:r>
      <w:r w:rsidRPr="00EB15D4">
        <w:rPr>
          <w:sz w:val="22"/>
          <w:szCs w:val="22"/>
        </w:rPr>
        <w:t>Open University Press</w:t>
      </w:r>
      <w:r w:rsidRPr="00EB15D4">
        <w:rPr>
          <w:sz w:val="22"/>
          <w:szCs w:val="22"/>
        </w:rPr>
        <w:t xml:space="preserve">, 1990), </w:t>
      </w:r>
      <w:r w:rsidRPr="00EB15D4">
        <w:rPr>
          <w:sz w:val="22"/>
          <w:szCs w:val="22"/>
        </w:rPr>
        <w:t>pp</w:t>
      </w:r>
      <w:r w:rsidRPr="00EB15D4">
        <w:rPr>
          <w:sz w:val="22"/>
          <w:szCs w:val="22"/>
        </w:rPr>
        <w:t>.</w:t>
      </w:r>
      <w:r w:rsidRPr="00EB15D4">
        <w:rPr>
          <w:sz w:val="22"/>
          <w:szCs w:val="22"/>
        </w:rPr>
        <w:t xml:space="preserve"> </w:t>
      </w:r>
      <w:r w:rsidRPr="00EB15D4">
        <w:rPr>
          <w:sz w:val="22"/>
          <w:szCs w:val="22"/>
        </w:rPr>
        <w:t>3-4.</w:t>
      </w:r>
    </w:p>
    <w:p w14:paraId="09905709" w14:textId="3E905ECF" w:rsidR="0038196B" w:rsidRPr="00EB15D4" w:rsidRDefault="0038196B" w:rsidP="007E0CE7">
      <w:pPr>
        <w:pStyle w:val="BodyText"/>
        <w:autoSpaceDN w:val="0"/>
        <w:rPr>
          <w:b/>
          <w:bCs/>
          <w:sz w:val="22"/>
          <w:szCs w:val="22"/>
          <w:u w:val="single"/>
        </w:rPr>
      </w:pPr>
    </w:p>
    <w:p w14:paraId="439202B7" w14:textId="7B4B1328" w:rsidR="00CA2909" w:rsidRPr="00EB15D4" w:rsidRDefault="00CA2909" w:rsidP="007E0CE7">
      <w:pPr>
        <w:pStyle w:val="BodyText"/>
        <w:autoSpaceDN w:val="0"/>
        <w:rPr>
          <w:b/>
          <w:bCs/>
          <w:sz w:val="22"/>
          <w:szCs w:val="22"/>
          <w:u w:val="single"/>
        </w:rPr>
      </w:pPr>
      <w:r w:rsidRPr="00EB15D4">
        <w:rPr>
          <w:b/>
          <w:bCs/>
          <w:sz w:val="22"/>
          <w:szCs w:val="22"/>
          <w:u w:val="single"/>
        </w:rPr>
        <w:t>Secondary Sources</w:t>
      </w:r>
    </w:p>
    <w:p w14:paraId="0A2ACD63" w14:textId="2715F927" w:rsidR="00CA2909" w:rsidRPr="00EB15D4" w:rsidRDefault="00CA2909" w:rsidP="007E0CE7">
      <w:pPr>
        <w:pStyle w:val="BodyText"/>
        <w:autoSpaceDN w:val="0"/>
        <w:rPr>
          <w:b/>
          <w:bCs/>
          <w:sz w:val="22"/>
          <w:szCs w:val="22"/>
          <w:u w:val="single"/>
        </w:rPr>
      </w:pPr>
    </w:p>
    <w:p w14:paraId="11040AC3" w14:textId="126BCB80" w:rsidR="00CA2909" w:rsidRPr="00EB15D4" w:rsidRDefault="00CA2909" w:rsidP="007E0CE7">
      <w:pPr>
        <w:pStyle w:val="BodyText"/>
        <w:autoSpaceDN w:val="0"/>
        <w:rPr>
          <w:sz w:val="22"/>
          <w:szCs w:val="22"/>
        </w:rPr>
      </w:pPr>
      <w:proofErr w:type="spellStart"/>
      <w:r w:rsidRPr="00EB15D4">
        <w:rPr>
          <w:sz w:val="22"/>
          <w:szCs w:val="22"/>
        </w:rPr>
        <w:t>Basdeo</w:t>
      </w:r>
      <w:proofErr w:type="spellEnd"/>
      <w:r w:rsidRPr="00EB15D4">
        <w:rPr>
          <w:sz w:val="22"/>
          <w:szCs w:val="22"/>
        </w:rPr>
        <w:t xml:space="preserve"> S., </w:t>
      </w:r>
      <w:r w:rsidRPr="00EB15D4">
        <w:rPr>
          <w:i/>
          <w:iCs/>
          <w:sz w:val="22"/>
          <w:szCs w:val="22"/>
        </w:rPr>
        <w:t>The Public School Ethos and Late Nineteenth-Century Juvenile Literature</w:t>
      </w:r>
      <w:r w:rsidR="00300180" w:rsidRPr="00EB15D4">
        <w:rPr>
          <w:sz w:val="22"/>
          <w:szCs w:val="22"/>
        </w:rPr>
        <w:t>, (2013) &lt;</w:t>
      </w:r>
      <w:hyperlink r:id="rId8" w:history="1">
        <w:r w:rsidR="00300180" w:rsidRPr="00EB15D4">
          <w:rPr>
            <w:rStyle w:val="Hyperlink"/>
            <w:sz w:val="22"/>
            <w:szCs w:val="22"/>
          </w:rPr>
          <w:t>https://stephenbasdeo.wordpress.com/2013/09/01/the-public-school-ethos-and-late-nineteenth-century-juvenile-literature-by-stephen-basdeo/</w:t>
        </w:r>
      </w:hyperlink>
      <w:r w:rsidR="00300180" w:rsidRPr="00EB15D4">
        <w:rPr>
          <w:sz w:val="22"/>
          <w:szCs w:val="22"/>
        </w:rPr>
        <w:t>&gt; [accessed 14 November 2019].</w:t>
      </w:r>
    </w:p>
    <w:p w14:paraId="4C6AA911" w14:textId="32E4DA87" w:rsidR="00300180" w:rsidRPr="00EB15D4" w:rsidRDefault="00300180" w:rsidP="007E0CE7">
      <w:pPr>
        <w:pStyle w:val="BodyText"/>
        <w:autoSpaceDN w:val="0"/>
        <w:rPr>
          <w:sz w:val="22"/>
          <w:szCs w:val="22"/>
        </w:rPr>
      </w:pPr>
    </w:p>
    <w:p w14:paraId="10A02F5C" w14:textId="73B12E05" w:rsidR="00300180" w:rsidRPr="00EB15D4" w:rsidRDefault="00300180" w:rsidP="007E0CE7">
      <w:pPr>
        <w:pStyle w:val="BodyText"/>
        <w:autoSpaceDN w:val="0"/>
        <w:rPr>
          <w:sz w:val="22"/>
          <w:szCs w:val="22"/>
        </w:rPr>
      </w:pPr>
      <w:r w:rsidRPr="00EB15D4">
        <w:rPr>
          <w:sz w:val="22"/>
          <w:szCs w:val="22"/>
        </w:rPr>
        <w:t xml:space="preserve">Gregory A., </w:t>
      </w:r>
      <w:r w:rsidRPr="00EB15D4">
        <w:rPr>
          <w:i/>
          <w:iCs/>
          <w:sz w:val="22"/>
          <w:szCs w:val="22"/>
        </w:rPr>
        <w:t>The Last Great War: British Society and the First World War</w:t>
      </w:r>
      <w:r w:rsidRPr="00EB15D4">
        <w:rPr>
          <w:sz w:val="22"/>
          <w:szCs w:val="22"/>
        </w:rPr>
        <w:t xml:space="preserve"> (Cambridge: Cambridge University Press, 2008).</w:t>
      </w:r>
    </w:p>
    <w:p w14:paraId="6F3F62C2" w14:textId="6DBCB0DF" w:rsidR="00300180" w:rsidRPr="00EB15D4" w:rsidRDefault="00300180" w:rsidP="007E0CE7">
      <w:pPr>
        <w:pStyle w:val="BodyText"/>
        <w:autoSpaceDN w:val="0"/>
        <w:rPr>
          <w:sz w:val="22"/>
          <w:szCs w:val="22"/>
        </w:rPr>
      </w:pPr>
    </w:p>
    <w:p w14:paraId="7ADA59B6" w14:textId="3EEAEF45" w:rsidR="00300180" w:rsidRPr="00EB15D4" w:rsidRDefault="00300180" w:rsidP="007E0CE7">
      <w:pPr>
        <w:pStyle w:val="BodyText"/>
        <w:autoSpaceDN w:val="0"/>
        <w:rPr>
          <w:color w:val="333333"/>
          <w:sz w:val="22"/>
          <w:szCs w:val="22"/>
          <w:shd w:val="clear" w:color="auto" w:fill="FFFFFF"/>
          <w:lang w:eastAsia="en-GB"/>
        </w:rPr>
      </w:pPr>
      <w:r w:rsidRPr="00EB15D4">
        <w:rPr>
          <w:sz w:val="22"/>
          <w:szCs w:val="22"/>
        </w:rPr>
        <w:t xml:space="preserve">Hazlehurst C., ‘Asquith as Prime Minister 1908-1916’, </w:t>
      </w:r>
      <w:r w:rsidRPr="00EB15D4">
        <w:rPr>
          <w:i/>
          <w:iCs/>
          <w:sz w:val="22"/>
          <w:szCs w:val="22"/>
        </w:rPr>
        <w:t>The English Historical Review</w:t>
      </w:r>
      <w:r w:rsidRPr="00EB15D4">
        <w:rPr>
          <w:sz w:val="22"/>
          <w:szCs w:val="22"/>
        </w:rPr>
        <w:t>, no. 336, vol. 85 (1970), pp. 502-531. JSTOR, &lt;</w:t>
      </w:r>
      <w:hyperlink r:id="rId9" w:history="1">
        <w:r w:rsidRPr="00EB15D4">
          <w:rPr>
            <w:rStyle w:val="Hyperlink"/>
            <w:sz w:val="22"/>
            <w:szCs w:val="22"/>
            <w:shd w:val="clear" w:color="auto" w:fill="FFFFFF"/>
            <w:lang w:eastAsia="en-GB"/>
          </w:rPr>
          <w:t>www.jstor.org/stable/563193</w:t>
        </w:r>
      </w:hyperlink>
      <w:r w:rsidRPr="00EB15D4">
        <w:rPr>
          <w:color w:val="333333"/>
          <w:sz w:val="22"/>
          <w:szCs w:val="22"/>
          <w:shd w:val="clear" w:color="auto" w:fill="FFFFFF"/>
          <w:lang w:eastAsia="en-GB"/>
        </w:rPr>
        <w:t>&gt; [accessed 13 November 2019].</w:t>
      </w:r>
    </w:p>
    <w:p w14:paraId="2A06D8EC" w14:textId="77777777" w:rsidR="00300180" w:rsidRPr="00EB15D4" w:rsidRDefault="00300180" w:rsidP="007E0CE7">
      <w:pPr>
        <w:pStyle w:val="BodyText"/>
        <w:autoSpaceDN w:val="0"/>
        <w:rPr>
          <w:color w:val="333333"/>
          <w:sz w:val="22"/>
          <w:szCs w:val="22"/>
          <w:shd w:val="clear" w:color="auto" w:fill="FFFFFF"/>
          <w:lang w:eastAsia="en-GB"/>
        </w:rPr>
      </w:pPr>
    </w:p>
    <w:p w14:paraId="3ED0AD0B" w14:textId="498D20E3" w:rsidR="00300180" w:rsidRPr="00EB15D4" w:rsidRDefault="00300180" w:rsidP="007E0CE7">
      <w:pPr>
        <w:pStyle w:val="BodyText"/>
        <w:autoSpaceDN w:val="0"/>
        <w:rPr>
          <w:sz w:val="22"/>
          <w:szCs w:val="22"/>
        </w:rPr>
      </w:pPr>
      <w:r w:rsidRPr="00EB15D4">
        <w:rPr>
          <w:sz w:val="22"/>
          <w:szCs w:val="22"/>
        </w:rPr>
        <w:t>Messinger</w:t>
      </w:r>
      <w:r w:rsidRPr="00EB15D4">
        <w:rPr>
          <w:sz w:val="22"/>
          <w:szCs w:val="22"/>
        </w:rPr>
        <w:t xml:space="preserve"> S. G.</w:t>
      </w:r>
      <w:r w:rsidRPr="00EB15D4">
        <w:rPr>
          <w:sz w:val="22"/>
          <w:szCs w:val="22"/>
        </w:rPr>
        <w:t xml:space="preserve">, </w:t>
      </w:r>
      <w:r w:rsidRPr="00EB15D4">
        <w:rPr>
          <w:i/>
          <w:iCs/>
          <w:sz w:val="22"/>
          <w:szCs w:val="22"/>
        </w:rPr>
        <w:t>British propaganda and the state in the First World War</w:t>
      </w:r>
      <w:r w:rsidRPr="00EB15D4">
        <w:rPr>
          <w:sz w:val="22"/>
          <w:szCs w:val="22"/>
        </w:rPr>
        <w:t xml:space="preserve"> (Manchester: Manchester University Press, 1992), p. 185.</w:t>
      </w:r>
    </w:p>
    <w:p w14:paraId="46338D5D" w14:textId="42C30E03" w:rsidR="008A1DB7" w:rsidRPr="00EB15D4" w:rsidRDefault="008A1DB7" w:rsidP="007E0CE7">
      <w:pPr>
        <w:pStyle w:val="BodyText"/>
        <w:autoSpaceDN w:val="0"/>
        <w:rPr>
          <w:sz w:val="22"/>
          <w:szCs w:val="22"/>
        </w:rPr>
      </w:pPr>
    </w:p>
    <w:p w14:paraId="4FFD7223" w14:textId="71EC2F09" w:rsidR="008A1DB7" w:rsidRPr="00EB15D4" w:rsidRDefault="008A1DB7" w:rsidP="007E0CE7">
      <w:pPr>
        <w:pStyle w:val="BodyText"/>
        <w:autoSpaceDN w:val="0"/>
        <w:rPr>
          <w:sz w:val="22"/>
          <w:szCs w:val="22"/>
        </w:rPr>
      </w:pPr>
      <w:r w:rsidRPr="00EB15D4">
        <w:rPr>
          <w:sz w:val="22"/>
          <w:szCs w:val="22"/>
        </w:rPr>
        <w:t>Sanders</w:t>
      </w:r>
      <w:r w:rsidRPr="00EB15D4">
        <w:rPr>
          <w:sz w:val="22"/>
          <w:szCs w:val="22"/>
        </w:rPr>
        <w:t xml:space="preserve"> L. M.</w:t>
      </w:r>
      <w:r w:rsidRPr="00EB15D4">
        <w:rPr>
          <w:sz w:val="22"/>
          <w:szCs w:val="22"/>
        </w:rPr>
        <w:t xml:space="preserve"> and Taylor</w:t>
      </w:r>
      <w:r w:rsidRPr="00EB15D4">
        <w:rPr>
          <w:sz w:val="22"/>
          <w:szCs w:val="22"/>
        </w:rPr>
        <w:t xml:space="preserve"> M. P.</w:t>
      </w:r>
      <w:r w:rsidRPr="00EB15D4">
        <w:rPr>
          <w:sz w:val="22"/>
          <w:szCs w:val="22"/>
        </w:rPr>
        <w:t xml:space="preserve">, </w:t>
      </w:r>
      <w:r w:rsidRPr="00EB15D4">
        <w:rPr>
          <w:i/>
          <w:iCs/>
          <w:sz w:val="22"/>
          <w:szCs w:val="22"/>
        </w:rPr>
        <w:t>British Propaganda during the First World War 1914-18</w:t>
      </w:r>
      <w:r w:rsidRPr="00EB15D4">
        <w:rPr>
          <w:sz w:val="22"/>
          <w:szCs w:val="22"/>
        </w:rPr>
        <w:t xml:space="preserve"> (London: The Macmillan Press Ltd, 1982), p. 15.</w:t>
      </w:r>
    </w:p>
    <w:p w14:paraId="0CD573AB" w14:textId="73C32349" w:rsidR="008A1DB7" w:rsidRPr="00EB15D4" w:rsidRDefault="008A1DB7" w:rsidP="007E0CE7">
      <w:pPr>
        <w:pStyle w:val="BodyText"/>
        <w:autoSpaceDN w:val="0"/>
        <w:rPr>
          <w:sz w:val="22"/>
          <w:szCs w:val="22"/>
        </w:rPr>
      </w:pPr>
    </w:p>
    <w:p w14:paraId="202DA241" w14:textId="7B36445A" w:rsidR="008A1DB7" w:rsidRPr="00EB15D4" w:rsidRDefault="008A1DB7" w:rsidP="007E0CE7">
      <w:pPr>
        <w:pStyle w:val="BodyText"/>
        <w:autoSpaceDN w:val="0"/>
        <w:rPr>
          <w:sz w:val="22"/>
          <w:szCs w:val="22"/>
        </w:rPr>
      </w:pPr>
      <w:r w:rsidRPr="00EB15D4">
        <w:rPr>
          <w:sz w:val="22"/>
          <w:szCs w:val="22"/>
        </w:rPr>
        <w:t>The</w:t>
      </w:r>
      <w:r w:rsidRPr="00EB15D4">
        <w:rPr>
          <w:sz w:val="22"/>
          <w:szCs w:val="22"/>
        </w:rPr>
        <w:t xml:space="preserve"> </w:t>
      </w:r>
      <w:r w:rsidRPr="00EB15D4">
        <w:rPr>
          <w:sz w:val="22"/>
          <w:szCs w:val="22"/>
        </w:rPr>
        <w:t xml:space="preserve">Editors of Encyclopaedia Britannica, </w:t>
      </w:r>
      <w:r w:rsidRPr="00EB15D4">
        <w:rPr>
          <w:i/>
          <w:iCs/>
          <w:sz w:val="22"/>
          <w:szCs w:val="22"/>
        </w:rPr>
        <w:t>Franco-German War</w:t>
      </w:r>
      <w:r w:rsidRPr="00EB15D4">
        <w:rPr>
          <w:sz w:val="22"/>
          <w:szCs w:val="22"/>
        </w:rPr>
        <w:t>, &lt;</w:t>
      </w:r>
      <w:hyperlink r:id="rId10" w:history="1">
        <w:r w:rsidRPr="00EB15D4">
          <w:rPr>
            <w:rStyle w:val="Hyperlink"/>
            <w:sz w:val="22"/>
            <w:szCs w:val="22"/>
          </w:rPr>
          <w:t>https://www.britannica.com/event/Franco-German-War</w:t>
        </w:r>
      </w:hyperlink>
      <w:r w:rsidRPr="00EB15D4">
        <w:rPr>
          <w:sz w:val="22"/>
          <w:szCs w:val="22"/>
        </w:rPr>
        <w:t>&gt; [accessed 13 November 2019].</w:t>
      </w:r>
    </w:p>
    <w:p w14:paraId="5A31CE24" w14:textId="43BE3057" w:rsidR="008A1DB7" w:rsidRPr="00EB15D4" w:rsidRDefault="008A1DB7" w:rsidP="007E0CE7">
      <w:pPr>
        <w:pStyle w:val="BodyText"/>
        <w:autoSpaceDN w:val="0"/>
        <w:rPr>
          <w:sz w:val="22"/>
          <w:szCs w:val="22"/>
        </w:rPr>
      </w:pPr>
    </w:p>
    <w:p w14:paraId="72515DB5" w14:textId="69DAF256" w:rsidR="008A1DB7" w:rsidRPr="00EB15D4" w:rsidRDefault="008A1DB7" w:rsidP="007E0CE7">
      <w:pPr>
        <w:pStyle w:val="BodyText"/>
        <w:autoSpaceDN w:val="0"/>
        <w:rPr>
          <w:sz w:val="22"/>
          <w:szCs w:val="22"/>
        </w:rPr>
      </w:pPr>
      <w:r w:rsidRPr="00EB15D4">
        <w:rPr>
          <w:sz w:val="22"/>
          <w:szCs w:val="22"/>
        </w:rPr>
        <w:t xml:space="preserve">The Editors of the Encyclopaedia Britannica, </w:t>
      </w:r>
      <w:r w:rsidRPr="00EB15D4">
        <w:rPr>
          <w:i/>
          <w:iCs/>
          <w:sz w:val="22"/>
          <w:szCs w:val="22"/>
        </w:rPr>
        <w:t>Robert Erskine Childers</w:t>
      </w:r>
      <w:r w:rsidRPr="00EB15D4">
        <w:rPr>
          <w:sz w:val="22"/>
          <w:szCs w:val="22"/>
        </w:rPr>
        <w:t>, &lt;https://www.britannica.com/biography/Robert-Erskine-Childers&gt; [accessed 13 November 2019].</w:t>
      </w:r>
    </w:p>
    <w:p w14:paraId="0F153F0F" w14:textId="6F8D73D9" w:rsidR="008A1DB7" w:rsidRDefault="008A1DB7" w:rsidP="007E0CE7">
      <w:pPr>
        <w:pStyle w:val="BodyText"/>
        <w:autoSpaceDN w:val="0"/>
        <w:rPr>
          <w:sz w:val="22"/>
          <w:szCs w:val="22"/>
        </w:rPr>
      </w:pPr>
    </w:p>
    <w:p w14:paraId="20A23782" w14:textId="77777777" w:rsidR="008A1DB7" w:rsidRDefault="008A1DB7" w:rsidP="007E0CE7">
      <w:pPr>
        <w:pStyle w:val="BodyText"/>
        <w:autoSpaceDN w:val="0"/>
        <w:rPr>
          <w:sz w:val="22"/>
          <w:szCs w:val="22"/>
        </w:rPr>
      </w:pPr>
    </w:p>
    <w:p w14:paraId="2DE72BDA" w14:textId="77777777" w:rsidR="008A1DB7" w:rsidRDefault="008A1DB7" w:rsidP="007E0CE7">
      <w:pPr>
        <w:pStyle w:val="BodyText"/>
        <w:autoSpaceDN w:val="0"/>
        <w:rPr>
          <w:color w:val="333333"/>
          <w:sz w:val="22"/>
          <w:szCs w:val="22"/>
          <w:shd w:val="clear" w:color="auto" w:fill="FFFFFF"/>
          <w:lang w:eastAsia="en-GB"/>
        </w:rPr>
      </w:pPr>
    </w:p>
    <w:p w14:paraId="428481F5" w14:textId="707A5B68" w:rsidR="00300180" w:rsidRDefault="00300180" w:rsidP="007E0CE7">
      <w:pPr>
        <w:pStyle w:val="BodyText"/>
        <w:autoSpaceDN w:val="0"/>
        <w:rPr>
          <w:color w:val="333333"/>
          <w:sz w:val="22"/>
          <w:szCs w:val="22"/>
          <w:shd w:val="clear" w:color="auto" w:fill="FFFFFF"/>
          <w:lang w:eastAsia="en-GB"/>
        </w:rPr>
      </w:pPr>
    </w:p>
    <w:p w14:paraId="2111A8F5" w14:textId="77777777" w:rsidR="00300180" w:rsidRDefault="00300180" w:rsidP="007E0CE7">
      <w:pPr>
        <w:pStyle w:val="BodyText"/>
        <w:autoSpaceDN w:val="0"/>
        <w:rPr>
          <w:sz w:val="22"/>
          <w:szCs w:val="22"/>
        </w:rPr>
      </w:pPr>
    </w:p>
    <w:p w14:paraId="4F2ACFCD" w14:textId="3872C743" w:rsidR="00300180" w:rsidRDefault="00300180" w:rsidP="007E0CE7">
      <w:pPr>
        <w:pStyle w:val="BodyText"/>
        <w:autoSpaceDN w:val="0"/>
        <w:rPr>
          <w:sz w:val="22"/>
          <w:szCs w:val="22"/>
        </w:rPr>
      </w:pPr>
    </w:p>
    <w:p w14:paraId="63B9D889" w14:textId="77777777" w:rsidR="00300180" w:rsidRDefault="00300180" w:rsidP="007E0CE7">
      <w:pPr>
        <w:pStyle w:val="BodyText"/>
        <w:autoSpaceDN w:val="0"/>
        <w:rPr>
          <w:color w:val="333333"/>
          <w:sz w:val="22"/>
          <w:szCs w:val="22"/>
          <w:shd w:val="clear" w:color="auto" w:fill="FFFFFF"/>
          <w:lang w:eastAsia="en-GB"/>
        </w:rPr>
      </w:pPr>
    </w:p>
    <w:p w14:paraId="1800D9D3" w14:textId="77777777" w:rsidR="00300180" w:rsidRDefault="00300180" w:rsidP="007E0CE7">
      <w:pPr>
        <w:pStyle w:val="BodyText"/>
        <w:autoSpaceDN w:val="0"/>
        <w:rPr>
          <w:color w:val="333333"/>
          <w:sz w:val="22"/>
          <w:szCs w:val="22"/>
          <w:shd w:val="clear" w:color="auto" w:fill="FFFFFF"/>
          <w:lang w:eastAsia="en-GB"/>
        </w:rPr>
      </w:pPr>
    </w:p>
    <w:p w14:paraId="172E3865" w14:textId="63362C98" w:rsidR="00300180" w:rsidRDefault="00300180" w:rsidP="007E0CE7">
      <w:pPr>
        <w:pStyle w:val="BodyText"/>
        <w:autoSpaceDN w:val="0"/>
        <w:rPr>
          <w:sz w:val="22"/>
          <w:szCs w:val="22"/>
        </w:rPr>
      </w:pPr>
    </w:p>
    <w:p w14:paraId="3059B303" w14:textId="77777777" w:rsidR="00300180" w:rsidRPr="00CA2909" w:rsidRDefault="00300180" w:rsidP="007E0CE7">
      <w:pPr>
        <w:pStyle w:val="BodyText"/>
        <w:autoSpaceDN w:val="0"/>
        <w:rPr>
          <w:sz w:val="22"/>
          <w:szCs w:val="22"/>
        </w:rPr>
      </w:pPr>
    </w:p>
    <w:p w14:paraId="7F9E2770" w14:textId="6ACDCF2A" w:rsidR="0038196B" w:rsidRDefault="0038196B" w:rsidP="007E0CE7">
      <w:pPr>
        <w:pStyle w:val="BodyText"/>
        <w:autoSpaceDN w:val="0"/>
        <w:rPr>
          <w:sz w:val="22"/>
          <w:szCs w:val="22"/>
        </w:rPr>
      </w:pPr>
    </w:p>
    <w:p w14:paraId="5D4A3010" w14:textId="77777777" w:rsidR="0038196B" w:rsidRPr="00EF6721" w:rsidRDefault="0038196B" w:rsidP="007E0CE7">
      <w:pPr>
        <w:pStyle w:val="BodyText"/>
        <w:autoSpaceDN w:val="0"/>
        <w:rPr>
          <w:sz w:val="22"/>
          <w:szCs w:val="22"/>
        </w:rPr>
      </w:pPr>
    </w:p>
    <w:p w14:paraId="44FF2416" w14:textId="12C4B170" w:rsidR="00EF5452" w:rsidRDefault="00EF5452" w:rsidP="007E0CE7">
      <w:pPr>
        <w:pStyle w:val="BodyText"/>
        <w:autoSpaceDN w:val="0"/>
        <w:rPr>
          <w:sz w:val="22"/>
          <w:szCs w:val="22"/>
        </w:rPr>
      </w:pPr>
    </w:p>
    <w:p w14:paraId="1ED7D71A" w14:textId="77777777" w:rsidR="00EF5452" w:rsidRDefault="00EF5452" w:rsidP="007E0CE7">
      <w:pPr>
        <w:pStyle w:val="BodyText"/>
        <w:autoSpaceDN w:val="0"/>
        <w:rPr>
          <w:sz w:val="22"/>
          <w:szCs w:val="22"/>
        </w:rPr>
      </w:pPr>
    </w:p>
    <w:p w14:paraId="720A6034" w14:textId="31A76EFF" w:rsidR="00BA63D6" w:rsidRDefault="004314B3" w:rsidP="007E0CE7">
      <w:pPr>
        <w:pStyle w:val="BodyText"/>
        <w:autoSpaceDN w:val="0"/>
        <w:rPr>
          <w:sz w:val="22"/>
          <w:szCs w:val="22"/>
        </w:rPr>
      </w:pPr>
      <w:r>
        <w:rPr>
          <w:sz w:val="22"/>
          <w:szCs w:val="22"/>
        </w:rPr>
        <w:t xml:space="preserve"> </w:t>
      </w:r>
    </w:p>
    <w:p w14:paraId="56A978CC" w14:textId="388BC7F7" w:rsidR="00BA63D6" w:rsidRDefault="00BA63D6" w:rsidP="007E0CE7">
      <w:pPr>
        <w:pStyle w:val="BodyText"/>
        <w:autoSpaceDN w:val="0"/>
        <w:rPr>
          <w:sz w:val="22"/>
          <w:szCs w:val="22"/>
        </w:rPr>
      </w:pPr>
      <w:r>
        <w:rPr>
          <w:sz w:val="22"/>
          <w:szCs w:val="22"/>
        </w:rPr>
        <w:t xml:space="preserve">     </w:t>
      </w:r>
    </w:p>
    <w:p w14:paraId="2DE1B20E" w14:textId="77777777" w:rsidR="00AB6593" w:rsidRDefault="00AB6593"/>
    <w:sectPr w:rsidR="00AB6593" w:rsidSect="00874F2D">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187C1A" w14:textId="77777777" w:rsidR="005E0530" w:rsidRDefault="005E0530" w:rsidP="009E2823">
      <w:r>
        <w:separator/>
      </w:r>
    </w:p>
  </w:endnote>
  <w:endnote w:type="continuationSeparator" w:id="0">
    <w:p w14:paraId="5407DB50" w14:textId="77777777" w:rsidR="005E0530" w:rsidRDefault="005E0530" w:rsidP="009E28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96AB85" w14:textId="77777777" w:rsidR="005E0530" w:rsidRDefault="005E0530" w:rsidP="009E2823">
      <w:r>
        <w:separator/>
      </w:r>
    </w:p>
  </w:footnote>
  <w:footnote w:type="continuationSeparator" w:id="0">
    <w:p w14:paraId="114291B5" w14:textId="77777777" w:rsidR="005E0530" w:rsidRDefault="005E0530" w:rsidP="009E2823">
      <w:r>
        <w:continuationSeparator/>
      </w:r>
    </w:p>
  </w:footnote>
  <w:footnote w:id="1">
    <w:p w14:paraId="36DC6DB0" w14:textId="21F0AFEF" w:rsidR="009E2823" w:rsidRPr="00EB15D4" w:rsidRDefault="009E2823">
      <w:pPr>
        <w:pStyle w:val="FootnoteText"/>
        <w:rPr>
          <w:rFonts w:ascii="Times New Roman" w:hAnsi="Times New Roman" w:cs="Times New Roman"/>
          <w:sz w:val="22"/>
          <w:szCs w:val="22"/>
        </w:rPr>
      </w:pPr>
      <w:r w:rsidRPr="00EB15D4">
        <w:rPr>
          <w:rStyle w:val="FootnoteReference"/>
          <w:rFonts w:ascii="Times New Roman" w:hAnsi="Times New Roman" w:cs="Times New Roman"/>
          <w:sz w:val="22"/>
          <w:szCs w:val="22"/>
        </w:rPr>
        <w:footnoteRef/>
      </w:r>
      <w:r w:rsidRPr="00EB15D4">
        <w:rPr>
          <w:rFonts w:ascii="Times New Roman" w:hAnsi="Times New Roman" w:cs="Times New Roman"/>
          <w:sz w:val="22"/>
          <w:szCs w:val="22"/>
        </w:rPr>
        <w:t xml:space="preserve"> William Le Queux, </w:t>
      </w:r>
      <w:r w:rsidR="008A1DB7" w:rsidRPr="00EB15D4">
        <w:rPr>
          <w:rFonts w:ascii="Times New Roman" w:hAnsi="Times New Roman" w:cs="Times New Roman"/>
          <w:i/>
          <w:iCs/>
          <w:sz w:val="22"/>
          <w:szCs w:val="22"/>
        </w:rPr>
        <w:t>The Invasion of 1910: With a full account of the siege of London</w:t>
      </w:r>
      <w:r w:rsidR="008A1DB7" w:rsidRPr="00EB15D4">
        <w:rPr>
          <w:rFonts w:ascii="Times New Roman" w:hAnsi="Times New Roman" w:cs="Times New Roman"/>
          <w:sz w:val="22"/>
          <w:szCs w:val="22"/>
        </w:rPr>
        <w:t xml:space="preserve"> (Salt Lake City: The Project Gutenberg eBook 2016 [1906]), eBook </w:t>
      </w:r>
      <w:r w:rsidR="008A1DB7" w:rsidRPr="00EB15D4">
        <w:rPr>
          <w:rFonts w:ascii="Times New Roman" w:hAnsi="Times New Roman" w:cs="Times New Roman"/>
          <w:color w:val="000000"/>
          <w:sz w:val="22"/>
          <w:szCs w:val="22"/>
        </w:rPr>
        <w:t>#51905.</w:t>
      </w:r>
    </w:p>
  </w:footnote>
  <w:footnote w:id="2">
    <w:p w14:paraId="0F92D935" w14:textId="5479E03F" w:rsidR="0061323F" w:rsidRPr="00EB15D4" w:rsidRDefault="0061323F">
      <w:pPr>
        <w:pStyle w:val="FootnoteText"/>
        <w:rPr>
          <w:rFonts w:ascii="Times New Roman" w:hAnsi="Times New Roman" w:cs="Times New Roman"/>
          <w:sz w:val="22"/>
          <w:szCs w:val="22"/>
        </w:rPr>
      </w:pPr>
      <w:r w:rsidRPr="00EB15D4">
        <w:rPr>
          <w:rStyle w:val="FootnoteReference"/>
          <w:rFonts w:ascii="Times New Roman" w:hAnsi="Times New Roman" w:cs="Times New Roman"/>
          <w:sz w:val="22"/>
          <w:szCs w:val="22"/>
        </w:rPr>
        <w:footnoteRef/>
      </w:r>
      <w:r w:rsidRPr="00EB15D4">
        <w:rPr>
          <w:rFonts w:ascii="Times New Roman" w:hAnsi="Times New Roman" w:cs="Times New Roman"/>
          <w:sz w:val="22"/>
          <w:szCs w:val="22"/>
        </w:rPr>
        <w:t xml:space="preserve"> Vera Brittain, </w:t>
      </w:r>
      <w:r w:rsidRPr="00EB15D4">
        <w:rPr>
          <w:rFonts w:ascii="Times New Roman" w:hAnsi="Times New Roman" w:cs="Times New Roman"/>
          <w:i/>
          <w:iCs/>
          <w:sz w:val="22"/>
          <w:szCs w:val="22"/>
        </w:rPr>
        <w:t>Testament of Youth</w:t>
      </w:r>
      <w:r w:rsidRPr="00EB15D4">
        <w:rPr>
          <w:rFonts w:ascii="Times New Roman" w:hAnsi="Times New Roman" w:cs="Times New Roman"/>
          <w:sz w:val="22"/>
          <w:szCs w:val="22"/>
        </w:rPr>
        <w:t xml:space="preserve"> (Glasgow: Virago Ltd 1979 [1933]).</w:t>
      </w:r>
    </w:p>
  </w:footnote>
  <w:footnote w:id="3">
    <w:p w14:paraId="437A15BF" w14:textId="2A3DECB3" w:rsidR="008A1DB7" w:rsidRPr="00EB15D4" w:rsidRDefault="00B11A25" w:rsidP="00EB15D4">
      <w:pPr>
        <w:pStyle w:val="BodyText"/>
        <w:autoSpaceDN w:val="0"/>
        <w:rPr>
          <w:sz w:val="22"/>
          <w:szCs w:val="22"/>
        </w:rPr>
      </w:pPr>
      <w:r w:rsidRPr="00EB15D4">
        <w:rPr>
          <w:rStyle w:val="FootnoteReference"/>
          <w:sz w:val="22"/>
          <w:szCs w:val="22"/>
        </w:rPr>
        <w:footnoteRef/>
      </w:r>
      <w:r w:rsidRPr="00EB15D4">
        <w:rPr>
          <w:sz w:val="22"/>
          <w:szCs w:val="22"/>
        </w:rPr>
        <w:t xml:space="preserve"> A</w:t>
      </w:r>
      <w:r w:rsidR="008A1DB7" w:rsidRPr="00EB15D4">
        <w:rPr>
          <w:sz w:val="22"/>
          <w:szCs w:val="22"/>
        </w:rPr>
        <w:t xml:space="preserve">drian Gregory, </w:t>
      </w:r>
      <w:r w:rsidR="008A1DB7" w:rsidRPr="00EB15D4">
        <w:rPr>
          <w:i/>
          <w:iCs/>
          <w:sz w:val="22"/>
          <w:szCs w:val="22"/>
        </w:rPr>
        <w:t>The Last Great War: British Society and the First World War</w:t>
      </w:r>
      <w:r w:rsidR="008A1DB7" w:rsidRPr="00EB15D4">
        <w:rPr>
          <w:sz w:val="22"/>
          <w:szCs w:val="22"/>
        </w:rPr>
        <w:t xml:space="preserve"> (Cambridge: Cambridge University Press, 2008)</w:t>
      </w:r>
      <w:r w:rsidR="008A1DB7" w:rsidRPr="00EB15D4">
        <w:rPr>
          <w:sz w:val="22"/>
          <w:szCs w:val="22"/>
        </w:rPr>
        <w:t>, p. 37.</w:t>
      </w:r>
    </w:p>
  </w:footnote>
  <w:footnote w:id="4">
    <w:p w14:paraId="07F1D8E1" w14:textId="58A35B90" w:rsidR="005E16FF" w:rsidRPr="00EB15D4" w:rsidRDefault="005E16FF">
      <w:pPr>
        <w:pStyle w:val="FootnoteText"/>
        <w:rPr>
          <w:rFonts w:ascii="Times New Roman" w:hAnsi="Times New Roman" w:cs="Times New Roman"/>
          <w:sz w:val="22"/>
          <w:szCs w:val="22"/>
        </w:rPr>
      </w:pPr>
      <w:r w:rsidRPr="00EB15D4">
        <w:rPr>
          <w:rStyle w:val="FootnoteReference"/>
          <w:rFonts w:ascii="Times New Roman" w:hAnsi="Times New Roman" w:cs="Times New Roman"/>
          <w:sz w:val="22"/>
          <w:szCs w:val="22"/>
        </w:rPr>
        <w:footnoteRef/>
      </w:r>
      <w:r w:rsidRPr="00EB15D4">
        <w:rPr>
          <w:rFonts w:ascii="Times New Roman" w:hAnsi="Times New Roman" w:cs="Times New Roman"/>
          <w:sz w:val="22"/>
          <w:szCs w:val="22"/>
        </w:rPr>
        <w:t xml:space="preserve"> </w:t>
      </w:r>
      <w:r w:rsidR="008A1DB7" w:rsidRPr="00EB15D4">
        <w:rPr>
          <w:rFonts w:ascii="Times New Roman" w:hAnsi="Times New Roman" w:cs="Times New Roman"/>
          <w:sz w:val="22"/>
          <w:szCs w:val="22"/>
        </w:rPr>
        <w:t>Gregory, p.</w:t>
      </w:r>
      <w:r w:rsidRPr="00EB15D4">
        <w:rPr>
          <w:rFonts w:ascii="Times New Roman" w:hAnsi="Times New Roman" w:cs="Times New Roman"/>
          <w:sz w:val="22"/>
          <w:szCs w:val="22"/>
        </w:rPr>
        <w:t xml:space="preserve"> 9</w:t>
      </w:r>
      <w:r w:rsidR="008A1DB7" w:rsidRPr="00EB15D4">
        <w:rPr>
          <w:rFonts w:ascii="Times New Roman" w:hAnsi="Times New Roman" w:cs="Times New Roman"/>
          <w:sz w:val="22"/>
          <w:szCs w:val="22"/>
        </w:rPr>
        <w:t>.</w:t>
      </w:r>
    </w:p>
  </w:footnote>
  <w:footnote w:id="5">
    <w:p w14:paraId="650B1120" w14:textId="3FA9644B" w:rsidR="00033A21" w:rsidRPr="00EB15D4" w:rsidRDefault="00033A21">
      <w:pPr>
        <w:pStyle w:val="FootnoteText"/>
        <w:rPr>
          <w:rFonts w:ascii="Times New Roman" w:hAnsi="Times New Roman" w:cs="Times New Roman"/>
          <w:sz w:val="22"/>
          <w:szCs w:val="22"/>
        </w:rPr>
      </w:pPr>
      <w:r w:rsidRPr="00EB15D4">
        <w:rPr>
          <w:rStyle w:val="FootnoteReference"/>
          <w:rFonts w:ascii="Times New Roman" w:hAnsi="Times New Roman" w:cs="Times New Roman"/>
          <w:sz w:val="22"/>
          <w:szCs w:val="22"/>
        </w:rPr>
        <w:footnoteRef/>
      </w:r>
      <w:r w:rsidRPr="00EB15D4">
        <w:rPr>
          <w:rFonts w:ascii="Times New Roman" w:hAnsi="Times New Roman" w:cs="Times New Roman"/>
          <w:sz w:val="22"/>
          <w:szCs w:val="22"/>
        </w:rPr>
        <w:t xml:space="preserve"> </w:t>
      </w:r>
      <w:r w:rsidR="008A1DB7" w:rsidRPr="00EB15D4">
        <w:rPr>
          <w:rFonts w:ascii="Times New Roman" w:hAnsi="Times New Roman" w:cs="Times New Roman"/>
          <w:sz w:val="22"/>
          <w:szCs w:val="22"/>
        </w:rPr>
        <w:t>Gregory, p.</w:t>
      </w:r>
      <w:r w:rsidRPr="00EB15D4">
        <w:rPr>
          <w:rFonts w:ascii="Times New Roman" w:hAnsi="Times New Roman" w:cs="Times New Roman"/>
          <w:sz w:val="22"/>
          <w:szCs w:val="22"/>
        </w:rPr>
        <w:t xml:space="preserve"> 13</w:t>
      </w:r>
      <w:r w:rsidR="008A1DB7" w:rsidRPr="00EB15D4">
        <w:rPr>
          <w:rFonts w:ascii="Times New Roman" w:hAnsi="Times New Roman" w:cs="Times New Roman"/>
          <w:sz w:val="22"/>
          <w:szCs w:val="22"/>
        </w:rPr>
        <w:t>.</w:t>
      </w:r>
    </w:p>
  </w:footnote>
  <w:footnote w:id="6">
    <w:p w14:paraId="30F2346D" w14:textId="1E2B3CED" w:rsidR="00033A21" w:rsidRPr="00EB15D4" w:rsidRDefault="00033A21">
      <w:pPr>
        <w:pStyle w:val="FootnoteText"/>
        <w:rPr>
          <w:rFonts w:ascii="Times New Roman" w:hAnsi="Times New Roman" w:cs="Times New Roman"/>
          <w:sz w:val="22"/>
          <w:szCs w:val="22"/>
        </w:rPr>
      </w:pPr>
      <w:r w:rsidRPr="00EB15D4">
        <w:rPr>
          <w:rStyle w:val="FootnoteReference"/>
          <w:rFonts w:ascii="Times New Roman" w:hAnsi="Times New Roman" w:cs="Times New Roman"/>
          <w:sz w:val="22"/>
          <w:szCs w:val="22"/>
        </w:rPr>
        <w:footnoteRef/>
      </w:r>
      <w:r w:rsidRPr="00EB15D4">
        <w:rPr>
          <w:rFonts w:ascii="Times New Roman" w:hAnsi="Times New Roman" w:cs="Times New Roman"/>
          <w:sz w:val="22"/>
          <w:szCs w:val="22"/>
        </w:rPr>
        <w:t xml:space="preserve"> </w:t>
      </w:r>
      <w:r w:rsidR="008A1DB7" w:rsidRPr="00EB15D4">
        <w:rPr>
          <w:rFonts w:ascii="Times New Roman" w:hAnsi="Times New Roman" w:cs="Times New Roman"/>
          <w:sz w:val="22"/>
          <w:szCs w:val="22"/>
        </w:rPr>
        <w:t>Gregory, p.</w:t>
      </w:r>
      <w:r w:rsidRPr="00EB15D4">
        <w:rPr>
          <w:rFonts w:ascii="Times New Roman" w:hAnsi="Times New Roman" w:cs="Times New Roman"/>
          <w:sz w:val="22"/>
          <w:szCs w:val="22"/>
        </w:rPr>
        <w:t xml:space="preserve"> 13</w:t>
      </w:r>
      <w:r w:rsidR="008A1DB7" w:rsidRPr="00EB15D4">
        <w:rPr>
          <w:rFonts w:ascii="Times New Roman" w:hAnsi="Times New Roman" w:cs="Times New Roman"/>
          <w:sz w:val="22"/>
          <w:szCs w:val="22"/>
        </w:rPr>
        <w:t>.</w:t>
      </w:r>
    </w:p>
  </w:footnote>
  <w:footnote w:id="7">
    <w:p w14:paraId="47FEB988" w14:textId="7E0B7DD1" w:rsidR="00D41898" w:rsidRPr="00EB15D4" w:rsidRDefault="00D41898">
      <w:pPr>
        <w:pStyle w:val="FootnoteText"/>
        <w:rPr>
          <w:rFonts w:ascii="Times New Roman" w:hAnsi="Times New Roman" w:cs="Times New Roman"/>
          <w:sz w:val="22"/>
          <w:szCs w:val="22"/>
        </w:rPr>
      </w:pPr>
      <w:r w:rsidRPr="00EB15D4">
        <w:rPr>
          <w:rStyle w:val="FootnoteReference"/>
          <w:rFonts w:ascii="Times New Roman" w:hAnsi="Times New Roman" w:cs="Times New Roman"/>
          <w:sz w:val="22"/>
          <w:szCs w:val="22"/>
        </w:rPr>
        <w:footnoteRef/>
      </w:r>
      <w:r w:rsidRPr="00EB15D4">
        <w:rPr>
          <w:rFonts w:ascii="Times New Roman" w:hAnsi="Times New Roman" w:cs="Times New Roman"/>
          <w:sz w:val="22"/>
          <w:szCs w:val="22"/>
        </w:rPr>
        <w:t xml:space="preserve"> </w:t>
      </w:r>
      <w:hyperlink r:id="rId1" w:history="1">
        <w:r w:rsidRPr="00EB15D4">
          <w:rPr>
            <w:rStyle w:val="Hyperlink"/>
            <w:rFonts w:ascii="Times New Roman" w:hAnsi="Times New Roman" w:cs="Times New Roman"/>
            <w:sz w:val="22"/>
            <w:szCs w:val="22"/>
          </w:rPr>
          <w:t>https://stephenbasdeo.wordpress.com/2013/09/01/the-public-school-ethos-and-late-nineteenth-century-juvenile-literature-by-stephen-basdeo/</w:t>
        </w:r>
      </w:hyperlink>
      <w:r w:rsidRPr="00EB15D4">
        <w:rPr>
          <w:rFonts w:ascii="Times New Roman" w:hAnsi="Times New Roman" w:cs="Times New Roman"/>
          <w:sz w:val="22"/>
          <w:szCs w:val="22"/>
        </w:rPr>
        <w:t xml:space="preserve"> </w:t>
      </w:r>
    </w:p>
  </w:footnote>
  <w:footnote w:id="8">
    <w:p w14:paraId="23BCA973" w14:textId="22617626" w:rsidR="00D41898" w:rsidRPr="00EB15D4" w:rsidRDefault="00D41898">
      <w:pPr>
        <w:pStyle w:val="FootnoteText"/>
        <w:rPr>
          <w:rFonts w:ascii="Times New Roman" w:hAnsi="Times New Roman" w:cs="Times New Roman"/>
          <w:sz w:val="22"/>
          <w:szCs w:val="22"/>
        </w:rPr>
      </w:pPr>
      <w:r w:rsidRPr="00EB15D4">
        <w:rPr>
          <w:rStyle w:val="FootnoteReference"/>
          <w:rFonts w:ascii="Times New Roman" w:hAnsi="Times New Roman" w:cs="Times New Roman"/>
          <w:sz w:val="22"/>
          <w:szCs w:val="22"/>
        </w:rPr>
        <w:footnoteRef/>
      </w:r>
      <w:r w:rsidRPr="00EB15D4">
        <w:rPr>
          <w:rFonts w:ascii="Times New Roman" w:hAnsi="Times New Roman" w:cs="Times New Roman"/>
          <w:sz w:val="22"/>
          <w:szCs w:val="22"/>
        </w:rPr>
        <w:t xml:space="preserve"> </w:t>
      </w:r>
      <w:r w:rsidR="008A1DB7" w:rsidRPr="00EB15D4">
        <w:rPr>
          <w:rFonts w:ascii="Times New Roman" w:hAnsi="Times New Roman" w:cs="Times New Roman"/>
          <w:sz w:val="22"/>
          <w:szCs w:val="22"/>
        </w:rPr>
        <w:t>Gregory, p.</w:t>
      </w:r>
      <w:r w:rsidRPr="00EB15D4">
        <w:rPr>
          <w:rFonts w:ascii="Times New Roman" w:hAnsi="Times New Roman" w:cs="Times New Roman"/>
          <w:sz w:val="22"/>
          <w:szCs w:val="22"/>
        </w:rPr>
        <w:t xml:space="preserve"> 16</w:t>
      </w:r>
      <w:r w:rsidR="008A1DB7" w:rsidRPr="00EB15D4">
        <w:rPr>
          <w:rFonts w:ascii="Times New Roman" w:hAnsi="Times New Roman" w:cs="Times New Roman"/>
          <w:sz w:val="22"/>
          <w:szCs w:val="22"/>
        </w:rPr>
        <w:t>.</w:t>
      </w:r>
    </w:p>
  </w:footnote>
  <w:footnote w:id="9">
    <w:p w14:paraId="3BDAE0AF" w14:textId="32A03881" w:rsidR="00056F25" w:rsidRPr="00EB15D4" w:rsidRDefault="00056F25">
      <w:pPr>
        <w:pStyle w:val="FootnoteText"/>
        <w:rPr>
          <w:rFonts w:ascii="Times New Roman" w:hAnsi="Times New Roman" w:cs="Times New Roman"/>
          <w:sz w:val="22"/>
          <w:szCs w:val="22"/>
        </w:rPr>
      </w:pPr>
      <w:r w:rsidRPr="00EB15D4">
        <w:rPr>
          <w:rStyle w:val="FootnoteReference"/>
          <w:rFonts w:ascii="Times New Roman" w:hAnsi="Times New Roman" w:cs="Times New Roman"/>
          <w:sz w:val="22"/>
          <w:szCs w:val="22"/>
        </w:rPr>
        <w:footnoteRef/>
      </w:r>
      <w:r w:rsidRPr="00EB15D4">
        <w:rPr>
          <w:rFonts w:ascii="Times New Roman" w:hAnsi="Times New Roman" w:cs="Times New Roman"/>
          <w:sz w:val="22"/>
          <w:szCs w:val="22"/>
        </w:rPr>
        <w:t xml:space="preserve"> </w:t>
      </w:r>
      <w:r w:rsidR="008A1DB7" w:rsidRPr="00EB15D4">
        <w:rPr>
          <w:rFonts w:ascii="Times New Roman" w:hAnsi="Times New Roman" w:cs="Times New Roman"/>
          <w:sz w:val="22"/>
          <w:szCs w:val="22"/>
        </w:rPr>
        <w:t>Gregory, p.</w:t>
      </w:r>
      <w:r w:rsidRPr="00EB15D4">
        <w:rPr>
          <w:rFonts w:ascii="Times New Roman" w:hAnsi="Times New Roman" w:cs="Times New Roman"/>
          <w:sz w:val="22"/>
          <w:szCs w:val="22"/>
        </w:rPr>
        <w:t xml:space="preserve"> 23</w:t>
      </w:r>
      <w:r w:rsidR="008A1DB7" w:rsidRPr="00EB15D4">
        <w:rPr>
          <w:rFonts w:ascii="Times New Roman" w:hAnsi="Times New Roman" w:cs="Times New Roman"/>
          <w:sz w:val="22"/>
          <w:szCs w:val="22"/>
        </w:rPr>
        <w:t>.</w:t>
      </w:r>
    </w:p>
  </w:footnote>
  <w:footnote w:id="10">
    <w:p w14:paraId="236FBCDA" w14:textId="0AED00E6" w:rsidR="00FD40E4" w:rsidRPr="00EB15D4" w:rsidRDefault="00FD40E4">
      <w:pPr>
        <w:pStyle w:val="FootnoteText"/>
        <w:rPr>
          <w:rFonts w:ascii="Times New Roman" w:hAnsi="Times New Roman" w:cs="Times New Roman"/>
          <w:sz w:val="22"/>
          <w:szCs w:val="22"/>
        </w:rPr>
      </w:pPr>
      <w:r w:rsidRPr="00EB15D4">
        <w:rPr>
          <w:rStyle w:val="FootnoteReference"/>
          <w:rFonts w:ascii="Times New Roman" w:hAnsi="Times New Roman" w:cs="Times New Roman"/>
          <w:sz w:val="22"/>
          <w:szCs w:val="22"/>
        </w:rPr>
        <w:footnoteRef/>
      </w:r>
      <w:r w:rsidRPr="00EB15D4">
        <w:rPr>
          <w:rFonts w:ascii="Times New Roman" w:hAnsi="Times New Roman" w:cs="Times New Roman"/>
          <w:sz w:val="22"/>
          <w:szCs w:val="22"/>
        </w:rPr>
        <w:t xml:space="preserve"> </w:t>
      </w:r>
      <w:r w:rsidR="008A1DB7" w:rsidRPr="00EB15D4">
        <w:rPr>
          <w:rFonts w:ascii="Times New Roman" w:hAnsi="Times New Roman" w:cs="Times New Roman"/>
          <w:sz w:val="22"/>
          <w:szCs w:val="22"/>
        </w:rPr>
        <w:t>Gregory, p.</w:t>
      </w:r>
      <w:r w:rsidRPr="00EB15D4">
        <w:rPr>
          <w:rFonts w:ascii="Times New Roman" w:hAnsi="Times New Roman" w:cs="Times New Roman"/>
          <w:sz w:val="22"/>
          <w:szCs w:val="22"/>
        </w:rPr>
        <w:t xml:space="preserve"> 20</w:t>
      </w:r>
      <w:r w:rsidR="008A1DB7" w:rsidRPr="00EB15D4">
        <w:rPr>
          <w:rFonts w:ascii="Times New Roman" w:hAnsi="Times New Roman" w:cs="Times New Roman"/>
          <w:sz w:val="22"/>
          <w:szCs w:val="22"/>
        </w:rPr>
        <w:t>.</w:t>
      </w:r>
    </w:p>
  </w:footnote>
  <w:footnote w:id="11">
    <w:p w14:paraId="3DC091E6" w14:textId="16F63229" w:rsidR="00F1072F" w:rsidRPr="00EB15D4" w:rsidRDefault="00F1072F">
      <w:pPr>
        <w:pStyle w:val="FootnoteText"/>
        <w:rPr>
          <w:rFonts w:ascii="Times New Roman" w:hAnsi="Times New Roman" w:cs="Times New Roman"/>
          <w:sz w:val="22"/>
          <w:szCs w:val="22"/>
        </w:rPr>
      </w:pPr>
      <w:r w:rsidRPr="00EB15D4">
        <w:rPr>
          <w:rStyle w:val="FootnoteReference"/>
          <w:rFonts w:ascii="Times New Roman" w:hAnsi="Times New Roman" w:cs="Times New Roman"/>
          <w:sz w:val="22"/>
          <w:szCs w:val="22"/>
        </w:rPr>
        <w:footnoteRef/>
      </w:r>
      <w:r w:rsidRPr="00EB15D4">
        <w:rPr>
          <w:rFonts w:ascii="Times New Roman" w:hAnsi="Times New Roman" w:cs="Times New Roman"/>
          <w:sz w:val="22"/>
          <w:szCs w:val="22"/>
        </w:rPr>
        <w:t xml:space="preserve"> </w:t>
      </w:r>
      <w:r w:rsidR="008A1DB7" w:rsidRPr="00EB15D4">
        <w:rPr>
          <w:rFonts w:ascii="Times New Roman" w:hAnsi="Times New Roman" w:cs="Times New Roman"/>
          <w:sz w:val="22"/>
          <w:szCs w:val="22"/>
        </w:rPr>
        <w:t>Gregory, p.</w:t>
      </w:r>
      <w:r w:rsidRPr="00EB15D4">
        <w:rPr>
          <w:rFonts w:ascii="Times New Roman" w:hAnsi="Times New Roman" w:cs="Times New Roman"/>
          <w:sz w:val="22"/>
          <w:szCs w:val="22"/>
        </w:rPr>
        <w:t xml:space="preserve"> 11</w:t>
      </w:r>
      <w:r w:rsidR="008A1DB7" w:rsidRPr="00EB15D4">
        <w:rPr>
          <w:rFonts w:ascii="Times New Roman" w:hAnsi="Times New Roman" w:cs="Times New Roman"/>
          <w:sz w:val="22"/>
          <w:szCs w:val="22"/>
        </w:rPr>
        <w:t>.</w:t>
      </w:r>
    </w:p>
  </w:footnote>
  <w:footnote w:id="12">
    <w:p w14:paraId="0B762B9D" w14:textId="32F53A82" w:rsidR="009A0DE6" w:rsidRPr="00EB15D4" w:rsidRDefault="009A0DE6">
      <w:pPr>
        <w:pStyle w:val="FootnoteText"/>
        <w:rPr>
          <w:rFonts w:ascii="Times New Roman" w:hAnsi="Times New Roman" w:cs="Times New Roman"/>
          <w:sz w:val="22"/>
          <w:szCs w:val="22"/>
        </w:rPr>
      </w:pPr>
      <w:r w:rsidRPr="00EB15D4">
        <w:rPr>
          <w:rStyle w:val="FootnoteReference"/>
          <w:rFonts w:ascii="Times New Roman" w:hAnsi="Times New Roman" w:cs="Times New Roman"/>
          <w:sz w:val="22"/>
          <w:szCs w:val="22"/>
        </w:rPr>
        <w:footnoteRef/>
      </w:r>
      <w:r w:rsidRPr="00EB15D4">
        <w:rPr>
          <w:rFonts w:ascii="Times New Roman" w:hAnsi="Times New Roman" w:cs="Times New Roman"/>
          <w:sz w:val="22"/>
          <w:szCs w:val="22"/>
        </w:rPr>
        <w:t xml:space="preserve"> The Editors of Encyclopaedia Britannica, </w:t>
      </w:r>
      <w:r w:rsidRPr="00EB15D4">
        <w:rPr>
          <w:rFonts w:ascii="Times New Roman" w:hAnsi="Times New Roman" w:cs="Times New Roman"/>
          <w:i/>
          <w:iCs/>
          <w:sz w:val="22"/>
          <w:szCs w:val="22"/>
        </w:rPr>
        <w:t>Franco-German War</w:t>
      </w:r>
      <w:r w:rsidRPr="00EB15D4">
        <w:rPr>
          <w:rFonts w:ascii="Times New Roman" w:hAnsi="Times New Roman" w:cs="Times New Roman"/>
          <w:sz w:val="22"/>
          <w:szCs w:val="22"/>
        </w:rPr>
        <w:t>, &lt;</w:t>
      </w:r>
      <w:hyperlink r:id="rId2" w:history="1">
        <w:r w:rsidRPr="00EB15D4">
          <w:rPr>
            <w:rStyle w:val="Hyperlink"/>
            <w:rFonts w:ascii="Times New Roman" w:hAnsi="Times New Roman" w:cs="Times New Roman"/>
            <w:sz w:val="22"/>
            <w:szCs w:val="22"/>
          </w:rPr>
          <w:t>https://www.britannica.com/event/Franco-German-War</w:t>
        </w:r>
      </w:hyperlink>
      <w:r w:rsidRPr="00EB15D4">
        <w:rPr>
          <w:rFonts w:ascii="Times New Roman" w:hAnsi="Times New Roman" w:cs="Times New Roman"/>
          <w:sz w:val="22"/>
          <w:szCs w:val="22"/>
        </w:rPr>
        <w:t>&gt; [accessed 13 November 2019].</w:t>
      </w:r>
    </w:p>
  </w:footnote>
  <w:footnote w:id="13">
    <w:p w14:paraId="3147CEEB" w14:textId="2925C663" w:rsidR="00AB3F2E" w:rsidRPr="00EB15D4" w:rsidRDefault="00AB3F2E">
      <w:pPr>
        <w:pStyle w:val="FootnoteText"/>
        <w:rPr>
          <w:rFonts w:ascii="Times New Roman" w:hAnsi="Times New Roman" w:cs="Times New Roman"/>
          <w:sz w:val="22"/>
          <w:szCs w:val="22"/>
        </w:rPr>
      </w:pPr>
      <w:r w:rsidRPr="00EB15D4">
        <w:rPr>
          <w:rStyle w:val="FootnoteReference"/>
          <w:rFonts w:ascii="Times New Roman" w:hAnsi="Times New Roman" w:cs="Times New Roman"/>
          <w:sz w:val="22"/>
          <w:szCs w:val="22"/>
        </w:rPr>
        <w:footnoteRef/>
      </w:r>
      <w:r w:rsidRPr="00EB15D4">
        <w:rPr>
          <w:rFonts w:ascii="Times New Roman" w:hAnsi="Times New Roman" w:cs="Times New Roman"/>
          <w:sz w:val="22"/>
          <w:szCs w:val="22"/>
        </w:rPr>
        <w:t xml:space="preserve"> Gary S. Messinger, </w:t>
      </w:r>
      <w:r w:rsidR="00E048C4" w:rsidRPr="00EB15D4">
        <w:rPr>
          <w:rFonts w:ascii="Times New Roman" w:hAnsi="Times New Roman" w:cs="Times New Roman"/>
          <w:i/>
          <w:iCs/>
          <w:sz w:val="22"/>
          <w:szCs w:val="22"/>
        </w:rPr>
        <w:t>British propaganda and the state in the First World War</w:t>
      </w:r>
      <w:r w:rsidR="00E048C4" w:rsidRPr="00EB15D4">
        <w:rPr>
          <w:rFonts w:ascii="Times New Roman" w:hAnsi="Times New Roman" w:cs="Times New Roman"/>
          <w:sz w:val="22"/>
          <w:szCs w:val="22"/>
        </w:rPr>
        <w:t xml:space="preserve"> (Manchester: Manchester University Press, 1992), p. 185.</w:t>
      </w:r>
    </w:p>
  </w:footnote>
  <w:footnote w:id="14">
    <w:p w14:paraId="402A7BD4" w14:textId="1F436177" w:rsidR="00174D17" w:rsidRPr="00EB15D4" w:rsidRDefault="00174D17">
      <w:pPr>
        <w:pStyle w:val="FootnoteText"/>
        <w:rPr>
          <w:rFonts w:ascii="Times New Roman" w:hAnsi="Times New Roman" w:cs="Times New Roman"/>
          <w:sz w:val="22"/>
          <w:szCs w:val="22"/>
        </w:rPr>
      </w:pPr>
      <w:r w:rsidRPr="00EB15D4">
        <w:rPr>
          <w:rStyle w:val="FootnoteReference"/>
          <w:rFonts w:ascii="Times New Roman" w:hAnsi="Times New Roman" w:cs="Times New Roman"/>
          <w:sz w:val="22"/>
          <w:szCs w:val="22"/>
        </w:rPr>
        <w:footnoteRef/>
      </w:r>
      <w:r w:rsidRPr="00EB15D4">
        <w:rPr>
          <w:rFonts w:ascii="Times New Roman" w:hAnsi="Times New Roman" w:cs="Times New Roman"/>
          <w:sz w:val="22"/>
          <w:szCs w:val="22"/>
        </w:rPr>
        <w:t xml:space="preserve"> William Le Queux, </w:t>
      </w:r>
      <w:r w:rsidRPr="00EB15D4">
        <w:rPr>
          <w:rFonts w:ascii="Times New Roman" w:hAnsi="Times New Roman" w:cs="Times New Roman"/>
          <w:i/>
          <w:iCs/>
          <w:sz w:val="22"/>
          <w:szCs w:val="22"/>
        </w:rPr>
        <w:t>Spies of the Kaiser plotting the downfall of England</w:t>
      </w:r>
      <w:r w:rsidRPr="00EB15D4">
        <w:rPr>
          <w:rFonts w:ascii="Times New Roman" w:hAnsi="Times New Roman" w:cs="Times New Roman"/>
          <w:sz w:val="22"/>
          <w:szCs w:val="22"/>
        </w:rPr>
        <w:t xml:space="preserve"> (</w:t>
      </w:r>
      <w:r w:rsidR="008A1DB7" w:rsidRPr="00EB15D4">
        <w:rPr>
          <w:rFonts w:ascii="Times New Roman" w:hAnsi="Times New Roman" w:cs="Times New Roman"/>
          <w:sz w:val="22"/>
          <w:szCs w:val="22"/>
        </w:rPr>
        <w:t>Salt Lake City</w:t>
      </w:r>
      <w:r w:rsidRPr="00EB15D4">
        <w:rPr>
          <w:rFonts w:ascii="Times New Roman" w:hAnsi="Times New Roman" w:cs="Times New Roman"/>
          <w:sz w:val="22"/>
          <w:szCs w:val="22"/>
        </w:rPr>
        <w:t>: The Project Gutenberg eBook, 2010 [1909])</w:t>
      </w:r>
      <w:r w:rsidR="008A1DB7" w:rsidRPr="00EB15D4">
        <w:rPr>
          <w:rFonts w:ascii="Times New Roman" w:hAnsi="Times New Roman" w:cs="Times New Roman"/>
          <w:sz w:val="22"/>
          <w:szCs w:val="22"/>
        </w:rPr>
        <w:t xml:space="preserve">, eBook </w:t>
      </w:r>
      <w:r w:rsidR="008A1DB7" w:rsidRPr="00EB15D4">
        <w:rPr>
          <w:rFonts w:ascii="Times New Roman" w:hAnsi="Times New Roman" w:cs="Times New Roman"/>
          <w:color w:val="000000"/>
          <w:sz w:val="22"/>
          <w:szCs w:val="22"/>
        </w:rPr>
        <w:t>#33298</w:t>
      </w:r>
      <w:r w:rsidR="008A1DB7" w:rsidRPr="00EB15D4">
        <w:rPr>
          <w:rFonts w:ascii="Times New Roman" w:hAnsi="Times New Roman" w:cs="Times New Roman"/>
          <w:color w:val="000000"/>
          <w:sz w:val="22"/>
          <w:szCs w:val="22"/>
        </w:rPr>
        <w:t>.</w:t>
      </w:r>
    </w:p>
  </w:footnote>
  <w:footnote w:id="15">
    <w:p w14:paraId="4630615E" w14:textId="1D82F906" w:rsidR="00174D17" w:rsidRPr="00EB15D4" w:rsidRDefault="00174D17">
      <w:pPr>
        <w:pStyle w:val="FootnoteText"/>
        <w:rPr>
          <w:rFonts w:ascii="Times New Roman" w:hAnsi="Times New Roman" w:cs="Times New Roman"/>
          <w:sz w:val="22"/>
          <w:szCs w:val="22"/>
        </w:rPr>
      </w:pPr>
      <w:r w:rsidRPr="00EB15D4">
        <w:rPr>
          <w:rStyle w:val="FootnoteReference"/>
          <w:rFonts w:ascii="Times New Roman" w:hAnsi="Times New Roman" w:cs="Times New Roman"/>
          <w:sz w:val="22"/>
          <w:szCs w:val="22"/>
        </w:rPr>
        <w:footnoteRef/>
      </w:r>
      <w:r w:rsidRPr="00EB15D4">
        <w:rPr>
          <w:rFonts w:ascii="Times New Roman" w:hAnsi="Times New Roman" w:cs="Times New Roman"/>
          <w:sz w:val="22"/>
          <w:szCs w:val="22"/>
        </w:rPr>
        <w:t xml:space="preserve"> Le Queux,</w:t>
      </w:r>
      <w:r w:rsidR="00440F09" w:rsidRPr="00EB15D4">
        <w:rPr>
          <w:rFonts w:ascii="Times New Roman" w:hAnsi="Times New Roman" w:cs="Times New Roman"/>
          <w:sz w:val="22"/>
          <w:szCs w:val="22"/>
        </w:rPr>
        <w:t xml:space="preserve"> </w:t>
      </w:r>
      <w:r w:rsidR="00440F09" w:rsidRPr="00EB15D4">
        <w:rPr>
          <w:rFonts w:ascii="Times New Roman" w:hAnsi="Times New Roman" w:cs="Times New Roman"/>
          <w:i/>
          <w:iCs/>
          <w:sz w:val="22"/>
          <w:szCs w:val="22"/>
        </w:rPr>
        <w:t>Spies of the Kaiser</w:t>
      </w:r>
      <w:r w:rsidR="00440F09" w:rsidRPr="00EB15D4">
        <w:rPr>
          <w:rFonts w:ascii="Times New Roman" w:hAnsi="Times New Roman" w:cs="Times New Roman"/>
          <w:sz w:val="22"/>
          <w:szCs w:val="22"/>
        </w:rPr>
        <w:t>,</w:t>
      </w:r>
      <w:r w:rsidRPr="00EB15D4">
        <w:rPr>
          <w:rFonts w:ascii="Times New Roman" w:hAnsi="Times New Roman" w:cs="Times New Roman"/>
          <w:sz w:val="22"/>
          <w:szCs w:val="22"/>
        </w:rPr>
        <w:t xml:space="preserve"> p. 83.</w:t>
      </w:r>
    </w:p>
  </w:footnote>
  <w:footnote w:id="16">
    <w:p w14:paraId="3FE0855A" w14:textId="4D43D00A" w:rsidR="00440F09" w:rsidRPr="00EB15D4" w:rsidRDefault="00440F09">
      <w:pPr>
        <w:pStyle w:val="FootnoteText"/>
        <w:rPr>
          <w:rFonts w:ascii="Times New Roman" w:hAnsi="Times New Roman" w:cs="Times New Roman"/>
          <w:sz w:val="22"/>
          <w:szCs w:val="22"/>
        </w:rPr>
      </w:pPr>
      <w:r w:rsidRPr="00EB15D4">
        <w:rPr>
          <w:rStyle w:val="FootnoteReference"/>
          <w:rFonts w:ascii="Times New Roman" w:hAnsi="Times New Roman" w:cs="Times New Roman"/>
          <w:sz w:val="22"/>
          <w:szCs w:val="22"/>
        </w:rPr>
        <w:footnoteRef/>
      </w:r>
      <w:r w:rsidRPr="00EB15D4">
        <w:rPr>
          <w:rFonts w:ascii="Times New Roman" w:hAnsi="Times New Roman" w:cs="Times New Roman"/>
          <w:sz w:val="22"/>
          <w:szCs w:val="22"/>
        </w:rPr>
        <w:t xml:space="preserve"> William Le Queux, </w:t>
      </w:r>
      <w:r w:rsidRPr="00EB15D4">
        <w:rPr>
          <w:rFonts w:ascii="Times New Roman" w:hAnsi="Times New Roman" w:cs="Times New Roman"/>
          <w:i/>
          <w:iCs/>
          <w:sz w:val="22"/>
          <w:szCs w:val="22"/>
        </w:rPr>
        <w:t>The invasion of 1910</w:t>
      </w:r>
      <w:r w:rsidRPr="00EB15D4">
        <w:rPr>
          <w:rFonts w:ascii="Times New Roman" w:hAnsi="Times New Roman" w:cs="Times New Roman"/>
          <w:sz w:val="22"/>
          <w:szCs w:val="22"/>
        </w:rPr>
        <w:t xml:space="preserve"> (</w:t>
      </w:r>
      <w:r w:rsidR="008A1DB7" w:rsidRPr="00EB15D4">
        <w:rPr>
          <w:rFonts w:ascii="Times New Roman" w:hAnsi="Times New Roman" w:cs="Times New Roman"/>
          <w:sz w:val="22"/>
          <w:szCs w:val="22"/>
        </w:rPr>
        <w:t>Salt Lake City</w:t>
      </w:r>
      <w:r w:rsidRPr="00EB15D4">
        <w:rPr>
          <w:rFonts w:ascii="Times New Roman" w:hAnsi="Times New Roman" w:cs="Times New Roman"/>
          <w:sz w:val="22"/>
          <w:szCs w:val="22"/>
        </w:rPr>
        <w:t>: The Project Gutenberg eBook, 2016 [1906])</w:t>
      </w:r>
      <w:r w:rsidR="008A1DB7" w:rsidRPr="00EB15D4">
        <w:rPr>
          <w:rFonts w:ascii="Times New Roman" w:hAnsi="Times New Roman" w:cs="Times New Roman"/>
          <w:sz w:val="22"/>
          <w:szCs w:val="22"/>
        </w:rPr>
        <w:t xml:space="preserve">, eBook </w:t>
      </w:r>
      <w:r w:rsidR="008A1DB7" w:rsidRPr="00EB15D4">
        <w:rPr>
          <w:rFonts w:ascii="Times New Roman" w:hAnsi="Times New Roman" w:cs="Times New Roman"/>
          <w:color w:val="000000"/>
          <w:sz w:val="22"/>
          <w:szCs w:val="22"/>
        </w:rPr>
        <w:t>#51905.</w:t>
      </w:r>
    </w:p>
  </w:footnote>
  <w:footnote w:id="17">
    <w:p w14:paraId="3CB91B4D" w14:textId="1E0B5925" w:rsidR="00E26867" w:rsidRPr="00EB15D4" w:rsidRDefault="00E26867">
      <w:pPr>
        <w:pStyle w:val="FootnoteText"/>
        <w:rPr>
          <w:rFonts w:ascii="Times New Roman" w:hAnsi="Times New Roman" w:cs="Times New Roman"/>
          <w:sz w:val="22"/>
          <w:szCs w:val="22"/>
        </w:rPr>
      </w:pPr>
      <w:r w:rsidRPr="00EB15D4">
        <w:rPr>
          <w:rStyle w:val="FootnoteReference"/>
          <w:rFonts w:ascii="Times New Roman" w:hAnsi="Times New Roman" w:cs="Times New Roman"/>
          <w:sz w:val="22"/>
          <w:szCs w:val="22"/>
        </w:rPr>
        <w:footnoteRef/>
      </w:r>
      <w:r w:rsidRPr="00EB15D4">
        <w:rPr>
          <w:rFonts w:ascii="Times New Roman" w:hAnsi="Times New Roman" w:cs="Times New Roman"/>
          <w:sz w:val="22"/>
          <w:szCs w:val="22"/>
        </w:rPr>
        <w:t xml:space="preserve"> The Editors of the Encyclopaedia Britannica, </w:t>
      </w:r>
      <w:r w:rsidRPr="00EB15D4">
        <w:rPr>
          <w:rFonts w:ascii="Times New Roman" w:hAnsi="Times New Roman" w:cs="Times New Roman"/>
          <w:i/>
          <w:iCs/>
          <w:sz w:val="22"/>
          <w:szCs w:val="22"/>
        </w:rPr>
        <w:t>Robert Erskine Childers</w:t>
      </w:r>
      <w:r w:rsidRPr="00EB15D4">
        <w:rPr>
          <w:rFonts w:ascii="Times New Roman" w:hAnsi="Times New Roman" w:cs="Times New Roman"/>
          <w:sz w:val="22"/>
          <w:szCs w:val="22"/>
        </w:rPr>
        <w:t>, &lt;https://www.britannica.com/biography/Robert-Erskine-Childers</w:t>
      </w:r>
      <w:r w:rsidR="005101DA" w:rsidRPr="00EB15D4">
        <w:rPr>
          <w:rFonts w:ascii="Times New Roman" w:hAnsi="Times New Roman" w:cs="Times New Roman"/>
          <w:sz w:val="22"/>
          <w:szCs w:val="22"/>
        </w:rPr>
        <w:t>&gt; [</w:t>
      </w:r>
      <w:r w:rsidRPr="00EB15D4">
        <w:rPr>
          <w:rFonts w:ascii="Times New Roman" w:hAnsi="Times New Roman" w:cs="Times New Roman"/>
          <w:sz w:val="22"/>
          <w:szCs w:val="22"/>
        </w:rPr>
        <w:t>accessed 13 November 2019].</w:t>
      </w:r>
    </w:p>
  </w:footnote>
  <w:footnote w:id="18">
    <w:p w14:paraId="7B877FF2" w14:textId="71857C25" w:rsidR="00137142" w:rsidRPr="00EB15D4" w:rsidRDefault="00137142">
      <w:pPr>
        <w:pStyle w:val="FootnoteText"/>
        <w:rPr>
          <w:rFonts w:ascii="Times New Roman" w:hAnsi="Times New Roman" w:cs="Times New Roman"/>
          <w:sz w:val="22"/>
          <w:szCs w:val="22"/>
        </w:rPr>
      </w:pPr>
      <w:r w:rsidRPr="00EB15D4">
        <w:rPr>
          <w:rStyle w:val="FootnoteReference"/>
          <w:rFonts w:ascii="Times New Roman" w:hAnsi="Times New Roman" w:cs="Times New Roman"/>
          <w:sz w:val="22"/>
          <w:szCs w:val="22"/>
        </w:rPr>
        <w:footnoteRef/>
      </w:r>
      <w:r w:rsidRPr="00EB15D4">
        <w:rPr>
          <w:rFonts w:ascii="Times New Roman" w:hAnsi="Times New Roman" w:cs="Times New Roman"/>
          <w:sz w:val="22"/>
          <w:szCs w:val="22"/>
        </w:rPr>
        <w:t xml:space="preserve"> Messinger, p. 185.</w:t>
      </w:r>
    </w:p>
  </w:footnote>
  <w:footnote w:id="19">
    <w:p w14:paraId="603DF062" w14:textId="681F1936" w:rsidR="00137142" w:rsidRPr="00EB15D4" w:rsidRDefault="00137142">
      <w:pPr>
        <w:pStyle w:val="FootnoteText"/>
        <w:rPr>
          <w:rFonts w:ascii="Times New Roman" w:hAnsi="Times New Roman" w:cs="Times New Roman"/>
          <w:sz w:val="22"/>
          <w:szCs w:val="22"/>
        </w:rPr>
      </w:pPr>
      <w:r w:rsidRPr="00EB15D4">
        <w:rPr>
          <w:rStyle w:val="FootnoteReference"/>
          <w:rFonts w:ascii="Times New Roman" w:hAnsi="Times New Roman" w:cs="Times New Roman"/>
          <w:sz w:val="22"/>
          <w:szCs w:val="22"/>
        </w:rPr>
        <w:footnoteRef/>
      </w:r>
      <w:r w:rsidRPr="00EB15D4">
        <w:rPr>
          <w:rFonts w:ascii="Times New Roman" w:hAnsi="Times New Roman" w:cs="Times New Roman"/>
          <w:sz w:val="22"/>
          <w:szCs w:val="22"/>
        </w:rPr>
        <w:t xml:space="preserve"> Messinger, p. 185.</w:t>
      </w:r>
    </w:p>
  </w:footnote>
  <w:footnote w:id="20">
    <w:p w14:paraId="35D8B66A" w14:textId="20783B99" w:rsidR="00736160" w:rsidRPr="00EB15D4" w:rsidRDefault="00736160">
      <w:pPr>
        <w:pStyle w:val="FootnoteText"/>
        <w:rPr>
          <w:rFonts w:ascii="Times New Roman" w:hAnsi="Times New Roman" w:cs="Times New Roman"/>
          <w:sz w:val="22"/>
          <w:szCs w:val="22"/>
        </w:rPr>
      </w:pPr>
      <w:r w:rsidRPr="00EB15D4">
        <w:rPr>
          <w:rStyle w:val="FootnoteReference"/>
          <w:rFonts w:ascii="Times New Roman" w:hAnsi="Times New Roman" w:cs="Times New Roman"/>
          <w:sz w:val="22"/>
          <w:szCs w:val="22"/>
        </w:rPr>
        <w:footnoteRef/>
      </w:r>
      <w:r w:rsidRPr="00EB15D4">
        <w:rPr>
          <w:rFonts w:ascii="Times New Roman" w:hAnsi="Times New Roman" w:cs="Times New Roman"/>
          <w:sz w:val="22"/>
          <w:szCs w:val="22"/>
        </w:rPr>
        <w:t xml:space="preserve"> M. L. Sanders and Philip M. Taylor, </w:t>
      </w:r>
      <w:r w:rsidRPr="00EB15D4">
        <w:rPr>
          <w:rFonts w:ascii="Times New Roman" w:hAnsi="Times New Roman" w:cs="Times New Roman"/>
          <w:i/>
          <w:iCs/>
          <w:sz w:val="22"/>
          <w:szCs w:val="22"/>
        </w:rPr>
        <w:t>British Propaganda during the First World War 1914-18</w:t>
      </w:r>
      <w:r w:rsidRPr="00EB15D4">
        <w:rPr>
          <w:rFonts w:ascii="Times New Roman" w:hAnsi="Times New Roman" w:cs="Times New Roman"/>
          <w:sz w:val="22"/>
          <w:szCs w:val="22"/>
        </w:rPr>
        <w:t xml:space="preserve"> (London: The Macmillan Press Ltd, 1982), p. 15.</w:t>
      </w:r>
    </w:p>
  </w:footnote>
  <w:footnote w:id="21">
    <w:p w14:paraId="1A6D7ECD" w14:textId="52130652" w:rsidR="008A1DB7" w:rsidRPr="00EB15D4" w:rsidRDefault="005101DA" w:rsidP="008A1DB7">
      <w:pPr>
        <w:pStyle w:val="BodyText"/>
        <w:autoSpaceDN w:val="0"/>
        <w:rPr>
          <w:color w:val="333333"/>
          <w:sz w:val="22"/>
          <w:szCs w:val="22"/>
          <w:shd w:val="clear" w:color="auto" w:fill="FFFFFF"/>
          <w:lang w:eastAsia="en-GB"/>
        </w:rPr>
      </w:pPr>
      <w:r w:rsidRPr="00EB15D4">
        <w:rPr>
          <w:rStyle w:val="FootnoteReference"/>
          <w:sz w:val="22"/>
          <w:szCs w:val="22"/>
        </w:rPr>
        <w:footnoteRef/>
      </w:r>
      <w:r w:rsidRPr="00EB15D4">
        <w:rPr>
          <w:sz w:val="22"/>
          <w:szCs w:val="22"/>
        </w:rPr>
        <w:t xml:space="preserve"> </w:t>
      </w:r>
      <w:r w:rsidR="008A1DB7" w:rsidRPr="00EB15D4">
        <w:rPr>
          <w:sz w:val="22"/>
          <w:szCs w:val="22"/>
        </w:rPr>
        <w:t>C</w:t>
      </w:r>
      <w:r w:rsidR="008A1DB7" w:rsidRPr="00EB15D4">
        <w:rPr>
          <w:sz w:val="22"/>
          <w:szCs w:val="22"/>
        </w:rPr>
        <w:t>ameron Hazlehurst</w:t>
      </w:r>
      <w:r w:rsidR="008A1DB7" w:rsidRPr="00EB15D4">
        <w:rPr>
          <w:sz w:val="22"/>
          <w:szCs w:val="22"/>
        </w:rPr>
        <w:t xml:space="preserve">, ‘Asquith as Prime Minister 1908-1916’, </w:t>
      </w:r>
      <w:r w:rsidR="008A1DB7" w:rsidRPr="00EB15D4">
        <w:rPr>
          <w:i/>
          <w:iCs/>
          <w:sz w:val="22"/>
          <w:szCs w:val="22"/>
        </w:rPr>
        <w:t>The English Historical Review</w:t>
      </w:r>
      <w:r w:rsidR="008A1DB7" w:rsidRPr="00EB15D4">
        <w:rPr>
          <w:sz w:val="22"/>
          <w:szCs w:val="22"/>
        </w:rPr>
        <w:t>, no. 336, vol. 85 (1970), pp. 502-531. JSTOR, &lt;</w:t>
      </w:r>
      <w:hyperlink r:id="rId3" w:history="1">
        <w:r w:rsidR="008A1DB7" w:rsidRPr="00EB15D4">
          <w:rPr>
            <w:rStyle w:val="Hyperlink"/>
            <w:sz w:val="22"/>
            <w:szCs w:val="22"/>
            <w:shd w:val="clear" w:color="auto" w:fill="FFFFFF"/>
            <w:lang w:eastAsia="en-GB"/>
          </w:rPr>
          <w:t>www.jstor.org/stable/563193</w:t>
        </w:r>
      </w:hyperlink>
      <w:r w:rsidR="008A1DB7" w:rsidRPr="00EB15D4">
        <w:rPr>
          <w:color w:val="333333"/>
          <w:sz w:val="22"/>
          <w:szCs w:val="22"/>
          <w:shd w:val="clear" w:color="auto" w:fill="FFFFFF"/>
          <w:lang w:eastAsia="en-GB"/>
        </w:rPr>
        <w:t>&gt; [accessed 13 November 2019].</w:t>
      </w:r>
    </w:p>
    <w:p w14:paraId="78611908" w14:textId="75A644C1" w:rsidR="005101DA" w:rsidRPr="00EB15D4" w:rsidRDefault="005101DA" w:rsidP="005101DA">
      <w:pPr>
        <w:rPr>
          <w:rFonts w:ascii="Times New Roman" w:eastAsia="Times New Roman" w:hAnsi="Times New Roman" w:cs="Times New Roman"/>
          <w:sz w:val="22"/>
          <w:szCs w:val="22"/>
          <w:lang w:eastAsia="en-GB"/>
        </w:rPr>
      </w:pPr>
    </w:p>
    <w:p w14:paraId="6869AE81" w14:textId="400A324E" w:rsidR="005101DA" w:rsidRPr="00EB15D4" w:rsidRDefault="005101DA">
      <w:pPr>
        <w:pStyle w:val="FootnoteText"/>
        <w:rPr>
          <w:rFonts w:ascii="Times New Roman" w:hAnsi="Times New Roman" w:cs="Times New Roman"/>
          <w:sz w:val="22"/>
          <w:szCs w:val="22"/>
        </w:rPr>
      </w:pPr>
    </w:p>
  </w:footnote>
  <w:footnote w:id="22">
    <w:p w14:paraId="483DB8BB" w14:textId="24AE5E61" w:rsidR="004314B3" w:rsidRPr="00EB15D4" w:rsidRDefault="004314B3" w:rsidP="00EB15D4">
      <w:pPr>
        <w:pStyle w:val="BodyText"/>
        <w:autoSpaceDN w:val="0"/>
        <w:rPr>
          <w:sz w:val="22"/>
          <w:szCs w:val="22"/>
        </w:rPr>
      </w:pPr>
      <w:r w:rsidRPr="00EB15D4">
        <w:rPr>
          <w:rStyle w:val="FootnoteReference"/>
          <w:sz w:val="22"/>
          <w:szCs w:val="22"/>
        </w:rPr>
        <w:footnoteRef/>
      </w:r>
      <w:r w:rsidR="008A1DB7" w:rsidRPr="00EB15D4">
        <w:rPr>
          <w:sz w:val="22"/>
          <w:szCs w:val="22"/>
        </w:rPr>
        <w:t>A</w:t>
      </w:r>
      <w:r w:rsidR="008A1DB7" w:rsidRPr="00EB15D4">
        <w:rPr>
          <w:sz w:val="22"/>
          <w:szCs w:val="22"/>
        </w:rPr>
        <w:t>rthur Marwick</w:t>
      </w:r>
      <w:r w:rsidR="008A1DB7" w:rsidRPr="00EB15D4">
        <w:rPr>
          <w:sz w:val="22"/>
          <w:szCs w:val="22"/>
        </w:rPr>
        <w:t xml:space="preserve"> and </w:t>
      </w:r>
      <w:r w:rsidR="008A1DB7" w:rsidRPr="00EB15D4">
        <w:rPr>
          <w:sz w:val="22"/>
          <w:szCs w:val="22"/>
        </w:rPr>
        <w:t>Wendy Simpson</w:t>
      </w:r>
      <w:r w:rsidR="008A1DB7" w:rsidRPr="00EB15D4">
        <w:rPr>
          <w:sz w:val="22"/>
          <w:szCs w:val="22"/>
        </w:rPr>
        <w:t xml:space="preserve">, (eds) </w:t>
      </w:r>
      <w:r w:rsidR="008A1DB7" w:rsidRPr="00EB15D4">
        <w:rPr>
          <w:i/>
          <w:sz w:val="22"/>
          <w:szCs w:val="22"/>
        </w:rPr>
        <w:t>War, Peace and Social Change, – Documents 1 1900-1929</w:t>
      </w:r>
      <w:r w:rsidR="008A1DB7" w:rsidRPr="00EB15D4">
        <w:rPr>
          <w:sz w:val="22"/>
          <w:szCs w:val="22"/>
        </w:rPr>
        <w:t xml:space="preserve"> (Open University Press, 1990), pp. 3-4.</w:t>
      </w:r>
    </w:p>
  </w:footnote>
  <w:footnote w:id="23">
    <w:p w14:paraId="54E67B26" w14:textId="5067706D" w:rsidR="00C54839" w:rsidRPr="00EB15D4" w:rsidRDefault="00C54839" w:rsidP="00EB15D4">
      <w:pPr>
        <w:jc w:val="both"/>
        <w:rPr>
          <w:rFonts w:ascii="Times New Roman" w:hAnsi="Times New Roman" w:cs="Times New Roman"/>
          <w:sz w:val="22"/>
          <w:szCs w:val="22"/>
        </w:rPr>
      </w:pPr>
      <w:r w:rsidRPr="00EB15D4">
        <w:rPr>
          <w:rStyle w:val="FootnoteReference"/>
          <w:rFonts w:ascii="Times New Roman" w:hAnsi="Times New Roman" w:cs="Times New Roman"/>
          <w:sz w:val="22"/>
          <w:szCs w:val="22"/>
        </w:rPr>
        <w:footnoteRef/>
      </w:r>
      <w:r w:rsidR="008A1DB7" w:rsidRPr="00EB15D4">
        <w:rPr>
          <w:rFonts w:ascii="Times New Roman" w:hAnsi="Times New Roman" w:cs="Times New Roman"/>
          <w:sz w:val="22"/>
          <w:szCs w:val="22"/>
        </w:rPr>
        <w:t xml:space="preserve"> Marwick, pp. 3-4.</w:t>
      </w:r>
    </w:p>
  </w:footnote>
  <w:footnote w:id="24">
    <w:p w14:paraId="10948CD1" w14:textId="2B50E07D" w:rsidR="00984E2A" w:rsidRPr="00EB15D4" w:rsidRDefault="00984E2A" w:rsidP="00EB15D4">
      <w:pPr>
        <w:jc w:val="both"/>
        <w:rPr>
          <w:rFonts w:ascii="Times New Roman" w:hAnsi="Times New Roman" w:cs="Times New Roman"/>
          <w:sz w:val="22"/>
          <w:szCs w:val="22"/>
        </w:rPr>
      </w:pPr>
      <w:r w:rsidRPr="00EB15D4">
        <w:rPr>
          <w:rStyle w:val="FootnoteReference"/>
          <w:rFonts w:ascii="Times New Roman" w:hAnsi="Times New Roman" w:cs="Times New Roman"/>
          <w:sz w:val="22"/>
          <w:szCs w:val="22"/>
        </w:rPr>
        <w:footnoteRef/>
      </w:r>
      <w:r w:rsidR="006A301B" w:rsidRPr="00EB15D4">
        <w:rPr>
          <w:rFonts w:ascii="Times New Roman" w:hAnsi="Times New Roman" w:cs="Times New Roman"/>
          <w:sz w:val="22"/>
          <w:szCs w:val="22"/>
        </w:rPr>
        <w:t xml:space="preserve"> </w:t>
      </w:r>
      <w:r w:rsidR="008A1DB7" w:rsidRPr="00EB15D4">
        <w:rPr>
          <w:rFonts w:ascii="Times New Roman" w:hAnsi="Times New Roman" w:cs="Times New Roman"/>
          <w:sz w:val="22"/>
          <w:szCs w:val="22"/>
        </w:rPr>
        <w:t>Marwick, pp. 3-4.</w:t>
      </w:r>
    </w:p>
  </w:footnote>
  <w:footnote w:id="25">
    <w:p w14:paraId="2EA03D90" w14:textId="58C0DB8C" w:rsidR="006A301B" w:rsidRPr="00EB15D4" w:rsidRDefault="006A301B" w:rsidP="00EB15D4">
      <w:pPr>
        <w:jc w:val="both"/>
        <w:rPr>
          <w:rFonts w:ascii="Times New Roman" w:hAnsi="Times New Roman" w:cs="Times New Roman"/>
          <w:sz w:val="22"/>
          <w:szCs w:val="22"/>
        </w:rPr>
      </w:pPr>
      <w:r w:rsidRPr="00EB15D4">
        <w:rPr>
          <w:rStyle w:val="FootnoteReference"/>
          <w:rFonts w:ascii="Times New Roman" w:hAnsi="Times New Roman" w:cs="Times New Roman"/>
          <w:sz w:val="22"/>
          <w:szCs w:val="22"/>
        </w:rPr>
        <w:footnoteRef/>
      </w:r>
      <w:r w:rsidRPr="00EB15D4">
        <w:rPr>
          <w:rFonts w:ascii="Times New Roman" w:hAnsi="Times New Roman" w:cs="Times New Roman"/>
          <w:sz w:val="22"/>
          <w:szCs w:val="22"/>
        </w:rPr>
        <w:t xml:space="preserve"> </w:t>
      </w:r>
      <w:r w:rsidR="008A1DB7" w:rsidRPr="00EB15D4">
        <w:rPr>
          <w:rFonts w:ascii="Times New Roman" w:hAnsi="Times New Roman" w:cs="Times New Roman"/>
          <w:sz w:val="22"/>
          <w:szCs w:val="22"/>
        </w:rPr>
        <w:t>Marwick, pp. 3-4.</w:t>
      </w:r>
    </w:p>
  </w:footnote>
  <w:footnote w:id="26">
    <w:p w14:paraId="64447083" w14:textId="4B5D3C70" w:rsidR="00EF5452" w:rsidRPr="00EB15D4" w:rsidRDefault="00EF5452">
      <w:pPr>
        <w:pStyle w:val="FootnoteText"/>
        <w:rPr>
          <w:rFonts w:ascii="Times New Roman" w:hAnsi="Times New Roman" w:cs="Times New Roman"/>
          <w:sz w:val="22"/>
          <w:szCs w:val="22"/>
        </w:rPr>
      </w:pPr>
      <w:r w:rsidRPr="00EB15D4">
        <w:rPr>
          <w:rStyle w:val="FootnoteReference"/>
          <w:rFonts w:ascii="Times New Roman" w:hAnsi="Times New Roman" w:cs="Times New Roman"/>
          <w:sz w:val="22"/>
          <w:szCs w:val="22"/>
        </w:rPr>
        <w:footnoteRef/>
      </w:r>
      <w:r w:rsidRPr="00EB15D4">
        <w:rPr>
          <w:rFonts w:ascii="Times New Roman" w:hAnsi="Times New Roman" w:cs="Times New Roman"/>
          <w:sz w:val="22"/>
          <w:szCs w:val="22"/>
        </w:rPr>
        <w:t xml:space="preserve"> </w:t>
      </w:r>
      <w:r w:rsidR="008A1DB7" w:rsidRPr="00EB15D4">
        <w:rPr>
          <w:rFonts w:ascii="Times New Roman" w:hAnsi="Times New Roman" w:cs="Times New Roman"/>
          <w:sz w:val="22"/>
          <w:szCs w:val="22"/>
        </w:rPr>
        <w:t>Marwick, pp. 3-4.</w:t>
      </w:r>
    </w:p>
  </w:footnote>
  <w:footnote w:id="27">
    <w:p w14:paraId="2B421C6A" w14:textId="79B37647" w:rsidR="00BB33E0" w:rsidRPr="00EB15D4" w:rsidRDefault="00BB33E0" w:rsidP="00EB15D4">
      <w:pPr>
        <w:pStyle w:val="BodyText"/>
        <w:autoSpaceDN w:val="0"/>
        <w:rPr>
          <w:sz w:val="22"/>
          <w:szCs w:val="22"/>
        </w:rPr>
      </w:pPr>
      <w:r w:rsidRPr="00EB15D4">
        <w:rPr>
          <w:rStyle w:val="FootnoteReference"/>
          <w:sz w:val="22"/>
          <w:szCs w:val="22"/>
        </w:rPr>
        <w:footnoteRef/>
      </w:r>
      <w:r w:rsidRPr="00EB15D4">
        <w:rPr>
          <w:sz w:val="22"/>
          <w:szCs w:val="22"/>
        </w:rPr>
        <w:t xml:space="preserve"> </w:t>
      </w:r>
      <w:r w:rsidR="008A1DB7" w:rsidRPr="00EB15D4">
        <w:rPr>
          <w:sz w:val="22"/>
          <w:szCs w:val="22"/>
        </w:rPr>
        <w:t xml:space="preserve">Edmund </w:t>
      </w:r>
      <w:r w:rsidR="008A1DB7" w:rsidRPr="00EB15D4">
        <w:rPr>
          <w:sz w:val="22"/>
          <w:szCs w:val="22"/>
        </w:rPr>
        <w:t xml:space="preserve">Blunden, </w:t>
      </w:r>
      <w:r w:rsidR="008A1DB7" w:rsidRPr="00EB15D4">
        <w:rPr>
          <w:i/>
          <w:iCs/>
          <w:sz w:val="22"/>
          <w:szCs w:val="22"/>
        </w:rPr>
        <w:t>Shells by a stream</w:t>
      </w:r>
      <w:r w:rsidR="008A1DB7" w:rsidRPr="00EB15D4">
        <w:rPr>
          <w:sz w:val="22"/>
          <w:szCs w:val="22"/>
        </w:rPr>
        <w:t xml:space="preserve"> (London: Macmillan &amp; Co. LTD, 1945).</w:t>
      </w:r>
    </w:p>
  </w:footnote>
  <w:footnote w:id="28">
    <w:p w14:paraId="47D2DB68" w14:textId="45B2B4F3" w:rsidR="00622A4E" w:rsidRPr="00EB15D4" w:rsidRDefault="00622A4E">
      <w:pPr>
        <w:pStyle w:val="FootnoteText"/>
        <w:rPr>
          <w:rFonts w:ascii="Times New Roman" w:hAnsi="Times New Roman" w:cs="Times New Roman"/>
          <w:sz w:val="22"/>
          <w:szCs w:val="22"/>
        </w:rPr>
      </w:pPr>
      <w:r w:rsidRPr="00EB15D4">
        <w:rPr>
          <w:rStyle w:val="FootnoteReference"/>
          <w:rFonts w:ascii="Times New Roman" w:hAnsi="Times New Roman" w:cs="Times New Roman"/>
          <w:sz w:val="22"/>
          <w:szCs w:val="22"/>
        </w:rPr>
        <w:footnoteRef/>
      </w:r>
      <w:r w:rsidRPr="00EB15D4">
        <w:rPr>
          <w:rFonts w:ascii="Times New Roman" w:hAnsi="Times New Roman" w:cs="Times New Roman"/>
          <w:sz w:val="22"/>
          <w:szCs w:val="22"/>
        </w:rPr>
        <w:t xml:space="preserve"> </w:t>
      </w:r>
      <w:r w:rsidR="00EB15D4" w:rsidRPr="00EB15D4">
        <w:rPr>
          <w:rFonts w:ascii="Times New Roman" w:hAnsi="Times New Roman" w:cs="Times New Roman"/>
          <w:sz w:val="22"/>
          <w:szCs w:val="22"/>
        </w:rPr>
        <w:t xml:space="preserve">Brittain, p. </w:t>
      </w:r>
      <w:r w:rsidRPr="00EB15D4">
        <w:rPr>
          <w:rFonts w:ascii="Times New Roman" w:hAnsi="Times New Roman" w:cs="Times New Roman"/>
          <w:sz w:val="22"/>
          <w:szCs w:val="22"/>
        </w:rPr>
        <w:t>93</w:t>
      </w:r>
      <w:r w:rsidR="00EB15D4" w:rsidRPr="00EB15D4">
        <w:rPr>
          <w:rFonts w:ascii="Times New Roman" w:hAnsi="Times New Roman" w:cs="Times New Roman"/>
          <w:sz w:val="22"/>
          <w:szCs w:val="22"/>
        </w:rPr>
        <w:t>.</w:t>
      </w:r>
    </w:p>
  </w:footnote>
  <w:footnote w:id="29">
    <w:p w14:paraId="54797EF8" w14:textId="691AE36D" w:rsidR="00622A4E" w:rsidRPr="00EB15D4" w:rsidRDefault="00622A4E">
      <w:pPr>
        <w:pStyle w:val="FootnoteText"/>
        <w:rPr>
          <w:rFonts w:ascii="Times New Roman" w:hAnsi="Times New Roman" w:cs="Times New Roman"/>
          <w:sz w:val="22"/>
          <w:szCs w:val="22"/>
        </w:rPr>
      </w:pPr>
      <w:r w:rsidRPr="00EB15D4">
        <w:rPr>
          <w:rStyle w:val="FootnoteReference"/>
          <w:rFonts w:ascii="Times New Roman" w:hAnsi="Times New Roman" w:cs="Times New Roman"/>
          <w:sz w:val="22"/>
          <w:szCs w:val="22"/>
        </w:rPr>
        <w:footnoteRef/>
      </w:r>
      <w:r w:rsidRPr="00EB15D4">
        <w:rPr>
          <w:rFonts w:ascii="Times New Roman" w:hAnsi="Times New Roman" w:cs="Times New Roman"/>
          <w:sz w:val="22"/>
          <w:szCs w:val="22"/>
        </w:rPr>
        <w:t xml:space="preserve"> </w:t>
      </w:r>
      <w:r w:rsidR="00EB15D4" w:rsidRPr="00EB15D4">
        <w:rPr>
          <w:rFonts w:ascii="Times New Roman" w:hAnsi="Times New Roman" w:cs="Times New Roman"/>
          <w:sz w:val="22"/>
          <w:szCs w:val="22"/>
        </w:rPr>
        <w:t xml:space="preserve">Brittain, p. </w:t>
      </w:r>
      <w:r w:rsidRPr="00EB15D4">
        <w:rPr>
          <w:rFonts w:ascii="Times New Roman" w:hAnsi="Times New Roman" w:cs="Times New Roman"/>
          <w:sz w:val="22"/>
          <w:szCs w:val="22"/>
        </w:rPr>
        <w:t>9</w:t>
      </w:r>
      <w:r w:rsidR="00EB15D4" w:rsidRPr="00EB15D4">
        <w:rPr>
          <w:rFonts w:ascii="Times New Roman" w:hAnsi="Times New Roman" w:cs="Times New Roman"/>
          <w:sz w:val="22"/>
          <w:szCs w:val="22"/>
        </w:rPr>
        <w:t>7.</w:t>
      </w:r>
    </w:p>
  </w:footnote>
  <w:footnote w:id="30">
    <w:p w14:paraId="11719E4A" w14:textId="01E41BDD" w:rsidR="00F436B4" w:rsidRDefault="00F436B4">
      <w:pPr>
        <w:pStyle w:val="FootnoteText"/>
      </w:pPr>
      <w:r w:rsidRPr="00EB15D4">
        <w:rPr>
          <w:rStyle w:val="FootnoteReference"/>
          <w:rFonts w:ascii="Times New Roman" w:hAnsi="Times New Roman" w:cs="Times New Roman"/>
          <w:sz w:val="22"/>
          <w:szCs w:val="22"/>
        </w:rPr>
        <w:footnoteRef/>
      </w:r>
      <w:r w:rsidRPr="00EB15D4">
        <w:rPr>
          <w:rFonts w:ascii="Times New Roman" w:hAnsi="Times New Roman" w:cs="Times New Roman"/>
          <w:sz w:val="22"/>
          <w:szCs w:val="22"/>
        </w:rPr>
        <w:t xml:space="preserve"> </w:t>
      </w:r>
      <w:r w:rsidR="00EB15D4" w:rsidRPr="00EB15D4">
        <w:rPr>
          <w:rFonts w:ascii="Times New Roman" w:hAnsi="Times New Roman" w:cs="Times New Roman"/>
          <w:sz w:val="22"/>
          <w:szCs w:val="22"/>
        </w:rPr>
        <w:t>Brittain, p.</w:t>
      </w:r>
      <w:r w:rsidRPr="00EB15D4">
        <w:rPr>
          <w:rFonts w:ascii="Times New Roman" w:hAnsi="Times New Roman" w:cs="Times New Roman"/>
          <w:sz w:val="22"/>
          <w:szCs w:val="22"/>
        </w:rPr>
        <w:t xml:space="preserve"> 463</w:t>
      </w:r>
      <w:r w:rsidR="00EB15D4" w:rsidRPr="00EB15D4">
        <w:rPr>
          <w:rFonts w:ascii="Times New Roman" w:hAnsi="Times New Roman" w:cs="Times New Roman"/>
          <w:sz w:val="22"/>
          <w:szCs w:val="22"/>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BE1626F"/>
    <w:multiLevelType w:val="hybridMultilevel"/>
    <w:tmpl w:val="9D040CC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0CE7"/>
    <w:rsid w:val="00033A21"/>
    <w:rsid w:val="0005213F"/>
    <w:rsid w:val="00056F25"/>
    <w:rsid w:val="001017EB"/>
    <w:rsid w:val="00137142"/>
    <w:rsid w:val="00174D17"/>
    <w:rsid w:val="001852DA"/>
    <w:rsid w:val="00185348"/>
    <w:rsid w:val="00185950"/>
    <w:rsid w:val="001E36B0"/>
    <w:rsid w:val="00203021"/>
    <w:rsid w:val="00285844"/>
    <w:rsid w:val="002B5A00"/>
    <w:rsid w:val="002D5194"/>
    <w:rsid w:val="002E3FE7"/>
    <w:rsid w:val="002F222F"/>
    <w:rsid w:val="00300180"/>
    <w:rsid w:val="00324D58"/>
    <w:rsid w:val="00367716"/>
    <w:rsid w:val="0038196B"/>
    <w:rsid w:val="003F267D"/>
    <w:rsid w:val="004314B3"/>
    <w:rsid w:val="00432250"/>
    <w:rsid w:val="00440F09"/>
    <w:rsid w:val="004655DF"/>
    <w:rsid w:val="005101DA"/>
    <w:rsid w:val="00527465"/>
    <w:rsid w:val="005E0530"/>
    <w:rsid w:val="005E16FF"/>
    <w:rsid w:val="0061323F"/>
    <w:rsid w:val="00622A4E"/>
    <w:rsid w:val="006A301B"/>
    <w:rsid w:val="006B5CB9"/>
    <w:rsid w:val="007209D4"/>
    <w:rsid w:val="00736160"/>
    <w:rsid w:val="007448B7"/>
    <w:rsid w:val="00756041"/>
    <w:rsid w:val="007E0CE7"/>
    <w:rsid w:val="007F48A4"/>
    <w:rsid w:val="00833506"/>
    <w:rsid w:val="00836A17"/>
    <w:rsid w:val="00874F2D"/>
    <w:rsid w:val="008A1DB7"/>
    <w:rsid w:val="008D0067"/>
    <w:rsid w:val="008D6AE6"/>
    <w:rsid w:val="00920937"/>
    <w:rsid w:val="00984E2A"/>
    <w:rsid w:val="009A0DE6"/>
    <w:rsid w:val="009E2823"/>
    <w:rsid w:val="00AB3F2E"/>
    <w:rsid w:val="00AB6593"/>
    <w:rsid w:val="00AE2902"/>
    <w:rsid w:val="00B11A25"/>
    <w:rsid w:val="00B77A63"/>
    <w:rsid w:val="00BA462C"/>
    <w:rsid w:val="00BA63D6"/>
    <w:rsid w:val="00BB33E0"/>
    <w:rsid w:val="00C47C4F"/>
    <w:rsid w:val="00C54839"/>
    <w:rsid w:val="00CA2909"/>
    <w:rsid w:val="00D41898"/>
    <w:rsid w:val="00D656DF"/>
    <w:rsid w:val="00E048C4"/>
    <w:rsid w:val="00E26867"/>
    <w:rsid w:val="00E3765F"/>
    <w:rsid w:val="00EB15D4"/>
    <w:rsid w:val="00EB19DD"/>
    <w:rsid w:val="00EF5452"/>
    <w:rsid w:val="00EF6721"/>
    <w:rsid w:val="00F1072F"/>
    <w:rsid w:val="00F4139B"/>
    <w:rsid w:val="00F436B4"/>
    <w:rsid w:val="00F63FBF"/>
    <w:rsid w:val="00FD40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77497F6"/>
  <w15:chartTrackingRefBased/>
  <w15:docId w15:val="{E201BDE2-C4FB-FE46-8531-4E12C9AC1E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7E0CE7"/>
    <w:pPr>
      <w:jc w:val="both"/>
    </w:pPr>
    <w:rPr>
      <w:rFonts w:ascii="Times New Roman" w:eastAsia="Times New Roman" w:hAnsi="Times New Roman" w:cs="Times New Roman"/>
    </w:rPr>
  </w:style>
  <w:style w:type="character" w:customStyle="1" w:styleId="BodyTextChar">
    <w:name w:val="Body Text Char"/>
    <w:basedOn w:val="DefaultParagraphFont"/>
    <w:link w:val="BodyText"/>
    <w:rsid w:val="007E0CE7"/>
    <w:rPr>
      <w:rFonts w:ascii="Times New Roman" w:eastAsia="Times New Roman" w:hAnsi="Times New Roman" w:cs="Times New Roman"/>
    </w:rPr>
  </w:style>
  <w:style w:type="paragraph" w:styleId="FootnoteText">
    <w:name w:val="footnote text"/>
    <w:basedOn w:val="Normal"/>
    <w:link w:val="FootnoteTextChar"/>
    <w:uiPriority w:val="99"/>
    <w:semiHidden/>
    <w:unhideWhenUsed/>
    <w:rsid w:val="009E2823"/>
    <w:rPr>
      <w:sz w:val="20"/>
      <w:szCs w:val="20"/>
    </w:rPr>
  </w:style>
  <w:style w:type="character" w:customStyle="1" w:styleId="FootnoteTextChar">
    <w:name w:val="Footnote Text Char"/>
    <w:basedOn w:val="DefaultParagraphFont"/>
    <w:link w:val="FootnoteText"/>
    <w:uiPriority w:val="99"/>
    <w:semiHidden/>
    <w:rsid w:val="009E2823"/>
    <w:rPr>
      <w:sz w:val="20"/>
      <w:szCs w:val="20"/>
    </w:rPr>
  </w:style>
  <w:style w:type="character" w:styleId="FootnoteReference">
    <w:name w:val="footnote reference"/>
    <w:basedOn w:val="DefaultParagraphFont"/>
    <w:uiPriority w:val="99"/>
    <w:semiHidden/>
    <w:unhideWhenUsed/>
    <w:rsid w:val="009E2823"/>
    <w:rPr>
      <w:vertAlign w:val="superscript"/>
    </w:rPr>
  </w:style>
  <w:style w:type="character" w:styleId="Hyperlink">
    <w:name w:val="Hyperlink"/>
    <w:basedOn w:val="DefaultParagraphFont"/>
    <w:uiPriority w:val="99"/>
    <w:unhideWhenUsed/>
    <w:rsid w:val="009A0DE6"/>
    <w:rPr>
      <w:color w:val="0563C1" w:themeColor="hyperlink"/>
      <w:u w:val="single"/>
    </w:rPr>
  </w:style>
  <w:style w:type="character" w:styleId="UnresolvedMention">
    <w:name w:val="Unresolved Mention"/>
    <w:basedOn w:val="DefaultParagraphFont"/>
    <w:uiPriority w:val="99"/>
    <w:semiHidden/>
    <w:unhideWhenUsed/>
    <w:rsid w:val="009A0DE6"/>
    <w:rPr>
      <w:color w:val="605E5C"/>
      <w:shd w:val="clear" w:color="auto" w:fill="E1DFDD"/>
    </w:rPr>
  </w:style>
  <w:style w:type="character" w:customStyle="1" w:styleId="apple-converted-space">
    <w:name w:val="apple-converted-space"/>
    <w:basedOn w:val="DefaultParagraphFont"/>
    <w:rsid w:val="005101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2279185">
      <w:bodyDiv w:val="1"/>
      <w:marLeft w:val="0"/>
      <w:marRight w:val="0"/>
      <w:marTop w:val="0"/>
      <w:marBottom w:val="0"/>
      <w:divBdr>
        <w:top w:val="none" w:sz="0" w:space="0" w:color="auto"/>
        <w:left w:val="none" w:sz="0" w:space="0" w:color="auto"/>
        <w:bottom w:val="none" w:sz="0" w:space="0" w:color="auto"/>
        <w:right w:val="none" w:sz="0" w:space="0" w:color="auto"/>
      </w:divBdr>
    </w:div>
    <w:div w:id="7761457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tephenbasdeo.wordpress.com/2013/09/01/the-public-school-ethos-and-late-nineteenth-century-juvenile-literature-by-stephen-basde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britannica.com/event/Franco-German-War" TargetMode="External"/><Relationship Id="rId4" Type="http://schemas.openxmlformats.org/officeDocument/2006/relationships/settings" Target="settings.xml"/><Relationship Id="rId9" Type="http://schemas.openxmlformats.org/officeDocument/2006/relationships/hyperlink" Target="http://www.jstor.org/stable/563193"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www.jstor.org/stable/563193" TargetMode="External"/><Relationship Id="rId2" Type="http://schemas.openxmlformats.org/officeDocument/2006/relationships/hyperlink" Target="https://www.britannica.com/event/Franco-German-War" TargetMode="External"/><Relationship Id="rId1" Type="http://schemas.openxmlformats.org/officeDocument/2006/relationships/hyperlink" Target="https://stephenbasdeo.wordpress.com/2013/09/01/the-public-school-ethos-and-late-nineteenth-century-juvenile-literature-by-stephen-basde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4E8386-0AFF-CC41-8322-D8D0B0DCAD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510</TotalTime>
  <Pages>6</Pages>
  <Words>2667</Words>
  <Characters>15206</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Jodie Spackman (1701908)</dc:creator>
  <cp:keywords/>
  <dc:description/>
  <cp:lastModifiedBy>Jodie Spackman (1701908)</cp:lastModifiedBy>
  <cp:revision>24</cp:revision>
  <dcterms:created xsi:type="dcterms:W3CDTF">2019-11-12T18:56:00Z</dcterms:created>
  <dcterms:modified xsi:type="dcterms:W3CDTF">2019-11-14T19:28:00Z</dcterms:modified>
</cp:coreProperties>
</file>