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8F04C" w14:textId="77777777" w:rsidR="00186E8F" w:rsidRPr="00A143E4" w:rsidRDefault="00186E8F" w:rsidP="00186E8F">
      <w:pPr>
        <w:spacing w:before="240"/>
        <w:jc w:val="center"/>
        <w:rPr>
          <w:rFonts w:ascii="Arial" w:hAnsi="Arial" w:cs="Arial"/>
          <w:sz w:val="24"/>
        </w:rPr>
      </w:pPr>
      <w:r>
        <w:rPr>
          <w:noProof/>
        </w:rPr>
        <w:drawing>
          <wp:inline distT="0" distB="0" distL="0" distR="0" wp14:anchorId="7B419388" wp14:editId="1DC5BE59">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535745E3" w14:textId="77777777" w:rsidR="00186E8F" w:rsidRPr="00063B4C" w:rsidRDefault="00186E8F" w:rsidP="00186E8F">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w:t>
      </w:r>
      <w:r>
        <w:rPr>
          <w:rFonts w:cs="Arial"/>
          <w:sz w:val="60"/>
          <w:szCs w:val="60"/>
        </w:rPr>
        <w:t xml:space="preserve">m </w:t>
      </w:r>
      <w:r w:rsidRPr="00063B4C">
        <w:rPr>
          <w:rFonts w:cs="Arial"/>
          <w:sz w:val="60"/>
          <w:szCs w:val="60"/>
        </w:rPr>
        <w:t>Campus</w:t>
      </w:r>
    </w:p>
    <w:p w14:paraId="5620EABB" w14:textId="77777777" w:rsidR="00186E8F" w:rsidRPr="00063B4C" w:rsidRDefault="00186E8F" w:rsidP="00186E8F">
      <w:pPr>
        <w:pStyle w:val="BodyText"/>
        <w:jc w:val="center"/>
        <w:rPr>
          <w:rFonts w:ascii="Aptos" w:hAnsi="Aptos" w:cs="Arial"/>
          <w:sz w:val="20"/>
        </w:rPr>
      </w:pPr>
    </w:p>
    <w:p w14:paraId="47D9FCE6" w14:textId="77777777" w:rsidR="00186E8F" w:rsidRDefault="00186E8F" w:rsidP="00186E8F">
      <w:pPr>
        <w:spacing w:before="240"/>
        <w:jc w:val="center"/>
        <w:rPr>
          <w:rFonts w:ascii="Arial" w:hAnsi="Arial" w:cs="Arial"/>
          <w:b/>
          <w:bCs/>
        </w:rPr>
      </w:pPr>
      <w:r w:rsidRPr="00063B4C">
        <w:rPr>
          <w:rFonts w:cs="Arial"/>
          <w:sz w:val="60"/>
          <w:szCs w:val="60"/>
        </w:rPr>
        <w:t>BSc (Hons) Health and Social Care</w:t>
      </w:r>
    </w:p>
    <w:p w14:paraId="10C7CBCA" w14:textId="77777777" w:rsidR="00186E8F" w:rsidRDefault="00186E8F" w:rsidP="00186E8F">
      <w:pPr>
        <w:rPr>
          <w:rFonts w:cs="Arial"/>
          <w:b/>
          <w:sz w:val="28"/>
          <w:szCs w:val="28"/>
        </w:rPr>
      </w:pPr>
    </w:p>
    <w:p w14:paraId="5BE1BBC1" w14:textId="77777777" w:rsidR="00186E8F" w:rsidRDefault="00186E8F" w:rsidP="00186E8F">
      <w:pPr>
        <w:rPr>
          <w:rFonts w:cs="Arial"/>
          <w:b/>
          <w:sz w:val="28"/>
          <w:szCs w:val="28"/>
        </w:rPr>
      </w:pPr>
    </w:p>
    <w:p w14:paraId="7DECBDDE" w14:textId="77777777" w:rsidR="00186E8F" w:rsidRDefault="00186E8F" w:rsidP="00186E8F">
      <w:pPr>
        <w:rPr>
          <w:rFonts w:cs="Arial"/>
          <w:b/>
          <w:sz w:val="28"/>
          <w:szCs w:val="28"/>
        </w:rPr>
      </w:pPr>
    </w:p>
    <w:p w14:paraId="7E3CD6EB" w14:textId="77777777" w:rsidR="00186E8F" w:rsidRDefault="00186E8F" w:rsidP="00186E8F">
      <w:pPr>
        <w:rPr>
          <w:rFonts w:cs="Arial"/>
          <w:b/>
          <w:sz w:val="28"/>
          <w:szCs w:val="28"/>
        </w:rPr>
      </w:pPr>
    </w:p>
    <w:p w14:paraId="7F0DFD83" w14:textId="77777777" w:rsidR="00186E8F" w:rsidRDefault="00186E8F" w:rsidP="00186E8F">
      <w:pPr>
        <w:rPr>
          <w:rFonts w:cs="Arial"/>
          <w:b/>
          <w:sz w:val="28"/>
          <w:szCs w:val="28"/>
        </w:rPr>
      </w:pPr>
    </w:p>
    <w:p w14:paraId="56C38C71" w14:textId="77777777" w:rsidR="00186E8F" w:rsidRDefault="00186E8F" w:rsidP="00186E8F">
      <w:pPr>
        <w:rPr>
          <w:rFonts w:cs="Arial"/>
          <w:b/>
          <w:sz w:val="28"/>
          <w:szCs w:val="28"/>
        </w:rPr>
      </w:pPr>
    </w:p>
    <w:p w14:paraId="26EF9CA6" w14:textId="77777777" w:rsidR="00186E8F" w:rsidRDefault="00186E8F" w:rsidP="00186E8F">
      <w:pPr>
        <w:rPr>
          <w:rFonts w:cs="Arial"/>
          <w:b/>
          <w:sz w:val="28"/>
          <w:szCs w:val="28"/>
        </w:rPr>
      </w:pPr>
    </w:p>
    <w:p w14:paraId="51595EBA" w14:textId="77777777" w:rsidR="00186E8F" w:rsidRDefault="00186E8F" w:rsidP="00186E8F">
      <w:pPr>
        <w:rPr>
          <w:rFonts w:cs="Arial"/>
          <w:b/>
          <w:sz w:val="28"/>
          <w:szCs w:val="28"/>
        </w:rPr>
      </w:pPr>
    </w:p>
    <w:p w14:paraId="6C93D7EA" w14:textId="77777777" w:rsidR="00186E8F" w:rsidRDefault="00186E8F" w:rsidP="00186E8F">
      <w:pPr>
        <w:rPr>
          <w:rFonts w:cs="Arial"/>
          <w:b/>
          <w:sz w:val="28"/>
          <w:szCs w:val="28"/>
        </w:rPr>
      </w:pPr>
    </w:p>
    <w:p w14:paraId="7ECF1DBF" w14:textId="77777777" w:rsidR="00186E8F" w:rsidRDefault="00186E8F" w:rsidP="00186E8F">
      <w:pPr>
        <w:rPr>
          <w:rFonts w:cs="Arial"/>
          <w:b/>
          <w:sz w:val="28"/>
          <w:szCs w:val="28"/>
        </w:rPr>
      </w:pPr>
    </w:p>
    <w:p w14:paraId="6AB51E3F" w14:textId="77777777" w:rsidR="00186E8F" w:rsidRDefault="00186E8F" w:rsidP="00186E8F">
      <w:pPr>
        <w:rPr>
          <w:rFonts w:cs="Arial"/>
          <w:b/>
          <w:sz w:val="28"/>
          <w:szCs w:val="28"/>
        </w:rPr>
      </w:pPr>
    </w:p>
    <w:p w14:paraId="41564C73" w14:textId="77777777" w:rsidR="00186E8F" w:rsidRDefault="00186E8F" w:rsidP="00186E8F">
      <w:pPr>
        <w:rPr>
          <w:rFonts w:cs="Arial"/>
          <w:b/>
          <w:sz w:val="28"/>
          <w:szCs w:val="28"/>
        </w:rPr>
      </w:pPr>
    </w:p>
    <w:p w14:paraId="26BFB165" w14:textId="77777777" w:rsidR="00186E8F" w:rsidRPr="0000132F" w:rsidRDefault="00186E8F" w:rsidP="00186E8F">
      <w:pPr>
        <w:rPr>
          <w:rFonts w:cs="Arial"/>
          <w:b/>
          <w:sz w:val="24"/>
        </w:rPr>
      </w:pPr>
      <w:r w:rsidRPr="0000132F">
        <w:rPr>
          <w:rFonts w:cs="Arial"/>
          <w:b/>
          <w:sz w:val="24"/>
        </w:rPr>
        <w:t>DECLARATION</w:t>
      </w:r>
    </w:p>
    <w:p w14:paraId="23052C76" w14:textId="77777777" w:rsidR="00186E8F" w:rsidRPr="0000132F" w:rsidRDefault="00186E8F" w:rsidP="00186E8F">
      <w:pPr>
        <w:jc w:val="both"/>
        <w:rPr>
          <w:rFonts w:cs="Arial"/>
          <w:szCs w:val="22"/>
        </w:rPr>
      </w:pPr>
      <w:r w:rsidRPr="0000132F">
        <w:rPr>
          <w:rFonts w:cs="Arial"/>
          <w:szCs w:val="22"/>
        </w:rPr>
        <w:t>This work has not previously been accepted in substance for any degree and is not being concurrently submitted in candidature for any degree</w:t>
      </w:r>
    </w:p>
    <w:p w14:paraId="18876A42" w14:textId="5B653E6F" w:rsidR="00186E8F" w:rsidRPr="0000132F" w:rsidRDefault="00186E8F" w:rsidP="00186E8F">
      <w:pPr>
        <w:jc w:val="both"/>
        <w:rPr>
          <w:rFonts w:cs="Arial"/>
          <w:szCs w:val="22"/>
        </w:rPr>
      </w:pPr>
      <w:r w:rsidRPr="0000132F">
        <w:rPr>
          <w:rFonts w:cs="Arial"/>
          <w:szCs w:val="22"/>
        </w:rPr>
        <w:t>Signed</w:t>
      </w:r>
      <w:r w:rsidR="001607F6">
        <w:rPr>
          <w:rFonts w:cs="Arial"/>
          <w:szCs w:val="22"/>
        </w:rPr>
        <w:t xml:space="preserve">: </w:t>
      </w:r>
      <w:r w:rsidR="001607F6">
        <w:rPr>
          <w:rFonts w:cs="Arial"/>
          <w:b/>
          <w:bCs/>
          <w:i/>
          <w:iCs/>
          <w:szCs w:val="22"/>
        </w:rPr>
        <w:t>Kamran</w:t>
      </w:r>
      <w:r w:rsidR="005D1549">
        <w:rPr>
          <w:rFonts w:cs="Arial"/>
          <w:b/>
          <w:bCs/>
          <w:i/>
          <w:iCs/>
          <w:szCs w:val="22"/>
        </w:rPr>
        <w:t xml:space="preserve"> Khan</w:t>
      </w:r>
    </w:p>
    <w:p w14:paraId="1E043315" w14:textId="473E1451" w:rsidR="00186E8F" w:rsidRDefault="00186E8F" w:rsidP="00186E8F">
      <w:pPr>
        <w:jc w:val="both"/>
        <w:rPr>
          <w:rFonts w:cs="Arial"/>
          <w:szCs w:val="22"/>
        </w:rPr>
      </w:pPr>
      <w:r w:rsidRPr="0000132F">
        <w:rPr>
          <w:rFonts w:cs="Arial"/>
          <w:szCs w:val="22"/>
        </w:rPr>
        <w:t>Date</w:t>
      </w:r>
      <w:r w:rsidR="001607F6">
        <w:rPr>
          <w:rFonts w:cs="Arial"/>
          <w:szCs w:val="22"/>
        </w:rPr>
        <w:t>: 24th March 2026</w:t>
      </w:r>
    </w:p>
    <w:p w14:paraId="22285C96" w14:textId="77777777" w:rsidR="00186E8F" w:rsidRPr="0000132F" w:rsidRDefault="00186E8F" w:rsidP="00186E8F">
      <w:pPr>
        <w:jc w:val="both"/>
        <w:rPr>
          <w:rFonts w:cs="Arial"/>
          <w:szCs w:val="22"/>
        </w:rPr>
      </w:pPr>
    </w:p>
    <w:p w14:paraId="0174A390" w14:textId="77777777" w:rsidR="00186E8F" w:rsidRPr="0000132F" w:rsidRDefault="00186E8F" w:rsidP="00186E8F">
      <w:pPr>
        <w:jc w:val="both"/>
        <w:rPr>
          <w:rFonts w:cs="Arial"/>
          <w:bCs/>
          <w:kern w:val="32"/>
          <w:szCs w:val="22"/>
        </w:rPr>
      </w:pPr>
      <w:r w:rsidRPr="0000132F">
        <w:rPr>
          <w:rFonts w:cs="Arial"/>
          <w:b/>
          <w:szCs w:val="22"/>
        </w:rPr>
        <w:t xml:space="preserve">STATEMENT 1 </w:t>
      </w:r>
    </w:p>
    <w:p w14:paraId="72B38036" w14:textId="77777777" w:rsidR="00186E8F" w:rsidRPr="0000132F" w:rsidRDefault="00186E8F" w:rsidP="00186E8F">
      <w:pPr>
        <w:jc w:val="both"/>
        <w:rPr>
          <w:rFonts w:cs="Arial"/>
          <w:szCs w:val="22"/>
        </w:rPr>
      </w:pPr>
      <w:r w:rsidRPr="0000132F">
        <w:rPr>
          <w:rFonts w:cs="Arial"/>
          <w:szCs w:val="22"/>
        </w:rPr>
        <w:t>This dissertation is being submitted in partial fulfilment of the requirements for the degree of BSc.</w:t>
      </w:r>
    </w:p>
    <w:p w14:paraId="5829D0DC" w14:textId="0BB7360F" w:rsidR="001607F6" w:rsidRPr="0000132F" w:rsidRDefault="001607F6" w:rsidP="001607F6">
      <w:pPr>
        <w:jc w:val="both"/>
        <w:rPr>
          <w:rFonts w:cs="Arial"/>
          <w:szCs w:val="22"/>
        </w:rPr>
      </w:pPr>
      <w:r w:rsidRPr="0000132F">
        <w:rPr>
          <w:rFonts w:cs="Arial"/>
          <w:szCs w:val="22"/>
        </w:rPr>
        <w:t>Signed</w:t>
      </w:r>
      <w:r>
        <w:rPr>
          <w:rFonts w:cs="Arial"/>
          <w:szCs w:val="22"/>
        </w:rPr>
        <w:t xml:space="preserve">: </w:t>
      </w:r>
      <w:r>
        <w:rPr>
          <w:rFonts w:cs="Arial"/>
          <w:b/>
          <w:bCs/>
          <w:i/>
          <w:iCs/>
          <w:szCs w:val="22"/>
        </w:rPr>
        <w:t>Kamran</w:t>
      </w:r>
      <w:r w:rsidR="005D1549">
        <w:rPr>
          <w:rFonts w:cs="Arial"/>
          <w:b/>
          <w:bCs/>
          <w:i/>
          <w:iCs/>
          <w:szCs w:val="22"/>
        </w:rPr>
        <w:t xml:space="preserve"> Khan</w:t>
      </w:r>
    </w:p>
    <w:p w14:paraId="573E5BEA" w14:textId="77777777" w:rsidR="001607F6" w:rsidRDefault="001607F6" w:rsidP="001607F6">
      <w:pPr>
        <w:jc w:val="both"/>
        <w:rPr>
          <w:rFonts w:cs="Arial"/>
          <w:szCs w:val="22"/>
        </w:rPr>
      </w:pPr>
      <w:r w:rsidRPr="0000132F">
        <w:rPr>
          <w:rFonts w:cs="Arial"/>
          <w:szCs w:val="22"/>
        </w:rPr>
        <w:t>Date</w:t>
      </w:r>
      <w:r>
        <w:rPr>
          <w:rFonts w:cs="Arial"/>
          <w:szCs w:val="22"/>
        </w:rPr>
        <w:t>: 24th March 2026</w:t>
      </w:r>
    </w:p>
    <w:p w14:paraId="079C45B1" w14:textId="77777777" w:rsidR="00186E8F" w:rsidRPr="0000132F" w:rsidRDefault="00186E8F" w:rsidP="00186E8F">
      <w:pPr>
        <w:jc w:val="both"/>
        <w:rPr>
          <w:rFonts w:cs="Arial"/>
          <w:szCs w:val="22"/>
        </w:rPr>
      </w:pPr>
    </w:p>
    <w:p w14:paraId="112A3CC5" w14:textId="77777777" w:rsidR="00186E8F" w:rsidRPr="0000132F" w:rsidRDefault="00186E8F" w:rsidP="00186E8F">
      <w:pPr>
        <w:jc w:val="both"/>
        <w:rPr>
          <w:rFonts w:cs="Arial"/>
          <w:szCs w:val="22"/>
        </w:rPr>
      </w:pPr>
      <w:r w:rsidRPr="0000132F">
        <w:rPr>
          <w:rFonts w:cs="Arial"/>
          <w:b/>
          <w:szCs w:val="22"/>
        </w:rPr>
        <w:t>STATEMENT 2</w:t>
      </w:r>
    </w:p>
    <w:p w14:paraId="1C69FE27" w14:textId="77777777" w:rsidR="00186E8F" w:rsidRPr="0000132F" w:rsidRDefault="00186E8F" w:rsidP="00186E8F">
      <w:pPr>
        <w:jc w:val="both"/>
        <w:rPr>
          <w:rFonts w:cs="Arial"/>
          <w:szCs w:val="22"/>
        </w:rPr>
      </w:pPr>
      <w:r w:rsidRPr="0000132F">
        <w:rPr>
          <w:rFonts w:cs="Arial"/>
          <w:szCs w:val="22"/>
        </w:rPr>
        <w:t>This dissertation is the result of my own independent work/investigation, except where otherwise stated. Other sources are acknowledged by footnotes giving explicit references.  A bibliography is appended.</w:t>
      </w:r>
    </w:p>
    <w:p w14:paraId="0E59119A" w14:textId="56AD4972" w:rsidR="001607F6" w:rsidRPr="0000132F" w:rsidRDefault="001607F6" w:rsidP="001607F6">
      <w:pPr>
        <w:jc w:val="both"/>
        <w:rPr>
          <w:rFonts w:cs="Arial"/>
          <w:szCs w:val="22"/>
        </w:rPr>
      </w:pPr>
      <w:r w:rsidRPr="0000132F">
        <w:rPr>
          <w:rFonts w:cs="Arial"/>
          <w:szCs w:val="22"/>
        </w:rPr>
        <w:t>Signed</w:t>
      </w:r>
      <w:r>
        <w:rPr>
          <w:rFonts w:cs="Arial"/>
          <w:szCs w:val="22"/>
        </w:rPr>
        <w:t xml:space="preserve">: </w:t>
      </w:r>
      <w:r>
        <w:rPr>
          <w:rFonts w:cs="Arial"/>
          <w:b/>
          <w:bCs/>
          <w:i/>
          <w:iCs/>
          <w:szCs w:val="22"/>
        </w:rPr>
        <w:t>Kamran</w:t>
      </w:r>
      <w:r w:rsidR="005D1549">
        <w:rPr>
          <w:rFonts w:cs="Arial"/>
          <w:b/>
          <w:bCs/>
          <w:i/>
          <w:iCs/>
          <w:szCs w:val="22"/>
        </w:rPr>
        <w:t xml:space="preserve"> Khan</w:t>
      </w:r>
    </w:p>
    <w:p w14:paraId="0A050283" w14:textId="77777777" w:rsidR="001607F6" w:rsidRDefault="001607F6" w:rsidP="001607F6">
      <w:pPr>
        <w:jc w:val="both"/>
        <w:rPr>
          <w:rFonts w:cs="Arial"/>
          <w:szCs w:val="22"/>
        </w:rPr>
      </w:pPr>
      <w:r w:rsidRPr="0000132F">
        <w:rPr>
          <w:rFonts w:cs="Arial"/>
          <w:szCs w:val="22"/>
        </w:rPr>
        <w:t>Date</w:t>
      </w:r>
      <w:r>
        <w:rPr>
          <w:rFonts w:cs="Arial"/>
          <w:szCs w:val="22"/>
        </w:rPr>
        <w:t>: 24th March 2026</w:t>
      </w:r>
    </w:p>
    <w:p w14:paraId="34D41A29" w14:textId="77777777" w:rsidR="00186E8F" w:rsidRPr="0000132F" w:rsidRDefault="00186E8F" w:rsidP="00186E8F">
      <w:pPr>
        <w:jc w:val="both"/>
        <w:rPr>
          <w:rFonts w:cs="Arial"/>
          <w:szCs w:val="22"/>
        </w:rPr>
      </w:pPr>
    </w:p>
    <w:p w14:paraId="47FC73BB" w14:textId="77777777" w:rsidR="00186E8F" w:rsidRPr="0000132F" w:rsidRDefault="00186E8F" w:rsidP="00186E8F">
      <w:pPr>
        <w:jc w:val="both"/>
        <w:rPr>
          <w:rFonts w:cs="Arial"/>
          <w:szCs w:val="22"/>
        </w:rPr>
      </w:pPr>
      <w:r w:rsidRPr="0000132F">
        <w:rPr>
          <w:rFonts w:cs="Arial"/>
          <w:b/>
          <w:szCs w:val="22"/>
        </w:rPr>
        <w:t>STATEMENT 3</w:t>
      </w:r>
    </w:p>
    <w:p w14:paraId="3AF0A8CC" w14:textId="77777777" w:rsidR="00186E8F" w:rsidRPr="0000132F" w:rsidRDefault="00186E8F" w:rsidP="00186E8F">
      <w:pPr>
        <w:jc w:val="both"/>
        <w:rPr>
          <w:rFonts w:cs="Arial"/>
          <w:szCs w:val="22"/>
        </w:rPr>
      </w:pPr>
      <w:r w:rsidRPr="0000132F">
        <w:rPr>
          <w:rFonts w:cs="Arial"/>
          <w:szCs w:val="22"/>
        </w:rPr>
        <w:t>I hereby give consent for my dissertation, if accepted, to be available for photocopying and for interlibrary loan, and for the title and summary to be made available to outside organisations.</w:t>
      </w:r>
    </w:p>
    <w:p w14:paraId="7D3E0C97" w14:textId="1FF3AC49" w:rsidR="001607F6" w:rsidRPr="0000132F" w:rsidRDefault="001607F6" w:rsidP="001607F6">
      <w:pPr>
        <w:jc w:val="both"/>
        <w:rPr>
          <w:rFonts w:cs="Arial"/>
          <w:szCs w:val="22"/>
        </w:rPr>
      </w:pPr>
      <w:r w:rsidRPr="0000132F">
        <w:rPr>
          <w:rFonts w:cs="Arial"/>
          <w:szCs w:val="22"/>
        </w:rPr>
        <w:t>Signed</w:t>
      </w:r>
      <w:r>
        <w:rPr>
          <w:rFonts w:cs="Arial"/>
          <w:szCs w:val="22"/>
        </w:rPr>
        <w:t xml:space="preserve">: </w:t>
      </w:r>
      <w:r>
        <w:rPr>
          <w:rFonts w:cs="Arial"/>
          <w:b/>
          <w:bCs/>
          <w:i/>
          <w:iCs/>
          <w:szCs w:val="22"/>
        </w:rPr>
        <w:t>Kamran</w:t>
      </w:r>
      <w:r w:rsidR="005D1549">
        <w:rPr>
          <w:rFonts w:cs="Arial"/>
          <w:b/>
          <w:bCs/>
          <w:i/>
          <w:iCs/>
          <w:szCs w:val="22"/>
        </w:rPr>
        <w:t xml:space="preserve"> Khan</w:t>
      </w:r>
    </w:p>
    <w:p w14:paraId="5075F51D" w14:textId="77777777" w:rsidR="001607F6" w:rsidRDefault="001607F6" w:rsidP="001607F6">
      <w:pPr>
        <w:jc w:val="both"/>
        <w:rPr>
          <w:rFonts w:cs="Arial"/>
          <w:szCs w:val="22"/>
        </w:rPr>
      </w:pPr>
      <w:r w:rsidRPr="0000132F">
        <w:rPr>
          <w:rFonts w:cs="Arial"/>
          <w:szCs w:val="22"/>
        </w:rPr>
        <w:t>Date</w:t>
      </w:r>
      <w:r>
        <w:rPr>
          <w:rFonts w:cs="Arial"/>
          <w:szCs w:val="22"/>
        </w:rPr>
        <w:t>: 24th March 2026</w:t>
      </w:r>
    </w:p>
    <w:p w14:paraId="1569A2F2" w14:textId="77777777" w:rsidR="00186E8F" w:rsidRPr="0000132F" w:rsidRDefault="00186E8F" w:rsidP="00186E8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both"/>
        <w:rPr>
          <w:rFonts w:cs="Arial"/>
          <w:szCs w:val="22"/>
        </w:rPr>
      </w:pPr>
    </w:p>
    <w:p w14:paraId="109CD750" w14:textId="77777777" w:rsidR="00186E8F" w:rsidRPr="0000132F" w:rsidRDefault="00186E8F" w:rsidP="00186E8F">
      <w:pPr>
        <w:jc w:val="both"/>
        <w:rPr>
          <w:rFonts w:cs="Arial"/>
          <w:b/>
          <w:szCs w:val="22"/>
        </w:rPr>
      </w:pPr>
      <w:r w:rsidRPr="0000132F">
        <w:rPr>
          <w:rFonts w:cs="Arial"/>
          <w:b/>
          <w:szCs w:val="22"/>
        </w:rPr>
        <w:t>STATEMENT 4</w:t>
      </w:r>
    </w:p>
    <w:p w14:paraId="6BFCD0C8" w14:textId="77777777" w:rsidR="00186E8F" w:rsidRPr="0000132F" w:rsidRDefault="00186E8F" w:rsidP="00186E8F">
      <w:pPr>
        <w:jc w:val="both"/>
        <w:rPr>
          <w:rFonts w:cs="Arial"/>
          <w:szCs w:val="22"/>
        </w:rPr>
      </w:pPr>
      <w:r w:rsidRPr="0000132F">
        <w:rPr>
          <w:rFonts w:cs="Arial"/>
          <w:szCs w:val="22"/>
        </w:rPr>
        <w:t>I hereby give consent for my dissertation, if accepted, to be available on the university’s IT system to those who have consent to use the system.</w:t>
      </w:r>
    </w:p>
    <w:p w14:paraId="6581E2A5" w14:textId="79639672" w:rsidR="001607F6" w:rsidRPr="0000132F" w:rsidRDefault="001607F6" w:rsidP="001607F6">
      <w:pPr>
        <w:jc w:val="both"/>
        <w:rPr>
          <w:rFonts w:cs="Arial"/>
          <w:szCs w:val="22"/>
        </w:rPr>
      </w:pPr>
      <w:r w:rsidRPr="0000132F">
        <w:rPr>
          <w:rFonts w:cs="Arial"/>
          <w:szCs w:val="22"/>
        </w:rPr>
        <w:t>Signed</w:t>
      </w:r>
      <w:r>
        <w:rPr>
          <w:rFonts w:cs="Arial"/>
          <w:szCs w:val="22"/>
        </w:rPr>
        <w:t xml:space="preserve">: </w:t>
      </w:r>
      <w:r>
        <w:rPr>
          <w:rFonts w:cs="Arial"/>
          <w:b/>
          <w:bCs/>
          <w:i/>
          <w:iCs/>
          <w:szCs w:val="22"/>
        </w:rPr>
        <w:t>Kamran</w:t>
      </w:r>
      <w:r w:rsidR="005D1549">
        <w:rPr>
          <w:rFonts w:cs="Arial"/>
          <w:b/>
          <w:bCs/>
          <w:i/>
          <w:iCs/>
          <w:szCs w:val="22"/>
        </w:rPr>
        <w:t xml:space="preserve"> Khan</w:t>
      </w:r>
    </w:p>
    <w:p w14:paraId="42E0C35C" w14:textId="77777777" w:rsidR="001607F6" w:rsidRDefault="001607F6" w:rsidP="001607F6">
      <w:pPr>
        <w:jc w:val="both"/>
        <w:rPr>
          <w:rFonts w:cs="Arial"/>
          <w:szCs w:val="22"/>
        </w:rPr>
      </w:pPr>
      <w:r w:rsidRPr="0000132F">
        <w:rPr>
          <w:rFonts w:cs="Arial"/>
          <w:szCs w:val="22"/>
        </w:rPr>
        <w:t>Date</w:t>
      </w:r>
      <w:r>
        <w:rPr>
          <w:rFonts w:cs="Arial"/>
          <w:szCs w:val="22"/>
        </w:rPr>
        <w:t>: 24th March 2026</w:t>
      </w:r>
    </w:p>
    <w:p w14:paraId="12BCF37E" w14:textId="77777777" w:rsidR="00186E8F" w:rsidRPr="0000132F" w:rsidRDefault="00186E8F" w:rsidP="00186E8F">
      <w:pPr>
        <w:jc w:val="both"/>
        <w:rPr>
          <w:szCs w:val="22"/>
        </w:rPr>
      </w:pPr>
    </w:p>
    <w:p w14:paraId="75D5E430" w14:textId="77777777" w:rsidR="00186E8F" w:rsidRPr="0000132F" w:rsidRDefault="00186E8F" w:rsidP="00186E8F">
      <w:pPr>
        <w:spacing w:before="240"/>
        <w:jc w:val="both"/>
        <w:rPr>
          <w:rFonts w:ascii="Arial" w:hAnsi="Arial" w:cs="Arial"/>
          <w:b/>
          <w:bCs/>
          <w:szCs w:val="22"/>
        </w:rPr>
      </w:pPr>
    </w:p>
    <w:p w14:paraId="29A00737" w14:textId="77777777" w:rsidR="00186E8F" w:rsidRPr="0000132F" w:rsidRDefault="00186E8F" w:rsidP="00186E8F">
      <w:pPr>
        <w:spacing w:before="240"/>
        <w:jc w:val="both"/>
        <w:rPr>
          <w:rFonts w:ascii="Arial" w:hAnsi="Arial" w:cs="Arial"/>
          <w:b/>
          <w:bCs/>
          <w:szCs w:val="22"/>
        </w:rPr>
      </w:pPr>
    </w:p>
    <w:p w14:paraId="39AE5C16" w14:textId="77777777" w:rsidR="000B743B" w:rsidRDefault="000B743B" w:rsidP="006F5AB8">
      <w:pPr>
        <w:spacing w:before="240"/>
        <w:jc w:val="both"/>
        <w:rPr>
          <w:rFonts w:ascii="Arial" w:hAnsi="Arial" w:cs="Arial"/>
          <w:szCs w:val="22"/>
        </w:rPr>
      </w:pPr>
    </w:p>
    <w:p w14:paraId="12FF4599" w14:textId="532F2298" w:rsidR="00DD15FA" w:rsidRPr="00DD15FA" w:rsidRDefault="00DD15FA" w:rsidP="00DD15FA">
      <w:pPr>
        <w:spacing w:before="240"/>
        <w:jc w:val="both"/>
        <w:rPr>
          <w:rFonts w:ascii="Arial" w:hAnsi="Arial" w:cs="Arial"/>
          <w:b/>
          <w:bCs/>
        </w:rPr>
      </w:pPr>
      <w:r w:rsidRPr="00DD15FA">
        <w:rPr>
          <w:rFonts w:ascii="Arial" w:hAnsi="Arial" w:cs="Arial"/>
          <w:b/>
          <w:bCs/>
        </w:rPr>
        <w:t>Acknowledgments</w:t>
      </w:r>
    </w:p>
    <w:p w14:paraId="725F0347" w14:textId="77777777" w:rsidR="00DD15FA" w:rsidRPr="00DD15FA" w:rsidRDefault="00DD15FA" w:rsidP="00C03287">
      <w:pPr>
        <w:spacing w:before="240"/>
        <w:jc w:val="both"/>
        <w:rPr>
          <w:rFonts w:ascii="Arial" w:hAnsi="Arial" w:cs="Arial"/>
        </w:rPr>
      </w:pPr>
      <w:r w:rsidRPr="00DD15FA">
        <w:rPr>
          <w:rFonts w:ascii="Arial" w:hAnsi="Arial" w:cs="Arial"/>
        </w:rPr>
        <w:t>Completing this dissertation has been a long and meaningful journey, and I would like to take a moment to express my heartfelt gratitude to those who supported me along the way.</w:t>
      </w:r>
    </w:p>
    <w:p w14:paraId="420DA20B" w14:textId="77777777" w:rsidR="00DD15FA" w:rsidRPr="00DD15FA" w:rsidRDefault="00DD15FA" w:rsidP="00C03287">
      <w:pPr>
        <w:spacing w:before="240"/>
        <w:jc w:val="both"/>
        <w:rPr>
          <w:rFonts w:ascii="Arial" w:hAnsi="Arial" w:cs="Arial"/>
        </w:rPr>
      </w:pPr>
      <w:r w:rsidRPr="00DD15FA">
        <w:rPr>
          <w:rFonts w:ascii="Arial" w:hAnsi="Arial" w:cs="Arial"/>
        </w:rPr>
        <w:t>First and foremost, I would like to thank my lecturers for their guidance, patience, and encouragement throughout my studies. Their knowledge and dedication inspired me to keep learning and striving for the best, even when the journey felt challenging.</w:t>
      </w:r>
    </w:p>
    <w:p w14:paraId="200E6560" w14:textId="77777777" w:rsidR="00DD15FA" w:rsidRPr="00DD15FA" w:rsidRDefault="00DD15FA" w:rsidP="00C03287">
      <w:pPr>
        <w:spacing w:before="240"/>
        <w:jc w:val="both"/>
        <w:rPr>
          <w:rFonts w:ascii="Arial" w:hAnsi="Arial" w:cs="Arial"/>
        </w:rPr>
      </w:pPr>
      <w:r w:rsidRPr="00DD15FA">
        <w:rPr>
          <w:rFonts w:ascii="Arial" w:hAnsi="Arial" w:cs="Arial"/>
        </w:rPr>
        <w:t>I am also deeply grateful to my peers and my entire class group. The support, friendship, and shared experiences we built over the years made this journey not only manageable but also truly memorable. The encouragement and motivation we gave each other played an important role in reaching this milestone.</w:t>
      </w:r>
    </w:p>
    <w:p w14:paraId="3B1C1EF5" w14:textId="6353E47F" w:rsidR="00DD15FA" w:rsidRDefault="00DD15FA" w:rsidP="00C03287">
      <w:pPr>
        <w:spacing w:before="240"/>
        <w:jc w:val="both"/>
        <w:rPr>
          <w:rFonts w:ascii="Arial" w:hAnsi="Arial" w:cs="Arial"/>
        </w:rPr>
      </w:pPr>
      <w:r w:rsidRPr="00DD15FA">
        <w:rPr>
          <w:rFonts w:ascii="Arial" w:hAnsi="Arial" w:cs="Arial"/>
        </w:rPr>
        <w:t>Above all, my deepest and most personal thanks go to my daughters. Your love, patience, and understanding gave me the strength to continue even during the most challenging moments of this journey. Your encouragement and belief in me reminded me not to give up. This achievement is dedicated to you, as you have been my motivation, my strength, and my greatest inspiration throughout this journey</w:t>
      </w:r>
    </w:p>
    <w:p w14:paraId="63696BE6" w14:textId="77777777" w:rsidR="00C03287" w:rsidRDefault="00C03287" w:rsidP="00C03287">
      <w:pPr>
        <w:spacing w:before="240"/>
        <w:jc w:val="both"/>
        <w:rPr>
          <w:rFonts w:ascii="Arial" w:hAnsi="Arial" w:cs="Arial"/>
        </w:rPr>
      </w:pPr>
    </w:p>
    <w:p w14:paraId="38D9DB92" w14:textId="77777777" w:rsidR="00C03287" w:rsidRDefault="00C03287" w:rsidP="00C03287">
      <w:pPr>
        <w:spacing w:before="240"/>
        <w:jc w:val="both"/>
        <w:rPr>
          <w:rFonts w:ascii="Arial" w:hAnsi="Arial" w:cs="Arial"/>
        </w:rPr>
      </w:pPr>
    </w:p>
    <w:p w14:paraId="7B52635C" w14:textId="77777777" w:rsidR="00C03287" w:rsidRDefault="00C03287" w:rsidP="00C03287">
      <w:pPr>
        <w:spacing w:before="240"/>
        <w:jc w:val="both"/>
        <w:rPr>
          <w:rFonts w:ascii="Arial" w:hAnsi="Arial" w:cs="Arial"/>
        </w:rPr>
      </w:pPr>
    </w:p>
    <w:p w14:paraId="6DFBB438" w14:textId="77777777" w:rsidR="00C03287" w:rsidRDefault="00C03287" w:rsidP="00C03287">
      <w:pPr>
        <w:spacing w:before="240"/>
        <w:jc w:val="both"/>
        <w:rPr>
          <w:rFonts w:ascii="Arial" w:hAnsi="Arial" w:cs="Arial"/>
        </w:rPr>
      </w:pPr>
    </w:p>
    <w:p w14:paraId="1774A95B" w14:textId="77777777" w:rsidR="00C03287" w:rsidRDefault="00C03287" w:rsidP="00C03287">
      <w:pPr>
        <w:spacing w:before="240"/>
        <w:jc w:val="both"/>
        <w:rPr>
          <w:rFonts w:ascii="Arial" w:hAnsi="Arial" w:cs="Arial"/>
        </w:rPr>
      </w:pPr>
    </w:p>
    <w:p w14:paraId="0077F590" w14:textId="77777777" w:rsidR="00C03287" w:rsidRDefault="00C03287" w:rsidP="00C03287">
      <w:pPr>
        <w:spacing w:before="240"/>
        <w:jc w:val="both"/>
        <w:rPr>
          <w:rFonts w:ascii="Arial" w:hAnsi="Arial" w:cs="Arial"/>
        </w:rPr>
      </w:pPr>
    </w:p>
    <w:p w14:paraId="47F9AAE1" w14:textId="77777777" w:rsidR="00C03287" w:rsidRDefault="00C03287" w:rsidP="00C03287">
      <w:pPr>
        <w:spacing w:before="240"/>
        <w:jc w:val="both"/>
        <w:rPr>
          <w:rFonts w:ascii="Arial" w:hAnsi="Arial" w:cs="Arial"/>
        </w:rPr>
      </w:pPr>
    </w:p>
    <w:p w14:paraId="1328935E" w14:textId="77777777" w:rsidR="00C03287" w:rsidRDefault="00C03287" w:rsidP="00C03287">
      <w:pPr>
        <w:spacing w:before="240"/>
        <w:jc w:val="both"/>
        <w:rPr>
          <w:rFonts w:ascii="Arial" w:hAnsi="Arial" w:cs="Arial"/>
        </w:rPr>
      </w:pPr>
    </w:p>
    <w:p w14:paraId="1999C17D" w14:textId="77777777" w:rsidR="00C03287" w:rsidRDefault="00C03287" w:rsidP="00C03287">
      <w:pPr>
        <w:spacing w:before="240"/>
        <w:jc w:val="both"/>
        <w:rPr>
          <w:rFonts w:ascii="Arial" w:hAnsi="Arial" w:cs="Arial"/>
        </w:rPr>
      </w:pPr>
    </w:p>
    <w:p w14:paraId="403F65CE" w14:textId="77777777" w:rsidR="00C03287" w:rsidRDefault="00C03287" w:rsidP="00C03287">
      <w:pPr>
        <w:spacing w:before="240"/>
        <w:jc w:val="both"/>
        <w:rPr>
          <w:rFonts w:ascii="Arial" w:hAnsi="Arial" w:cs="Arial"/>
        </w:rPr>
      </w:pPr>
    </w:p>
    <w:p w14:paraId="4435D1EA" w14:textId="77777777" w:rsidR="00C03287" w:rsidRPr="002F1678" w:rsidRDefault="00C03287" w:rsidP="00C03287">
      <w:pPr>
        <w:spacing w:before="240"/>
        <w:jc w:val="both"/>
        <w:rPr>
          <w:rFonts w:ascii="Arial" w:hAnsi="Arial" w:cs="Arial"/>
          <w:lang w:val="en-US"/>
        </w:rPr>
      </w:pPr>
    </w:p>
    <w:p w14:paraId="6234850D" w14:textId="3B96B046" w:rsidR="00E804E0" w:rsidRDefault="00E804E0" w:rsidP="00E804E0">
      <w:pPr>
        <w:spacing w:before="240"/>
        <w:jc w:val="center"/>
        <w:rPr>
          <w:rFonts w:ascii="Arial" w:hAnsi="Arial" w:cs="Arial"/>
          <w:b/>
          <w:bCs/>
          <w:sz w:val="44"/>
          <w:szCs w:val="44"/>
        </w:rPr>
      </w:pPr>
      <w:r w:rsidRPr="00E804E0">
        <w:rPr>
          <w:rFonts w:ascii="Arial" w:hAnsi="Arial" w:cs="Arial"/>
          <w:b/>
          <w:bCs/>
          <w:sz w:val="44"/>
          <w:szCs w:val="44"/>
        </w:rPr>
        <w:t>Comparing Mental Health Outcomes and Academic Success Among Foster Care and Non-Foster Care Graduates</w:t>
      </w:r>
    </w:p>
    <w:p w14:paraId="13E1286E" w14:textId="77777777" w:rsidR="00E804E0" w:rsidRPr="00F31E94" w:rsidRDefault="00E804E0" w:rsidP="00E804E0">
      <w:pPr>
        <w:spacing w:before="240"/>
        <w:jc w:val="center"/>
        <w:rPr>
          <w:rFonts w:ascii="Arial" w:hAnsi="Arial" w:cs="Arial"/>
          <w:b/>
          <w:bCs/>
          <w:sz w:val="44"/>
          <w:szCs w:val="44"/>
        </w:rPr>
      </w:pPr>
    </w:p>
    <w:p w14:paraId="35630FE1" w14:textId="77777777" w:rsidR="00DD15FA" w:rsidRPr="00546129" w:rsidRDefault="00DD15FA" w:rsidP="00DD15FA">
      <w:pPr>
        <w:spacing w:before="240"/>
        <w:jc w:val="center"/>
        <w:rPr>
          <w:rFonts w:ascii="Arial" w:hAnsi="Arial" w:cs="Arial"/>
          <w:b/>
          <w:bCs/>
          <w:sz w:val="44"/>
          <w:szCs w:val="44"/>
          <w:lang w:val="en-US"/>
        </w:rPr>
      </w:pPr>
      <w:r w:rsidRPr="00F31E94">
        <w:rPr>
          <w:rFonts w:ascii="Arial" w:hAnsi="Arial" w:cs="Arial"/>
          <w:b/>
          <w:bCs/>
          <w:sz w:val="44"/>
          <w:szCs w:val="44"/>
        </w:rPr>
        <w:t>Name</w:t>
      </w:r>
      <w:r>
        <w:rPr>
          <w:rFonts w:ascii="Arial" w:hAnsi="Arial" w:cs="Arial"/>
          <w:b/>
          <w:bCs/>
          <w:sz w:val="44"/>
          <w:szCs w:val="44"/>
          <w:lang w:val="en-US"/>
        </w:rPr>
        <w:t>: Kamran Khan</w:t>
      </w:r>
    </w:p>
    <w:p w14:paraId="34650361" w14:textId="77777777" w:rsidR="00DD15FA" w:rsidRDefault="00DD15FA" w:rsidP="00DD15FA">
      <w:pPr>
        <w:spacing w:before="240"/>
        <w:jc w:val="center"/>
        <w:rPr>
          <w:rFonts w:ascii="Arial" w:hAnsi="Arial" w:cs="Arial"/>
          <w:b/>
          <w:bCs/>
          <w:sz w:val="44"/>
          <w:szCs w:val="44"/>
          <w:lang w:val="en-US"/>
        </w:rPr>
      </w:pPr>
      <w:r w:rsidRPr="00F31E94">
        <w:rPr>
          <w:rFonts w:ascii="Arial" w:hAnsi="Arial" w:cs="Arial"/>
          <w:b/>
          <w:bCs/>
          <w:sz w:val="44"/>
          <w:szCs w:val="44"/>
        </w:rPr>
        <w:t xml:space="preserve">Student </w:t>
      </w:r>
      <w:r>
        <w:rPr>
          <w:rFonts w:ascii="Arial" w:hAnsi="Arial" w:cs="Arial"/>
          <w:b/>
          <w:bCs/>
          <w:sz w:val="44"/>
          <w:szCs w:val="44"/>
          <w:lang w:val="en-US"/>
        </w:rPr>
        <w:t>ID: 2246128</w:t>
      </w:r>
    </w:p>
    <w:p w14:paraId="223F7582" w14:textId="77777777" w:rsidR="00DD15FA" w:rsidRDefault="00DD15FA" w:rsidP="00DD15FA">
      <w:pPr>
        <w:spacing w:before="240"/>
        <w:jc w:val="center"/>
        <w:rPr>
          <w:rFonts w:ascii="Arial" w:hAnsi="Arial" w:cs="Arial"/>
          <w:b/>
          <w:bCs/>
          <w:sz w:val="44"/>
          <w:szCs w:val="44"/>
          <w:lang w:val="en-US"/>
        </w:rPr>
      </w:pPr>
      <w:r>
        <w:rPr>
          <w:rFonts w:ascii="Arial" w:hAnsi="Arial" w:cs="Arial"/>
          <w:b/>
          <w:bCs/>
          <w:sz w:val="44"/>
          <w:szCs w:val="44"/>
          <w:lang w:val="en-US"/>
        </w:rPr>
        <w:t>Module name: Independent Project</w:t>
      </w:r>
    </w:p>
    <w:p w14:paraId="778BCAD3" w14:textId="77777777" w:rsidR="00DD15FA" w:rsidRDefault="00DD15FA" w:rsidP="00DD15FA">
      <w:pPr>
        <w:spacing w:before="240"/>
        <w:jc w:val="center"/>
        <w:rPr>
          <w:rFonts w:ascii="Arial" w:hAnsi="Arial" w:cs="Arial"/>
          <w:b/>
          <w:bCs/>
          <w:sz w:val="44"/>
          <w:szCs w:val="44"/>
          <w:lang w:val="en-US"/>
        </w:rPr>
      </w:pPr>
      <w:r>
        <w:rPr>
          <w:rFonts w:ascii="Arial" w:hAnsi="Arial" w:cs="Arial"/>
          <w:b/>
          <w:bCs/>
          <w:sz w:val="44"/>
          <w:szCs w:val="44"/>
          <w:lang w:val="en-US"/>
        </w:rPr>
        <w:t>Module code: BMHP6020</w:t>
      </w:r>
    </w:p>
    <w:p w14:paraId="48F0EF3F" w14:textId="77777777" w:rsidR="00DD15FA" w:rsidRPr="00546129" w:rsidRDefault="00DD15FA" w:rsidP="00DD15FA">
      <w:pPr>
        <w:spacing w:before="240"/>
        <w:jc w:val="center"/>
        <w:rPr>
          <w:rFonts w:ascii="Arial" w:hAnsi="Arial" w:cs="Arial"/>
          <w:b/>
          <w:bCs/>
          <w:sz w:val="44"/>
          <w:szCs w:val="44"/>
          <w:lang w:val="en-US"/>
        </w:rPr>
      </w:pPr>
      <w:r>
        <w:rPr>
          <w:rFonts w:ascii="Arial" w:hAnsi="Arial" w:cs="Arial"/>
          <w:b/>
          <w:bCs/>
          <w:sz w:val="44"/>
          <w:szCs w:val="44"/>
          <w:lang w:val="en-US"/>
        </w:rPr>
        <w:t>Lecturer: Chloe Harries</w:t>
      </w:r>
    </w:p>
    <w:p w14:paraId="4048D89F" w14:textId="77777777" w:rsidR="00E804E0" w:rsidRDefault="00E804E0" w:rsidP="00E804E0">
      <w:pPr>
        <w:bidi/>
        <w:spacing w:before="240"/>
        <w:jc w:val="both"/>
        <w:rPr>
          <w:rFonts w:ascii="Arial" w:hAnsi="Arial" w:cs="Arial"/>
          <w:b/>
          <w:bCs/>
          <w:sz w:val="44"/>
          <w:szCs w:val="44"/>
          <w:lang w:bidi="ur-PK"/>
        </w:rPr>
      </w:pPr>
    </w:p>
    <w:p w14:paraId="5AD6D56A" w14:textId="77777777" w:rsidR="002B3CE8" w:rsidRDefault="002B3CE8" w:rsidP="002B3CE8">
      <w:pPr>
        <w:bidi/>
        <w:spacing w:before="240"/>
        <w:jc w:val="both"/>
        <w:rPr>
          <w:rFonts w:ascii="Arial" w:hAnsi="Arial" w:cs="Arial"/>
          <w:b/>
          <w:bCs/>
          <w:sz w:val="44"/>
          <w:szCs w:val="44"/>
          <w:lang w:bidi="ur-PK"/>
        </w:rPr>
      </w:pPr>
    </w:p>
    <w:p w14:paraId="11B6ED21" w14:textId="77777777" w:rsidR="002B3CE8" w:rsidRPr="00F31E94" w:rsidRDefault="002B3CE8" w:rsidP="002B3CE8">
      <w:pPr>
        <w:bidi/>
        <w:spacing w:before="240"/>
        <w:jc w:val="both"/>
        <w:rPr>
          <w:rFonts w:ascii="Arial" w:hAnsi="Arial" w:cs="Arial"/>
          <w:b/>
          <w:bCs/>
          <w:sz w:val="44"/>
          <w:szCs w:val="44"/>
          <w:rtl/>
          <w:lang w:bidi="ur-PK"/>
        </w:rPr>
      </w:pPr>
    </w:p>
    <w:p w14:paraId="45AB2B98" w14:textId="77777777" w:rsidR="00E804E0" w:rsidRPr="00F31E94" w:rsidRDefault="00E804E0" w:rsidP="00E804E0">
      <w:pPr>
        <w:spacing w:before="240"/>
        <w:jc w:val="center"/>
        <w:rPr>
          <w:rFonts w:ascii="Arial" w:hAnsi="Arial" w:cs="Arial"/>
          <w:b/>
          <w:bCs/>
          <w:sz w:val="36"/>
          <w:szCs w:val="36"/>
        </w:rPr>
      </w:pPr>
      <w:r w:rsidRPr="00F31E94">
        <w:rPr>
          <w:sz w:val="36"/>
          <w:szCs w:val="36"/>
        </w:rPr>
        <w:t>Dissertation submitted as part of the requirements for the award BSc (Hons) Health and Social Care</w:t>
      </w:r>
    </w:p>
    <w:p w14:paraId="597C8B8E" w14:textId="77777777" w:rsidR="003200BF" w:rsidRDefault="003200BF" w:rsidP="006F5AB8">
      <w:pPr>
        <w:spacing w:before="240"/>
        <w:jc w:val="both"/>
        <w:rPr>
          <w:rFonts w:ascii="Arial" w:hAnsi="Arial" w:cs="Arial"/>
          <w:szCs w:val="22"/>
        </w:rPr>
      </w:pPr>
    </w:p>
    <w:p w14:paraId="13A9ECFC" w14:textId="77777777" w:rsidR="002F1678" w:rsidRDefault="002F1678" w:rsidP="00CF0A9A">
      <w:pPr>
        <w:spacing w:before="240"/>
        <w:jc w:val="both"/>
        <w:rPr>
          <w:rFonts w:ascii="Arial" w:hAnsi="Arial" w:cs="Arial"/>
          <w:b/>
          <w:bCs/>
          <w:szCs w:val="22"/>
        </w:rPr>
      </w:pPr>
    </w:p>
    <w:p w14:paraId="0F2D0F7D" w14:textId="1B8D37FF" w:rsidR="003200BF" w:rsidRPr="00CF0A9A" w:rsidRDefault="002C28B8" w:rsidP="00CF0A9A">
      <w:pPr>
        <w:spacing w:before="240"/>
        <w:jc w:val="both"/>
        <w:rPr>
          <w:rFonts w:ascii="Arial" w:hAnsi="Arial" w:cs="Arial"/>
          <w:b/>
          <w:bCs/>
          <w:szCs w:val="22"/>
        </w:rPr>
      </w:pPr>
      <w:r w:rsidRPr="00CF0A9A">
        <w:rPr>
          <w:rFonts w:ascii="Arial" w:hAnsi="Arial" w:cs="Arial"/>
          <w:b/>
          <w:bCs/>
          <w:szCs w:val="22"/>
        </w:rPr>
        <w:t xml:space="preserve">Abstract </w:t>
      </w:r>
    </w:p>
    <w:p w14:paraId="18D32A80" w14:textId="77777777" w:rsidR="008B7F30" w:rsidRPr="008B7F30" w:rsidRDefault="008B7F30" w:rsidP="00AE1E7C">
      <w:pPr>
        <w:spacing w:before="100" w:beforeAutospacing="1" w:after="100" w:afterAutospacing="1"/>
        <w:jc w:val="both"/>
        <w:rPr>
          <w:rFonts w:ascii="Arial" w:hAnsi="Arial" w:cs="Arial"/>
          <w:szCs w:val="22"/>
        </w:rPr>
      </w:pPr>
      <w:r w:rsidRPr="008B7F30">
        <w:rPr>
          <w:rFonts w:ascii="Arial" w:hAnsi="Arial" w:cs="Arial"/>
          <w:szCs w:val="22"/>
        </w:rPr>
        <w:t>Through the present dissertation, the mental health outcomes and post-graduation/academic success of graduates during foster-care history and non-foster settings are compared, which is crucial to address a critical equity concern in higher education and social care. Its purpose was to combine comparative evidence on (1) major mental-health issues, (2) correlations between mental health and academic achievement, and (3) the degree to which currently available university services are responsive to the needs of foster-care graduates to produce practical policy and practice recommendations.</w:t>
      </w:r>
    </w:p>
    <w:p w14:paraId="5961AD49" w14:textId="77777777" w:rsidR="008B7F30" w:rsidRDefault="008B7F30" w:rsidP="00AE1E7C">
      <w:pPr>
        <w:spacing w:before="100" w:beforeAutospacing="1" w:after="100" w:afterAutospacing="1"/>
        <w:jc w:val="both"/>
        <w:rPr>
          <w:rFonts w:ascii="Arial" w:hAnsi="Arial" w:cs="Arial"/>
          <w:szCs w:val="22"/>
        </w:rPr>
      </w:pPr>
      <w:r w:rsidRPr="008B7F30">
        <w:rPr>
          <w:rFonts w:ascii="Arial" w:hAnsi="Arial" w:cs="Arial"/>
          <w:szCs w:val="22"/>
        </w:rPr>
        <w:t>A literature-based, desk-based systematic review was undertaken on databases covering health, psychology and education (e.g., PubMed/MEDLINE, PsycINFO, Scopus, ERIC and CINAHL) with additional focus to grey-literature searching. Articles in the English language published in the period 2010 to 2025 were filtered by specific inclusion and exclusion criteria, evaluated on quality and synthesised on the basis of thematic analysis to combine heterogeneous evidence across designs and outcome measures.</w:t>
      </w:r>
    </w:p>
    <w:p w14:paraId="6BCAE05D" w14:textId="39D91E06" w:rsidR="00990381" w:rsidRPr="00990381" w:rsidRDefault="00990381" w:rsidP="008B7F30">
      <w:pPr>
        <w:spacing w:before="100" w:beforeAutospacing="1" w:after="100" w:afterAutospacing="1"/>
        <w:jc w:val="both"/>
        <w:rPr>
          <w:rFonts w:ascii="Arial" w:hAnsi="Arial" w:cs="Arial"/>
          <w:szCs w:val="22"/>
        </w:rPr>
      </w:pPr>
      <w:r w:rsidRPr="00990381">
        <w:rPr>
          <w:rFonts w:ascii="Arial" w:hAnsi="Arial" w:cs="Arial"/>
          <w:szCs w:val="22"/>
        </w:rPr>
        <w:t>Three themes captured the core findings from fifteen included studies. First, foster-care graduates consistently faced an elevated mental-health burden associated with trauma exposure, instability across transitions, social isolation, stigma and barriers to help-seeking. Second, academic progression could be comparable to non-foster peers, but often occurred alongside financial strain and poorer wellbeing, indicating a higher personal cost of success and a risk of misinterpreting attainment as equity. Third, targeted, relationship-based university supports (e.g., named contacts, mentoring/coaching, clear signposting and trauma-informed pathways) appeared to improve navigation and transitions, although evaluation was uneven and long-term effectiveness was rarely demonstrated.</w:t>
      </w:r>
    </w:p>
    <w:p w14:paraId="610E3B28" w14:textId="77777777" w:rsidR="00990381" w:rsidRPr="00990381" w:rsidRDefault="00990381" w:rsidP="00CF0A9A">
      <w:pPr>
        <w:spacing w:before="100" w:beforeAutospacing="1" w:after="100" w:afterAutospacing="1"/>
        <w:jc w:val="both"/>
        <w:rPr>
          <w:rFonts w:ascii="Arial" w:hAnsi="Arial" w:cs="Arial"/>
          <w:szCs w:val="22"/>
        </w:rPr>
      </w:pPr>
      <w:r w:rsidRPr="00990381">
        <w:rPr>
          <w:rFonts w:ascii="Arial" w:hAnsi="Arial" w:cs="Arial"/>
          <w:szCs w:val="22"/>
        </w:rPr>
        <w:t>Limitations included fragmented and siloed evidence, inconsistent definitions and measures of care history and outcomes, reliance on self-report, and small or selective samples that reduce causal confidence. Recommendations emphasise continuity-first support spanning entry to post-graduation, integrated housing and financial protocols as mental-health determinants, and stronger evaluation frameworks measuring mechanisms, implementation and equity impact.</w:t>
      </w:r>
    </w:p>
    <w:p w14:paraId="0095254E" w14:textId="77777777" w:rsidR="003200BF" w:rsidRPr="00CF0A9A" w:rsidRDefault="003200BF" w:rsidP="00CF0A9A">
      <w:pPr>
        <w:spacing w:before="240"/>
        <w:jc w:val="both"/>
        <w:rPr>
          <w:rFonts w:ascii="Arial" w:hAnsi="Arial" w:cs="Arial"/>
          <w:b/>
          <w:bCs/>
          <w:szCs w:val="22"/>
        </w:rPr>
      </w:pPr>
    </w:p>
    <w:p w14:paraId="3B3C82BB" w14:textId="77777777" w:rsidR="003200BF" w:rsidRDefault="003200BF" w:rsidP="006F5AB8">
      <w:pPr>
        <w:spacing w:before="240"/>
        <w:jc w:val="both"/>
        <w:rPr>
          <w:rFonts w:ascii="Arial" w:hAnsi="Arial" w:cs="Arial"/>
          <w:szCs w:val="22"/>
        </w:rPr>
      </w:pPr>
    </w:p>
    <w:p w14:paraId="6042D031" w14:textId="77777777" w:rsidR="0093392C" w:rsidRDefault="0093392C" w:rsidP="006F5AB8">
      <w:pPr>
        <w:spacing w:before="240"/>
        <w:jc w:val="both"/>
        <w:rPr>
          <w:rFonts w:ascii="Arial" w:hAnsi="Arial" w:cs="Arial"/>
          <w:szCs w:val="22"/>
        </w:rPr>
      </w:pPr>
    </w:p>
    <w:sdt>
      <w:sdtPr>
        <w:rPr>
          <w:rFonts w:ascii="Arial" w:eastAsia="Times New Roman" w:hAnsi="Arial" w:cs="Arial"/>
          <w:b w:val="0"/>
          <w:bCs w:val="0"/>
          <w:color w:val="auto"/>
          <w:sz w:val="22"/>
          <w:szCs w:val="24"/>
          <w:lang w:val="en-GB" w:eastAsia="en-GB"/>
        </w:rPr>
        <w:id w:val="-1830364199"/>
        <w:docPartObj>
          <w:docPartGallery w:val="Table of Contents"/>
          <w:docPartUnique/>
        </w:docPartObj>
      </w:sdtPr>
      <w:sdtEndPr>
        <w:rPr>
          <w:noProof/>
          <w:szCs w:val="22"/>
        </w:rPr>
      </w:sdtEndPr>
      <w:sdtContent>
        <w:p w14:paraId="02F94A51" w14:textId="387DB41C" w:rsidR="00EA3366" w:rsidRPr="007B5E13" w:rsidRDefault="00EA3366">
          <w:pPr>
            <w:pStyle w:val="TOCHeading"/>
            <w:rPr>
              <w:rFonts w:ascii="Arial" w:hAnsi="Arial" w:cs="Arial"/>
            </w:rPr>
          </w:pPr>
          <w:r w:rsidRPr="007B5E13">
            <w:rPr>
              <w:rFonts w:ascii="Arial" w:hAnsi="Arial" w:cs="Arial"/>
            </w:rPr>
            <w:t>Table of Contents</w:t>
          </w:r>
        </w:p>
        <w:p w14:paraId="618B7343" w14:textId="17EB6F48" w:rsidR="007B5E13" w:rsidRPr="007B5E13" w:rsidRDefault="00EA3366">
          <w:pPr>
            <w:pStyle w:val="TOC1"/>
            <w:tabs>
              <w:tab w:val="right" w:leader="dot" w:pos="9016"/>
            </w:tabs>
            <w:rPr>
              <w:rFonts w:ascii="Arial" w:eastAsiaTheme="minorEastAsia" w:hAnsi="Arial" w:cs="Arial"/>
              <w:b w:val="0"/>
              <w:bCs w:val="0"/>
              <w:noProof/>
              <w:kern w:val="2"/>
              <w:sz w:val="22"/>
              <w:szCs w:val="22"/>
              <w14:ligatures w14:val="standardContextual"/>
            </w:rPr>
          </w:pPr>
          <w:r w:rsidRPr="007B5E13">
            <w:rPr>
              <w:rFonts w:ascii="Arial" w:hAnsi="Arial" w:cs="Arial"/>
              <w:b w:val="0"/>
              <w:bCs w:val="0"/>
              <w:sz w:val="22"/>
              <w:szCs w:val="22"/>
            </w:rPr>
            <w:fldChar w:fldCharType="begin"/>
          </w:r>
          <w:r w:rsidRPr="007B5E13">
            <w:rPr>
              <w:rFonts w:ascii="Arial" w:hAnsi="Arial" w:cs="Arial"/>
              <w:sz w:val="22"/>
              <w:szCs w:val="22"/>
            </w:rPr>
            <w:instrText xml:space="preserve"> TOC \o "1-3" \h \z \u </w:instrText>
          </w:r>
          <w:r w:rsidRPr="007B5E13">
            <w:rPr>
              <w:rFonts w:ascii="Arial" w:hAnsi="Arial" w:cs="Arial"/>
              <w:b w:val="0"/>
              <w:bCs w:val="0"/>
              <w:sz w:val="22"/>
              <w:szCs w:val="22"/>
            </w:rPr>
            <w:fldChar w:fldCharType="separate"/>
          </w:r>
          <w:hyperlink w:anchor="_Toc224307170" w:history="1">
            <w:r w:rsidR="007B5E13" w:rsidRPr="007B5E13">
              <w:rPr>
                <w:rStyle w:val="Hyperlink"/>
                <w:rFonts w:ascii="Arial" w:hAnsi="Arial" w:cs="Arial"/>
                <w:noProof/>
                <w:sz w:val="22"/>
                <w:szCs w:val="22"/>
              </w:rPr>
              <w:t>CHAPTER 1: Introduction</w:t>
            </w:r>
            <w:r w:rsidR="007B5E13" w:rsidRPr="007B5E13">
              <w:rPr>
                <w:rFonts w:ascii="Arial" w:hAnsi="Arial" w:cs="Arial"/>
                <w:noProof/>
                <w:webHidden/>
                <w:sz w:val="22"/>
                <w:szCs w:val="22"/>
              </w:rPr>
              <w:tab/>
            </w:r>
            <w:r w:rsidR="007B5E13" w:rsidRPr="007B5E13">
              <w:rPr>
                <w:rFonts w:ascii="Arial" w:hAnsi="Arial" w:cs="Arial"/>
                <w:noProof/>
                <w:webHidden/>
                <w:sz w:val="22"/>
                <w:szCs w:val="22"/>
              </w:rPr>
              <w:fldChar w:fldCharType="begin"/>
            </w:r>
            <w:r w:rsidR="007B5E13" w:rsidRPr="007B5E13">
              <w:rPr>
                <w:rFonts w:ascii="Arial" w:hAnsi="Arial" w:cs="Arial"/>
                <w:noProof/>
                <w:webHidden/>
                <w:sz w:val="22"/>
                <w:szCs w:val="22"/>
              </w:rPr>
              <w:instrText xml:space="preserve"> PAGEREF _Toc224307170 \h </w:instrText>
            </w:r>
            <w:r w:rsidR="007B5E13" w:rsidRPr="007B5E13">
              <w:rPr>
                <w:rFonts w:ascii="Arial" w:hAnsi="Arial" w:cs="Arial"/>
                <w:noProof/>
                <w:webHidden/>
                <w:sz w:val="22"/>
                <w:szCs w:val="22"/>
              </w:rPr>
            </w:r>
            <w:r w:rsidR="007B5E13" w:rsidRPr="007B5E13">
              <w:rPr>
                <w:rFonts w:ascii="Arial" w:hAnsi="Arial" w:cs="Arial"/>
                <w:noProof/>
                <w:webHidden/>
                <w:sz w:val="22"/>
                <w:szCs w:val="22"/>
              </w:rPr>
              <w:fldChar w:fldCharType="separate"/>
            </w:r>
            <w:r w:rsidR="001607F6">
              <w:rPr>
                <w:rFonts w:ascii="Arial" w:hAnsi="Arial" w:cs="Arial"/>
                <w:noProof/>
                <w:webHidden/>
                <w:sz w:val="22"/>
                <w:szCs w:val="22"/>
              </w:rPr>
              <w:t>9</w:t>
            </w:r>
            <w:r w:rsidR="007B5E13" w:rsidRPr="007B5E13">
              <w:rPr>
                <w:rFonts w:ascii="Arial" w:hAnsi="Arial" w:cs="Arial"/>
                <w:noProof/>
                <w:webHidden/>
                <w:sz w:val="22"/>
                <w:szCs w:val="22"/>
              </w:rPr>
              <w:fldChar w:fldCharType="end"/>
            </w:r>
          </w:hyperlink>
        </w:p>
        <w:p w14:paraId="3DD1AFD3" w14:textId="228A8826" w:rsidR="007B5E13" w:rsidRPr="007B5E13" w:rsidRDefault="007B5E13">
          <w:pPr>
            <w:pStyle w:val="TOC2"/>
            <w:tabs>
              <w:tab w:val="left" w:pos="880"/>
              <w:tab w:val="right" w:leader="dot" w:pos="9016"/>
            </w:tabs>
            <w:rPr>
              <w:rFonts w:ascii="Arial" w:eastAsiaTheme="minorEastAsia" w:hAnsi="Arial" w:cs="Arial"/>
              <w:i w:val="0"/>
              <w:iCs w:val="0"/>
              <w:noProof/>
              <w:kern w:val="2"/>
              <w:sz w:val="22"/>
              <w:szCs w:val="22"/>
              <w14:ligatures w14:val="standardContextual"/>
            </w:rPr>
          </w:pPr>
          <w:hyperlink w:anchor="_Toc224307171" w:history="1">
            <w:r w:rsidRPr="007B5E13">
              <w:rPr>
                <w:rStyle w:val="Hyperlink"/>
                <w:rFonts w:ascii="Arial" w:hAnsi="Arial" w:cs="Arial"/>
                <w:noProof/>
                <w:sz w:val="22"/>
                <w:szCs w:val="22"/>
              </w:rPr>
              <w:t>1.1.</w:t>
            </w:r>
            <w:r w:rsidRPr="007B5E13">
              <w:rPr>
                <w:rFonts w:ascii="Arial" w:eastAsiaTheme="minorEastAsia" w:hAnsi="Arial" w:cs="Arial"/>
                <w:i w:val="0"/>
                <w:iCs w:val="0"/>
                <w:noProof/>
                <w:kern w:val="2"/>
                <w:sz w:val="22"/>
                <w:szCs w:val="22"/>
                <w14:ligatures w14:val="standardContextual"/>
              </w:rPr>
              <w:tab/>
            </w:r>
            <w:r w:rsidRPr="007B5E13">
              <w:rPr>
                <w:rStyle w:val="Hyperlink"/>
                <w:rFonts w:ascii="Arial" w:hAnsi="Arial" w:cs="Arial"/>
                <w:noProof/>
                <w:sz w:val="22"/>
                <w:szCs w:val="22"/>
              </w:rPr>
              <w:t>Introduction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_Toc224307171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9</w:t>
            </w:r>
            <w:r w:rsidRPr="007B5E13">
              <w:rPr>
                <w:rFonts w:ascii="Arial" w:hAnsi="Arial" w:cs="Arial"/>
                <w:noProof/>
                <w:webHidden/>
                <w:sz w:val="22"/>
                <w:szCs w:val="22"/>
              </w:rPr>
              <w:fldChar w:fldCharType="end"/>
            </w:r>
          </w:hyperlink>
        </w:p>
        <w:p w14:paraId="30530D5E" w14:textId="57AF71EF" w:rsidR="007B5E13" w:rsidRPr="007B5E13" w:rsidRDefault="007B5E13">
          <w:pPr>
            <w:pStyle w:val="TOC3"/>
            <w:tabs>
              <w:tab w:val="left" w:pos="1320"/>
              <w:tab w:val="right" w:leader="dot" w:pos="9016"/>
            </w:tabs>
            <w:rPr>
              <w:rFonts w:ascii="Arial" w:eastAsiaTheme="minorEastAsia" w:hAnsi="Arial" w:cs="Arial"/>
              <w:noProof/>
              <w:kern w:val="2"/>
              <w:sz w:val="22"/>
              <w:szCs w:val="22"/>
              <w14:ligatures w14:val="standardContextual"/>
            </w:rPr>
          </w:pPr>
          <w:hyperlink w:anchor="_Toc224307172" w:history="1">
            <w:r w:rsidRPr="007B5E13">
              <w:rPr>
                <w:rStyle w:val="Hyperlink"/>
                <w:rFonts w:ascii="Arial" w:hAnsi="Arial" w:cs="Arial"/>
                <w:noProof/>
                <w:sz w:val="22"/>
                <w:szCs w:val="22"/>
              </w:rPr>
              <w:t>1.1.1.</w:t>
            </w:r>
            <w:r w:rsidRPr="007B5E13">
              <w:rPr>
                <w:rFonts w:ascii="Arial" w:eastAsiaTheme="minorEastAsia" w:hAnsi="Arial" w:cs="Arial"/>
                <w:noProof/>
                <w:kern w:val="2"/>
                <w:sz w:val="22"/>
                <w:szCs w:val="22"/>
                <w14:ligatures w14:val="standardContextual"/>
              </w:rPr>
              <w:tab/>
            </w:r>
            <w:r w:rsidRPr="007B5E13">
              <w:rPr>
                <w:rStyle w:val="Hyperlink"/>
                <w:rFonts w:ascii="Arial" w:hAnsi="Arial" w:cs="Arial"/>
                <w:noProof/>
                <w:sz w:val="22"/>
                <w:szCs w:val="22"/>
              </w:rPr>
              <w:t>Overview of Topic</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_Toc224307172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9</w:t>
            </w:r>
            <w:r w:rsidRPr="007B5E13">
              <w:rPr>
                <w:rFonts w:ascii="Arial" w:hAnsi="Arial" w:cs="Arial"/>
                <w:noProof/>
                <w:webHidden/>
                <w:sz w:val="22"/>
                <w:szCs w:val="22"/>
              </w:rPr>
              <w:fldChar w:fldCharType="end"/>
            </w:r>
          </w:hyperlink>
        </w:p>
        <w:p w14:paraId="7D348F35" w14:textId="0C62E139"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73" w:history="1">
            <w:r w:rsidRPr="007B5E13">
              <w:rPr>
                <w:rStyle w:val="Hyperlink"/>
                <w:rFonts w:ascii="Arial" w:hAnsi="Arial" w:cs="Arial"/>
                <w:noProof/>
                <w:sz w:val="22"/>
                <w:szCs w:val="22"/>
              </w:rPr>
              <w:t>1.2 Definitions and Terminology</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_Toc224307173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9</w:t>
            </w:r>
            <w:r w:rsidRPr="007B5E13">
              <w:rPr>
                <w:rFonts w:ascii="Arial" w:hAnsi="Arial" w:cs="Arial"/>
                <w:noProof/>
                <w:webHidden/>
                <w:sz w:val="22"/>
                <w:szCs w:val="22"/>
              </w:rPr>
              <w:fldChar w:fldCharType="end"/>
            </w:r>
          </w:hyperlink>
        </w:p>
        <w:p w14:paraId="6466F011" w14:textId="7CBAE46B"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174" w:history="1">
            <w:r w:rsidRPr="007B5E13">
              <w:rPr>
                <w:rStyle w:val="Hyperlink"/>
                <w:rFonts w:ascii="Arial" w:hAnsi="Arial" w:cs="Arial"/>
                <w:noProof/>
                <w:sz w:val="22"/>
                <w:szCs w:val="22"/>
              </w:rPr>
              <w:t>1.2.1. Key definitions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_Toc224307174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9</w:t>
            </w:r>
            <w:r w:rsidRPr="007B5E13">
              <w:rPr>
                <w:rFonts w:ascii="Arial" w:hAnsi="Arial" w:cs="Arial"/>
                <w:noProof/>
                <w:webHidden/>
                <w:sz w:val="22"/>
                <w:szCs w:val="22"/>
              </w:rPr>
              <w:fldChar w:fldCharType="end"/>
            </w:r>
          </w:hyperlink>
        </w:p>
        <w:p w14:paraId="5C14BA21" w14:textId="5ED45F0B"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175" w:history="1">
            <w:r w:rsidRPr="007B5E13">
              <w:rPr>
                <w:rStyle w:val="Hyperlink"/>
                <w:rFonts w:ascii="Arial" w:hAnsi="Arial" w:cs="Arial"/>
                <w:noProof/>
                <w:sz w:val="22"/>
                <w:szCs w:val="22"/>
              </w:rPr>
              <w:t>1.2.2. Acronyms and abbreviations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_Toc224307175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10</w:t>
            </w:r>
            <w:r w:rsidRPr="007B5E13">
              <w:rPr>
                <w:rFonts w:ascii="Arial" w:hAnsi="Arial" w:cs="Arial"/>
                <w:noProof/>
                <w:webHidden/>
                <w:sz w:val="22"/>
                <w:szCs w:val="22"/>
              </w:rPr>
              <w:fldChar w:fldCharType="end"/>
            </w:r>
          </w:hyperlink>
        </w:p>
        <w:p w14:paraId="22356ACB" w14:textId="23228D52"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76" w:history="1">
            <w:r w:rsidRPr="007B5E13">
              <w:rPr>
                <w:rStyle w:val="Hyperlink"/>
                <w:rFonts w:ascii="Arial" w:hAnsi="Arial" w:cs="Arial"/>
                <w:noProof/>
                <w:sz w:val="22"/>
                <w:szCs w:val="22"/>
              </w:rPr>
              <w:t>1.3 Rationale for Research</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_Toc224307176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10</w:t>
            </w:r>
            <w:r w:rsidRPr="007B5E13">
              <w:rPr>
                <w:rFonts w:ascii="Arial" w:hAnsi="Arial" w:cs="Arial"/>
                <w:noProof/>
                <w:webHidden/>
                <w:sz w:val="22"/>
                <w:szCs w:val="22"/>
              </w:rPr>
              <w:fldChar w:fldCharType="end"/>
            </w:r>
          </w:hyperlink>
        </w:p>
        <w:p w14:paraId="764EA950" w14:textId="6485BF5A"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77" w:history="1">
            <w:r w:rsidRPr="007B5E13">
              <w:rPr>
                <w:rStyle w:val="Hyperlink"/>
                <w:rFonts w:ascii="Arial" w:hAnsi="Arial" w:cs="Arial"/>
                <w:noProof/>
                <w:sz w:val="22"/>
                <w:szCs w:val="22"/>
              </w:rPr>
              <w:t>1.4 Aim and Objectives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_Toc224307177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11</w:t>
            </w:r>
            <w:r w:rsidRPr="007B5E13">
              <w:rPr>
                <w:rFonts w:ascii="Arial" w:hAnsi="Arial" w:cs="Arial"/>
                <w:noProof/>
                <w:webHidden/>
                <w:sz w:val="22"/>
                <w:szCs w:val="22"/>
              </w:rPr>
              <w:fldChar w:fldCharType="end"/>
            </w:r>
          </w:hyperlink>
        </w:p>
        <w:p w14:paraId="42C24B69" w14:textId="173DC492"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78" w:history="1">
            <w:r w:rsidRPr="007B5E13">
              <w:rPr>
                <w:rStyle w:val="Hyperlink"/>
                <w:rFonts w:ascii="Arial" w:hAnsi="Arial" w:cs="Arial"/>
                <w:noProof/>
                <w:sz w:val="22"/>
                <w:szCs w:val="22"/>
              </w:rPr>
              <w:t>1.5 Conclusion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_Toc224307178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12</w:t>
            </w:r>
            <w:r w:rsidRPr="007B5E13">
              <w:rPr>
                <w:rFonts w:ascii="Arial" w:hAnsi="Arial" w:cs="Arial"/>
                <w:noProof/>
                <w:webHidden/>
                <w:sz w:val="22"/>
                <w:szCs w:val="22"/>
              </w:rPr>
              <w:fldChar w:fldCharType="end"/>
            </w:r>
          </w:hyperlink>
        </w:p>
        <w:p w14:paraId="32D3E3D2" w14:textId="4B4A2DE2"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179" w:history="1">
            <w:r w:rsidRPr="007B5E13">
              <w:rPr>
                <w:rStyle w:val="Hyperlink"/>
                <w:rFonts w:ascii="Arial" w:hAnsi="Arial" w:cs="Arial"/>
                <w:noProof/>
                <w:sz w:val="22"/>
                <w:szCs w:val="22"/>
              </w:rPr>
              <w:t>CHAPTER 2 – Background Information and Analysis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_Toc224307179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13</w:t>
            </w:r>
            <w:r w:rsidRPr="007B5E13">
              <w:rPr>
                <w:rFonts w:ascii="Arial" w:hAnsi="Arial" w:cs="Arial"/>
                <w:noProof/>
                <w:webHidden/>
                <w:sz w:val="22"/>
                <w:szCs w:val="22"/>
              </w:rPr>
              <w:fldChar w:fldCharType="end"/>
            </w:r>
          </w:hyperlink>
        </w:p>
        <w:p w14:paraId="05D7BF9E" w14:textId="29270750"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0" w:history="1">
            <w:r w:rsidRPr="007B5E13">
              <w:rPr>
                <w:rStyle w:val="Hyperlink"/>
                <w:rFonts w:ascii="Arial" w:hAnsi="Arial" w:cs="Arial"/>
                <w:noProof/>
                <w:sz w:val="22"/>
                <w:szCs w:val="22"/>
              </w:rPr>
              <w:t>2.1. Introduction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_Toc224307180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13</w:t>
            </w:r>
            <w:r w:rsidRPr="007B5E13">
              <w:rPr>
                <w:rFonts w:ascii="Arial" w:hAnsi="Arial" w:cs="Arial"/>
                <w:noProof/>
                <w:webHidden/>
                <w:sz w:val="22"/>
                <w:szCs w:val="22"/>
              </w:rPr>
              <w:fldChar w:fldCharType="end"/>
            </w:r>
          </w:hyperlink>
        </w:p>
        <w:p w14:paraId="40DEB916" w14:textId="3E3E34A9"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1" w:history="1">
            <w:r w:rsidRPr="007B5E13">
              <w:rPr>
                <w:rStyle w:val="Hyperlink"/>
                <w:rFonts w:ascii="Arial" w:hAnsi="Arial" w:cs="Arial"/>
                <w:noProof/>
                <w:sz w:val="22"/>
                <w:szCs w:val="22"/>
              </w:rPr>
              <w:t>2.2 Historical Background</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_Toc224307181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13</w:t>
            </w:r>
            <w:r w:rsidRPr="007B5E13">
              <w:rPr>
                <w:rFonts w:ascii="Arial" w:hAnsi="Arial" w:cs="Arial"/>
                <w:noProof/>
                <w:webHidden/>
                <w:sz w:val="22"/>
                <w:szCs w:val="22"/>
              </w:rPr>
              <w:fldChar w:fldCharType="end"/>
            </w:r>
          </w:hyperlink>
        </w:p>
        <w:p w14:paraId="3B6F4CAC" w14:textId="6A9D6E02"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2" w:history="1">
            <w:r w:rsidRPr="007B5E13">
              <w:rPr>
                <w:rStyle w:val="Hyperlink"/>
                <w:rFonts w:ascii="Arial" w:hAnsi="Arial" w:cs="Arial"/>
                <w:noProof/>
                <w:sz w:val="22"/>
                <w:szCs w:val="22"/>
              </w:rPr>
              <w:t>2.3 Theoretical Background</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_Toc224307182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14</w:t>
            </w:r>
            <w:r w:rsidRPr="007B5E13">
              <w:rPr>
                <w:rFonts w:ascii="Arial" w:hAnsi="Arial" w:cs="Arial"/>
                <w:noProof/>
                <w:webHidden/>
                <w:sz w:val="22"/>
                <w:szCs w:val="22"/>
              </w:rPr>
              <w:fldChar w:fldCharType="end"/>
            </w:r>
          </w:hyperlink>
        </w:p>
        <w:p w14:paraId="37DD277F" w14:textId="7628928A"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183" w:history="1">
            <w:r w:rsidRPr="007B5E13">
              <w:rPr>
                <w:rStyle w:val="Hyperlink"/>
                <w:rFonts w:ascii="Arial" w:hAnsi="Arial" w:cs="Arial"/>
                <w:noProof/>
                <w:sz w:val="22"/>
                <w:szCs w:val="22"/>
              </w:rPr>
              <w:t>2.3.1. Ecological systems theory (Bronfenbrenner)</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_Toc224307183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14</w:t>
            </w:r>
            <w:r w:rsidRPr="007B5E13">
              <w:rPr>
                <w:rFonts w:ascii="Arial" w:hAnsi="Arial" w:cs="Arial"/>
                <w:noProof/>
                <w:webHidden/>
                <w:sz w:val="22"/>
                <w:szCs w:val="22"/>
              </w:rPr>
              <w:fldChar w:fldCharType="end"/>
            </w:r>
          </w:hyperlink>
        </w:p>
        <w:p w14:paraId="3A40F1C7" w14:textId="2B89DBBE"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184" w:history="1">
            <w:r w:rsidRPr="007B5E13">
              <w:rPr>
                <w:rStyle w:val="Hyperlink"/>
                <w:rFonts w:ascii="Arial" w:hAnsi="Arial" w:cs="Arial"/>
                <w:noProof/>
                <w:sz w:val="22"/>
                <w:szCs w:val="22"/>
              </w:rPr>
              <w:t>2.3.2. Cumulative Disadvantage and Life-Course Perspective</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_Toc224307184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15</w:t>
            </w:r>
            <w:r w:rsidRPr="007B5E13">
              <w:rPr>
                <w:rFonts w:ascii="Arial" w:hAnsi="Arial" w:cs="Arial"/>
                <w:noProof/>
                <w:webHidden/>
                <w:sz w:val="22"/>
                <w:szCs w:val="22"/>
              </w:rPr>
              <w:fldChar w:fldCharType="end"/>
            </w:r>
          </w:hyperlink>
        </w:p>
        <w:p w14:paraId="6888336F" w14:textId="5F1477D9"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185" w:history="1">
            <w:r w:rsidRPr="007B5E13">
              <w:rPr>
                <w:rStyle w:val="Hyperlink"/>
                <w:rFonts w:ascii="Arial" w:hAnsi="Arial" w:cs="Arial"/>
                <w:noProof/>
                <w:sz w:val="22"/>
                <w:szCs w:val="22"/>
              </w:rPr>
              <w:t>2.3.3. Sense of Belonging and Application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_Toc224307185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15</w:t>
            </w:r>
            <w:r w:rsidRPr="007B5E13">
              <w:rPr>
                <w:rFonts w:ascii="Arial" w:hAnsi="Arial" w:cs="Arial"/>
                <w:noProof/>
                <w:webHidden/>
                <w:sz w:val="22"/>
                <w:szCs w:val="22"/>
              </w:rPr>
              <w:fldChar w:fldCharType="end"/>
            </w:r>
          </w:hyperlink>
        </w:p>
        <w:p w14:paraId="4C2A28DA" w14:textId="29590475"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6" w:history="1">
            <w:r w:rsidRPr="007B5E13">
              <w:rPr>
                <w:rStyle w:val="Hyperlink"/>
                <w:rFonts w:ascii="Arial" w:hAnsi="Arial" w:cs="Arial"/>
                <w:noProof/>
                <w:sz w:val="22"/>
                <w:szCs w:val="22"/>
              </w:rPr>
              <w:t>2.4 International Context</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_Toc224307186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16</w:t>
            </w:r>
            <w:r w:rsidRPr="007B5E13">
              <w:rPr>
                <w:rFonts w:ascii="Arial" w:hAnsi="Arial" w:cs="Arial"/>
                <w:noProof/>
                <w:webHidden/>
                <w:sz w:val="22"/>
                <w:szCs w:val="22"/>
              </w:rPr>
              <w:fldChar w:fldCharType="end"/>
            </w:r>
          </w:hyperlink>
        </w:p>
        <w:p w14:paraId="086E12E2" w14:textId="0CE2DE5D"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7" w:history="1">
            <w:r w:rsidRPr="007B5E13">
              <w:rPr>
                <w:rStyle w:val="Hyperlink"/>
                <w:rFonts w:ascii="Arial" w:hAnsi="Arial" w:cs="Arial"/>
                <w:noProof/>
                <w:sz w:val="22"/>
                <w:szCs w:val="22"/>
              </w:rPr>
              <w:t>2.5 National/Local UK Context</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_Toc224307187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17</w:t>
            </w:r>
            <w:r w:rsidRPr="007B5E13">
              <w:rPr>
                <w:rFonts w:ascii="Arial" w:hAnsi="Arial" w:cs="Arial"/>
                <w:noProof/>
                <w:webHidden/>
                <w:sz w:val="22"/>
                <w:szCs w:val="22"/>
              </w:rPr>
              <w:fldChar w:fldCharType="end"/>
            </w:r>
          </w:hyperlink>
        </w:p>
        <w:p w14:paraId="01D719DC" w14:textId="1E10EC58"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88" w:history="1">
            <w:r w:rsidRPr="007B5E13">
              <w:rPr>
                <w:rStyle w:val="Hyperlink"/>
                <w:rFonts w:ascii="Arial" w:hAnsi="Arial" w:cs="Arial"/>
                <w:noProof/>
                <w:sz w:val="22"/>
                <w:szCs w:val="22"/>
              </w:rPr>
              <w:t>2.6 Conclusion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_Toc224307188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19</w:t>
            </w:r>
            <w:r w:rsidRPr="007B5E13">
              <w:rPr>
                <w:rFonts w:ascii="Arial" w:hAnsi="Arial" w:cs="Arial"/>
                <w:noProof/>
                <w:webHidden/>
                <w:sz w:val="22"/>
                <w:szCs w:val="22"/>
              </w:rPr>
              <w:fldChar w:fldCharType="end"/>
            </w:r>
          </w:hyperlink>
        </w:p>
        <w:p w14:paraId="3407B16A" w14:textId="0D6A9CD0"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189" w:history="1">
            <w:r w:rsidRPr="007B5E13">
              <w:rPr>
                <w:rStyle w:val="Hyperlink"/>
                <w:rFonts w:ascii="Arial" w:hAnsi="Arial" w:cs="Arial"/>
                <w:noProof/>
                <w:sz w:val="22"/>
                <w:szCs w:val="22"/>
              </w:rPr>
              <w:t>CHAPTER 3 – Methods and Search Strategy</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_Toc224307189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21</w:t>
            </w:r>
            <w:r w:rsidRPr="007B5E13">
              <w:rPr>
                <w:rFonts w:ascii="Arial" w:hAnsi="Arial" w:cs="Arial"/>
                <w:noProof/>
                <w:webHidden/>
                <w:sz w:val="22"/>
                <w:szCs w:val="22"/>
              </w:rPr>
              <w:fldChar w:fldCharType="end"/>
            </w:r>
          </w:hyperlink>
        </w:p>
        <w:p w14:paraId="262DF499" w14:textId="5D523370"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0" w:history="1">
            <w:r w:rsidRPr="007B5E13">
              <w:rPr>
                <w:rStyle w:val="Hyperlink"/>
                <w:rFonts w:ascii="Arial" w:hAnsi="Arial" w:cs="Arial"/>
                <w:noProof/>
                <w:sz w:val="22"/>
                <w:szCs w:val="22"/>
              </w:rPr>
              <w:t>3.1 Introduction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_Toc224307190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21</w:t>
            </w:r>
            <w:r w:rsidRPr="007B5E13">
              <w:rPr>
                <w:rFonts w:ascii="Arial" w:hAnsi="Arial" w:cs="Arial"/>
                <w:noProof/>
                <w:webHidden/>
                <w:sz w:val="22"/>
                <w:szCs w:val="22"/>
              </w:rPr>
              <w:fldChar w:fldCharType="end"/>
            </w:r>
          </w:hyperlink>
        </w:p>
        <w:p w14:paraId="4C0D47D4" w14:textId="11E56BD9"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1" w:history="1">
            <w:r w:rsidRPr="007B5E13">
              <w:rPr>
                <w:rStyle w:val="Hyperlink"/>
                <w:rFonts w:ascii="Arial" w:hAnsi="Arial" w:cs="Arial"/>
                <w:noProof/>
                <w:sz w:val="22"/>
                <w:szCs w:val="22"/>
              </w:rPr>
              <w:t>3.2 Search Strategy</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_Toc224307191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21</w:t>
            </w:r>
            <w:r w:rsidRPr="007B5E13">
              <w:rPr>
                <w:rFonts w:ascii="Arial" w:hAnsi="Arial" w:cs="Arial"/>
                <w:noProof/>
                <w:webHidden/>
                <w:sz w:val="22"/>
                <w:szCs w:val="22"/>
              </w:rPr>
              <w:fldChar w:fldCharType="end"/>
            </w:r>
          </w:hyperlink>
        </w:p>
        <w:p w14:paraId="34897D56" w14:textId="03826DE1"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2" w:history="1">
            <w:r w:rsidRPr="007B5E13">
              <w:rPr>
                <w:rStyle w:val="Hyperlink"/>
                <w:rFonts w:ascii="Arial" w:hAnsi="Arial" w:cs="Arial"/>
                <w:noProof/>
                <w:sz w:val="22"/>
                <w:szCs w:val="22"/>
              </w:rPr>
              <w:t>3.3 Searching for Information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_Toc224307192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22</w:t>
            </w:r>
            <w:r w:rsidRPr="007B5E13">
              <w:rPr>
                <w:rFonts w:ascii="Arial" w:hAnsi="Arial" w:cs="Arial"/>
                <w:noProof/>
                <w:webHidden/>
                <w:sz w:val="22"/>
                <w:szCs w:val="22"/>
              </w:rPr>
              <w:fldChar w:fldCharType="end"/>
            </w:r>
          </w:hyperlink>
        </w:p>
        <w:p w14:paraId="199A269C" w14:textId="11507883"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3" w:history="1">
            <w:r w:rsidRPr="007B5E13">
              <w:rPr>
                <w:rStyle w:val="Hyperlink"/>
                <w:rFonts w:ascii="Arial" w:hAnsi="Arial" w:cs="Arial"/>
                <w:noProof/>
                <w:sz w:val="22"/>
                <w:szCs w:val="22"/>
              </w:rPr>
              <w:t>3.4 Research Validation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_Toc224307193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23</w:t>
            </w:r>
            <w:r w:rsidRPr="007B5E13">
              <w:rPr>
                <w:rFonts w:ascii="Arial" w:hAnsi="Arial" w:cs="Arial"/>
                <w:noProof/>
                <w:webHidden/>
                <w:sz w:val="22"/>
                <w:szCs w:val="22"/>
              </w:rPr>
              <w:fldChar w:fldCharType="end"/>
            </w:r>
          </w:hyperlink>
        </w:p>
        <w:p w14:paraId="49C7E465" w14:textId="043CDC0D"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4" w:history="1">
            <w:r w:rsidRPr="007B5E13">
              <w:rPr>
                <w:rStyle w:val="Hyperlink"/>
                <w:rFonts w:ascii="Arial" w:hAnsi="Arial" w:cs="Arial"/>
                <w:noProof/>
                <w:sz w:val="22"/>
                <w:szCs w:val="22"/>
              </w:rPr>
              <w:t>3.5 Inclusion and Exclusion Criteria</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_Toc224307194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25</w:t>
            </w:r>
            <w:r w:rsidRPr="007B5E13">
              <w:rPr>
                <w:rFonts w:ascii="Arial" w:hAnsi="Arial" w:cs="Arial"/>
                <w:noProof/>
                <w:webHidden/>
                <w:sz w:val="22"/>
                <w:szCs w:val="22"/>
              </w:rPr>
              <w:fldChar w:fldCharType="end"/>
            </w:r>
          </w:hyperlink>
        </w:p>
        <w:p w14:paraId="1491D99A" w14:textId="3D2DE009"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5" w:history="1">
            <w:r w:rsidRPr="007B5E13">
              <w:rPr>
                <w:rStyle w:val="Hyperlink"/>
                <w:rFonts w:ascii="Arial" w:hAnsi="Arial" w:cs="Arial"/>
                <w:noProof/>
                <w:sz w:val="22"/>
                <w:szCs w:val="22"/>
              </w:rPr>
              <w:t>3.6 Data Analysis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_Toc224307195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26</w:t>
            </w:r>
            <w:r w:rsidRPr="007B5E13">
              <w:rPr>
                <w:rFonts w:ascii="Arial" w:hAnsi="Arial" w:cs="Arial"/>
                <w:noProof/>
                <w:webHidden/>
                <w:sz w:val="22"/>
                <w:szCs w:val="22"/>
              </w:rPr>
              <w:fldChar w:fldCharType="end"/>
            </w:r>
          </w:hyperlink>
        </w:p>
        <w:p w14:paraId="3A55936E" w14:textId="079C2E3B"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6" w:history="1">
            <w:r w:rsidRPr="007B5E13">
              <w:rPr>
                <w:rStyle w:val="Hyperlink"/>
                <w:rFonts w:ascii="Arial" w:hAnsi="Arial" w:cs="Arial"/>
                <w:noProof/>
                <w:sz w:val="22"/>
                <w:szCs w:val="22"/>
              </w:rPr>
              <w:t>3.7 Ethical Considerations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_Toc224307196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26</w:t>
            </w:r>
            <w:r w:rsidRPr="007B5E13">
              <w:rPr>
                <w:rFonts w:ascii="Arial" w:hAnsi="Arial" w:cs="Arial"/>
                <w:noProof/>
                <w:webHidden/>
                <w:sz w:val="22"/>
                <w:szCs w:val="22"/>
              </w:rPr>
              <w:fldChar w:fldCharType="end"/>
            </w:r>
          </w:hyperlink>
        </w:p>
        <w:p w14:paraId="0005BC6E" w14:textId="499E0E9A"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7" w:history="1">
            <w:r w:rsidRPr="007B5E13">
              <w:rPr>
                <w:rStyle w:val="Hyperlink"/>
                <w:rFonts w:ascii="Arial" w:hAnsi="Arial" w:cs="Arial"/>
                <w:noProof/>
                <w:sz w:val="22"/>
                <w:szCs w:val="22"/>
              </w:rPr>
              <w:t>3.8 Chapter Conclusion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_Toc224307197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27</w:t>
            </w:r>
            <w:r w:rsidRPr="007B5E13">
              <w:rPr>
                <w:rFonts w:ascii="Arial" w:hAnsi="Arial" w:cs="Arial"/>
                <w:noProof/>
                <w:webHidden/>
                <w:sz w:val="22"/>
                <w:szCs w:val="22"/>
              </w:rPr>
              <w:fldChar w:fldCharType="end"/>
            </w:r>
          </w:hyperlink>
        </w:p>
        <w:p w14:paraId="771A76CA" w14:textId="1A644B36"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198" w:history="1">
            <w:r w:rsidRPr="007B5E13">
              <w:rPr>
                <w:rStyle w:val="Hyperlink"/>
                <w:rFonts w:ascii="Arial" w:hAnsi="Arial" w:cs="Arial"/>
                <w:noProof/>
                <w:sz w:val="22"/>
                <w:szCs w:val="22"/>
              </w:rPr>
              <w:t>CHAPTER 4: Findings and Discussion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_Toc224307198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28</w:t>
            </w:r>
            <w:r w:rsidRPr="007B5E13">
              <w:rPr>
                <w:rFonts w:ascii="Arial" w:hAnsi="Arial" w:cs="Arial"/>
                <w:noProof/>
                <w:webHidden/>
                <w:sz w:val="22"/>
                <w:szCs w:val="22"/>
              </w:rPr>
              <w:fldChar w:fldCharType="end"/>
            </w:r>
          </w:hyperlink>
        </w:p>
        <w:p w14:paraId="4D4C1161" w14:textId="2E396A0D"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199" w:history="1">
            <w:r w:rsidRPr="007B5E13">
              <w:rPr>
                <w:rStyle w:val="Hyperlink"/>
                <w:rFonts w:ascii="Arial" w:hAnsi="Arial" w:cs="Arial"/>
                <w:noProof/>
                <w:sz w:val="22"/>
                <w:szCs w:val="22"/>
              </w:rPr>
              <w:t>4.1. Introduction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_Toc224307199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28</w:t>
            </w:r>
            <w:r w:rsidRPr="007B5E13">
              <w:rPr>
                <w:rFonts w:ascii="Arial" w:hAnsi="Arial" w:cs="Arial"/>
                <w:noProof/>
                <w:webHidden/>
                <w:sz w:val="22"/>
                <w:szCs w:val="22"/>
              </w:rPr>
              <w:fldChar w:fldCharType="end"/>
            </w:r>
          </w:hyperlink>
        </w:p>
        <w:p w14:paraId="7A439060" w14:textId="231FA0C4"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0" w:history="1">
            <w:r w:rsidRPr="007B5E13">
              <w:rPr>
                <w:rStyle w:val="Hyperlink"/>
                <w:rFonts w:ascii="Arial" w:hAnsi="Arial" w:cs="Arial"/>
                <w:noProof/>
                <w:sz w:val="22"/>
                <w:szCs w:val="22"/>
              </w:rPr>
              <w:t>4.2. Thematic Analysis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_Toc224307200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28</w:t>
            </w:r>
            <w:r w:rsidRPr="007B5E13">
              <w:rPr>
                <w:rFonts w:ascii="Arial" w:hAnsi="Arial" w:cs="Arial"/>
                <w:noProof/>
                <w:webHidden/>
                <w:sz w:val="22"/>
                <w:szCs w:val="22"/>
              </w:rPr>
              <w:fldChar w:fldCharType="end"/>
            </w:r>
          </w:hyperlink>
        </w:p>
        <w:p w14:paraId="0D06A06C" w14:textId="11B8E69B"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01" w:history="1">
            <w:r w:rsidRPr="007B5E13">
              <w:rPr>
                <w:rStyle w:val="Hyperlink"/>
                <w:rFonts w:ascii="Arial" w:hAnsi="Arial" w:cs="Arial"/>
                <w:noProof/>
                <w:sz w:val="22"/>
                <w:szCs w:val="22"/>
              </w:rPr>
              <w:t>4.2.1. Definition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_Toc224307201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28</w:t>
            </w:r>
            <w:r w:rsidRPr="007B5E13">
              <w:rPr>
                <w:rFonts w:ascii="Arial" w:hAnsi="Arial" w:cs="Arial"/>
                <w:noProof/>
                <w:webHidden/>
                <w:sz w:val="22"/>
                <w:szCs w:val="22"/>
              </w:rPr>
              <w:fldChar w:fldCharType="end"/>
            </w:r>
          </w:hyperlink>
        </w:p>
        <w:p w14:paraId="52451824" w14:textId="79FBA673"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02" w:history="1">
            <w:r w:rsidRPr="007B5E13">
              <w:rPr>
                <w:rStyle w:val="Hyperlink"/>
                <w:rFonts w:ascii="Arial" w:hAnsi="Arial" w:cs="Arial"/>
                <w:noProof/>
                <w:sz w:val="22"/>
                <w:szCs w:val="22"/>
              </w:rPr>
              <w:t>4.2.2. Coding/results Table</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_Toc224307202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28</w:t>
            </w:r>
            <w:r w:rsidRPr="007B5E13">
              <w:rPr>
                <w:rFonts w:ascii="Arial" w:hAnsi="Arial" w:cs="Arial"/>
                <w:noProof/>
                <w:webHidden/>
                <w:sz w:val="22"/>
                <w:szCs w:val="22"/>
              </w:rPr>
              <w:fldChar w:fldCharType="end"/>
            </w:r>
          </w:hyperlink>
        </w:p>
        <w:p w14:paraId="3FBBECCD" w14:textId="649C7AB6"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03" w:history="1">
            <w:r w:rsidRPr="007B5E13">
              <w:rPr>
                <w:rStyle w:val="Hyperlink"/>
                <w:rFonts w:ascii="Arial" w:hAnsi="Arial" w:cs="Arial"/>
                <w:noProof/>
                <w:sz w:val="22"/>
                <w:szCs w:val="22"/>
              </w:rPr>
              <w:t>4.2.3. Themes Identified</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_Toc224307203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29</w:t>
            </w:r>
            <w:r w:rsidRPr="007B5E13">
              <w:rPr>
                <w:rFonts w:ascii="Arial" w:hAnsi="Arial" w:cs="Arial"/>
                <w:noProof/>
                <w:webHidden/>
                <w:sz w:val="22"/>
                <w:szCs w:val="22"/>
              </w:rPr>
              <w:fldChar w:fldCharType="end"/>
            </w:r>
          </w:hyperlink>
        </w:p>
        <w:p w14:paraId="27785881" w14:textId="6FE31E45"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4" w:history="1">
            <w:r w:rsidRPr="007B5E13">
              <w:rPr>
                <w:rStyle w:val="Hyperlink"/>
                <w:rFonts w:ascii="Arial" w:hAnsi="Arial" w:cs="Arial"/>
                <w:noProof/>
                <w:sz w:val="22"/>
                <w:szCs w:val="22"/>
              </w:rPr>
              <w:t>4.3. Theme 1: Graduates with foster-care histories experience a greater mental health burden than non-foster peers, shaped by trauma, instability, and isolation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_Toc224307204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30</w:t>
            </w:r>
            <w:r w:rsidRPr="007B5E13">
              <w:rPr>
                <w:rFonts w:ascii="Arial" w:hAnsi="Arial" w:cs="Arial"/>
                <w:noProof/>
                <w:webHidden/>
                <w:sz w:val="22"/>
                <w:szCs w:val="22"/>
              </w:rPr>
              <w:fldChar w:fldCharType="end"/>
            </w:r>
          </w:hyperlink>
        </w:p>
        <w:p w14:paraId="4EE81325" w14:textId="17D28C70"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5" w:history="1">
            <w:r w:rsidRPr="007B5E13">
              <w:rPr>
                <w:rStyle w:val="Hyperlink"/>
                <w:rFonts w:ascii="Arial" w:hAnsi="Arial" w:cs="Arial"/>
                <w:noProof/>
                <w:sz w:val="22"/>
                <w:szCs w:val="22"/>
              </w:rPr>
              <w:t>4.4. Theme 2: Resilience in Academic Progression Despite Financial Strain and Wellbeing Challenges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_Toc224307205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33</w:t>
            </w:r>
            <w:r w:rsidRPr="007B5E13">
              <w:rPr>
                <w:rFonts w:ascii="Arial" w:hAnsi="Arial" w:cs="Arial"/>
                <w:noProof/>
                <w:webHidden/>
                <w:sz w:val="22"/>
                <w:szCs w:val="22"/>
              </w:rPr>
              <w:fldChar w:fldCharType="end"/>
            </w:r>
          </w:hyperlink>
        </w:p>
        <w:p w14:paraId="38335AD1" w14:textId="318098CF"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6" w:history="1">
            <w:r w:rsidRPr="007B5E13">
              <w:rPr>
                <w:rStyle w:val="Hyperlink"/>
                <w:rFonts w:ascii="Arial" w:hAnsi="Arial" w:cs="Arial"/>
                <w:noProof/>
                <w:sz w:val="22"/>
                <w:szCs w:val="22"/>
              </w:rPr>
              <w:t>4.5. Theme 3: Targeted, Relationship-Based University Supports Improve Transitions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_Toc224307206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37</w:t>
            </w:r>
            <w:r w:rsidRPr="007B5E13">
              <w:rPr>
                <w:rFonts w:ascii="Arial" w:hAnsi="Arial" w:cs="Arial"/>
                <w:noProof/>
                <w:webHidden/>
                <w:sz w:val="22"/>
                <w:szCs w:val="22"/>
              </w:rPr>
              <w:fldChar w:fldCharType="end"/>
            </w:r>
          </w:hyperlink>
        </w:p>
        <w:p w14:paraId="252FDEBE" w14:textId="75A37C61"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7" w:history="1">
            <w:r w:rsidRPr="007B5E13">
              <w:rPr>
                <w:rStyle w:val="Hyperlink"/>
                <w:rFonts w:ascii="Arial" w:hAnsi="Arial" w:cs="Arial"/>
                <w:noProof/>
                <w:sz w:val="22"/>
                <w:szCs w:val="22"/>
              </w:rPr>
              <w:t>4.6. Chapter Conclusion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_Toc224307207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41</w:t>
            </w:r>
            <w:r w:rsidRPr="007B5E13">
              <w:rPr>
                <w:rFonts w:ascii="Arial" w:hAnsi="Arial" w:cs="Arial"/>
                <w:noProof/>
                <w:webHidden/>
                <w:sz w:val="22"/>
                <w:szCs w:val="22"/>
              </w:rPr>
              <w:fldChar w:fldCharType="end"/>
            </w:r>
          </w:hyperlink>
        </w:p>
        <w:p w14:paraId="3880D832" w14:textId="5C976913"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208" w:history="1">
            <w:r w:rsidRPr="007B5E13">
              <w:rPr>
                <w:rStyle w:val="Hyperlink"/>
                <w:rFonts w:ascii="Arial" w:hAnsi="Arial" w:cs="Arial"/>
                <w:noProof/>
                <w:sz w:val="22"/>
                <w:szCs w:val="22"/>
              </w:rPr>
              <w:t>CHAPTER 5: Conclusion and Recommendations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_Toc224307208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43</w:t>
            </w:r>
            <w:r w:rsidRPr="007B5E13">
              <w:rPr>
                <w:rFonts w:ascii="Arial" w:hAnsi="Arial" w:cs="Arial"/>
                <w:noProof/>
                <w:webHidden/>
                <w:sz w:val="22"/>
                <w:szCs w:val="22"/>
              </w:rPr>
              <w:fldChar w:fldCharType="end"/>
            </w:r>
          </w:hyperlink>
        </w:p>
        <w:p w14:paraId="41F2C058" w14:textId="39534E0E"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09" w:history="1">
            <w:r w:rsidRPr="007B5E13">
              <w:rPr>
                <w:rStyle w:val="Hyperlink"/>
                <w:rFonts w:ascii="Arial" w:hAnsi="Arial" w:cs="Arial"/>
                <w:noProof/>
                <w:sz w:val="22"/>
                <w:szCs w:val="22"/>
              </w:rPr>
              <w:t>5.1 Overall Conclusion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_Toc224307209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43</w:t>
            </w:r>
            <w:r w:rsidRPr="007B5E13">
              <w:rPr>
                <w:rFonts w:ascii="Arial" w:hAnsi="Arial" w:cs="Arial"/>
                <w:noProof/>
                <w:webHidden/>
                <w:sz w:val="22"/>
                <w:szCs w:val="22"/>
              </w:rPr>
              <w:fldChar w:fldCharType="end"/>
            </w:r>
          </w:hyperlink>
        </w:p>
        <w:p w14:paraId="18C9C311" w14:textId="0BEA529C"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10" w:history="1">
            <w:r w:rsidRPr="007B5E13">
              <w:rPr>
                <w:rStyle w:val="Hyperlink"/>
                <w:rFonts w:ascii="Arial" w:hAnsi="Arial" w:cs="Arial"/>
                <w:noProof/>
                <w:sz w:val="22"/>
                <w:szCs w:val="22"/>
              </w:rPr>
              <w:t>5.2 Recommendations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_Toc224307210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43</w:t>
            </w:r>
            <w:r w:rsidRPr="007B5E13">
              <w:rPr>
                <w:rFonts w:ascii="Arial" w:hAnsi="Arial" w:cs="Arial"/>
                <w:noProof/>
                <w:webHidden/>
                <w:sz w:val="22"/>
                <w:szCs w:val="22"/>
              </w:rPr>
              <w:fldChar w:fldCharType="end"/>
            </w:r>
          </w:hyperlink>
        </w:p>
        <w:p w14:paraId="0F4D2784" w14:textId="170E5027"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11" w:history="1">
            <w:r w:rsidRPr="007B5E13">
              <w:rPr>
                <w:rStyle w:val="Hyperlink"/>
                <w:rFonts w:ascii="Arial" w:hAnsi="Arial" w:cs="Arial"/>
                <w:noProof/>
                <w:sz w:val="22"/>
                <w:szCs w:val="22"/>
              </w:rPr>
              <w:t>5.2.1 Recommendation 1: Build continuity-first, relationship-based support that spans entry to post-graduation</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_Toc224307211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43</w:t>
            </w:r>
            <w:r w:rsidRPr="007B5E13">
              <w:rPr>
                <w:rFonts w:ascii="Arial" w:hAnsi="Arial" w:cs="Arial"/>
                <w:noProof/>
                <w:webHidden/>
                <w:sz w:val="22"/>
                <w:szCs w:val="22"/>
              </w:rPr>
              <w:fldChar w:fldCharType="end"/>
            </w:r>
          </w:hyperlink>
        </w:p>
        <w:p w14:paraId="1DF1993E" w14:textId="2EAB6C38"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12" w:history="1">
            <w:r w:rsidRPr="007B5E13">
              <w:rPr>
                <w:rStyle w:val="Hyperlink"/>
                <w:rFonts w:ascii="Arial" w:hAnsi="Arial" w:cs="Arial"/>
                <w:noProof/>
                <w:sz w:val="22"/>
                <w:szCs w:val="22"/>
              </w:rPr>
              <w:t>5.2.2 Recommendation 2: Reduce structural drivers of distress through integrated finance, housing, and crisis-response protocols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_Toc224307212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44</w:t>
            </w:r>
            <w:r w:rsidRPr="007B5E13">
              <w:rPr>
                <w:rFonts w:ascii="Arial" w:hAnsi="Arial" w:cs="Arial"/>
                <w:noProof/>
                <w:webHidden/>
                <w:sz w:val="22"/>
                <w:szCs w:val="22"/>
              </w:rPr>
              <w:fldChar w:fldCharType="end"/>
            </w:r>
          </w:hyperlink>
        </w:p>
        <w:p w14:paraId="5890B265" w14:textId="3FE6DDF2" w:rsidR="007B5E13" w:rsidRPr="007B5E13" w:rsidRDefault="007B5E13">
          <w:pPr>
            <w:pStyle w:val="TOC3"/>
            <w:tabs>
              <w:tab w:val="right" w:leader="dot" w:pos="9016"/>
            </w:tabs>
            <w:rPr>
              <w:rFonts w:ascii="Arial" w:eastAsiaTheme="minorEastAsia" w:hAnsi="Arial" w:cs="Arial"/>
              <w:noProof/>
              <w:kern w:val="2"/>
              <w:sz w:val="22"/>
              <w:szCs w:val="22"/>
              <w14:ligatures w14:val="standardContextual"/>
            </w:rPr>
          </w:pPr>
          <w:hyperlink w:anchor="_Toc224307213" w:history="1">
            <w:r w:rsidRPr="007B5E13">
              <w:rPr>
                <w:rStyle w:val="Hyperlink"/>
                <w:rFonts w:ascii="Arial" w:hAnsi="Arial" w:cs="Arial"/>
                <w:noProof/>
                <w:sz w:val="22"/>
                <w:szCs w:val="22"/>
              </w:rPr>
              <w:t>5.2.3 Recommendation 3: Strengthen evidence and accountability through evaluation that measures outcomes, mechanisms, and equity impacts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_Toc224307213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44</w:t>
            </w:r>
            <w:r w:rsidRPr="007B5E13">
              <w:rPr>
                <w:rFonts w:ascii="Arial" w:hAnsi="Arial" w:cs="Arial"/>
                <w:noProof/>
                <w:webHidden/>
                <w:sz w:val="22"/>
                <w:szCs w:val="22"/>
              </w:rPr>
              <w:fldChar w:fldCharType="end"/>
            </w:r>
          </w:hyperlink>
        </w:p>
        <w:p w14:paraId="4218A27C" w14:textId="0B0B462F"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14" w:history="1">
            <w:r w:rsidRPr="007B5E13">
              <w:rPr>
                <w:rStyle w:val="Hyperlink"/>
                <w:rFonts w:ascii="Arial" w:hAnsi="Arial" w:cs="Arial"/>
                <w:noProof/>
                <w:sz w:val="22"/>
                <w:szCs w:val="22"/>
              </w:rPr>
              <w:t>5.3. Limitations of Study</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_Toc224307214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45</w:t>
            </w:r>
            <w:r w:rsidRPr="007B5E13">
              <w:rPr>
                <w:rFonts w:ascii="Arial" w:hAnsi="Arial" w:cs="Arial"/>
                <w:noProof/>
                <w:webHidden/>
                <w:sz w:val="22"/>
                <w:szCs w:val="22"/>
              </w:rPr>
              <w:fldChar w:fldCharType="end"/>
            </w:r>
          </w:hyperlink>
        </w:p>
        <w:p w14:paraId="461E4810" w14:textId="028DDDEF"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215" w:history="1">
            <w:r w:rsidRPr="007B5E13">
              <w:rPr>
                <w:rStyle w:val="Hyperlink"/>
                <w:rFonts w:ascii="Arial" w:hAnsi="Arial" w:cs="Arial"/>
                <w:noProof/>
                <w:sz w:val="22"/>
                <w:szCs w:val="22"/>
              </w:rPr>
              <w:t>6. References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_Toc224307215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46</w:t>
            </w:r>
            <w:r w:rsidRPr="007B5E13">
              <w:rPr>
                <w:rFonts w:ascii="Arial" w:hAnsi="Arial" w:cs="Arial"/>
                <w:noProof/>
                <w:webHidden/>
                <w:sz w:val="22"/>
                <w:szCs w:val="22"/>
              </w:rPr>
              <w:fldChar w:fldCharType="end"/>
            </w:r>
          </w:hyperlink>
        </w:p>
        <w:p w14:paraId="12BF5F90" w14:textId="34C9ADD0" w:rsidR="007B5E13" w:rsidRPr="007B5E13" w:rsidRDefault="007B5E13">
          <w:pPr>
            <w:pStyle w:val="TOC1"/>
            <w:tabs>
              <w:tab w:val="right" w:leader="dot" w:pos="9016"/>
            </w:tabs>
            <w:rPr>
              <w:rFonts w:ascii="Arial" w:eastAsiaTheme="minorEastAsia" w:hAnsi="Arial" w:cs="Arial"/>
              <w:b w:val="0"/>
              <w:bCs w:val="0"/>
              <w:noProof/>
              <w:kern w:val="2"/>
              <w:sz w:val="22"/>
              <w:szCs w:val="22"/>
              <w14:ligatures w14:val="standardContextual"/>
            </w:rPr>
          </w:pPr>
          <w:hyperlink w:anchor="_Toc224307216" w:history="1">
            <w:r w:rsidRPr="007B5E13">
              <w:rPr>
                <w:rStyle w:val="Hyperlink"/>
                <w:rFonts w:ascii="Arial" w:hAnsi="Arial" w:cs="Arial"/>
                <w:noProof/>
                <w:sz w:val="22"/>
                <w:szCs w:val="22"/>
              </w:rPr>
              <w:t>7. Appendices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_Toc224307216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56</w:t>
            </w:r>
            <w:r w:rsidRPr="007B5E13">
              <w:rPr>
                <w:rFonts w:ascii="Arial" w:hAnsi="Arial" w:cs="Arial"/>
                <w:noProof/>
                <w:webHidden/>
                <w:sz w:val="22"/>
                <w:szCs w:val="22"/>
              </w:rPr>
              <w:fldChar w:fldCharType="end"/>
            </w:r>
          </w:hyperlink>
        </w:p>
        <w:p w14:paraId="52C1D14E" w14:textId="4A84AA6F"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17" w:history="1">
            <w:r w:rsidRPr="007B5E13">
              <w:rPr>
                <w:rStyle w:val="Hyperlink"/>
                <w:rFonts w:ascii="Arial" w:hAnsi="Arial" w:cs="Arial"/>
                <w:noProof/>
                <w:sz w:val="22"/>
                <w:szCs w:val="22"/>
              </w:rPr>
              <w:t>7.1. Source Tracking Table</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_Toc224307217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56</w:t>
            </w:r>
            <w:r w:rsidRPr="007B5E13">
              <w:rPr>
                <w:rFonts w:ascii="Arial" w:hAnsi="Arial" w:cs="Arial"/>
                <w:noProof/>
                <w:webHidden/>
                <w:sz w:val="22"/>
                <w:szCs w:val="22"/>
              </w:rPr>
              <w:fldChar w:fldCharType="end"/>
            </w:r>
          </w:hyperlink>
        </w:p>
        <w:p w14:paraId="70878DCD" w14:textId="4F1B44D6"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18" w:history="1">
            <w:r w:rsidRPr="007B5E13">
              <w:rPr>
                <w:rStyle w:val="Hyperlink"/>
                <w:rFonts w:ascii="Arial" w:hAnsi="Arial" w:cs="Arial"/>
                <w:noProof/>
                <w:sz w:val="22"/>
                <w:szCs w:val="22"/>
              </w:rPr>
              <w:t>7.2. Project Results Summary Table</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_Toc224307218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62</w:t>
            </w:r>
            <w:r w:rsidRPr="007B5E13">
              <w:rPr>
                <w:rFonts w:ascii="Arial" w:hAnsi="Arial" w:cs="Arial"/>
                <w:noProof/>
                <w:webHidden/>
                <w:sz w:val="22"/>
                <w:szCs w:val="22"/>
              </w:rPr>
              <w:fldChar w:fldCharType="end"/>
            </w:r>
          </w:hyperlink>
        </w:p>
        <w:p w14:paraId="1B57E3F7" w14:textId="3D70FB01" w:rsidR="007B5E13" w:rsidRPr="007B5E13" w:rsidRDefault="007B5E13">
          <w:pPr>
            <w:pStyle w:val="TOC2"/>
            <w:tabs>
              <w:tab w:val="right" w:leader="dot" w:pos="9016"/>
            </w:tabs>
            <w:rPr>
              <w:rFonts w:ascii="Arial" w:eastAsiaTheme="minorEastAsia" w:hAnsi="Arial" w:cs="Arial"/>
              <w:i w:val="0"/>
              <w:iCs w:val="0"/>
              <w:noProof/>
              <w:kern w:val="2"/>
              <w:sz w:val="22"/>
              <w:szCs w:val="22"/>
              <w14:ligatures w14:val="standardContextual"/>
            </w:rPr>
          </w:pPr>
          <w:hyperlink w:anchor="_Toc224307219" w:history="1">
            <w:r w:rsidRPr="007B5E13">
              <w:rPr>
                <w:rStyle w:val="Hyperlink"/>
                <w:rFonts w:ascii="Arial" w:hAnsi="Arial" w:cs="Arial"/>
                <w:noProof/>
                <w:sz w:val="22"/>
                <w:szCs w:val="22"/>
              </w:rPr>
              <w:t>7.3. Detailed Theme Generation Through Thematic Analysis</w:t>
            </w:r>
            <w:r w:rsidRPr="007B5E13">
              <w:rPr>
                <w:rFonts w:ascii="Arial" w:hAnsi="Arial" w:cs="Arial"/>
                <w:noProof/>
                <w:webHidden/>
                <w:sz w:val="22"/>
                <w:szCs w:val="22"/>
              </w:rPr>
              <w:tab/>
            </w:r>
            <w:r w:rsidRPr="007B5E13">
              <w:rPr>
                <w:rFonts w:ascii="Arial" w:hAnsi="Arial" w:cs="Arial"/>
                <w:noProof/>
                <w:webHidden/>
                <w:sz w:val="22"/>
                <w:szCs w:val="22"/>
              </w:rPr>
              <w:fldChar w:fldCharType="begin"/>
            </w:r>
            <w:r w:rsidRPr="007B5E13">
              <w:rPr>
                <w:rFonts w:ascii="Arial" w:hAnsi="Arial" w:cs="Arial"/>
                <w:noProof/>
                <w:webHidden/>
                <w:sz w:val="22"/>
                <w:szCs w:val="22"/>
              </w:rPr>
              <w:instrText xml:space="preserve"> PAGEREF _Toc224307219 \h </w:instrText>
            </w:r>
            <w:r w:rsidRPr="007B5E13">
              <w:rPr>
                <w:rFonts w:ascii="Arial" w:hAnsi="Arial" w:cs="Arial"/>
                <w:noProof/>
                <w:webHidden/>
                <w:sz w:val="22"/>
                <w:szCs w:val="22"/>
              </w:rPr>
            </w:r>
            <w:r w:rsidRPr="007B5E13">
              <w:rPr>
                <w:rFonts w:ascii="Arial" w:hAnsi="Arial" w:cs="Arial"/>
                <w:noProof/>
                <w:webHidden/>
                <w:sz w:val="22"/>
                <w:szCs w:val="22"/>
              </w:rPr>
              <w:fldChar w:fldCharType="separate"/>
            </w:r>
            <w:r w:rsidR="001607F6">
              <w:rPr>
                <w:rFonts w:ascii="Arial" w:hAnsi="Arial" w:cs="Arial"/>
                <w:noProof/>
                <w:webHidden/>
                <w:sz w:val="22"/>
                <w:szCs w:val="22"/>
              </w:rPr>
              <w:t>65</w:t>
            </w:r>
            <w:r w:rsidRPr="007B5E13">
              <w:rPr>
                <w:rFonts w:ascii="Arial" w:hAnsi="Arial" w:cs="Arial"/>
                <w:noProof/>
                <w:webHidden/>
                <w:sz w:val="22"/>
                <w:szCs w:val="22"/>
              </w:rPr>
              <w:fldChar w:fldCharType="end"/>
            </w:r>
          </w:hyperlink>
        </w:p>
        <w:p w14:paraId="30A4C890" w14:textId="15D14330" w:rsidR="00EA3366" w:rsidRDefault="00EA3366">
          <w:r w:rsidRPr="007B5E13">
            <w:rPr>
              <w:rFonts w:ascii="Arial" w:hAnsi="Arial" w:cs="Arial"/>
              <w:b/>
              <w:bCs/>
              <w:noProof/>
              <w:szCs w:val="22"/>
            </w:rPr>
            <w:fldChar w:fldCharType="end"/>
          </w:r>
        </w:p>
      </w:sdtContent>
    </w:sdt>
    <w:p w14:paraId="0A7E6578" w14:textId="77777777" w:rsidR="0093392C" w:rsidRDefault="0093392C" w:rsidP="006F5AB8">
      <w:pPr>
        <w:spacing w:before="240"/>
        <w:jc w:val="both"/>
        <w:rPr>
          <w:rFonts w:ascii="Arial" w:hAnsi="Arial" w:cs="Arial"/>
          <w:szCs w:val="22"/>
        </w:rPr>
      </w:pPr>
    </w:p>
    <w:p w14:paraId="6D4A6B61" w14:textId="77777777" w:rsidR="00EA3366" w:rsidRDefault="00EA3366" w:rsidP="006F5AB8">
      <w:pPr>
        <w:spacing w:before="240"/>
        <w:jc w:val="both"/>
        <w:rPr>
          <w:rFonts w:ascii="Arial" w:hAnsi="Arial" w:cs="Arial"/>
          <w:szCs w:val="22"/>
        </w:rPr>
      </w:pPr>
    </w:p>
    <w:p w14:paraId="1F436FD6" w14:textId="77777777" w:rsidR="00EA3366" w:rsidRDefault="00EA3366" w:rsidP="006F5AB8">
      <w:pPr>
        <w:spacing w:before="240"/>
        <w:jc w:val="both"/>
        <w:rPr>
          <w:rFonts w:ascii="Arial" w:hAnsi="Arial" w:cs="Arial"/>
          <w:szCs w:val="22"/>
        </w:rPr>
      </w:pPr>
    </w:p>
    <w:p w14:paraId="76D621A2" w14:textId="78B3CCC3" w:rsidR="00EA3366" w:rsidRPr="00EA3366" w:rsidRDefault="00EA3366" w:rsidP="006F5AB8">
      <w:pPr>
        <w:spacing w:before="240"/>
        <w:jc w:val="both"/>
        <w:rPr>
          <w:rFonts w:ascii="Arial" w:hAnsi="Arial" w:cs="Arial"/>
          <w:b/>
          <w:bCs/>
          <w:szCs w:val="22"/>
        </w:rPr>
      </w:pPr>
      <w:r w:rsidRPr="00EA3366">
        <w:rPr>
          <w:rFonts w:ascii="Arial" w:hAnsi="Arial" w:cs="Arial"/>
          <w:b/>
          <w:bCs/>
          <w:szCs w:val="22"/>
        </w:rPr>
        <w:t>List of Figures</w:t>
      </w:r>
    </w:p>
    <w:p w14:paraId="60517647" w14:textId="140A6266" w:rsidR="007B5E13"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r>
        <w:rPr>
          <w:rFonts w:ascii="Arial" w:hAnsi="Arial" w:cs="Arial"/>
          <w:szCs w:val="22"/>
        </w:rPr>
        <w:fldChar w:fldCharType="begin"/>
      </w:r>
      <w:r>
        <w:rPr>
          <w:rFonts w:ascii="Arial" w:hAnsi="Arial" w:cs="Arial"/>
          <w:szCs w:val="22"/>
        </w:rPr>
        <w:instrText xml:space="preserve"> TOC \h \z \c "Figure" </w:instrText>
      </w:r>
      <w:r>
        <w:rPr>
          <w:rFonts w:ascii="Arial" w:hAnsi="Arial" w:cs="Arial"/>
          <w:szCs w:val="22"/>
        </w:rPr>
        <w:fldChar w:fldCharType="separate"/>
      </w:r>
      <w:hyperlink w:anchor="_Toc224307160" w:history="1">
        <w:r w:rsidR="007B5E13" w:rsidRPr="00A27F40">
          <w:rPr>
            <w:rStyle w:val="Hyperlink"/>
            <w:rFonts w:ascii="Arial" w:eastAsiaTheme="majorEastAsia" w:hAnsi="Arial" w:cs="Arial"/>
            <w:noProof/>
          </w:rPr>
          <w:t xml:space="preserve">Figure 1: </w:t>
        </w:r>
        <w:r w:rsidR="007B5E13" w:rsidRPr="00A27F40">
          <w:rPr>
            <w:rStyle w:val="Hyperlink"/>
            <w:rFonts w:ascii="Arial" w:eastAsiaTheme="majorEastAsia" w:hAnsi="Arial" w:cs="Arial"/>
            <w:bCs/>
            <w:noProof/>
          </w:rPr>
          <w:t>Ecological systems theory (Bronfenbrenner)</w:t>
        </w:r>
        <w:r w:rsidR="007B5E13" w:rsidRPr="00A27F40">
          <w:rPr>
            <w:rStyle w:val="Hyperlink"/>
            <w:rFonts w:ascii="Arial" w:eastAsiaTheme="majorEastAsia" w:hAnsi="Arial" w:cs="Arial"/>
            <w:b/>
            <w:noProof/>
          </w:rPr>
          <w:t xml:space="preserve"> </w:t>
        </w:r>
        <w:r w:rsidR="007B5E13" w:rsidRPr="00A27F40">
          <w:rPr>
            <w:rStyle w:val="Hyperlink"/>
            <w:rFonts w:ascii="Arial" w:eastAsiaTheme="majorEastAsia" w:hAnsi="Arial" w:cs="Arial"/>
            <w:noProof/>
          </w:rPr>
          <w:t>(Guy-Evans, 2025)</w:t>
        </w:r>
        <w:r w:rsidR="007B5E13">
          <w:rPr>
            <w:noProof/>
            <w:webHidden/>
          </w:rPr>
          <w:tab/>
        </w:r>
        <w:r w:rsidR="007B5E13">
          <w:rPr>
            <w:noProof/>
            <w:webHidden/>
          </w:rPr>
          <w:fldChar w:fldCharType="begin"/>
        </w:r>
        <w:r w:rsidR="007B5E13">
          <w:rPr>
            <w:noProof/>
            <w:webHidden/>
          </w:rPr>
          <w:instrText xml:space="preserve"> PAGEREF _Toc224307160 \h </w:instrText>
        </w:r>
        <w:r w:rsidR="007B5E13">
          <w:rPr>
            <w:noProof/>
            <w:webHidden/>
          </w:rPr>
        </w:r>
        <w:r w:rsidR="007B5E13">
          <w:rPr>
            <w:noProof/>
            <w:webHidden/>
          </w:rPr>
          <w:fldChar w:fldCharType="separate"/>
        </w:r>
        <w:r w:rsidR="007B5E13">
          <w:rPr>
            <w:noProof/>
            <w:webHidden/>
          </w:rPr>
          <w:t>12</w:t>
        </w:r>
        <w:r w:rsidR="007B5E13">
          <w:rPr>
            <w:noProof/>
            <w:webHidden/>
          </w:rPr>
          <w:fldChar w:fldCharType="end"/>
        </w:r>
      </w:hyperlink>
    </w:p>
    <w:p w14:paraId="303358C9" w14:textId="22DB128F" w:rsidR="007B5E13" w:rsidRDefault="007B5E13">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24307161" w:history="1">
        <w:r w:rsidRPr="00A27F40">
          <w:rPr>
            <w:rStyle w:val="Hyperlink"/>
            <w:rFonts w:ascii="Arial" w:eastAsiaTheme="majorEastAsia" w:hAnsi="Arial" w:cs="Arial"/>
            <w:noProof/>
          </w:rPr>
          <w:t>Figure 2: Timeline of policy and system shifts impacting care-experienced graduates in the UK and internationally (Self created)</w:t>
        </w:r>
        <w:r>
          <w:rPr>
            <w:noProof/>
            <w:webHidden/>
          </w:rPr>
          <w:tab/>
        </w:r>
        <w:r>
          <w:rPr>
            <w:noProof/>
            <w:webHidden/>
          </w:rPr>
          <w:fldChar w:fldCharType="begin"/>
        </w:r>
        <w:r>
          <w:rPr>
            <w:noProof/>
            <w:webHidden/>
          </w:rPr>
          <w:instrText xml:space="preserve"> PAGEREF _Toc224307161 \h </w:instrText>
        </w:r>
        <w:r>
          <w:rPr>
            <w:noProof/>
            <w:webHidden/>
          </w:rPr>
        </w:r>
        <w:r>
          <w:rPr>
            <w:noProof/>
            <w:webHidden/>
          </w:rPr>
          <w:fldChar w:fldCharType="separate"/>
        </w:r>
        <w:r>
          <w:rPr>
            <w:noProof/>
            <w:webHidden/>
          </w:rPr>
          <w:t>16</w:t>
        </w:r>
        <w:r>
          <w:rPr>
            <w:noProof/>
            <w:webHidden/>
          </w:rPr>
          <w:fldChar w:fldCharType="end"/>
        </w:r>
      </w:hyperlink>
    </w:p>
    <w:p w14:paraId="3CE1EC70" w14:textId="135D5C1D" w:rsidR="007B5E13" w:rsidRDefault="007B5E13">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24307162" w:history="1">
        <w:r w:rsidRPr="00A27F40">
          <w:rPr>
            <w:rStyle w:val="Hyperlink"/>
            <w:rFonts w:eastAsiaTheme="majorEastAsia"/>
            <w:noProof/>
          </w:rPr>
          <w:t>Figure 3: Screening of Studies Through PRISMA</w:t>
        </w:r>
        <w:r>
          <w:rPr>
            <w:noProof/>
            <w:webHidden/>
          </w:rPr>
          <w:tab/>
        </w:r>
        <w:r>
          <w:rPr>
            <w:noProof/>
            <w:webHidden/>
          </w:rPr>
          <w:fldChar w:fldCharType="begin"/>
        </w:r>
        <w:r>
          <w:rPr>
            <w:noProof/>
            <w:webHidden/>
          </w:rPr>
          <w:instrText xml:space="preserve"> PAGEREF _Toc224307162 \h </w:instrText>
        </w:r>
        <w:r>
          <w:rPr>
            <w:noProof/>
            <w:webHidden/>
          </w:rPr>
        </w:r>
        <w:r>
          <w:rPr>
            <w:noProof/>
            <w:webHidden/>
          </w:rPr>
          <w:fldChar w:fldCharType="separate"/>
        </w:r>
        <w:r>
          <w:rPr>
            <w:noProof/>
            <w:webHidden/>
          </w:rPr>
          <w:t>21</w:t>
        </w:r>
        <w:r>
          <w:rPr>
            <w:noProof/>
            <w:webHidden/>
          </w:rPr>
          <w:fldChar w:fldCharType="end"/>
        </w:r>
      </w:hyperlink>
    </w:p>
    <w:p w14:paraId="7565CFF2" w14:textId="42386139" w:rsidR="00EA3366" w:rsidRDefault="006A08BF" w:rsidP="006F5AB8">
      <w:pPr>
        <w:spacing w:before="240"/>
        <w:jc w:val="both"/>
        <w:rPr>
          <w:rFonts w:ascii="Arial" w:hAnsi="Arial" w:cs="Arial"/>
          <w:szCs w:val="22"/>
        </w:rPr>
      </w:pPr>
      <w:r>
        <w:rPr>
          <w:rFonts w:ascii="Arial" w:hAnsi="Arial" w:cs="Arial"/>
          <w:szCs w:val="22"/>
        </w:rPr>
        <w:fldChar w:fldCharType="end"/>
      </w:r>
    </w:p>
    <w:p w14:paraId="130B347F" w14:textId="77777777" w:rsidR="00EA3366" w:rsidRDefault="00EA3366" w:rsidP="006F5AB8">
      <w:pPr>
        <w:spacing w:before="240"/>
        <w:jc w:val="both"/>
        <w:rPr>
          <w:rFonts w:ascii="Arial" w:hAnsi="Arial" w:cs="Arial"/>
          <w:szCs w:val="22"/>
        </w:rPr>
      </w:pPr>
    </w:p>
    <w:p w14:paraId="32EA6132" w14:textId="55C4E8C3" w:rsidR="00EA3366" w:rsidRPr="00EA3366" w:rsidRDefault="00EA3366" w:rsidP="006F5AB8">
      <w:pPr>
        <w:spacing w:before="240"/>
        <w:jc w:val="both"/>
        <w:rPr>
          <w:rFonts w:ascii="Arial" w:hAnsi="Arial" w:cs="Arial"/>
          <w:b/>
          <w:bCs/>
          <w:szCs w:val="22"/>
        </w:rPr>
      </w:pPr>
      <w:r w:rsidRPr="00EA3366">
        <w:rPr>
          <w:rFonts w:ascii="Arial" w:hAnsi="Arial" w:cs="Arial"/>
          <w:b/>
          <w:bCs/>
          <w:szCs w:val="22"/>
        </w:rPr>
        <w:t>List of Tables</w:t>
      </w:r>
    </w:p>
    <w:p w14:paraId="44B61685" w14:textId="08F58689" w:rsidR="006A08BF"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r>
        <w:rPr>
          <w:rFonts w:ascii="Arial" w:hAnsi="Arial" w:cs="Arial"/>
          <w:szCs w:val="22"/>
        </w:rPr>
        <w:fldChar w:fldCharType="begin"/>
      </w:r>
      <w:r>
        <w:rPr>
          <w:rFonts w:ascii="Arial" w:hAnsi="Arial" w:cs="Arial"/>
          <w:szCs w:val="22"/>
        </w:rPr>
        <w:instrText xml:space="preserve"> TOC \h \z \c "Table" </w:instrText>
      </w:r>
      <w:r>
        <w:rPr>
          <w:rFonts w:ascii="Arial" w:hAnsi="Arial" w:cs="Arial"/>
          <w:szCs w:val="22"/>
        </w:rPr>
        <w:fldChar w:fldCharType="separate"/>
      </w:r>
      <w:hyperlink w:anchor="_Toc219050061" w:history="1">
        <w:r w:rsidRPr="00DD453F">
          <w:rPr>
            <w:rStyle w:val="Hyperlink"/>
            <w:rFonts w:ascii="Arial" w:eastAsiaTheme="majorEastAsia" w:hAnsi="Arial" w:cs="Arial"/>
            <w:noProof/>
          </w:rPr>
          <w:t>Table 1: Comparison of 3 theories</w:t>
        </w:r>
        <w:r>
          <w:rPr>
            <w:noProof/>
            <w:webHidden/>
          </w:rPr>
          <w:tab/>
        </w:r>
        <w:r>
          <w:rPr>
            <w:noProof/>
            <w:webHidden/>
          </w:rPr>
          <w:fldChar w:fldCharType="begin"/>
        </w:r>
        <w:r>
          <w:rPr>
            <w:noProof/>
            <w:webHidden/>
          </w:rPr>
          <w:instrText xml:space="preserve"> PAGEREF _Toc219050061 \h </w:instrText>
        </w:r>
        <w:r>
          <w:rPr>
            <w:noProof/>
            <w:webHidden/>
          </w:rPr>
        </w:r>
        <w:r>
          <w:rPr>
            <w:noProof/>
            <w:webHidden/>
          </w:rPr>
          <w:fldChar w:fldCharType="separate"/>
        </w:r>
        <w:r>
          <w:rPr>
            <w:noProof/>
            <w:webHidden/>
          </w:rPr>
          <w:t>13</w:t>
        </w:r>
        <w:r>
          <w:rPr>
            <w:noProof/>
            <w:webHidden/>
          </w:rPr>
          <w:fldChar w:fldCharType="end"/>
        </w:r>
      </w:hyperlink>
    </w:p>
    <w:p w14:paraId="188AB47A" w14:textId="2A517690" w:rsidR="006A08BF"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050062" w:history="1">
        <w:r w:rsidRPr="00DD453F">
          <w:rPr>
            <w:rStyle w:val="Hyperlink"/>
            <w:rFonts w:ascii="Arial" w:eastAsiaTheme="majorEastAsia" w:hAnsi="Arial" w:cs="Arial"/>
            <w:noProof/>
          </w:rPr>
          <w:t>Table 2: Research objectives and keyword</w:t>
        </w:r>
        <w:r>
          <w:rPr>
            <w:noProof/>
            <w:webHidden/>
          </w:rPr>
          <w:tab/>
        </w:r>
        <w:r>
          <w:rPr>
            <w:noProof/>
            <w:webHidden/>
          </w:rPr>
          <w:fldChar w:fldCharType="begin"/>
        </w:r>
        <w:r>
          <w:rPr>
            <w:noProof/>
            <w:webHidden/>
          </w:rPr>
          <w:instrText xml:space="preserve"> PAGEREF _Toc219050062 \h </w:instrText>
        </w:r>
        <w:r>
          <w:rPr>
            <w:noProof/>
            <w:webHidden/>
          </w:rPr>
        </w:r>
        <w:r>
          <w:rPr>
            <w:noProof/>
            <w:webHidden/>
          </w:rPr>
          <w:fldChar w:fldCharType="separate"/>
        </w:r>
        <w:r>
          <w:rPr>
            <w:noProof/>
            <w:webHidden/>
          </w:rPr>
          <w:t>18</w:t>
        </w:r>
        <w:r>
          <w:rPr>
            <w:noProof/>
            <w:webHidden/>
          </w:rPr>
          <w:fldChar w:fldCharType="end"/>
        </w:r>
      </w:hyperlink>
    </w:p>
    <w:p w14:paraId="1C3A5CBA" w14:textId="77D1AA4E" w:rsidR="006A08BF"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050063" w:history="1">
        <w:r w:rsidRPr="00DD453F">
          <w:rPr>
            <w:rStyle w:val="Hyperlink"/>
            <w:rFonts w:eastAsiaTheme="majorEastAsia"/>
            <w:noProof/>
          </w:rPr>
          <w:t>Table 3: Thematic Analysis Application</w:t>
        </w:r>
        <w:r>
          <w:rPr>
            <w:noProof/>
            <w:webHidden/>
          </w:rPr>
          <w:tab/>
        </w:r>
        <w:r>
          <w:rPr>
            <w:noProof/>
            <w:webHidden/>
          </w:rPr>
          <w:fldChar w:fldCharType="begin"/>
        </w:r>
        <w:r>
          <w:rPr>
            <w:noProof/>
            <w:webHidden/>
          </w:rPr>
          <w:instrText xml:space="preserve"> PAGEREF _Toc219050063 \h </w:instrText>
        </w:r>
        <w:r>
          <w:rPr>
            <w:noProof/>
            <w:webHidden/>
          </w:rPr>
        </w:r>
        <w:r>
          <w:rPr>
            <w:noProof/>
            <w:webHidden/>
          </w:rPr>
          <w:fldChar w:fldCharType="separate"/>
        </w:r>
        <w:r>
          <w:rPr>
            <w:noProof/>
            <w:webHidden/>
          </w:rPr>
          <w:t>23</w:t>
        </w:r>
        <w:r>
          <w:rPr>
            <w:noProof/>
            <w:webHidden/>
          </w:rPr>
          <w:fldChar w:fldCharType="end"/>
        </w:r>
      </w:hyperlink>
    </w:p>
    <w:p w14:paraId="06040C16" w14:textId="52F7D741" w:rsidR="006A08BF"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050064" w:history="1">
        <w:r w:rsidRPr="00DD453F">
          <w:rPr>
            <w:rStyle w:val="Hyperlink"/>
            <w:rFonts w:eastAsiaTheme="majorEastAsia"/>
            <w:noProof/>
          </w:rPr>
          <w:t xml:space="preserve">Table 4: Comparison of Key Mental-Health Challenges Among Foster-Care and Non-Foster Graduates </w:t>
        </w:r>
        <w:r w:rsidRPr="00DD453F">
          <w:rPr>
            <w:rStyle w:val="Hyperlink"/>
            <w:rFonts w:ascii="Arial" w:eastAsiaTheme="majorEastAsia" w:hAnsi="Arial" w:cs="Arial"/>
            <w:noProof/>
          </w:rPr>
          <w:t>(Blakeslee, Miller and Uretsky, 2022; Evans et al., 2023; Hambrick et al., 2016)</w:t>
        </w:r>
        <w:r>
          <w:rPr>
            <w:noProof/>
            <w:webHidden/>
          </w:rPr>
          <w:tab/>
        </w:r>
        <w:r>
          <w:rPr>
            <w:noProof/>
            <w:webHidden/>
          </w:rPr>
          <w:fldChar w:fldCharType="begin"/>
        </w:r>
        <w:r>
          <w:rPr>
            <w:noProof/>
            <w:webHidden/>
          </w:rPr>
          <w:instrText xml:space="preserve"> PAGEREF _Toc219050064 \h </w:instrText>
        </w:r>
        <w:r>
          <w:rPr>
            <w:noProof/>
            <w:webHidden/>
          </w:rPr>
        </w:r>
        <w:r>
          <w:rPr>
            <w:noProof/>
            <w:webHidden/>
          </w:rPr>
          <w:fldChar w:fldCharType="separate"/>
        </w:r>
        <w:r>
          <w:rPr>
            <w:noProof/>
            <w:webHidden/>
          </w:rPr>
          <w:t>27</w:t>
        </w:r>
        <w:r>
          <w:rPr>
            <w:noProof/>
            <w:webHidden/>
          </w:rPr>
          <w:fldChar w:fldCharType="end"/>
        </w:r>
      </w:hyperlink>
    </w:p>
    <w:p w14:paraId="64506A87" w14:textId="5817CF62" w:rsidR="006A08BF" w:rsidRDefault="006A08BF">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050065" w:history="1">
        <w:r w:rsidRPr="00DD453F">
          <w:rPr>
            <w:rStyle w:val="Hyperlink"/>
            <w:rFonts w:eastAsiaTheme="majorEastAsia"/>
            <w:noProof/>
          </w:rPr>
          <w:t xml:space="preserve">Table 5: Mental Health and Academic Performance; Resilience Patterns and Barriers </w:t>
        </w:r>
        <w:r w:rsidRPr="00DD453F">
          <w:rPr>
            <w:rStyle w:val="Hyperlink"/>
            <w:rFonts w:ascii="Arial" w:eastAsiaTheme="majorEastAsia" w:hAnsi="Arial" w:cs="Arial"/>
            <w:noProof/>
          </w:rPr>
          <w:t>(Abdelrahman et al., 2025; Ellis and Johnston, 2022; Ellis and Sen, 2024)</w:t>
        </w:r>
        <w:r>
          <w:rPr>
            <w:noProof/>
            <w:webHidden/>
          </w:rPr>
          <w:tab/>
        </w:r>
        <w:r>
          <w:rPr>
            <w:noProof/>
            <w:webHidden/>
          </w:rPr>
          <w:fldChar w:fldCharType="begin"/>
        </w:r>
        <w:r>
          <w:rPr>
            <w:noProof/>
            <w:webHidden/>
          </w:rPr>
          <w:instrText xml:space="preserve"> PAGEREF _Toc219050065 \h </w:instrText>
        </w:r>
        <w:r>
          <w:rPr>
            <w:noProof/>
            <w:webHidden/>
          </w:rPr>
        </w:r>
        <w:r>
          <w:rPr>
            <w:noProof/>
            <w:webHidden/>
          </w:rPr>
          <w:fldChar w:fldCharType="separate"/>
        </w:r>
        <w:r>
          <w:rPr>
            <w:noProof/>
            <w:webHidden/>
          </w:rPr>
          <w:t>30</w:t>
        </w:r>
        <w:r>
          <w:rPr>
            <w:noProof/>
            <w:webHidden/>
          </w:rPr>
          <w:fldChar w:fldCharType="end"/>
        </w:r>
      </w:hyperlink>
    </w:p>
    <w:p w14:paraId="6DCF0F42" w14:textId="7C13A245" w:rsidR="0093392C" w:rsidRDefault="006A08BF" w:rsidP="006F5AB8">
      <w:pPr>
        <w:spacing w:before="240"/>
        <w:jc w:val="both"/>
        <w:rPr>
          <w:rFonts w:ascii="Arial" w:hAnsi="Arial" w:cs="Arial"/>
          <w:szCs w:val="22"/>
        </w:rPr>
      </w:pPr>
      <w:r>
        <w:rPr>
          <w:rFonts w:ascii="Arial" w:hAnsi="Arial" w:cs="Arial"/>
          <w:szCs w:val="22"/>
        </w:rPr>
        <w:fldChar w:fldCharType="end"/>
      </w:r>
    </w:p>
    <w:p w14:paraId="3F2AA7A9" w14:textId="77777777" w:rsidR="00B21D94" w:rsidRDefault="00B21D94" w:rsidP="006F5AB8">
      <w:pPr>
        <w:spacing w:before="240"/>
        <w:jc w:val="both"/>
        <w:rPr>
          <w:rFonts w:ascii="Arial" w:hAnsi="Arial" w:cs="Arial"/>
          <w:szCs w:val="22"/>
        </w:rPr>
      </w:pPr>
    </w:p>
    <w:p w14:paraId="52531CFE" w14:textId="77777777" w:rsidR="00B21D94" w:rsidRDefault="00B21D94" w:rsidP="006F5AB8">
      <w:pPr>
        <w:spacing w:before="240"/>
        <w:jc w:val="both"/>
        <w:rPr>
          <w:rFonts w:ascii="Arial" w:hAnsi="Arial" w:cs="Arial"/>
          <w:szCs w:val="22"/>
        </w:rPr>
      </w:pPr>
    </w:p>
    <w:p w14:paraId="6FDFB532" w14:textId="77777777" w:rsidR="00B21D94" w:rsidRDefault="00B21D94" w:rsidP="006F5AB8">
      <w:pPr>
        <w:spacing w:before="240"/>
        <w:jc w:val="both"/>
        <w:rPr>
          <w:rFonts w:ascii="Arial" w:hAnsi="Arial" w:cs="Arial"/>
          <w:szCs w:val="22"/>
        </w:rPr>
      </w:pPr>
    </w:p>
    <w:p w14:paraId="01E95FFA" w14:textId="77777777" w:rsidR="00B21D94" w:rsidRDefault="00B21D94" w:rsidP="006F5AB8">
      <w:pPr>
        <w:spacing w:before="240"/>
        <w:jc w:val="both"/>
        <w:rPr>
          <w:rFonts w:ascii="Arial" w:hAnsi="Arial" w:cs="Arial"/>
          <w:szCs w:val="22"/>
        </w:rPr>
      </w:pPr>
    </w:p>
    <w:p w14:paraId="1BBB04FA" w14:textId="77777777" w:rsidR="00B21D94" w:rsidRDefault="00B21D94" w:rsidP="006F5AB8">
      <w:pPr>
        <w:spacing w:before="240"/>
        <w:jc w:val="both"/>
        <w:rPr>
          <w:rFonts w:ascii="Arial" w:hAnsi="Arial" w:cs="Arial"/>
          <w:szCs w:val="22"/>
        </w:rPr>
      </w:pPr>
    </w:p>
    <w:p w14:paraId="417D251C" w14:textId="77777777" w:rsidR="00B21D94" w:rsidRDefault="00B21D94" w:rsidP="006F5AB8">
      <w:pPr>
        <w:spacing w:before="240"/>
        <w:jc w:val="both"/>
        <w:rPr>
          <w:rFonts w:ascii="Arial" w:hAnsi="Arial" w:cs="Arial"/>
          <w:szCs w:val="22"/>
        </w:rPr>
      </w:pPr>
    </w:p>
    <w:p w14:paraId="6379E3AC" w14:textId="77777777" w:rsidR="00B21D94" w:rsidRDefault="00B21D94" w:rsidP="006F5AB8">
      <w:pPr>
        <w:spacing w:before="240"/>
        <w:jc w:val="both"/>
        <w:rPr>
          <w:rFonts w:ascii="Arial" w:hAnsi="Arial" w:cs="Arial"/>
          <w:szCs w:val="22"/>
        </w:rPr>
      </w:pPr>
    </w:p>
    <w:p w14:paraId="2BAC747A" w14:textId="77777777" w:rsidR="00B21D94" w:rsidRDefault="00B21D94" w:rsidP="006F5AB8">
      <w:pPr>
        <w:spacing w:before="240"/>
        <w:jc w:val="both"/>
        <w:rPr>
          <w:rFonts w:ascii="Arial" w:hAnsi="Arial" w:cs="Arial"/>
          <w:szCs w:val="22"/>
        </w:rPr>
      </w:pPr>
    </w:p>
    <w:p w14:paraId="1C80ECE1" w14:textId="77777777" w:rsidR="0093392C" w:rsidRPr="006F5AB8" w:rsidRDefault="0093392C" w:rsidP="006F5AB8">
      <w:pPr>
        <w:spacing w:before="240"/>
        <w:jc w:val="both"/>
        <w:rPr>
          <w:rFonts w:ascii="Arial" w:hAnsi="Arial" w:cs="Arial"/>
          <w:szCs w:val="22"/>
        </w:rPr>
      </w:pPr>
    </w:p>
    <w:p w14:paraId="0548D486" w14:textId="39CC4341" w:rsidR="00F57E51" w:rsidRPr="00EF1F91" w:rsidRDefault="00944EFC" w:rsidP="00B21D94">
      <w:pPr>
        <w:pStyle w:val="Heading1"/>
        <w:jc w:val="both"/>
      </w:pPr>
      <w:bookmarkStart w:id="0" w:name="_Toc224307170"/>
      <w:r w:rsidRPr="00EF1F91">
        <w:t>CHAPTER 1: Introduction</w:t>
      </w:r>
      <w:bookmarkEnd w:id="0"/>
    </w:p>
    <w:p w14:paraId="5AAA2BFB" w14:textId="3D70C3FF" w:rsidR="005C310D" w:rsidRPr="00EF1F91" w:rsidRDefault="005C310D" w:rsidP="00B21D94">
      <w:pPr>
        <w:pStyle w:val="Heading2"/>
        <w:numPr>
          <w:ilvl w:val="1"/>
          <w:numId w:val="4"/>
        </w:numPr>
        <w:jc w:val="both"/>
      </w:pPr>
      <w:bookmarkStart w:id="1" w:name="_Toc224307171"/>
      <w:r w:rsidRPr="00EF1F91">
        <w:t>Introduction</w:t>
      </w:r>
      <w:bookmarkEnd w:id="1"/>
      <w:r w:rsidRPr="00EF1F91">
        <w:t xml:space="preserve"> </w:t>
      </w:r>
    </w:p>
    <w:p w14:paraId="2D53E173" w14:textId="635DE9D0" w:rsidR="00081D45" w:rsidRPr="006F5AB8" w:rsidRDefault="00081D45" w:rsidP="00B21D94">
      <w:pPr>
        <w:pStyle w:val="Heading3"/>
        <w:numPr>
          <w:ilvl w:val="2"/>
          <w:numId w:val="4"/>
        </w:numPr>
        <w:spacing w:before="240"/>
        <w:jc w:val="both"/>
        <w:rPr>
          <w:rFonts w:ascii="Arial" w:hAnsi="Arial" w:cs="Arial"/>
          <w:szCs w:val="22"/>
        </w:rPr>
      </w:pPr>
      <w:bookmarkStart w:id="2" w:name="_Toc224307172"/>
      <w:r w:rsidRPr="006F5AB8">
        <w:rPr>
          <w:rFonts w:ascii="Arial" w:hAnsi="Arial" w:cs="Arial"/>
          <w:szCs w:val="22"/>
        </w:rPr>
        <w:t>Overview of Topic</w:t>
      </w:r>
      <w:bookmarkEnd w:id="2"/>
    </w:p>
    <w:p w14:paraId="4D6627B5" w14:textId="33F2428B" w:rsidR="005C310D" w:rsidRPr="006F5AB8" w:rsidRDefault="00AE1E7C" w:rsidP="00B21D94">
      <w:pPr>
        <w:pStyle w:val="NormalWeb"/>
        <w:spacing w:before="240" w:beforeAutospacing="0"/>
        <w:jc w:val="both"/>
        <w:rPr>
          <w:rFonts w:ascii="Arial" w:hAnsi="Arial" w:cs="Arial"/>
          <w:szCs w:val="22"/>
        </w:rPr>
      </w:pPr>
      <w:r w:rsidRPr="00AE1E7C">
        <w:rPr>
          <w:rFonts w:ascii="Arial" w:hAnsi="Arial" w:cs="Arial"/>
          <w:szCs w:val="22"/>
        </w:rPr>
        <w:t>This dissertation investigates disparities in mental health and academic achievement among foster-care graduates and otherwise. The subject is important to higher education, health, and social policy since widening participation has made access more convenient to care-experienced students, but reported inequities remain following graduation. Very early adversity, placement instability, and financial precarity are associated with increased risks of depression, anxiety, and trauma-related symptoms. Mental health, in its turn, is tied to the degree attainment, jobs quality, and the stability in early-career. Universities thus require specific, comparative, and actionable evidence</w:t>
      </w:r>
      <w:r>
        <w:rPr>
          <w:rFonts w:ascii="Arial" w:hAnsi="Arial" w:cs="Arial"/>
          <w:szCs w:val="22"/>
        </w:rPr>
        <w:t xml:space="preserve"> </w:t>
      </w:r>
      <w:r w:rsidR="009D41D7" w:rsidRPr="006F5AB8">
        <w:rPr>
          <w:rFonts w:ascii="Arial" w:hAnsi="Arial" w:cs="Arial"/>
          <w:szCs w:val="22"/>
        </w:rPr>
        <w:t>(Wade, Wright and Finegold, 2022)</w:t>
      </w:r>
      <w:r w:rsidR="005C310D" w:rsidRPr="006F5AB8">
        <w:rPr>
          <w:rFonts w:ascii="Arial" w:hAnsi="Arial" w:cs="Arial"/>
          <w:szCs w:val="22"/>
        </w:rPr>
        <w:t>.</w:t>
      </w:r>
    </w:p>
    <w:p w14:paraId="630E1754" w14:textId="5E85EF8D" w:rsidR="005C310D" w:rsidRPr="006F5AB8" w:rsidRDefault="00577EA9" w:rsidP="00B21D94">
      <w:pPr>
        <w:pStyle w:val="NormalWeb"/>
        <w:spacing w:before="240" w:beforeAutospacing="0"/>
        <w:jc w:val="both"/>
        <w:rPr>
          <w:rFonts w:ascii="Arial" w:hAnsi="Arial" w:cs="Arial"/>
          <w:szCs w:val="22"/>
        </w:rPr>
      </w:pPr>
      <w:r w:rsidRPr="00577EA9">
        <w:rPr>
          <w:rFonts w:ascii="Arial" w:hAnsi="Arial" w:cs="Arial"/>
          <w:szCs w:val="22"/>
        </w:rPr>
        <w:t>The context is defined by three developments. First, responsibility towards graduate outcomes has increased; institutions must now show equity among students groups and not on aggregate frequencies (Jackson, Dean and Eady, 2023). Second, inclusive and trauma-conscious practice is a familiar term in universities, yet advice is still disjointed and seldom customi</w:t>
      </w:r>
      <w:r w:rsidR="001F5867">
        <w:rPr>
          <w:rFonts w:ascii="Arial" w:hAnsi="Arial" w:cs="Arial"/>
          <w:szCs w:val="22"/>
        </w:rPr>
        <w:t>s</w:t>
      </w:r>
      <w:r w:rsidRPr="00577EA9">
        <w:rPr>
          <w:rFonts w:ascii="Arial" w:hAnsi="Arial" w:cs="Arial"/>
          <w:szCs w:val="22"/>
        </w:rPr>
        <w:t>ed to foster-care graduates as a special population</w:t>
      </w:r>
      <w:r w:rsidR="005C310D" w:rsidRPr="006F5AB8">
        <w:rPr>
          <w:rFonts w:ascii="Arial" w:hAnsi="Arial" w:cs="Arial"/>
          <w:szCs w:val="22"/>
        </w:rPr>
        <w:t>. Third, volatile labour markets and rising living costs magnify the practical impact of poor mental health on transitions to work or further study</w:t>
      </w:r>
      <w:r w:rsidR="00515373" w:rsidRPr="006F5AB8">
        <w:rPr>
          <w:rFonts w:ascii="Arial" w:hAnsi="Arial" w:cs="Arial"/>
          <w:szCs w:val="22"/>
        </w:rPr>
        <w:t xml:space="preserve"> </w:t>
      </w:r>
      <w:r w:rsidR="00C01094" w:rsidRPr="006F5AB8">
        <w:rPr>
          <w:rFonts w:ascii="Arial" w:hAnsi="Arial" w:cs="Arial"/>
          <w:szCs w:val="22"/>
        </w:rPr>
        <w:t xml:space="preserve">(Bogliacino </w:t>
      </w:r>
      <w:r w:rsidR="00C01094" w:rsidRPr="006F5AB8">
        <w:rPr>
          <w:rFonts w:ascii="Arial" w:hAnsi="Arial" w:cs="Arial"/>
          <w:i/>
          <w:iCs/>
          <w:szCs w:val="22"/>
        </w:rPr>
        <w:t>et al.</w:t>
      </w:r>
      <w:r w:rsidR="00C01094" w:rsidRPr="006F5AB8">
        <w:rPr>
          <w:rFonts w:ascii="Arial" w:hAnsi="Arial" w:cs="Arial"/>
          <w:szCs w:val="22"/>
        </w:rPr>
        <w:t>, 2023)</w:t>
      </w:r>
      <w:r w:rsidR="005C310D" w:rsidRPr="006F5AB8">
        <w:rPr>
          <w:rFonts w:ascii="Arial" w:hAnsi="Arial" w:cs="Arial"/>
          <w:szCs w:val="22"/>
        </w:rPr>
        <w:t xml:space="preserve">. </w:t>
      </w:r>
    </w:p>
    <w:p w14:paraId="538F3EAE" w14:textId="7DD76EF3" w:rsidR="005C310D" w:rsidRPr="006F5AB8" w:rsidRDefault="005C310D" w:rsidP="00B21D94">
      <w:pPr>
        <w:pStyle w:val="Heading2"/>
        <w:spacing w:before="240"/>
        <w:jc w:val="both"/>
        <w:rPr>
          <w:rFonts w:ascii="Arial" w:hAnsi="Arial" w:cs="Arial"/>
          <w:sz w:val="22"/>
          <w:szCs w:val="22"/>
        </w:rPr>
      </w:pPr>
      <w:bookmarkStart w:id="3" w:name="_Toc224307173"/>
      <w:r w:rsidRPr="006F5AB8">
        <w:rPr>
          <w:rFonts w:ascii="Arial" w:hAnsi="Arial" w:cs="Arial"/>
          <w:sz w:val="22"/>
          <w:szCs w:val="22"/>
        </w:rPr>
        <w:t>1.2 Definitions and Terminology</w:t>
      </w:r>
      <w:bookmarkEnd w:id="3"/>
      <w:r w:rsidRPr="006F5AB8">
        <w:rPr>
          <w:rFonts w:ascii="Arial" w:hAnsi="Arial" w:cs="Arial"/>
          <w:sz w:val="22"/>
          <w:szCs w:val="22"/>
        </w:rPr>
        <w:t xml:space="preserve"> </w:t>
      </w:r>
    </w:p>
    <w:p w14:paraId="5CEF3348" w14:textId="444BDC43" w:rsidR="005C310D" w:rsidRPr="006F5AB8" w:rsidRDefault="0075004B" w:rsidP="00B21D94">
      <w:pPr>
        <w:pStyle w:val="Heading3"/>
        <w:spacing w:before="240"/>
        <w:jc w:val="both"/>
        <w:rPr>
          <w:rFonts w:ascii="Arial" w:hAnsi="Arial" w:cs="Arial"/>
          <w:szCs w:val="22"/>
        </w:rPr>
      </w:pPr>
      <w:bookmarkStart w:id="4" w:name="_Toc224307174"/>
      <w:r w:rsidRPr="006F5AB8">
        <w:rPr>
          <w:rStyle w:val="Strong"/>
          <w:rFonts w:ascii="Arial" w:hAnsi="Arial" w:cs="Arial"/>
          <w:b/>
          <w:bCs w:val="0"/>
          <w:szCs w:val="22"/>
        </w:rPr>
        <w:t xml:space="preserve">1.2.1. </w:t>
      </w:r>
      <w:r w:rsidR="005C310D" w:rsidRPr="006F5AB8">
        <w:rPr>
          <w:rStyle w:val="Strong"/>
          <w:rFonts w:ascii="Arial" w:hAnsi="Arial" w:cs="Arial"/>
          <w:b/>
          <w:bCs w:val="0"/>
          <w:szCs w:val="22"/>
        </w:rPr>
        <w:t>Key definitions</w:t>
      </w:r>
      <w:bookmarkEnd w:id="4"/>
    </w:p>
    <w:p w14:paraId="5F8F3FC0" w14:textId="7A2E15A4" w:rsidR="005C310D" w:rsidRPr="006F5AB8" w:rsidRDefault="005C310D" w:rsidP="00B21D94">
      <w:pPr>
        <w:pStyle w:val="NormalWeb"/>
        <w:numPr>
          <w:ilvl w:val="0"/>
          <w:numId w:val="1"/>
        </w:numPr>
        <w:spacing w:before="240" w:beforeAutospacing="0"/>
        <w:jc w:val="both"/>
        <w:rPr>
          <w:rFonts w:ascii="Arial" w:hAnsi="Arial" w:cs="Arial"/>
          <w:szCs w:val="22"/>
        </w:rPr>
      </w:pPr>
      <w:r w:rsidRPr="006F5AB8">
        <w:rPr>
          <w:rStyle w:val="Strong"/>
          <w:rFonts w:ascii="Arial" w:eastAsiaTheme="majorEastAsia" w:hAnsi="Arial" w:cs="Arial"/>
          <w:szCs w:val="22"/>
        </w:rPr>
        <w:t>Care-experienced / foster-care graduate:</w:t>
      </w:r>
      <w:r w:rsidRPr="006F5AB8">
        <w:rPr>
          <w:rFonts w:ascii="Arial" w:hAnsi="Arial" w:cs="Arial"/>
          <w:szCs w:val="22"/>
        </w:rPr>
        <w:t xml:space="preserve"> A person who completed a higher-education degree and spent time, before age 18, in state-arranged foster care or comparable out-of-home placement. The term emphasises placement experience rather than general childhood adversity</w:t>
      </w:r>
      <w:r w:rsidR="00B43083" w:rsidRPr="006F5AB8">
        <w:rPr>
          <w:rFonts w:ascii="Arial" w:hAnsi="Arial" w:cs="Arial"/>
          <w:szCs w:val="22"/>
        </w:rPr>
        <w:t xml:space="preserve"> (Gilligan, Brady and Arnau-Sabatés, 2025)</w:t>
      </w:r>
      <w:r w:rsidRPr="006F5AB8">
        <w:rPr>
          <w:rFonts w:ascii="Arial" w:hAnsi="Arial" w:cs="Arial"/>
          <w:szCs w:val="22"/>
        </w:rPr>
        <w:t>.</w:t>
      </w:r>
    </w:p>
    <w:p w14:paraId="158D867D" w14:textId="38FBC230" w:rsidR="005C310D" w:rsidRPr="006F5AB8" w:rsidRDefault="005C310D" w:rsidP="00B21D94">
      <w:pPr>
        <w:pStyle w:val="NormalWeb"/>
        <w:numPr>
          <w:ilvl w:val="0"/>
          <w:numId w:val="1"/>
        </w:numPr>
        <w:spacing w:before="240" w:beforeAutospacing="0"/>
        <w:jc w:val="both"/>
        <w:rPr>
          <w:rFonts w:ascii="Arial" w:hAnsi="Arial" w:cs="Arial"/>
          <w:szCs w:val="22"/>
        </w:rPr>
      </w:pPr>
      <w:r w:rsidRPr="006F5AB8">
        <w:rPr>
          <w:rStyle w:val="Strong"/>
          <w:rFonts w:ascii="Arial" w:eastAsiaTheme="majorEastAsia" w:hAnsi="Arial" w:cs="Arial"/>
          <w:szCs w:val="22"/>
        </w:rPr>
        <w:t>Non-foster-care graduate:</w:t>
      </w:r>
      <w:r w:rsidRPr="006F5AB8">
        <w:rPr>
          <w:rFonts w:ascii="Arial" w:hAnsi="Arial" w:cs="Arial"/>
          <w:szCs w:val="22"/>
        </w:rPr>
        <w:t xml:space="preserve"> A degree completer without a documented foster-care history</w:t>
      </w:r>
      <w:r w:rsidR="00A930EA" w:rsidRPr="006F5AB8">
        <w:rPr>
          <w:rFonts w:ascii="Arial" w:hAnsi="Arial" w:cs="Arial"/>
          <w:szCs w:val="22"/>
        </w:rPr>
        <w:t xml:space="preserve"> (Somers </w:t>
      </w:r>
      <w:r w:rsidR="00A930EA" w:rsidRPr="006F5AB8">
        <w:rPr>
          <w:rFonts w:ascii="Arial" w:hAnsi="Arial" w:cs="Arial"/>
          <w:i/>
          <w:iCs/>
          <w:szCs w:val="22"/>
        </w:rPr>
        <w:t>et al.</w:t>
      </w:r>
      <w:r w:rsidR="00A930EA" w:rsidRPr="006F5AB8">
        <w:rPr>
          <w:rFonts w:ascii="Arial" w:hAnsi="Arial" w:cs="Arial"/>
          <w:szCs w:val="22"/>
        </w:rPr>
        <w:t>, 2020)</w:t>
      </w:r>
      <w:r w:rsidRPr="006F5AB8">
        <w:rPr>
          <w:rFonts w:ascii="Arial" w:hAnsi="Arial" w:cs="Arial"/>
          <w:szCs w:val="22"/>
        </w:rPr>
        <w:t>.</w:t>
      </w:r>
    </w:p>
    <w:p w14:paraId="716D25CD" w14:textId="5B09479B" w:rsidR="005C310D" w:rsidRPr="006F5AB8" w:rsidRDefault="005C310D" w:rsidP="00B21D94">
      <w:pPr>
        <w:pStyle w:val="NormalWeb"/>
        <w:numPr>
          <w:ilvl w:val="0"/>
          <w:numId w:val="1"/>
        </w:numPr>
        <w:spacing w:before="240" w:beforeAutospacing="0"/>
        <w:jc w:val="both"/>
        <w:rPr>
          <w:rFonts w:ascii="Arial" w:hAnsi="Arial" w:cs="Arial"/>
          <w:szCs w:val="22"/>
        </w:rPr>
      </w:pPr>
      <w:r w:rsidRPr="006F5AB8">
        <w:rPr>
          <w:rStyle w:val="Strong"/>
          <w:rFonts w:ascii="Arial" w:eastAsiaTheme="majorEastAsia" w:hAnsi="Arial" w:cs="Arial"/>
          <w:szCs w:val="22"/>
        </w:rPr>
        <w:t>Mental health outcomes:</w:t>
      </w:r>
      <w:r w:rsidRPr="006F5AB8">
        <w:rPr>
          <w:rFonts w:ascii="Arial" w:hAnsi="Arial" w:cs="Arial"/>
          <w:szCs w:val="22"/>
        </w:rPr>
        <w:t xml:space="preserve"> Indicators such as symptoms (depression, anxiety, post-traumatic stress), diagnoses, service use, wellbeing scales, suicidality, substance use, or functional impairment. Both adverse and positive indicators are included</w:t>
      </w:r>
      <w:r w:rsidR="00FC7AF2" w:rsidRPr="006F5AB8">
        <w:rPr>
          <w:rFonts w:ascii="Arial" w:hAnsi="Arial" w:cs="Arial"/>
          <w:szCs w:val="22"/>
        </w:rPr>
        <w:t xml:space="preserve"> (Bhatta </w:t>
      </w:r>
      <w:r w:rsidR="00FC7AF2" w:rsidRPr="006F5AB8">
        <w:rPr>
          <w:rFonts w:ascii="Arial" w:hAnsi="Arial" w:cs="Arial"/>
          <w:i/>
          <w:iCs/>
          <w:szCs w:val="22"/>
        </w:rPr>
        <w:t>et al.</w:t>
      </w:r>
      <w:r w:rsidR="00FC7AF2" w:rsidRPr="006F5AB8">
        <w:rPr>
          <w:rFonts w:ascii="Arial" w:hAnsi="Arial" w:cs="Arial"/>
          <w:szCs w:val="22"/>
        </w:rPr>
        <w:t>, 2025)</w:t>
      </w:r>
      <w:r w:rsidRPr="006F5AB8">
        <w:rPr>
          <w:rFonts w:ascii="Arial" w:hAnsi="Arial" w:cs="Arial"/>
          <w:szCs w:val="22"/>
        </w:rPr>
        <w:t>.</w:t>
      </w:r>
    </w:p>
    <w:p w14:paraId="035012C0" w14:textId="0DF44C3F" w:rsidR="005C310D" w:rsidRPr="006F5AB8" w:rsidRDefault="005C310D" w:rsidP="00B21D94">
      <w:pPr>
        <w:pStyle w:val="NormalWeb"/>
        <w:numPr>
          <w:ilvl w:val="0"/>
          <w:numId w:val="1"/>
        </w:numPr>
        <w:spacing w:before="240" w:beforeAutospacing="0"/>
        <w:jc w:val="both"/>
        <w:rPr>
          <w:rFonts w:ascii="Arial" w:hAnsi="Arial" w:cs="Arial"/>
          <w:szCs w:val="22"/>
        </w:rPr>
      </w:pPr>
      <w:r w:rsidRPr="006F5AB8">
        <w:rPr>
          <w:rStyle w:val="Strong"/>
          <w:rFonts w:ascii="Arial" w:eastAsiaTheme="majorEastAsia" w:hAnsi="Arial" w:cs="Arial"/>
          <w:szCs w:val="22"/>
        </w:rPr>
        <w:t>Academic success:</w:t>
      </w:r>
      <w:r w:rsidRPr="006F5AB8">
        <w:rPr>
          <w:rFonts w:ascii="Arial" w:hAnsi="Arial" w:cs="Arial"/>
          <w:szCs w:val="22"/>
        </w:rPr>
        <w:t xml:space="preserve"> Outcomes beyond graduation, including degree classification, time to completion, postgraduate enrolment, employment quality, professional registration, and early-career stability</w:t>
      </w:r>
      <w:r w:rsidR="0003394B" w:rsidRPr="006F5AB8">
        <w:rPr>
          <w:rFonts w:ascii="Arial" w:hAnsi="Arial" w:cs="Arial"/>
          <w:szCs w:val="22"/>
        </w:rPr>
        <w:t xml:space="preserve"> (Lin-Stephens et al., 2024)</w:t>
      </w:r>
      <w:r w:rsidRPr="006F5AB8">
        <w:rPr>
          <w:rFonts w:ascii="Arial" w:hAnsi="Arial" w:cs="Arial"/>
          <w:szCs w:val="22"/>
        </w:rPr>
        <w:t>.</w:t>
      </w:r>
    </w:p>
    <w:p w14:paraId="31EC0B2B" w14:textId="1C64DE72" w:rsidR="005C310D" w:rsidRPr="006F5AB8" w:rsidRDefault="005C310D" w:rsidP="00B21D94">
      <w:pPr>
        <w:pStyle w:val="NormalWeb"/>
        <w:numPr>
          <w:ilvl w:val="0"/>
          <w:numId w:val="1"/>
        </w:numPr>
        <w:spacing w:before="240" w:beforeAutospacing="0"/>
        <w:jc w:val="both"/>
        <w:rPr>
          <w:rFonts w:ascii="Arial" w:hAnsi="Arial" w:cs="Arial"/>
          <w:szCs w:val="22"/>
        </w:rPr>
      </w:pPr>
      <w:r w:rsidRPr="006F5AB8">
        <w:rPr>
          <w:rStyle w:val="Strong"/>
          <w:rFonts w:ascii="Arial" w:eastAsiaTheme="majorEastAsia" w:hAnsi="Arial" w:cs="Arial"/>
          <w:szCs w:val="22"/>
        </w:rPr>
        <w:t>Protective factors:</w:t>
      </w:r>
      <w:r w:rsidRPr="006F5AB8">
        <w:rPr>
          <w:rFonts w:ascii="Arial" w:hAnsi="Arial" w:cs="Arial"/>
          <w:szCs w:val="22"/>
        </w:rPr>
        <w:t xml:space="preserve"> Characteristics or supports that reduce risk or enhance outcomes (e.g., placement stability, mentoring, financial aid, timely counselling, sense of belonging)</w:t>
      </w:r>
      <w:r w:rsidR="00C57922" w:rsidRPr="006F5AB8">
        <w:rPr>
          <w:rFonts w:ascii="Arial" w:hAnsi="Arial" w:cs="Arial"/>
          <w:szCs w:val="22"/>
        </w:rPr>
        <w:t xml:space="preserve"> (Somers </w:t>
      </w:r>
      <w:r w:rsidR="00C57922" w:rsidRPr="006F5AB8">
        <w:rPr>
          <w:rFonts w:ascii="Arial" w:hAnsi="Arial" w:cs="Arial"/>
          <w:i/>
          <w:iCs/>
          <w:szCs w:val="22"/>
        </w:rPr>
        <w:t>et al.</w:t>
      </w:r>
      <w:r w:rsidR="00C57922" w:rsidRPr="006F5AB8">
        <w:rPr>
          <w:rFonts w:ascii="Arial" w:hAnsi="Arial" w:cs="Arial"/>
          <w:szCs w:val="22"/>
        </w:rPr>
        <w:t>, 2020)</w:t>
      </w:r>
      <w:r w:rsidRPr="006F5AB8">
        <w:rPr>
          <w:rFonts w:ascii="Arial" w:hAnsi="Arial" w:cs="Arial"/>
          <w:szCs w:val="22"/>
        </w:rPr>
        <w:t>.</w:t>
      </w:r>
    </w:p>
    <w:p w14:paraId="79F2D6D3" w14:textId="2F3D7322" w:rsidR="005C310D" w:rsidRPr="006F5AB8" w:rsidRDefault="00324B7F" w:rsidP="00B21D94">
      <w:pPr>
        <w:pStyle w:val="Heading3"/>
        <w:spacing w:before="240"/>
        <w:jc w:val="both"/>
        <w:rPr>
          <w:rFonts w:ascii="Arial" w:hAnsi="Arial" w:cs="Arial"/>
          <w:szCs w:val="22"/>
        </w:rPr>
      </w:pPr>
      <w:bookmarkStart w:id="5" w:name="_Toc224307175"/>
      <w:r w:rsidRPr="006F5AB8">
        <w:rPr>
          <w:rStyle w:val="Strong"/>
          <w:rFonts w:ascii="Arial" w:hAnsi="Arial" w:cs="Arial"/>
          <w:b/>
          <w:bCs w:val="0"/>
          <w:szCs w:val="22"/>
        </w:rPr>
        <w:t xml:space="preserve">1.2.2. </w:t>
      </w:r>
      <w:r w:rsidR="005C310D" w:rsidRPr="006F5AB8">
        <w:rPr>
          <w:rStyle w:val="Strong"/>
          <w:rFonts w:ascii="Arial" w:hAnsi="Arial" w:cs="Arial"/>
          <w:b/>
          <w:bCs w:val="0"/>
          <w:szCs w:val="22"/>
        </w:rPr>
        <w:t>Acronyms and abbreviations</w:t>
      </w:r>
      <w:bookmarkEnd w:id="5"/>
    </w:p>
    <w:p w14:paraId="74284985" w14:textId="77777777"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HE:</w:t>
      </w:r>
      <w:r w:rsidRPr="006F5AB8">
        <w:rPr>
          <w:rFonts w:ascii="Arial" w:hAnsi="Arial" w:cs="Arial"/>
          <w:szCs w:val="22"/>
        </w:rPr>
        <w:t xml:space="preserve"> Higher Education</w:t>
      </w:r>
    </w:p>
    <w:p w14:paraId="489970AC" w14:textId="77777777"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WP:</w:t>
      </w:r>
      <w:r w:rsidRPr="006F5AB8">
        <w:rPr>
          <w:rFonts w:ascii="Arial" w:hAnsi="Arial" w:cs="Arial"/>
          <w:szCs w:val="22"/>
        </w:rPr>
        <w:t xml:space="preserve"> Widening Participation</w:t>
      </w:r>
    </w:p>
    <w:p w14:paraId="41844BFA" w14:textId="77777777"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PTSD:</w:t>
      </w:r>
      <w:r w:rsidRPr="006F5AB8">
        <w:rPr>
          <w:rFonts w:ascii="Arial" w:hAnsi="Arial" w:cs="Arial"/>
          <w:szCs w:val="22"/>
        </w:rPr>
        <w:t xml:space="preserve"> Post-Traumatic Stress Disorder</w:t>
      </w:r>
    </w:p>
    <w:p w14:paraId="0B639954" w14:textId="77777777"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SMI:</w:t>
      </w:r>
      <w:r w:rsidRPr="006F5AB8">
        <w:rPr>
          <w:rFonts w:ascii="Arial" w:hAnsi="Arial" w:cs="Arial"/>
          <w:szCs w:val="22"/>
        </w:rPr>
        <w:t xml:space="preserve"> Serious Mental Illness</w:t>
      </w:r>
    </w:p>
    <w:p w14:paraId="06FDE763" w14:textId="77777777"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CASP:</w:t>
      </w:r>
      <w:r w:rsidRPr="006F5AB8">
        <w:rPr>
          <w:rFonts w:ascii="Arial" w:hAnsi="Arial" w:cs="Arial"/>
          <w:szCs w:val="22"/>
        </w:rPr>
        <w:t xml:space="preserve"> Critical Appraisal Skills Programme</w:t>
      </w:r>
    </w:p>
    <w:p w14:paraId="551A7C0F" w14:textId="61BF6270" w:rsidR="005C310D" w:rsidRPr="006F5AB8" w:rsidRDefault="005C310D" w:rsidP="00B21D94">
      <w:pPr>
        <w:pStyle w:val="NormalWeb"/>
        <w:numPr>
          <w:ilvl w:val="0"/>
          <w:numId w:val="2"/>
        </w:numPr>
        <w:spacing w:before="240" w:beforeAutospacing="0"/>
        <w:jc w:val="both"/>
        <w:rPr>
          <w:rFonts w:ascii="Arial" w:hAnsi="Arial" w:cs="Arial"/>
          <w:szCs w:val="22"/>
        </w:rPr>
      </w:pPr>
      <w:r w:rsidRPr="006F5AB8">
        <w:rPr>
          <w:rStyle w:val="Strong"/>
          <w:rFonts w:ascii="Arial" w:eastAsiaTheme="majorEastAsia" w:hAnsi="Arial" w:cs="Arial"/>
          <w:szCs w:val="22"/>
        </w:rPr>
        <w:t>PRISMA:</w:t>
      </w:r>
      <w:r w:rsidRPr="006F5AB8">
        <w:rPr>
          <w:rFonts w:ascii="Arial" w:hAnsi="Arial" w:cs="Arial"/>
          <w:szCs w:val="22"/>
        </w:rPr>
        <w:t xml:space="preserve"> Preferred Reporting Items for Systematic Reviews and Meta-Analyses</w:t>
      </w:r>
    </w:p>
    <w:p w14:paraId="74161D45" w14:textId="09872535" w:rsidR="005C310D" w:rsidRPr="006F5AB8" w:rsidRDefault="005C310D" w:rsidP="00B21D94">
      <w:pPr>
        <w:pStyle w:val="Heading2"/>
        <w:spacing w:before="240"/>
        <w:jc w:val="both"/>
        <w:rPr>
          <w:rFonts w:ascii="Arial" w:hAnsi="Arial" w:cs="Arial"/>
          <w:sz w:val="22"/>
          <w:szCs w:val="22"/>
        </w:rPr>
      </w:pPr>
      <w:bookmarkStart w:id="6" w:name="_Toc224307176"/>
      <w:r w:rsidRPr="006F5AB8">
        <w:rPr>
          <w:rFonts w:ascii="Arial" w:hAnsi="Arial" w:cs="Arial"/>
          <w:sz w:val="22"/>
          <w:szCs w:val="22"/>
        </w:rPr>
        <w:t>1.3 Rationale for Research</w:t>
      </w:r>
      <w:bookmarkEnd w:id="6"/>
      <w:r w:rsidRPr="006F5AB8">
        <w:rPr>
          <w:rFonts w:ascii="Arial" w:hAnsi="Arial" w:cs="Arial"/>
          <w:sz w:val="22"/>
          <w:szCs w:val="22"/>
        </w:rPr>
        <w:t xml:space="preserve"> </w:t>
      </w:r>
    </w:p>
    <w:p w14:paraId="6018522A" w14:textId="77777777" w:rsidR="00875142" w:rsidRDefault="00875142" w:rsidP="00B21D94">
      <w:pPr>
        <w:spacing w:before="240"/>
        <w:jc w:val="both"/>
        <w:rPr>
          <w:rFonts w:ascii="Arial" w:hAnsi="Arial" w:cs="Arial"/>
          <w:szCs w:val="22"/>
        </w:rPr>
      </w:pPr>
      <w:r w:rsidRPr="00875142">
        <w:rPr>
          <w:rFonts w:ascii="Arial" w:hAnsi="Arial" w:cs="Arial"/>
          <w:szCs w:val="22"/>
        </w:rPr>
        <w:t>The idea is to bring together scattered evidence at graduate level, and to measure claims so commonly made yet seldom directly contrasted by foster-care status. The literature remains disjointed on health, education, and social-care domains, and measures wellbeing inconsistently, and has different follow-up windows (Zhang et al., 2024). Care leavers are sometimes combined with other disadvantaged populations, obscuring foster-care-specific effects (Kaasinen, Terkamo-Moisio and Häggman-Laitila, 2024; Sting et al., 2025). Still others record academic achievement at graduation without reconnecting the data to the mental-health condition with transition to work or further study (Gilligan, Brady and Arnau-Sabatases, 2025; Somers et al., 2020). These characteristics restrict the causal interpretation and undermine policy relevance.</w:t>
      </w:r>
    </w:p>
    <w:p w14:paraId="58943093" w14:textId="044181AC" w:rsidR="00CD786A" w:rsidRPr="00D1411A" w:rsidRDefault="00CD786A" w:rsidP="00B21D94">
      <w:pPr>
        <w:spacing w:before="240"/>
        <w:jc w:val="both"/>
        <w:rPr>
          <w:rFonts w:ascii="Arial" w:hAnsi="Arial" w:cs="Arial"/>
          <w:szCs w:val="22"/>
        </w:rPr>
      </w:pPr>
      <w:r w:rsidRPr="00D1411A">
        <w:rPr>
          <w:rFonts w:ascii="Arial" w:hAnsi="Arial" w:cs="Arial"/>
          <w:szCs w:val="22"/>
        </w:rPr>
        <w:t xml:space="preserve">Widening-participation </w:t>
      </w:r>
      <w:r w:rsidR="00D1411A">
        <w:rPr>
          <w:rFonts w:ascii="Arial" w:hAnsi="Arial" w:cs="Arial"/>
          <w:szCs w:val="22"/>
        </w:rPr>
        <w:t xml:space="preserve">(WP) </w:t>
      </w:r>
      <w:r w:rsidRPr="00D1411A">
        <w:rPr>
          <w:rFonts w:ascii="Arial" w:hAnsi="Arial" w:cs="Arial"/>
          <w:szCs w:val="22"/>
        </w:rPr>
        <w:t>policies have improved access and, in some settings, retention for care-experienced students, but they have not reliably produced equity in graduate outcomes. This is partly because WP metrics and interventions often concentrate on entry and continuation, while foster-care–specific needs (e.g., disrupted schooling, limited safety nets, disclosure barriers, and discontinuities between university and external services at graduation) remain less consistently addressed. Structural pressures</w:t>
      </w:r>
      <w:r w:rsidR="00D1411A">
        <w:rPr>
          <w:rFonts w:ascii="Arial" w:hAnsi="Arial" w:cs="Arial"/>
          <w:szCs w:val="22"/>
        </w:rPr>
        <w:t xml:space="preserve"> </w:t>
      </w:r>
      <w:r w:rsidRPr="00D1411A">
        <w:rPr>
          <w:rFonts w:ascii="Arial" w:hAnsi="Arial" w:cs="Arial"/>
          <w:szCs w:val="22"/>
        </w:rPr>
        <w:t>especially housing and financial precarity</w:t>
      </w:r>
      <w:r w:rsidR="00D1411A">
        <w:rPr>
          <w:rFonts w:ascii="Arial" w:hAnsi="Arial" w:cs="Arial"/>
          <w:szCs w:val="22"/>
        </w:rPr>
        <w:t xml:space="preserve"> </w:t>
      </w:r>
      <w:r w:rsidRPr="00D1411A">
        <w:rPr>
          <w:rFonts w:ascii="Arial" w:hAnsi="Arial" w:cs="Arial"/>
          <w:szCs w:val="22"/>
        </w:rPr>
        <w:t>can therefore persist into the graduate transition and shape both mental health and early-career outcomes</w:t>
      </w:r>
      <w:r w:rsidR="00D1411A">
        <w:rPr>
          <w:rFonts w:ascii="Arial" w:hAnsi="Arial" w:cs="Arial"/>
          <w:szCs w:val="22"/>
        </w:rPr>
        <w:t xml:space="preserve"> (Broglia </w:t>
      </w:r>
      <w:r w:rsidR="00D1411A">
        <w:rPr>
          <w:rFonts w:ascii="Arial" w:hAnsi="Arial" w:cs="Arial"/>
          <w:i/>
          <w:iCs/>
          <w:szCs w:val="22"/>
        </w:rPr>
        <w:t>et al.</w:t>
      </w:r>
      <w:r w:rsidR="00D1411A">
        <w:rPr>
          <w:rFonts w:ascii="Arial" w:hAnsi="Arial" w:cs="Arial"/>
          <w:szCs w:val="22"/>
        </w:rPr>
        <w:t>, 2023)</w:t>
      </w:r>
      <w:r w:rsidRPr="00D1411A">
        <w:rPr>
          <w:rFonts w:ascii="Arial" w:hAnsi="Arial" w:cs="Arial"/>
          <w:szCs w:val="22"/>
        </w:rPr>
        <w:t>.</w:t>
      </w:r>
    </w:p>
    <w:p w14:paraId="3AD92039" w14:textId="478CBF20" w:rsidR="005C310D" w:rsidRPr="006F5AB8" w:rsidRDefault="004D4BDC" w:rsidP="00B21D94">
      <w:pPr>
        <w:pStyle w:val="NormalWeb"/>
        <w:spacing w:before="240" w:beforeAutospacing="0"/>
        <w:jc w:val="both"/>
        <w:rPr>
          <w:rFonts w:ascii="Arial" w:hAnsi="Arial" w:cs="Arial"/>
          <w:szCs w:val="22"/>
        </w:rPr>
      </w:pPr>
      <w:r w:rsidRPr="004D4BDC">
        <w:rPr>
          <w:rFonts w:ascii="Arial" w:hAnsi="Arial" w:cs="Arial"/>
          <w:szCs w:val="22"/>
        </w:rPr>
        <w:t>This review addresses three gaps. First, it targets graduates and not just enrolled students, which is consistent with funder and regulator outcome measures. Second, it examines the interaction of mental health and academic performance that can result in both directions and mediators like financial stress, stigma, and access to support. Third, it determines protective factors associated with improved outcomes and leaves behind deficit stories in favor of improvement levers</w:t>
      </w:r>
      <w:r w:rsidR="005C310D" w:rsidRPr="006F5AB8">
        <w:rPr>
          <w:rFonts w:ascii="Arial" w:hAnsi="Arial" w:cs="Arial"/>
          <w:szCs w:val="22"/>
        </w:rPr>
        <w:t>.</w:t>
      </w:r>
    </w:p>
    <w:p w14:paraId="36B5EB86" w14:textId="14AD64F9" w:rsidR="005C310D" w:rsidRPr="006F5AB8" w:rsidRDefault="005C310D" w:rsidP="00B21D94">
      <w:pPr>
        <w:pStyle w:val="Heading2"/>
        <w:spacing w:before="240"/>
        <w:jc w:val="both"/>
        <w:rPr>
          <w:rFonts w:ascii="Arial" w:hAnsi="Arial" w:cs="Arial"/>
          <w:sz w:val="22"/>
          <w:szCs w:val="22"/>
        </w:rPr>
      </w:pPr>
      <w:bookmarkStart w:id="7" w:name="_Toc224307177"/>
      <w:r w:rsidRPr="006F5AB8">
        <w:rPr>
          <w:rFonts w:ascii="Arial" w:hAnsi="Arial" w:cs="Arial"/>
          <w:sz w:val="22"/>
          <w:szCs w:val="22"/>
        </w:rPr>
        <w:t>1.4 Aim and Objectives</w:t>
      </w:r>
      <w:bookmarkEnd w:id="7"/>
      <w:r w:rsidRPr="006F5AB8">
        <w:rPr>
          <w:rFonts w:ascii="Arial" w:hAnsi="Arial" w:cs="Arial"/>
          <w:sz w:val="22"/>
          <w:szCs w:val="22"/>
        </w:rPr>
        <w:t xml:space="preserve"> </w:t>
      </w:r>
    </w:p>
    <w:p w14:paraId="46715EB7" w14:textId="6C9C7BA3" w:rsidR="009149FE" w:rsidRPr="006F5AB8" w:rsidRDefault="005C310D"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 xml:space="preserve">Research </w:t>
      </w:r>
      <w:r w:rsidR="009149FE" w:rsidRPr="006F5AB8">
        <w:rPr>
          <w:rStyle w:val="Strong"/>
          <w:rFonts w:ascii="Arial" w:eastAsiaTheme="majorEastAsia" w:hAnsi="Arial" w:cs="Arial"/>
          <w:szCs w:val="22"/>
        </w:rPr>
        <w:t>A</w:t>
      </w:r>
      <w:r w:rsidRPr="006F5AB8">
        <w:rPr>
          <w:rStyle w:val="Strong"/>
          <w:rFonts w:ascii="Arial" w:eastAsiaTheme="majorEastAsia" w:hAnsi="Arial" w:cs="Arial"/>
          <w:szCs w:val="22"/>
        </w:rPr>
        <w:t>im</w:t>
      </w:r>
    </w:p>
    <w:p w14:paraId="7C193730" w14:textId="08ADEFE5" w:rsidR="005C310D" w:rsidRPr="006F5AB8" w:rsidRDefault="005C310D" w:rsidP="00B21D94">
      <w:pPr>
        <w:pStyle w:val="NormalWeb"/>
        <w:spacing w:before="240" w:beforeAutospacing="0"/>
        <w:jc w:val="both"/>
        <w:rPr>
          <w:rFonts w:ascii="Arial" w:hAnsi="Arial" w:cs="Arial"/>
          <w:szCs w:val="22"/>
        </w:rPr>
      </w:pPr>
      <w:r w:rsidRPr="006F5AB8">
        <w:rPr>
          <w:rFonts w:ascii="Arial" w:hAnsi="Arial" w:cs="Arial"/>
          <w:szCs w:val="22"/>
        </w:rPr>
        <w:t xml:space="preserve">To conduct a </w:t>
      </w:r>
      <w:r w:rsidR="0072090B">
        <w:rPr>
          <w:rFonts w:ascii="Arial" w:hAnsi="Arial" w:cs="Arial"/>
          <w:szCs w:val="22"/>
        </w:rPr>
        <w:t>desk based literature study</w:t>
      </w:r>
      <w:r w:rsidRPr="006F5AB8">
        <w:rPr>
          <w:rFonts w:ascii="Arial" w:hAnsi="Arial" w:cs="Arial"/>
          <w:szCs w:val="22"/>
        </w:rPr>
        <w:t xml:space="preserve"> comparing mental health outcomes and academic success between graduates with and without foster-care histories, identify key disparities and protective factors, and generate actionable recommendations for universities, services, and policymakers.</w:t>
      </w:r>
    </w:p>
    <w:p w14:paraId="6E671F86" w14:textId="17727359" w:rsidR="005C310D" w:rsidRPr="006F5AB8" w:rsidRDefault="005C310D"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 xml:space="preserve">Research </w:t>
      </w:r>
      <w:r w:rsidR="009149FE" w:rsidRPr="006F5AB8">
        <w:rPr>
          <w:rStyle w:val="Strong"/>
          <w:rFonts w:ascii="Arial" w:eastAsiaTheme="majorEastAsia" w:hAnsi="Arial" w:cs="Arial"/>
          <w:szCs w:val="22"/>
        </w:rPr>
        <w:t>O</w:t>
      </w:r>
      <w:r w:rsidRPr="006F5AB8">
        <w:rPr>
          <w:rStyle w:val="Strong"/>
          <w:rFonts w:ascii="Arial" w:eastAsiaTheme="majorEastAsia" w:hAnsi="Arial" w:cs="Arial"/>
          <w:szCs w:val="22"/>
        </w:rPr>
        <w:t>bjectives</w:t>
      </w:r>
    </w:p>
    <w:p w14:paraId="053157E3" w14:textId="77777777" w:rsidR="005C310D" w:rsidRPr="006F5AB8" w:rsidRDefault="005C310D" w:rsidP="00B21D94">
      <w:pPr>
        <w:pStyle w:val="NormalWeb"/>
        <w:numPr>
          <w:ilvl w:val="0"/>
          <w:numId w:val="3"/>
        </w:numPr>
        <w:spacing w:before="240" w:beforeAutospacing="0"/>
        <w:jc w:val="both"/>
        <w:rPr>
          <w:rFonts w:ascii="Arial" w:hAnsi="Arial" w:cs="Arial"/>
          <w:szCs w:val="22"/>
        </w:rPr>
      </w:pPr>
      <w:r w:rsidRPr="006F5AB8">
        <w:rPr>
          <w:rStyle w:val="Strong"/>
          <w:rFonts w:ascii="Arial" w:eastAsiaTheme="majorEastAsia" w:hAnsi="Arial" w:cs="Arial"/>
          <w:szCs w:val="22"/>
        </w:rPr>
        <w:t>Objective 1:</w:t>
      </w:r>
      <w:r w:rsidRPr="006F5AB8">
        <w:rPr>
          <w:rFonts w:ascii="Arial" w:hAnsi="Arial" w:cs="Arial"/>
          <w:szCs w:val="22"/>
        </w:rPr>
        <w:t xml:space="preserve"> Define and examine the key mental-health challenges experienced by foster-care graduates compared with non-foster peers, drawing on academic and policy literature.</w:t>
      </w:r>
    </w:p>
    <w:p w14:paraId="51054AD9" w14:textId="77777777" w:rsidR="005C310D" w:rsidRPr="006F5AB8" w:rsidRDefault="005C310D" w:rsidP="00B21D94">
      <w:pPr>
        <w:pStyle w:val="NormalWeb"/>
        <w:numPr>
          <w:ilvl w:val="0"/>
          <w:numId w:val="3"/>
        </w:numPr>
        <w:spacing w:before="240" w:beforeAutospacing="0"/>
        <w:jc w:val="both"/>
        <w:rPr>
          <w:rFonts w:ascii="Arial" w:hAnsi="Arial" w:cs="Arial"/>
          <w:szCs w:val="22"/>
        </w:rPr>
      </w:pPr>
      <w:r w:rsidRPr="006F5AB8">
        <w:rPr>
          <w:rStyle w:val="Strong"/>
          <w:rFonts w:ascii="Arial" w:eastAsiaTheme="majorEastAsia" w:hAnsi="Arial" w:cs="Arial"/>
          <w:szCs w:val="22"/>
        </w:rPr>
        <w:t>Objective 2:</w:t>
      </w:r>
      <w:r w:rsidRPr="006F5AB8">
        <w:rPr>
          <w:rFonts w:ascii="Arial" w:hAnsi="Arial" w:cs="Arial"/>
          <w:szCs w:val="22"/>
        </w:rPr>
        <w:t xml:space="preserve"> Analyse the relationship between mental-health outcomes and academic performance, with attention to resilience patterns and barriers to success in both groups.</w:t>
      </w:r>
    </w:p>
    <w:p w14:paraId="53154730" w14:textId="77777777" w:rsidR="005C310D" w:rsidRPr="006F5AB8" w:rsidRDefault="005C310D" w:rsidP="00B21D94">
      <w:pPr>
        <w:pStyle w:val="NormalWeb"/>
        <w:numPr>
          <w:ilvl w:val="0"/>
          <w:numId w:val="3"/>
        </w:numPr>
        <w:spacing w:before="240" w:beforeAutospacing="0"/>
        <w:jc w:val="both"/>
        <w:rPr>
          <w:rFonts w:ascii="Arial" w:hAnsi="Arial" w:cs="Arial"/>
          <w:szCs w:val="22"/>
        </w:rPr>
      </w:pPr>
      <w:r w:rsidRPr="006F5AB8">
        <w:rPr>
          <w:rStyle w:val="Strong"/>
          <w:rFonts w:ascii="Arial" w:eastAsiaTheme="majorEastAsia" w:hAnsi="Arial" w:cs="Arial"/>
          <w:szCs w:val="22"/>
        </w:rPr>
        <w:t>Objective 3:</w:t>
      </w:r>
      <w:r w:rsidRPr="006F5AB8">
        <w:rPr>
          <w:rFonts w:ascii="Arial" w:hAnsi="Arial" w:cs="Arial"/>
          <w:szCs w:val="22"/>
        </w:rPr>
        <w:t xml:space="preserve"> Evaluate the extent to which existing educational and support interventions address the specific needs of foster-care graduates in higher-education contexts.</w:t>
      </w:r>
    </w:p>
    <w:p w14:paraId="0CD1209B" w14:textId="4250B2BF" w:rsidR="005C310D" w:rsidRPr="006F5AB8" w:rsidRDefault="005C310D" w:rsidP="00B21D94">
      <w:pPr>
        <w:pStyle w:val="NormalWeb"/>
        <w:numPr>
          <w:ilvl w:val="0"/>
          <w:numId w:val="3"/>
        </w:numPr>
        <w:spacing w:before="240" w:beforeAutospacing="0"/>
        <w:jc w:val="both"/>
        <w:rPr>
          <w:rFonts w:ascii="Arial" w:hAnsi="Arial" w:cs="Arial"/>
          <w:szCs w:val="22"/>
        </w:rPr>
      </w:pPr>
      <w:r w:rsidRPr="006F5AB8">
        <w:rPr>
          <w:rStyle w:val="Strong"/>
          <w:rFonts w:ascii="Arial" w:eastAsiaTheme="majorEastAsia" w:hAnsi="Arial" w:cs="Arial"/>
          <w:szCs w:val="22"/>
        </w:rPr>
        <w:t>Objective 4:</w:t>
      </w:r>
      <w:r w:rsidRPr="006F5AB8">
        <w:rPr>
          <w:rFonts w:ascii="Arial" w:hAnsi="Arial" w:cs="Arial"/>
          <w:szCs w:val="22"/>
        </w:rPr>
        <w:t xml:space="preserve"> Provide recommendations for policymakers, educators, and mental-health professionals on strategies to enhance academic achievement and psychological wellbeing among foster-care graduates.</w:t>
      </w:r>
    </w:p>
    <w:p w14:paraId="4DDC8039" w14:textId="1C7A5791" w:rsidR="005C310D" w:rsidRPr="006F5AB8" w:rsidRDefault="005C310D" w:rsidP="00B21D94">
      <w:pPr>
        <w:pStyle w:val="Heading2"/>
        <w:spacing w:before="240"/>
        <w:jc w:val="both"/>
        <w:rPr>
          <w:rFonts w:ascii="Arial" w:hAnsi="Arial" w:cs="Arial"/>
          <w:sz w:val="22"/>
          <w:szCs w:val="22"/>
        </w:rPr>
      </w:pPr>
      <w:bookmarkStart w:id="8" w:name="_Toc224307178"/>
      <w:r w:rsidRPr="006F5AB8">
        <w:rPr>
          <w:rFonts w:ascii="Arial" w:hAnsi="Arial" w:cs="Arial"/>
          <w:sz w:val="22"/>
          <w:szCs w:val="22"/>
        </w:rPr>
        <w:t>1.5 Conclusion</w:t>
      </w:r>
      <w:bookmarkEnd w:id="8"/>
      <w:r w:rsidRPr="006F5AB8">
        <w:rPr>
          <w:rFonts w:ascii="Arial" w:hAnsi="Arial" w:cs="Arial"/>
          <w:sz w:val="22"/>
          <w:szCs w:val="22"/>
        </w:rPr>
        <w:t xml:space="preserve"> </w:t>
      </w:r>
    </w:p>
    <w:p w14:paraId="6D220672" w14:textId="7DD907D2" w:rsidR="00CD786A" w:rsidRDefault="00CD786A" w:rsidP="0072090B">
      <w:pPr>
        <w:spacing w:after="240"/>
        <w:jc w:val="both"/>
        <w:rPr>
          <w:rFonts w:ascii="Arial" w:hAnsi="Arial" w:cs="Arial"/>
          <w:szCs w:val="22"/>
        </w:rPr>
      </w:pPr>
      <w:r w:rsidRPr="00514FEA">
        <w:rPr>
          <w:rFonts w:ascii="Arial" w:hAnsi="Arial" w:cs="Arial"/>
          <w:szCs w:val="22"/>
        </w:rPr>
        <w:t>This chapter set out the problem, clarified core terms, and explained why a graduate-focused, comparative review is required. It presented one aim and four objectives that locate mental health and academic/post-graduation success within the same analytical frame, with attention to disparities and protective factors. This framing is grounded in evidence that care-experienced students remain under-represented and differently distributed across pathways within higher education, and that inequities can persist into the initial graduate transition</w:t>
      </w:r>
      <w:r w:rsidR="000571F5" w:rsidRPr="00514FEA">
        <w:rPr>
          <w:rFonts w:ascii="Arial" w:hAnsi="Arial" w:cs="Arial"/>
          <w:szCs w:val="22"/>
        </w:rPr>
        <w:t xml:space="preserve"> (Hambrick et al., 2016; Lawrie et al., 2025).</w:t>
      </w:r>
      <w:r w:rsidRPr="00514FEA">
        <w:rPr>
          <w:rFonts w:ascii="Arial" w:hAnsi="Arial" w:cs="Arial"/>
          <w:szCs w:val="22"/>
        </w:rPr>
        <w:t xml:space="preserve"> </w:t>
      </w:r>
    </w:p>
    <w:p w14:paraId="68E27D46" w14:textId="75DC85F6" w:rsidR="00F57E51" w:rsidRPr="006F5AB8" w:rsidRDefault="00195F05" w:rsidP="00B21D94">
      <w:pPr>
        <w:spacing w:before="240"/>
        <w:jc w:val="both"/>
        <w:rPr>
          <w:rFonts w:ascii="Arial" w:hAnsi="Arial" w:cs="Arial"/>
          <w:szCs w:val="22"/>
        </w:rPr>
      </w:pPr>
      <w:r w:rsidRPr="00195F05">
        <w:rPr>
          <w:rFonts w:ascii="Arial" w:hAnsi="Arial" w:cs="Arial"/>
          <w:szCs w:val="22"/>
        </w:rPr>
        <w:t>The dissertation will apply thematic synthesis to combine evidence on outcomes, mechanisms, and moderators using secondary research. Chapter 2 gave the background and conceptual anchors on which the interpretation will be based, and Chapter 3 will discuss the methodology: eligibility criteria, databases and search strings, screening and extraction procedures, quality appraisal, and the synthesis approach consistent with PRISMA. Following chapters will give results, discuss mechanisms and equity implications, and design specific recommendations about universities, services, and policymakers.</w:t>
      </w:r>
    </w:p>
    <w:p w14:paraId="5683BD4E" w14:textId="77777777" w:rsidR="00D85B2B" w:rsidRDefault="00D85B2B" w:rsidP="00B21D94">
      <w:pPr>
        <w:spacing w:before="240"/>
        <w:jc w:val="both"/>
        <w:rPr>
          <w:rFonts w:ascii="Arial" w:hAnsi="Arial" w:cs="Arial"/>
          <w:szCs w:val="22"/>
        </w:rPr>
      </w:pPr>
    </w:p>
    <w:p w14:paraId="297ADE3A" w14:textId="77777777" w:rsidR="00B21D94" w:rsidRDefault="00B21D94" w:rsidP="00B21D94">
      <w:pPr>
        <w:spacing w:before="240"/>
        <w:jc w:val="both"/>
        <w:rPr>
          <w:rFonts w:ascii="Arial" w:hAnsi="Arial" w:cs="Arial"/>
          <w:szCs w:val="22"/>
        </w:rPr>
      </w:pPr>
    </w:p>
    <w:p w14:paraId="0A1757C6" w14:textId="77777777" w:rsidR="00B21D94" w:rsidRDefault="00B21D94" w:rsidP="00B21D94">
      <w:pPr>
        <w:spacing w:before="240"/>
        <w:jc w:val="both"/>
        <w:rPr>
          <w:rFonts w:ascii="Arial" w:hAnsi="Arial" w:cs="Arial"/>
          <w:szCs w:val="22"/>
        </w:rPr>
      </w:pPr>
    </w:p>
    <w:p w14:paraId="1D832EB6" w14:textId="77777777" w:rsidR="00B21D94" w:rsidRDefault="00B21D94" w:rsidP="00B21D94">
      <w:pPr>
        <w:spacing w:before="240"/>
        <w:jc w:val="both"/>
        <w:rPr>
          <w:rFonts w:ascii="Arial" w:hAnsi="Arial" w:cs="Arial"/>
          <w:szCs w:val="22"/>
        </w:rPr>
      </w:pPr>
    </w:p>
    <w:p w14:paraId="739D4307" w14:textId="77777777" w:rsidR="00B21D94" w:rsidRDefault="00B21D94" w:rsidP="00B21D94">
      <w:pPr>
        <w:spacing w:before="240"/>
        <w:jc w:val="both"/>
        <w:rPr>
          <w:rFonts w:ascii="Arial" w:hAnsi="Arial" w:cs="Arial"/>
          <w:szCs w:val="22"/>
        </w:rPr>
      </w:pPr>
    </w:p>
    <w:p w14:paraId="4550915C" w14:textId="77777777" w:rsidR="00B21D94" w:rsidRDefault="00B21D94" w:rsidP="00B21D94">
      <w:pPr>
        <w:spacing w:before="240"/>
        <w:jc w:val="both"/>
        <w:rPr>
          <w:rFonts w:ascii="Arial" w:hAnsi="Arial" w:cs="Arial"/>
          <w:szCs w:val="22"/>
        </w:rPr>
      </w:pPr>
    </w:p>
    <w:p w14:paraId="7213A8C0" w14:textId="77777777" w:rsidR="00B21D94" w:rsidRDefault="00B21D94" w:rsidP="00B21D94">
      <w:pPr>
        <w:spacing w:before="240"/>
        <w:jc w:val="both"/>
        <w:rPr>
          <w:rFonts w:ascii="Arial" w:hAnsi="Arial" w:cs="Arial"/>
          <w:szCs w:val="22"/>
        </w:rPr>
      </w:pPr>
    </w:p>
    <w:p w14:paraId="22C903AA" w14:textId="77777777" w:rsidR="00B21D94" w:rsidRDefault="00B21D94" w:rsidP="00B21D94">
      <w:pPr>
        <w:spacing w:before="240"/>
        <w:jc w:val="both"/>
        <w:rPr>
          <w:rFonts w:ascii="Arial" w:hAnsi="Arial" w:cs="Arial"/>
          <w:szCs w:val="22"/>
        </w:rPr>
      </w:pPr>
    </w:p>
    <w:p w14:paraId="27A5BFAE" w14:textId="77777777" w:rsidR="0072090B" w:rsidRDefault="0072090B" w:rsidP="00B21D94">
      <w:pPr>
        <w:spacing w:before="240"/>
        <w:jc w:val="both"/>
        <w:rPr>
          <w:rFonts w:ascii="Arial" w:hAnsi="Arial" w:cs="Arial"/>
          <w:szCs w:val="22"/>
        </w:rPr>
      </w:pPr>
    </w:p>
    <w:p w14:paraId="5B14D7DF" w14:textId="77777777" w:rsidR="00B21D94" w:rsidRPr="006F5AB8" w:rsidRDefault="00B21D94" w:rsidP="00B21D94">
      <w:pPr>
        <w:spacing w:before="240"/>
        <w:jc w:val="both"/>
        <w:rPr>
          <w:rFonts w:ascii="Arial" w:hAnsi="Arial" w:cs="Arial"/>
          <w:szCs w:val="22"/>
        </w:rPr>
      </w:pPr>
    </w:p>
    <w:p w14:paraId="4BC827A1" w14:textId="786F20A8" w:rsidR="00D85B2B" w:rsidRPr="00106E2F" w:rsidRDefault="00D85B2B" w:rsidP="00B21D94">
      <w:pPr>
        <w:pStyle w:val="Heading1"/>
        <w:jc w:val="both"/>
      </w:pPr>
      <w:bookmarkStart w:id="9" w:name="_Toc224307179"/>
      <w:r w:rsidRPr="00106E2F">
        <w:t>CHAPTER 2 – Background Information and Analysis</w:t>
      </w:r>
      <w:bookmarkEnd w:id="9"/>
    </w:p>
    <w:p w14:paraId="450DDC76" w14:textId="6A796E63" w:rsidR="00317F5B" w:rsidRPr="006F5AB8" w:rsidRDefault="00317F5B" w:rsidP="00B21D94">
      <w:pPr>
        <w:pStyle w:val="Heading2"/>
        <w:spacing w:before="240"/>
        <w:jc w:val="both"/>
        <w:rPr>
          <w:rFonts w:ascii="Arial" w:hAnsi="Arial" w:cs="Arial"/>
          <w:sz w:val="22"/>
          <w:szCs w:val="22"/>
        </w:rPr>
      </w:pPr>
      <w:bookmarkStart w:id="10" w:name="_Toc224307180"/>
      <w:r w:rsidRPr="006F5AB8">
        <w:rPr>
          <w:rFonts w:ascii="Arial" w:hAnsi="Arial" w:cs="Arial"/>
          <w:sz w:val="22"/>
          <w:szCs w:val="22"/>
        </w:rPr>
        <w:t>2.1</w:t>
      </w:r>
      <w:r w:rsidR="00D85B2B" w:rsidRPr="006F5AB8">
        <w:rPr>
          <w:rFonts w:ascii="Arial" w:hAnsi="Arial" w:cs="Arial"/>
          <w:sz w:val="22"/>
          <w:szCs w:val="22"/>
        </w:rPr>
        <w:t>.</w:t>
      </w:r>
      <w:r w:rsidRPr="006F5AB8">
        <w:rPr>
          <w:rFonts w:ascii="Arial" w:hAnsi="Arial" w:cs="Arial"/>
          <w:sz w:val="22"/>
          <w:szCs w:val="22"/>
        </w:rPr>
        <w:t xml:space="preserve"> Introduction</w:t>
      </w:r>
      <w:bookmarkEnd w:id="10"/>
    </w:p>
    <w:p w14:paraId="25ACB4DC" w14:textId="77777777" w:rsidR="00435B7A" w:rsidRPr="00435B7A" w:rsidRDefault="00435B7A" w:rsidP="00DD4BAC">
      <w:pPr>
        <w:pStyle w:val="NormalWeb"/>
        <w:spacing w:before="240"/>
        <w:jc w:val="both"/>
        <w:rPr>
          <w:rFonts w:ascii="Arial" w:hAnsi="Arial" w:cs="Arial"/>
          <w:szCs w:val="22"/>
        </w:rPr>
      </w:pPr>
      <w:r w:rsidRPr="00435B7A">
        <w:rPr>
          <w:rFonts w:ascii="Arial" w:hAnsi="Arial" w:cs="Arial"/>
          <w:szCs w:val="22"/>
        </w:rPr>
        <w:t xml:space="preserve">The chapter offers the background required to critically compare mental health and academic achievement among graduates with and without foster-care experiences. It establishes the context by describing the evolution of the subject, the theories that inform its interpretation, and the conditions that inform measurement and practice. </w:t>
      </w:r>
    </w:p>
    <w:p w14:paraId="12DFEAE6" w14:textId="258C76F8" w:rsidR="00317F5B" w:rsidRPr="006F5AB8" w:rsidRDefault="00435B7A" w:rsidP="00435B7A">
      <w:pPr>
        <w:pStyle w:val="NormalWeb"/>
        <w:spacing w:before="240" w:beforeAutospacing="0"/>
        <w:jc w:val="both"/>
        <w:rPr>
          <w:rFonts w:ascii="Arial" w:hAnsi="Arial" w:cs="Arial"/>
          <w:szCs w:val="22"/>
        </w:rPr>
      </w:pPr>
      <w:r w:rsidRPr="00435B7A">
        <w:rPr>
          <w:rFonts w:ascii="Arial" w:hAnsi="Arial" w:cs="Arial"/>
          <w:szCs w:val="22"/>
        </w:rPr>
        <w:t>This chapter neither poses analytic themes or findings, but it describes why a graduate-oriented, comparative lens is needed, how the concepts of trauma, inclusion, and equity shape interpretation, and the role of universities and services in it. At the end of the chapter, the reader will grasp the research issue, central theories and the international and the UK contexts which precondition results and interventions</w:t>
      </w:r>
      <w:r w:rsidR="00317F5B" w:rsidRPr="006F5AB8">
        <w:rPr>
          <w:rFonts w:ascii="Arial" w:hAnsi="Arial" w:cs="Arial"/>
          <w:szCs w:val="22"/>
        </w:rPr>
        <w:t xml:space="preserve">. </w:t>
      </w:r>
    </w:p>
    <w:p w14:paraId="33432623" w14:textId="685EEE9E" w:rsidR="00317F5B" w:rsidRDefault="00317F5B" w:rsidP="00B21D94">
      <w:pPr>
        <w:pStyle w:val="Heading2"/>
        <w:spacing w:before="240"/>
        <w:jc w:val="both"/>
        <w:rPr>
          <w:rFonts w:ascii="Arial" w:hAnsi="Arial" w:cs="Arial"/>
          <w:sz w:val="22"/>
          <w:szCs w:val="22"/>
        </w:rPr>
      </w:pPr>
      <w:bookmarkStart w:id="11" w:name="_Toc224307181"/>
      <w:r w:rsidRPr="006F5AB8">
        <w:rPr>
          <w:rFonts w:ascii="Arial" w:hAnsi="Arial" w:cs="Arial"/>
          <w:sz w:val="22"/>
          <w:szCs w:val="22"/>
        </w:rPr>
        <w:t>2.2 Historical Background</w:t>
      </w:r>
      <w:bookmarkEnd w:id="11"/>
      <w:r w:rsidRPr="006F5AB8">
        <w:rPr>
          <w:rFonts w:ascii="Arial" w:hAnsi="Arial" w:cs="Arial"/>
          <w:sz w:val="22"/>
          <w:szCs w:val="22"/>
        </w:rPr>
        <w:t xml:space="preserve"> </w:t>
      </w:r>
    </w:p>
    <w:p w14:paraId="07077FA6" w14:textId="77777777" w:rsidR="00DD4BAC" w:rsidRDefault="00DD4BAC" w:rsidP="000F3E62">
      <w:pPr>
        <w:spacing w:before="240"/>
        <w:jc w:val="both"/>
      </w:pPr>
      <w:r w:rsidRPr="00DD4BAC">
        <w:t>The life chances of care-experienced people were also of interest due to the twentieth-century welfare reforms as part of which institutional care was substituted with the foster placements with families. The initial studies focused on schooling disruption and child protection, and little was done regarding higher education and adult outcomes. Increasing involvement in higher education meant that policymakers started to focus on under-represented populations, with care-experienced young people being one of them (Leve et al., 2012). However, monitoring was primarily concerned with access and retention as opposed to graduate outcomes or post-university mental health. Two things later changed the agenda: childhood adversity and instability were found to be connected to subsequent psychological distress (Kirkbride et al., 2024), and new systems of higher-education performance revealed additional labour and further-study inequalities (Moreira and Oliveira, 2022).</w:t>
      </w:r>
    </w:p>
    <w:p w14:paraId="0B11F016" w14:textId="788AFC8C" w:rsidR="00CF2C05" w:rsidRPr="00CF2C05" w:rsidRDefault="00CF2C05" w:rsidP="000F3E62">
      <w:pPr>
        <w:spacing w:before="240"/>
        <w:jc w:val="both"/>
      </w:pPr>
      <w:r w:rsidRPr="00CF2C05">
        <w:t>From the late twentieth century, the UK and other countries shifted from residential institutions toward foster care, introducing national standards for placement and review (Vallejo-Slocker et al., 2024). During the 2000s, leaving-care legislation formalised support into adulthood through pathway planning and personal advisers. Parallel expansion in higher education and widening-participation policies positioned care-experienced students as a priority group (Department of Health, 2011). On campus, universities developed bursaries, year-round accommodation, and named contacts, but mental-health and welfare services grew unevenly. Austerity, inconsistent commissioning, and Covid-19 exposed weak coordination across education, health, and employment systems. Consequently, while targeted initiatives exist, coherent evidence on post-graduation mental health and early-career quality remains fragmented and methodologically inconsistent (Hambrick et al., 2016; Schneider, Harknett and Gailliot, 2024).</w:t>
      </w:r>
    </w:p>
    <w:p w14:paraId="4A342008" w14:textId="77777777" w:rsidR="00CF2C05" w:rsidRPr="00CF2C05" w:rsidRDefault="00CF2C05" w:rsidP="000F3E62">
      <w:pPr>
        <w:spacing w:before="240"/>
        <w:jc w:val="both"/>
      </w:pPr>
      <w:r w:rsidRPr="00CF2C05">
        <w:t>Three research traditions advanced the field. Child-welfare scholars demonstrated that placement stability, schooling continuity, and supportive adult relationships predict educational persistence (Campbell et al., 2022). Mental-health research linked adversity to adult wellbeing, showing cumulative risk but also resilience. Higher-education studies developed the access–participation–success model, extending institutional responsibility beyond admissions to progression and outcomes (Ellis and Johnston, 2022).</w:t>
      </w:r>
    </w:p>
    <w:p w14:paraId="081415C0" w14:textId="01AA6FA9" w:rsidR="00D97364" w:rsidRPr="00D97364" w:rsidRDefault="002516B4" w:rsidP="000F3E62">
      <w:pPr>
        <w:spacing w:before="240"/>
        <w:jc w:val="both"/>
      </w:pPr>
      <w:r w:rsidRPr="002516B4">
        <w:t xml:space="preserve">But still there are two long-lasting limitations. There is still </w:t>
      </w:r>
      <w:r w:rsidR="0072090B">
        <w:t>less</w:t>
      </w:r>
      <w:r w:rsidRPr="002516B4">
        <w:t xml:space="preserve"> evidence between welfare, health, and education which has incompatible measures and timelines (Hambrick et al., 2016). Policies focusing on short-term pilots as opposed to structural reform do not take into consideration the fact of consistent financial and housing insecurity in transition periods. Local capacity was further diminished through austerity and pandemic disruption, whereas privacy and data-sharing regulations slowed administrative interconnection. This means that most of the studies use small samples or proxy measures of the history of care, and it is difficult to be confident in the effect sizes and mechanisms (Fana and Goudge, 2024). </w:t>
      </w:r>
    </w:p>
    <w:p w14:paraId="4BABDFD1" w14:textId="38D549F3" w:rsidR="00317F5B" w:rsidRPr="006F5AB8" w:rsidRDefault="00317F5B" w:rsidP="00B21D94">
      <w:pPr>
        <w:pStyle w:val="Heading2"/>
        <w:spacing w:before="240"/>
        <w:jc w:val="both"/>
        <w:rPr>
          <w:rFonts w:ascii="Arial" w:hAnsi="Arial" w:cs="Arial"/>
          <w:sz w:val="22"/>
          <w:szCs w:val="22"/>
        </w:rPr>
      </w:pPr>
      <w:bookmarkStart w:id="12" w:name="_Toc224307182"/>
      <w:r w:rsidRPr="006F5AB8">
        <w:rPr>
          <w:rFonts w:ascii="Arial" w:hAnsi="Arial" w:cs="Arial"/>
          <w:sz w:val="22"/>
          <w:szCs w:val="22"/>
        </w:rPr>
        <w:t>2.3 Theoretical Background</w:t>
      </w:r>
      <w:bookmarkEnd w:id="12"/>
      <w:r w:rsidRPr="006F5AB8">
        <w:rPr>
          <w:rFonts w:ascii="Arial" w:hAnsi="Arial" w:cs="Arial"/>
          <w:sz w:val="22"/>
          <w:szCs w:val="22"/>
        </w:rPr>
        <w:t xml:space="preserve"> </w:t>
      </w:r>
    </w:p>
    <w:p w14:paraId="7E2D2616" w14:textId="4A0AB032" w:rsidR="001B18E4" w:rsidRPr="006F5AB8" w:rsidRDefault="007272F1" w:rsidP="00B21D94">
      <w:pPr>
        <w:pStyle w:val="Heading3"/>
        <w:spacing w:before="240"/>
        <w:jc w:val="both"/>
        <w:rPr>
          <w:rStyle w:val="Strong"/>
          <w:rFonts w:ascii="Arial" w:hAnsi="Arial" w:cs="Arial"/>
          <w:b/>
          <w:bCs w:val="0"/>
          <w:szCs w:val="22"/>
        </w:rPr>
      </w:pPr>
      <w:bookmarkStart w:id="13" w:name="_Toc224307183"/>
      <w:r w:rsidRPr="006F5AB8">
        <w:rPr>
          <w:rStyle w:val="Strong"/>
          <w:rFonts w:ascii="Arial" w:hAnsi="Arial" w:cs="Arial"/>
          <w:b/>
          <w:bCs w:val="0"/>
          <w:szCs w:val="22"/>
        </w:rPr>
        <w:t xml:space="preserve">2.3.1. </w:t>
      </w:r>
      <w:r w:rsidR="00317F5B" w:rsidRPr="006F5AB8">
        <w:rPr>
          <w:rStyle w:val="Strong"/>
          <w:rFonts w:ascii="Arial" w:hAnsi="Arial" w:cs="Arial"/>
          <w:b/>
          <w:bCs w:val="0"/>
          <w:szCs w:val="22"/>
        </w:rPr>
        <w:t>Ecological systems theory (Bronfenbrenner)</w:t>
      </w:r>
      <w:bookmarkEnd w:id="13"/>
      <w:r w:rsidR="00317F5B" w:rsidRPr="006F5AB8">
        <w:rPr>
          <w:rStyle w:val="Strong"/>
          <w:rFonts w:ascii="Arial" w:hAnsi="Arial" w:cs="Arial"/>
          <w:b/>
          <w:bCs w:val="0"/>
          <w:szCs w:val="22"/>
        </w:rPr>
        <w:t xml:space="preserve"> </w:t>
      </w:r>
    </w:p>
    <w:p w14:paraId="0F230FF4" w14:textId="77777777" w:rsidR="001B18E4" w:rsidRPr="006F5AB8" w:rsidRDefault="00317F5B" w:rsidP="00B21D94">
      <w:pPr>
        <w:pStyle w:val="NormalWeb"/>
        <w:spacing w:before="240" w:beforeAutospacing="0"/>
        <w:jc w:val="both"/>
        <w:rPr>
          <w:rFonts w:ascii="Arial" w:hAnsi="Arial" w:cs="Arial"/>
          <w:szCs w:val="22"/>
        </w:rPr>
      </w:pPr>
      <w:r w:rsidRPr="006F5AB8">
        <w:rPr>
          <w:rFonts w:ascii="Arial" w:hAnsi="Arial" w:cs="Arial"/>
          <w:szCs w:val="22"/>
        </w:rPr>
        <w:t>The theory holds that development is shaped by nested systems: individual, microsystem (family, peers, services), mesosystem (links among settings), exosystem (institutions and policies), macrosystem (culture, economy, law), and the chronosystem of time</w:t>
      </w:r>
      <w:r w:rsidR="001B18E4" w:rsidRPr="006F5AB8">
        <w:rPr>
          <w:rFonts w:ascii="Arial" w:hAnsi="Arial" w:cs="Arial"/>
          <w:szCs w:val="22"/>
        </w:rPr>
        <w:t xml:space="preserve"> (Bronfenbrenner, 1992)</w:t>
      </w:r>
      <w:r w:rsidRPr="006F5AB8">
        <w:rPr>
          <w:rFonts w:ascii="Arial" w:hAnsi="Arial" w:cs="Arial"/>
          <w:szCs w:val="22"/>
        </w:rPr>
        <w:t xml:space="preserve">. </w:t>
      </w:r>
    </w:p>
    <w:p w14:paraId="3647A697" w14:textId="77777777" w:rsidR="00CE4D4F" w:rsidRPr="006F5AB8" w:rsidRDefault="00CE4D4F" w:rsidP="00B21D94">
      <w:pPr>
        <w:pStyle w:val="NormalWeb"/>
        <w:keepNext/>
        <w:spacing w:before="240" w:beforeAutospacing="0"/>
        <w:jc w:val="center"/>
        <w:rPr>
          <w:rFonts w:ascii="Arial" w:hAnsi="Arial" w:cs="Arial"/>
          <w:szCs w:val="22"/>
        </w:rPr>
      </w:pPr>
      <w:r w:rsidRPr="006F5AB8">
        <w:rPr>
          <w:rFonts w:ascii="Arial" w:hAnsi="Arial" w:cs="Arial"/>
          <w:szCs w:val="22"/>
        </w:rPr>
        <w:fldChar w:fldCharType="begin"/>
      </w:r>
      <w:r w:rsidRPr="006F5AB8">
        <w:rPr>
          <w:rFonts w:ascii="Arial" w:hAnsi="Arial" w:cs="Arial"/>
          <w:szCs w:val="22"/>
        </w:rPr>
        <w:instrText xml:space="preserve"> INCLUDEPICTURE "https://www.simplypsychology.org/wp-content/uploads/Bronfenbrenner-Ecological-Systems-Theory-1024x1024.jpeg" \* MERGEFORMATINET </w:instrText>
      </w:r>
      <w:r w:rsidRPr="006F5AB8">
        <w:rPr>
          <w:rFonts w:ascii="Arial" w:hAnsi="Arial" w:cs="Arial"/>
          <w:szCs w:val="22"/>
        </w:rPr>
        <w:fldChar w:fldCharType="separate"/>
      </w:r>
      <w:r w:rsidRPr="006F5AB8">
        <w:rPr>
          <w:rFonts w:ascii="Arial" w:hAnsi="Arial" w:cs="Arial"/>
          <w:noProof/>
          <w:szCs w:val="22"/>
        </w:rPr>
        <w:drawing>
          <wp:inline distT="0" distB="0" distL="0" distR="0" wp14:anchorId="5B0F3BC6" wp14:editId="4C0304CD">
            <wp:extent cx="2981779" cy="2981779"/>
            <wp:effectExtent l="0" t="0" r="3175" b="3175"/>
            <wp:docPr id="564063055" name="Picture 1" descr="A diagram illustrating Bronfenbrenner's ecological systems theory. concentric circles outlining the different system from chronosystem to the individual in the middle, and labels of what encompasses eac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illustrating Bronfenbrenner's ecological systems theory. concentric circles outlining the different system from chronosystem to the individual in the middle, and labels of what encompasses each syste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7529" cy="2987529"/>
                    </a:xfrm>
                    <a:prstGeom prst="rect">
                      <a:avLst/>
                    </a:prstGeom>
                    <a:noFill/>
                    <a:ln>
                      <a:noFill/>
                    </a:ln>
                  </pic:spPr>
                </pic:pic>
              </a:graphicData>
            </a:graphic>
          </wp:inline>
        </w:drawing>
      </w:r>
      <w:r w:rsidRPr="006F5AB8">
        <w:rPr>
          <w:rFonts w:ascii="Arial" w:hAnsi="Arial" w:cs="Arial"/>
          <w:szCs w:val="22"/>
        </w:rPr>
        <w:fldChar w:fldCharType="end"/>
      </w:r>
    </w:p>
    <w:p w14:paraId="57F956BF" w14:textId="543E5A6F" w:rsidR="00CE4D4F" w:rsidRPr="00EC1ECC" w:rsidRDefault="00CE4D4F" w:rsidP="00B21D94">
      <w:pPr>
        <w:pStyle w:val="Caption"/>
        <w:spacing w:before="240"/>
        <w:jc w:val="center"/>
        <w:rPr>
          <w:rFonts w:ascii="Arial" w:hAnsi="Arial" w:cs="Arial"/>
        </w:rPr>
      </w:pPr>
      <w:bookmarkStart w:id="14" w:name="_Toc224307160"/>
      <w:r w:rsidRPr="00EC1ECC">
        <w:rPr>
          <w:rFonts w:ascii="Arial" w:hAnsi="Arial" w:cs="Arial"/>
        </w:rPr>
        <w:t xml:space="preserve">Figure </w:t>
      </w:r>
      <w:r w:rsidR="00201A3B" w:rsidRPr="00EC1ECC">
        <w:rPr>
          <w:rFonts w:ascii="Arial" w:hAnsi="Arial" w:cs="Arial"/>
        </w:rPr>
        <w:fldChar w:fldCharType="begin"/>
      </w:r>
      <w:r w:rsidR="00201A3B" w:rsidRPr="00EC1ECC">
        <w:rPr>
          <w:rFonts w:ascii="Arial" w:hAnsi="Arial" w:cs="Arial"/>
        </w:rPr>
        <w:instrText xml:space="preserve"> SEQ Figure \* ARABIC </w:instrText>
      </w:r>
      <w:r w:rsidR="00201A3B" w:rsidRPr="00EC1ECC">
        <w:rPr>
          <w:rFonts w:ascii="Arial" w:hAnsi="Arial" w:cs="Arial"/>
        </w:rPr>
        <w:fldChar w:fldCharType="separate"/>
      </w:r>
      <w:r w:rsidR="00DA7895">
        <w:rPr>
          <w:rFonts w:ascii="Arial" w:hAnsi="Arial" w:cs="Arial"/>
          <w:noProof/>
        </w:rPr>
        <w:t>1</w:t>
      </w:r>
      <w:r w:rsidR="00201A3B" w:rsidRPr="00EC1ECC">
        <w:rPr>
          <w:rFonts w:ascii="Arial" w:hAnsi="Arial" w:cs="Arial"/>
          <w:noProof/>
        </w:rPr>
        <w:fldChar w:fldCharType="end"/>
      </w:r>
      <w:r w:rsidRPr="00EC1ECC">
        <w:rPr>
          <w:rFonts w:ascii="Arial" w:hAnsi="Arial" w:cs="Arial"/>
        </w:rPr>
        <w:t xml:space="preserve">: </w:t>
      </w:r>
      <w:r w:rsidRPr="00EC1ECC">
        <w:rPr>
          <w:rStyle w:val="Strong"/>
          <w:rFonts w:ascii="Arial" w:hAnsi="Arial" w:cs="Arial"/>
          <w:b w:val="0"/>
        </w:rPr>
        <w:t>Ecological systems theory (Bronfenbrenner)</w:t>
      </w:r>
      <w:r w:rsidRPr="00EC1ECC">
        <w:rPr>
          <w:rStyle w:val="Strong"/>
          <w:rFonts w:ascii="Arial" w:hAnsi="Arial" w:cs="Arial"/>
          <w:bCs w:val="0"/>
        </w:rPr>
        <w:t xml:space="preserve"> </w:t>
      </w:r>
      <w:r w:rsidRPr="00EC1ECC">
        <w:rPr>
          <w:rFonts w:ascii="Arial" w:hAnsi="Arial" w:cs="Arial"/>
        </w:rPr>
        <w:t>(Guy-Evans, 2025)</w:t>
      </w:r>
      <w:bookmarkEnd w:id="14"/>
    </w:p>
    <w:p w14:paraId="1BB63224" w14:textId="65E8EA53" w:rsidR="00317F5B" w:rsidRPr="006F5AB8" w:rsidRDefault="00054413" w:rsidP="00B21D94">
      <w:pPr>
        <w:pStyle w:val="NormalWeb"/>
        <w:spacing w:before="240" w:beforeAutospacing="0"/>
        <w:jc w:val="both"/>
        <w:rPr>
          <w:rFonts w:ascii="Arial" w:hAnsi="Arial" w:cs="Arial"/>
          <w:szCs w:val="22"/>
        </w:rPr>
      </w:pPr>
      <w:r w:rsidRPr="00054413">
        <w:rPr>
          <w:rFonts w:ascii="Arial" w:hAnsi="Arial" w:cs="Arial"/>
          <w:szCs w:val="22"/>
        </w:rPr>
        <w:t>Ecological mapping, in the case of foster-care graduates, explains why the combination of the four variables placement stability, school continuity, student finance, landlord practices and expectations of employers can affect mental health and academic performance.</w:t>
      </w:r>
      <w:r w:rsidR="0072090B">
        <w:rPr>
          <w:rFonts w:ascii="Arial" w:hAnsi="Arial" w:cs="Arial"/>
          <w:szCs w:val="22"/>
        </w:rPr>
        <w:t xml:space="preserve"> I</w:t>
      </w:r>
      <w:r w:rsidRPr="00054413">
        <w:rPr>
          <w:rFonts w:ascii="Arial" w:hAnsi="Arial" w:cs="Arial"/>
          <w:szCs w:val="22"/>
        </w:rPr>
        <w:t>t assists in multi-level models that examine the hypothesis of institutional mediating between previous adversity and outcome. It also directs comparative groups by demanding focus on structural circumstances rather than individual characteristics. Applied research applies this lens to analyse the intersection of university services, welfare regulations, and labour-market circumstances to form help-seeking, persistence, and quality of early-career</w:t>
      </w:r>
      <w:r>
        <w:rPr>
          <w:rFonts w:ascii="Arial" w:hAnsi="Arial" w:cs="Arial"/>
          <w:szCs w:val="22"/>
        </w:rPr>
        <w:t xml:space="preserve"> </w:t>
      </w:r>
      <w:r w:rsidR="00EB250C" w:rsidRPr="006F5AB8">
        <w:rPr>
          <w:rFonts w:ascii="Arial" w:hAnsi="Arial" w:cs="Arial"/>
          <w:szCs w:val="22"/>
        </w:rPr>
        <w:t xml:space="preserve">(Piel </w:t>
      </w:r>
      <w:r w:rsidR="00EB250C" w:rsidRPr="006F5AB8">
        <w:rPr>
          <w:rFonts w:ascii="Arial" w:hAnsi="Arial" w:cs="Arial"/>
          <w:i/>
          <w:iCs/>
          <w:szCs w:val="22"/>
        </w:rPr>
        <w:t>et al.</w:t>
      </w:r>
      <w:r w:rsidR="00EB250C" w:rsidRPr="006F5AB8">
        <w:rPr>
          <w:rFonts w:ascii="Arial" w:hAnsi="Arial" w:cs="Arial"/>
          <w:szCs w:val="22"/>
        </w:rPr>
        <w:t>, 2016)</w:t>
      </w:r>
      <w:r w:rsidR="00317F5B" w:rsidRPr="006F5AB8">
        <w:rPr>
          <w:rFonts w:ascii="Arial" w:hAnsi="Arial" w:cs="Arial"/>
          <w:szCs w:val="22"/>
        </w:rPr>
        <w:t>.</w:t>
      </w:r>
    </w:p>
    <w:p w14:paraId="796651CB" w14:textId="166AB81A" w:rsidR="00EB250C" w:rsidRPr="006F5AB8" w:rsidRDefault="007272F1" w:rsidP="00B21D94">
      <w:pPr>
        <w:pStyle w:val="Heading3"/>
        <w:spacing w:before="240"/>
        <w:jc w:val="both"/>
        <w:rPr>
          <w:rStyle w:val="Strong"/>
          <w:rFonts w:ascii="Arial" w:hAnsi="Arial" w:cs="Arial"/>
          <w:b/>
          <w:bCs w:val="0"/>
          <w:szCs w:val="22"/>
        </w:rPr>
      </w:pPr>
      <w:bookmarkStart w:id="15" w:name="_Toc224307184"/>
      <w:r w:rsidRPr="006F5AB8">
        <w:rPr>
          <w:rStyle w:val="Strong"/>
          <w:rFonts w:ascii="Arial" w:hAnsi="Arial" w:cs="Arial"/>
          <w:b/>
          <w:bCs w:val="0"/>
          <w:szCs w:val="22"/>
        </w:rPr>
        <w:t xml:space="preserve">2.3.2. </w:t>
      </w:r>
      <w:r w:rsidR="00317F5B" w:rsidRPr="006F5AB8">
        <w:rPr>
          <w:rStyle w:val="Strong"/>
          <w:rFonts w:ascii="Arial" w:hAnsi="Arial" w:cs="Arial"/>
          <w:b/>
          <w:bCs w:val="0"/>
          <w:szCs w:val="22"/>
        </w:rPr>
        <w:t xml:space="preserve">Cumulative </w:t>
      </w:r>
      <w:r w:rsidR="00C069E1" w:rsidRPr="006F5AB8">
        <w:rPr>
          <w:rStyle w:val="Strong"/>
          <w:rFonts w:ascii="Arial" w:hAnsi="Arial" w:cs="Arial"/>
          <w:b/>
          <w:bCs w:val="0"/>
          <w:szCs w:val="22"/>
        </w:rPr>
        <w:t xml:space="preserve">Disadvantage </w:t>
      </w:r>
      <w:r w:rsidR="00317F5B" w:rsidRPr="006F5AB8">
        <w:rPr>
          <w:rStyle w:val="Strong"/>
          <w:rFonts w:ascii="Arial" w:hAnsi="Arial" w:cs="Arial"/>
          <w:b/>
          <w:bCs w:val="0"/>
          <w:szCs w:val="22"/>
        </w:rPr>
        <w:t xml:space="preserve">and </w:t>
      </w:r>
      <w:r w:rsidR="00C069E1" w:rsidRPr="006F5AB8">
        <w:rPr>
          <w:rStyle w:val="Strong"/>
          <w:rFonts w:ascii="Arial" w:hAnsi="Arial" w:cs="Arial"/>
          <w:b/>
          <w:bCs w:val="0"/>
          <w:szCs w:val="22"/>
        </w:rPr>
        <w:t>Life-Course Perspective</w:t>
      </w:r>
      <w:bookmarkEnd w:id="15"/>
      <w:r w:rsidR="00C069E1" w:rsidRPr="006F5AB8">
        <w:rPr>
          <w:rStyle w:val="Strong"/>
          <w:rFonts w:ascii="Arial" w:hAnsi="Arial" w:cs="Arial"/>
          <w:b/>
          <w:bCs w:val="0"/>
          <w:szCs w:val="22"/>
        </w:rPr>
        <w:t xml:space="preserve"> </w:t>
      </w:r>
    </w:p>
    <w:p w14:paraId="37AE410E" w14:textId="5BC43141" w:rsidR="00317F5B" w:rsidRPr="006F5AB8" w:rsidRDefault="00317F5B" w:rsidP="009A11CA">
      <w:pPr>
        <w:pStyle w:val="NormalWeb"/>
        <w:spacing w:before="240" w:beforeAutospacing="0"/>
        <w:jc w:val="both"/>
        <w:rPr>
          <w:rFonts w:ascii="Arial" w:hAnsi="Arial" w:cs="Arial"/>
          <w:szCs w:val="22"/>
        </w:rPr>
      </w:pPr>
      <w:r w:rsidRPr="006F5AB8">
        <w:rPr>
          <w:rFonts w:ascii="Arial" w:hAnsi="Arial" w:cs="Arial"/>
          <w:szCs w:val="22"/>
        </w:rPr>
        <w:t>This perspective argues that advantages and disadvantages compound over time through linked lives and transitions. Early disruptions (e.g., removals, placement moves) can alter trajectories by affecting attainment, health, and networks; later shocks (housing loss, precarious work) can reinforce risks at graduation. Protective events (stable mentoring, emergency grants, timely therapy) can shift trajectories</w:t>
      </w:r>
      <w:r w:rsidR="00695134" w:rsidRPr="006F5AB8">
        <w:rPr>
          <w:rFonts w:ascii="Arial" w:hAnsi="Arial" w:cs="Arial"/>
          <w:szCs w:val="22"/>
        </w:rPr>
        <w:t xml:space="preserve"> (Dannefer, 2003</w:t>
      </w:r>
      <w:r w:rsidR="009A11CA">
        <w:rPr>
          <w:rFonts w:ascii="Arial" w:hAnsi="Arial" w:cs="Arial"/>
          <w:szCs w:val="22"/>
        </w:rPr>
        <w:t xml:space="preserve">; </w:t>
      </w:r>
      <w:r w:rsidR="00695134" w:rsidRPr="006F5AB8">
        <w:rPr>
          <w:rFonts w:ascii="Arial" w:hAnsi="Arial" w:cs="Arial"/>
          <w:szCs w:val="22"/>
        </w:rPr>
        <w:t>Ferraro and Kelley-Moore, 2003; Nurius, Prince and Rocha, 2015)</w:t>
      </w:r>
      <w:r w:rsidRPr="006F5AB8">
        <w:rPr>
          <w:rFonts w:ascii="Arial" w:hAnsi="Arial" w:cs="Arial"/>
          <w:szCs w:val="22"/>
        </w:rPr>
        <w:t>.</w:t>
      </w:r>
    </w:p>
    <w:p w14:paraId="7451E258" w14:textId="7A9494A4" w:rsidR="004C6DE0" w:rsidRPr="006F5AB8" w:rsidRDefault="007272F1" w:rsidP="00B21D94">
      <w:pPr>
        <w:pStyle w:val="Heading3"/>
        <w:spacing w:before="240"/>
        <w:jc w:val="both"/>
        <w:rPr>
          <w:rStyle w:val="Strong"/>
          <w:rFonts w:ascii="Arial" w:hAnsi="Arial" w:cs="Arial"/>
          <w:b/>
          <w:bCs w:val="0"/>
          <w:szCs w:val="22"/>
        </w:rPr>
      </w:pPr>
      <w:bookmarkStart w:id="16" w:name="_Toc224307185"/>
      <w:r w:rsidRPr="006F5AB8">
        <w:rPr>
          <w:rStyle w:val="Strong"/>
          <w:rFonts w:ascii="Arial" w:hAnsi="Arial" w:cs="Arial"/>
          <w:b/>
          <w:bCs w:val="0"/>
          <w:szCs w:val="22"/>
        </w:rPr>
        <w:t xml:space="preserve">2.3.3. </w:t>
      </w:r>
      <w:r w:rsidR="004C6DE0" w:rsidRPr="006F5AB8">
        <w:rPr>
          <w:rStyle w:val="Strong"/>
          <w:rFonts w:ascii="Arial" w:hAnsi="Arial" w:cs="Arial"/>
          <w:b/>
          <w:bCs w:val="0"/>
          <w:szCs w:val="22"/>
        </w:rPr>
        <w:t>S</w:t>
      </w:r>
      <w:r w:rsidR="00317F5B" w:rsidRPr="006F5AB8">
        <w:rPr>
          <w:rStyle w:val="Strong"/>
          <w:rFonts w:ascii="Arial" w:hAnsi="Arial" w:cs="Arial"/>
          <w:b/>
          <w:bCs w:val="0"/>
          <w:szCs w:val="22"/>
        </w:rPr>
        <w:t xml:space="preserve">ense of </w:t>
      </w:r>
      <w:r w:rsidR="004C6DE0" w:rsidRPr="006F5AB8">
        <w:rPr>
          <w:rStyle w:val="Strong"/>
          <w:rFonts w:ascii="Arial" w:hAnsi="Arial" w:cs="Arial"/>
          <w:b/>
          <w:bCs w:val="0"/>
          <w:szCs w:val="22"/>
        </w:rPr>
        <w:t xml:space="preserve">Belonging </w:t>
      </w:r>
      <w:r w:rsidR="00317F5B" w:rsidRPr="006F5AB8">
        <w:rPr>
          <w:rStyle w:val="Strong"/>
          <w:rFonts w:ascii="Arial" w:hAnsi="Arial" w:cs="Arial"/>
          <w:b/>
          <w:bCs w:val="0"/>
          <w:szCs w:val="22"/>
        </w:rPr>
        <w:t xml:space="preserve">and </w:t>
      </w:r>
      <w:r w:rsidR="004C6DE0" w:rsidRPr="006F5AB8">
        <w:rPr>
          <w:rStyle w:val="Strong"/>
          <w:rFonts w:ascii="Arial" w:hAnsi="Arial" w:cs="Arial"/>
          <w:b/>
          <w:bCs w:val="0"/>
          <w:szCs w:val="22"/>
        </w:rPr>
        <w:t>Application</w:t>
      </w:r>
      <w:bookmarkEnd w:id="16"/>
    </w:p>
    <w:p w14:paraId="330295D8" w14:textId="76558F35" w:rsidR="00317F5B" w:rsidRPr="006F5AB8" w:rsidRDefault="00930032" w:rsidP="00930032">
      <w:pPr>
        <w:pStyle w:val="NormalWeb"/>
        <w:spacing w:before="240" w:beforeAutospacing="0"/>
        <w:jc w:val="both"/>
        <w:rPr>
          <w:rFonts w:ascii="Arial" w:hAnsi="Arial" w:cs="Arial"/>
          <w:szCs w:val="22"/>
        </w:rPr>
      </w:pPr>
      <w:r>
        <w:rPr>
          <w:rFonts w:ascii="Arial" w:hAnsi="Arial" w:cs="Arial"/>
          <w:szCs w:val="22"/>
        </w:rPr>
        <w:t>Sense of belonging referes to how well a person fits and is accepted in a social and academic environment</w:t>
      </w:r>
      <w:r w:rsidR="00EC154F" w:rsidRPr="006F5AB8">
        <w:rPr>
          <w:rFonts w:ascii="Arial" w:hAnsi="Arial" w:cs="Arial"/>
          <w:szCs w:val="22"/>
        </w:rPr>
        <w:t xml:space="preserve"> (Lawrie </w:t>
      </w:r>
      <w:r w:rsidR="00EC154F" w:rsidRPr="006F5AB8">
        <w:rPr>
          <w:rFonts w:ascii="Arial" w:hAnsi="Arial" w:cs="Arial"/>
          <w:i/>
          <w:iCs/>
          <w:szCs w:val="22"/>
        </w:rPr>
        <w:t>et al.</w:t>
      </w:r>
      <w:r w:rsidR="00EC154F" w:rsidRPr="006F5AB8">
        <w:rPr>
          <w:rFonts w:ascii="Arial" w:hAnsi="Arial" w:cs="Arial"/>
          <w:szCs w:val="22"/>
        </w:rPr>
        <w:t>, 2025)</w:t>
      </w:r>
      <w:r w:rsidR="00317F5B" w:rsidRPr="006F5AB8">
        <w:rPr>
          <w:rFonts w:ascii="Arial" w:hAnsi="Arial" w:cs="Arial"/>
          <w:szCs w:val="22"/>
        </w:rPr>
        <w:t xml:space="preserve">. For care-experienced students and graduates, belonging influences help-seeking, engagement with services, and tolerance of stressors through transitions. </w:t>
      </w:r>
      <w:r w:rsidR="00EC154F" w:rsidRPr="006F5AB8">
        <w:rPr>
          <w:rFonts w:ascii="Arial" w:hAnsi="Arial" w:cs="Arial"/>
          <w:szCs w:val="22"/>
        </w:rPr>
        <w:t xml:space="preserve">Prizeman, McCabe and Weinstein (2024) </w:t>
      </w:r>
      <w:r w:rsidR="00317F5B" w:rsidRPr="006F5AB8">
        <w:rPr>
          <w:rFonts w:ascii="Arial" w:hAnsi="Arial" w:cs="Arial"/>
          <w:szCs w:val="22"/>
        </w:rPr>
        <w:t xml:space="preserve">operationalise belonging with validated scales or with qualitative indicators such as trust in staff, peer connection, and perceived stigma. Applications include testing whether dedicated advisers, peer networks, and year-round housing improve belonging and, in turn, mental health and progression. </w:t>
      </w:r>
    </w:p>
    <w:p w14:paraId="2EFA28E5" w14:textId="446F1F22" w:rsidR="0090083A" w:rsidRPr="006F5AB8" w:rsidRDefault="0090083A" w:rsidP="00B21D94">
      <w:pPr>
        <w:spacing w:before="240"/>
        <w:jc w:val="both"/>
        <w:rPr>
          <w:rFonts w:ascii="Arial" w:hAnsi="Arial" w:cs="Arial"/>
          <w:szCs w:val="22"/>
        </w:rPr>
      </w:pPr>
      <w:r w:rsidRPr="006F5AB8">
        <w:rPr>
          <w:rFonts w:ascii="Arial" w:hAnsi="Arial" w:cs="Arial"/>
          <w:szCs w:val="22"/>
        </w:rPr>
        <w:t xml:space="preserve">Taken together, the three frameworks explain disadvantage at different levels: </w:t>
      </w:r>
      <w:r w:rsidRPr="006F5AB8">
        <w:rPr>
          <w:rStyle w:val="Strong"/>
          <w:rFonts w:ascii="Arial" w:eastAsiaTheme="majorEastAsia" w:hAnsi="Arial" w:cs="Arial"/>
          <w:szCs w:val="22"/>
        </w:rPr>
        <w:t>ecological systems theory</w:t>
      </w:r>
      <w:r w:rsidRPr="006F5AB8">
        <w:rPr>
          <w:rFonts w:ascii="Arial" w:hAnsi="Arial" w:cs="Arial"/>
          <w:szCs w:val="22"/>
        </w:rPr>
        <w:t xml:space="preserve"> shows how policy, institutions, and service linkages shape opportunities and stress exposure; the </w:t>
      </w:r>
      <w:r w:rsidRPr="006F5AB8">
        <w:rPr>
          <w:rStyle w:val="Strong"/>
          <w:rFonts w:ascii="Arial" w:eastAsiaTheme="majorEastAsia" w:hAnsi="Arial" w:cs="Arial"/>
          <w:szCs w:val="22"/>
        </w:rPr>
        <w:t>life-course perspective</w:t>
      </w:r>
      <w:r w:rsidRPr="006F5AB8">
        <w:rPr>
          <w:rFonts w:ascii="Arial" w:hAnsi="Arial" w:cs="Arial"/>
          <w:szCs w:val="22"/>
        </w:rPr>
        <w:t xml:space="preserve"> explains how early disruptions accumulate and why the timing and continuity of support around graduation matter; and </w:t>
      </w:r>
      <w:r w:rsidRPr="006F5AB8">
        <w:rPr>
          <w:rStyle w:val="Strong"/>
          <w:rFonts w:ascii="Arial" w:eastAsiaTheme="majorEastAsia" w:hAnsi="Arial" w:cs="Arial"/>
          <w:szCs w:val="22"/>
        </w:rPr>
        <w:t>belonging</w:t>
      </w:r>
      <w:r w:rsidRPr="006F5AB8">
        <w:rPr>
          <w:rFonts w:ascii="Arial" w:hAnsi="Arial" w:cs="Arial"/>
          <w:szCs w:val="22"/>
        </w:rPr>
        <w:t xml:space="preserve"> clarifies a proximal psychological mechanism through which campus climates and relationships influence help-seeking, wellbeing, and persistence. Each contributes uniquely</w:t>
      </w:r>
      <w:r w:rsidR="00D67C7F">
        <w:rPr>
          <w:rFonts w:ascii="Arial" w:hAnsi="Arial" w:cs="Arial"/>
          <w:szCs w:val="22"/>
        </w:rPr>
        <w:t xml:space="preserve"> </w:t>
      </w:r>
      <w:r w:rsidRPr="006F5AB8">
        <w:rPr>
          <w:rFonts w:ascii="Arial" w:hAnsi="Arial" w:cs="Arial"/>
          <w:szCs w:val="22"/>
        </w:rPr>
        <w:t>context (ecological), trajectory (life-course), and mechanism (belonging)</w:t>
      </w:r>
      <w:r w:rsidR="00D67C7F">
        <w:rPr>
          <w:rFonts w:ascii="Arial" w:hAnsi="Arial" w:cs="Arial"/>
          <w:szCs w:val="22"/>
        </w:rPr>
        <w:t xml:space="preserve"> </w:t>
      </w:r>
      <w:r w:rsidRPr="006F5AB8">
        <w:rPr>
          <w:rFonts w:ascii="Arial" w:hAnsi="Arial" w:cs="Arial"/>
          <w:szCs w:val="22"/>
        </w:rPr>
        <w:t>but each also has limits: ecological models can become too broad for causal attribution</w:t>
      </w:r>
      <w:r w:rsidR="00A53045">
        <w:rPr>
          <w:rFonts w:ascii="Arial" w:hAnsi="Arial" w:cs="Arial"/>
          <w:szCs w:val="22"/>
        </w:rPr>
        <w:t xml:space="preserve"> (Guy-Evans, 2025)</w:t>
      </w:r>
      <w:r w:rsidRPr="006F5AB8">
        <w:rPr>
          <w:rFonts w:ascii="Arial" w:hAnsi="Arial" w:cs="Arial"/>
          <w:szCs w:val="22"/>
        </w:rPr>
        <w:t>, life-course approaches can overstate accumulation without strong longitudinal controls, and belonging can obscure material constraints unless analysed alongside housing and finance</w:t>
      </w:r>
      <w:r w:rsidR="00AB7C8C">
        <w:rPr>
          <w:rFonts w:ascii="Arial" w:hAnsi="Arial" w:cs="Arial"/>
          <w:szCs w:val="22"/>
        </w:rPr>
        <w:t xml:space="preserve"> (Lawrie </w:t>
      </w:r>
      <w:r w:rsidR="00AB7C8C">
        <w:rPr>
          <w:rFonts w:ascii="Arial" w:hAnsi="Arial" w:cs="Arial"/>
          <w:i/>
          <w:iCs/>
          <w:szCs w:val="22"/>
        </w:rPr>
        <w:t>et al.</w:t>
      </w:r>
      <w:r w:rsidR="00AB7C8C">
        <w:rPr>
          <w:rFonts w:ascii="Arial" w:hAnsi="Arial" w:cs="Arial"/>
          <w:szCs w:val="22"/>
        </w:rPr>
        <w:t>, 2025)</w:t>
      </w:r>
      <w:r w:rsidRPr="006F5AB8">
        <w:rPr>
          <w:rFonts w:ascii="Arial" w:hAnsi="Arial" w:cs="Arial"/>
          <w:szCs w:val="22"/>
        </w:rPr>
        <w:t>.</w:t>
      </w:r>
    </w:p>
    <w:p w14:paraId="42E52822" w14:textId="3AA3D907" w:rsidR="0090083A" w:rsidRDefault="0090083A" w:rsidP="00B21D94">
      <w:pPr>
        <w:pStyle w:val="Caption"/>
        <w:keepNext/>
        <w:spacing w:before="240"/>
        <w:jc w:val="both"/>
        <w:rPr>
          <w:rFonts w:ascii="Arial" w:hAnsi="Arial" w:cs="Arial"/>
        </w:rPr>
      </w:pPr>
      <w:bookmarkStart w:id="17" w:name="_Toc219050061"/>
      <w:r w:rsidRPr="00BB52BD">
        <w:rPr>
          <w:rFonts w:ascii="Arial" w:hAnsi="Arial" w:cs="Arial"/>
        </w:rPr>
        <w:t xml:space="preserve">Table </w:t>
      </w:r>
      <w:r w:rsidR="00017405" w:rsidRPr="00BB52BD">
        <w:rPr>
          <w:rFonts w:ascii="Arial" w:hAnsi="Arial" w:cs="Arial"/>
        </w:rPr>
        <w:fldChar w:fldCharType="begin"/>
      </w:r>
      <w:r w:rsidR="00017405" w:rsidRPr="00BB52BD">
        <w:rPr>
          <w:rFonts w:ascii="Arial" w:hAnsi="Arial" w:cs="Arial"/>
        </w:rPr>
        <w:instrText xml:space="preserve"> SEQ Table \* ARABIC </w:instrText>
      </w:r>
      <w:r w:rsidR="00017405" w:rsidRPr="00BB52BD">
        <w:rPr>
          <w:rFonts w:ascii="Arial" w:hAnsi="Arial" w:cs="Arial"/>
        </w:rPr>
        <w:fldChar w:fldCharType="separate"/>
      </w:r>
      <w:r w:rsidR="0020292F">
        <w:rPr>
          <w:rFonts w:ascii="Arial" w:hAnsi="Arial" w:cs="Arial"/>
          <w:noProof/>
        </w:rPr>
        <w:t>1</w:t>
      </w:r>
      <w:r w:rsidR="00017405" w:rsidRPr="00BB52BD">
        <w:rPr>
          <w:rFonts w:ascii="Arial" w:hAnsi="Arial" w:cs="Arial"/>
          <w:noProof/>
        </w:rPr>
        <w:fldChar w:fldCharType="end"/>
      </w:r>
      <w:r w:rsidRPr="00BB52BD">
        <w:rPr>
          <w:rFonts w:ascii="Arial" w:hAnsi="Arial" w:cs="Arial"/>
        </w:rPr>
        <w:t>: Comparison of 3 theories</w:t>
      </w:r>
      <w:bookmarkEnd w:id="17"/>
    </w:p>
    <w:p w14:paraId="14D6B913" w14:textId="04A5AA54" w:rsidR="0090083A" w:rsidRPr="002F43F8" w:rsidRDefault="00DF5020" w:rsidP="002F43F8">
      <w:pPr>
        <w:rPr>
          <w:lang w:eastAsia="en-US"/>
        </w:rPr>
      </w:pPr>
      <w:r w:rsidRPr="00DF5020">
        <w:rPr>
          <w:noProof/>
          <w:lang w:eastAsia="en-US"/>
        </w:rPr>
        <w:drawing>
          <wp:inline distT="0" distB="0" distL="0" distR="0" wp14:anchorId="46E72DBC" wp14:editId="75B1F82E">
            <wp:extent cx="5731510" cy="3175000"/>
            <wp:effectExtent l="0" t="0" r="0" b="0"/>
            <wp:docPr id="1741907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07789" name=""/>
                    <pic:cNvPicPr/>
                  </pic:nvPicPr>
                  <pic:blipFill>
                    <a:blip r:embed="rId10"/>
                    <a:stretch>
                      <a:fillRect/>
                    </a:stretch>
                  </pic:blipFill>
                  <pic:spPr>
                    <a:xfrm>
                      <a:off x="0" y="0"/>
                      <a:ext cx="5731510" cy="3175000"/>
                    </a:xfrm>
                    <a:prstGeom prst="rect">
                      <a:avLst/>
                    </a:prstGeom>
                  </pic:spPr>
                </pic:pic>
              </a:graphicData>
            </a:graphic>
          </wp:inline>
        </w:drawing>
      </w:r>
    </w:p>
    <w:p w14:paraId="0637595D" w14:textId="319696EF" w:rsidR="009C5B78" w:rsidRPr="006F5AB8" w:rsidRDefault="009C5B78" w:rsidP="00B21D94">
      <w:pPr>
        <w:pStyle w:val="Heading2"/>
        <w:spacing w:before="240"/>
        <w:jc w:val="both"/>
        <w:rPr>
          <w:rFonts w:ascii="Arial" w:hAnsi="Arial" w:cs="Arial"/>
          <w:sz w:val="22"/>
          <w:szCs w:val="22"/>
        </w:rPr>
      </w:pPr>
      <w:bookmarkStart w:id="18" w:name="_Toc224307186"/>
      <w:r w:rsidRPr="006F5AB8">
        <w:rPr>
          <w:rFonts w:ascii="Arial" w:hAnsi="Arial" w:cs="Arial"/>
          <w:sz w:val="22"/>
          <w:szCs w:val="22"/>
        </w:rPr>
        <w:t>2.4 International Context</w:t>
      </w:r>
      <w:bookmarkEnd w:id="18"/>
      <w:r w:rsidRPr="006F5AB8">
        <w:rPr>
          <w:rFonts w:ascii="Arial" w:hAnsi="Arial" w:cs="Arial"/>
          <w:sz w:val="22"/>
          <w:szCs w:val="22"/>
        </w:rPr>
        <w:t xml:space="preserve"> </w:t>
      </w:r>
    </w:p>
    <w:p w14:paraId="3C4659D9" w14:textId="30325E17" w:rsidR="00930032" w:rsidRDefault="00930032" w:rsidP="00B21D94">
      <w:pPr>
        <w:pStyle w:val="NormalWeb"/>
        <w:spacing w:before="240" w:beforeAutospacing="0"/>
        <w:jc w:val="both"/>
        <w:rPr>
          <w:rFonts w:ascii="Arial" w:hAnsi="Arial" w:cs="Arial"/>
          <w:szCs w:val="22"/>
        </w:rPr>
      </w:pPr>
      <w:r w:rsidRPr="00930032">
        <w:rPr>
          <w:rFonts w:ascii="Arial" w:hAnsi="Arial" w:cs="Arial"/>
          <w:szCs w:val="22"/>
        </w:rPr>
        <w:t>The subject is treated in a child-welfare, higher-education and public-health system in the world which are seldom integrated. Universities across North America prioriti</w:t>
      </w:r>
      <w:r w:rsidR="0075773D">
        <w:rPr>
          <w:rFonts w:ascii="Arial" w:hAnsi="Arial" w:cs="Arial"/>
          <w:szCs w:val="22"/>
        </w:rPr>
        <w:t>s</w:t>
      </w:r>
      <w:r w:rsidRPr="00930032">
        <w:rPr>
          <w:rFonts w:ascii="Arial" w:hAnsi="Arial" w:cs="Arial"/>
          <w:szCs w:val="22"/>
        </w:rPr>
        <w:t xml:space="preserve">e trauma, persistence and finance, and develop campus programmes that integrate year-round housing, bursaries and care-experienced </w:t>
      </w:r>
      <w:proofErr w:type="gramStart"/>
      <w:r w:rsidRPr="00930032">
        <w:rPr>
          <w:rFonts w:ascii="Arial" w:hAnsi="Arial" w:cs="Arial"/>
          <w:szCs w:val="22"/>
        </w:rPr>
        <w:t>students</w:t>
      </w:r>
      <w:proofErr w:type="gramEnd"/>
      <w:r w:rsidRPr="00930032">
        <w:rPr>
          <w:rFonts w:ascii="Arial" w:hAnsi="Arial" w:cs="Arial"/>
          <w:szCs w:val="22"/>
        </w:rPr>
        <w:t xml:space="preserve"> advisers (Stevenson et al., 2020). Nordic nations are more dependent on universal student welfare and local services, and the availability of robust safety nets leads to a decreased necessity of specific schemes (Greve et al., 2020). Australia and New Zealand situate care experience in a policy framework of equity and Indigenous inclusion, where universities are supposed to offer culturally safe advising and direct referral mechanisms to the external health services (De Zilva et al., 2021). In these regions, access and retention are measured more consistently than graduate outcomes and post-graduation mental health.</w:t>
      </w:r>
    </w:p>
    <w:p w14:paraId="0A7EB086" w14:textId="40DFA14A" w:rsidR="009C5B78" w:rsidRPr="006F5AB8" w:rsidRDefault="001E2FB5" w:rsidP="001E2FB5">
      <w:pPr>
        <w:pStyle w:val="NormalWeb"/>
        <w:spacing w:before="240" w:beforeAutospacing="0"/>
        <w:jc w:val="both"/>
        <w:rPr>
          <w:rFonts w:ascii="Arial" w:hAnsi="Arial" w:cs="Arial"/>
          <w:szCs w:val="22"/>
        </w:rPr>
      </w:pPr>
      <w:r>
        <w:rPr>
          <w:rFonts w:ascii="Arial" w:hAnsi="Arial" w:cs="Arial"/>
          <w:szCs w:val="22"/>
        </w:rPr>
        <w:t>In comparison, US depends on philanthropic partnerships and local state projects which promotes innovation, however also leads to uneven coverage and reporting</w:t>
      </w:r>
      <w:r w:rsidR="00226D02" w:rsidRPr="006F5AB8">
        <w:rPr>
          <w:rFonts w:ascii="Arial" w:hAnsi="Arial" w:cs="Arial"/>
          <w:szCs w:val="22"/>
        </w:rPr>
        <w:t xml:space="preserve"> (US Department of State, 2023)</w:t>
      </w:r>
      <w:r w:rsidR="009C5B78" w:rsidRPr="006F5AB8">
        <w:rPr>
          <w:rFonts w:ascii="Arial" w:hAnsi="Arial" w:cs="Arial"/>
          <w:szCs w:val="22"/>
        </w:rPr>
        <w:t xml:space="preserve">. </w:t>
      </w:r>
      <w:r>
        <w:rPr>
          <w:rFonts w:ascii="Arial" w:hAnsi="Arial" w:cs="Arial"/>
          <w:szCs w:val="22"/>
        </w:rPr>
        <w:t xml:space="preserve">Canada shows similar behaviour but </w:t>
      </w:r>
      <w:r w:rsidR="009C5B78" w:rsidRPr="006F5AB8">
        <w:rPr>
          <w:rFonts w:ascii="Arial" w:hAnsi="Arial" w:cs="Arial"/>
          <w:szCs w:val="22"/>
        </w:rPr>
        <w:t>has widened tuition waivers coupled with mentoring and outreach advisers</w:t>
      </w:r>
      <w:r w:rsidR="00E63F77" w:rsidRPr="006F5AB8">
        <w:rPr>
          <w:rFonts w:ascii="Arial" w:hAnsi="Arial" w:cs="Arial"/>
          <w:szCs w:val="22"/>
        </w:rPr>
        <w:t xml:space="preserve"> (Kirby </w:t>
      </w:r>
      <w:r w:rsidR="00E63F77" w:rsidRPr="006F5AB8">
        <w:rPr>
          <w:rFonts w:ascii="Arial" w:hAnsi="Arial" w:cs="Arial"/>
          <w:i/>
          <w:iCs/>
          <w:szCs w:val="22"/>
        </w:rPr>
        <w:t>et al.</w:t>
      </w:r>
      <w:r w:rsidR="00E63F77" w:rsidRPr="006F5AB8">
        <w:rPr>
          <w:rFonts w:ascii="Arial" w:hAnsi="Arial" w:cs="Arial"/>
          <w:szCs w:val="22"/>
        </w:rPr>
        <w:t>, 2025)</w:t>
      </w:r>
      <w:r w:rsidR="009C5B78" w:rsidRPr="006F5AB8">
        <w:rPr>
          <w:rFonts w:ascii="Arial" w:hAnsi="Arial" w:cs="Arial"/>
          <w:szCs w:val="22"/>
        </w:rPr>
        <w:t xml:space="preserve">. </w:t>
      </w:r>
      <w:r w:rsidRPr="001E2FB5">
        <w:rPr>
          <w:rFonts w:ascii="Arial" w:hAnsi="Arial" w:cs="Arial"/>
          <w:szCs w:val="22"/>
        </w:rPr>
        <w:t>Nordic systems offer standardi</w:t>
      </w:r>
      <w:r w:rsidR="0075773D">
        <w:rPr>
          <w:rFonts w:ascii="Arial" w:hAnsi="Arial" w:cs="Arial"/>
          <w:szCs w:val="22"/>
        </w:rPr>
        <w:t>s</w:t>
      </w:r>
      <w:r w:rsidRPr="001E2FB5">
        <w:rPr>
          <w:rFonts w:ascii="Arial" w:hAnsi="Arial" w:cs="Arial"/>
          <w:szCs w:val="22"/>
        </w:rPr>
        <w:t>ed benefits by national student-aid and municipal health services, but can fail to identify care-experienced students due to the effects of universalism on targeted data collection. Australia and New Zealand incorporate the requirements in equity arrangements and Indigenous plans, yet remote communities experience labor shortages so that they cannot receive speciali</w:t>
      </w:r>
      <w:r w:rsidR="0075773D">
        <w:rPr>
          <w:rFonts w:ascii="Arial" w:hAnsi="Arial" w:cs="Arial"/>
          <w:szCs w:val="22"/>
        </w:rPr>
        <w:t>s</w:t>
      </w:r>
      <w:r w:rsidRPr="001E2FB5">
        <w:rPr>
          <w:rFonts w:ascii="Arial" w:hAnsi="Arial" w:cs="Arial"/>
          <w:szCs w:val="22"/>
        </w:rPr>
        <w:t>ed care in time</w:t>
      </w:r>
      <w:r>
        <w:rPr>
          <w:rFonts w:ascii="Arial" w:hAnsi="Arial" w:cs="Arial"/>
          <w:szCs w:val="22"/>
        </w:rPr>
        <w:t xml:space="preserve"> </w:t>
      </w:r>
      <w:r w:rsidR="00216359" w:rsidRPr="006F5AB8">
        <w:rPr>
          <w:rFonts w:ascii="Arial" w:hAnsi="Arial" w:cs="Arial"/>
          <w:szCs w:val="22"/>
        </w:rPr>
        <w:t xml:space="preserve">(Kirkbride </w:t>
      </w:r>
      <w:r w:rsidR="00216359" w:rsidRPr="006F5AB8">
        <w:rPr>
          <w:rFonts w:ascii="Arial" w:hAnsi="Arial" w:cs="Arial"/>
          <w:i/>
          <w:iCs/>
          <w:szCs w:val="22"/>
        </w:rPr>
        <w:t>et al.</w:t>
      </w:r>
      <w:r w:rsidR="00216359" w:rsidRPr="006F5AB8">
        <w:rPr>
          <w:rFonts w:ascii="Arial" w:hAnsi="Arial" w:cs="Arial"/>
          <w:szCs w:val="22"/>
        </w:rPr>
        <w:t>, 2024)</w:t>
      </w:r>
      <w:r w:rsidR="009C5B78" w:rsidRPr="006F5AB8">
        <w:rPr>
          <w:rFonts w:ascii="Arial" w:hAnsi="Arial" w:cs="Arial"/>
          <w:szCs w:val="22"/>
        </w:rPr>
        <w:t>.</w:t>
      </w:r>
    </w:p>
    <w:p w14:paraId="39DC9367" w14:textId="6DEF5D57" w:rsidR="00AC5211" w:rsidRPr="006F5AB8" w:rsidRDefault="007E6CA2" w:rsidP="008872B2">
      <w:pPr>
        <w:spacing w:before="240"/>
        <w:jc w:val="both"/>
        <w:rPr>
          <w:rFonts w:ascii="Arial" w:hAnsi="Arial" w:cs="Arial"/>
          <w:szCs w:val="22"/>
        </w:rPr>
      </w:pPr>
      <w:r w:rsidRPr="007E6CA2">
        <w:rPr>
          <w:rFonts w:ascii="Arial" w:hAnsi="Arial" w:cs="Arial"/>
          <w:szCs w:val="22"/>
        </w:rPr>
        <w:t xml:space="preserve">Although these approaches vary in their design, a seeming success is commonly associated with the ability of systems to balance stable entitlements by accurately identifying and coordinating across sectors. The positive results that targeted programmes in federal systems can attain when coupled with finance, housing and expert advising, are susceptible to postcode variation, short term funding and dependency on self-disclosure that may reject students who opt not to be identified (Norton, 2024). Universalist models can lessen stigma, offer baseline security, but fail with care-experienced populations when their needs become statistically invisible and specialist pathways (such as trauma-informed therapy and support transitioning off services) are not commissioned directly (Grummitt et al., 2024). </w:t>
      </w:r>
    </w:p>
    <w:p w14:paraId="6E83DD4D" w14:textId="428FEC17" w:rsidR="009C5B78" w:rsidRPr="006F5AB8" w:rsidRDefault="009C5B78" w:rsidP="00B21D94">
      <w:pPr>
        <w:pStyle w:val="Heading2"/>
        <w:spacing w:before="240"/>
        <w:jc w:val="both"/>
        <w:rPr>
          <w:rFonts w:ascii="Arial" w:hAnsi="Arial" w:cs="Arial"/>
          <w:sz w:val="22"/>
          <w:szCs w:val="22"/>
        </w:rPr>
      </w:pPr>
      <w:bookmarkStart w:id="19" w:name="_Toc224307187"/>
      <w:r w:rsidRPr="006F5AB8">
        <w:rPr>
          <w:rFonts w:ascii="Arial" w:hAnsi="Arial" w:cs="Arial"/>
          <w:sz w:val="22"/>
          <w:szCs w:val="22"/>
        </w:rPr>
        <w:t>2.5 National/Local UK Context</w:t>
      </w:r>
      <w:bookmarkEnd w:id="19"/>
      <w:r w:rsidRPr="006F5AB8">
        <w:rPr>
          <w:rFonts w:ascii="Arial" w:hAnsi="Arial" w:cs="Arial"/>
          <w:sz w:val="22"/>
          <w:szCs w:val="22"/>
        </w:rPr>
        <w:t xml:space="preserve"> </w:t>
      </w:r>
    </w:p>
    <w:p w14:paraId="53CDC397" w14:textId="6F684A83" w:rsidR="009C5B78" w:rsidRPr="006F5AB8" w:rsidRDefault="009C5B78"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UK perspective.</w:t>
      </w:r>
      <w:r w:rsidRPr="006F5AB8">
        <w:rPr>
          <w:rFonts w:ascii="Arial" w:hAnsi="Arial" w:cs="Arial"/>
          <w:szCs w:val="22"/>
        </w:rPr>
        <w:t xml:space="preserve"> </w:t>
      </w:r>
      <w:r w:rsidR="00160CFF" w:rsidRPr="00160CFF">
        <w:rPr>
          <w:rFonts w:ascii="Arial" w:hAnsi="Arial" w:cs="Arial"/>
          <w:szCs w:val="22"/>
        </w:rPr>
        <w:t>The UK describes care-experienced people as a primary cohort in spheres of social, higher-education, and widening participation. Universities are paying more attention to the fact that access gains cannot be achieved without fair results at graduation and beyond. Mental health of students is now a system concern but service and institutional disparity persists. In this setting, the unique requirements of foster-care graduates tend to be watered down under the broad brackets of estranged students or disadvantaged learners, making them hard to recognize and support</w:t>
      </w:r>
      <w:r w:rsidR="00160CFF">
        <w:rPr>
          <w:rFonts w:ascii="Arial" w:hAnsi="Arial" w:cs="Arial"/>
          <w:szCs w:val="22"/>
        </w:rPr>
        <w:t xml:space="preserve"> </w:t>
      </w:r>
      <w:r w:rsidR="00DC2490" w:rsidRPr="006F5AB8">
        <w:rPr>
          <w:rFonts w:ascii="Arial" w:hAnsi="Arial" w:cs="Arial"/>
          <w:szCs w:val="22"/>
        </w:rPr>
        <w:t>(Ellis and Johnston, 2022; Ellis and Sen, 2024)</w:t>
      </w:r>
      <w:r w:rsidRPr="006F5AB8">
        <w:rPr>
          <w:rFonts w:ascii="Arial" w:hAnsi="Arial" w:cs="Arial"/>
          <w:szCs w:val="22"/>
        </w:rPr>
        <w:t>.</w:t>
      </w:r>
    </w:p>
    <w:p w14:paraId="17D551FF" w14:textId="463B5A05" w:rsidR="009C5B78" w:rsidRPr="006F5AB8" w:rsidRDefault="009C5B78"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National trends, policies, and practices.</w:t>
      </w:r>
      <w:r w:rsidRPr="006F5AB8">
        <w:rPr>
          <w:rFonts w:ascii="Arial" w:hAnsi="Arial" w:cs="Arial"/>
          <w:szCs w:val="22"/>
        </w:rPr>
        <w:t xml:space="preserve"> Key trends include growth in care-experienced bursaries, year-round accommodation guarantees for vacation periods, and dedicated contact points or advisers. Universities use hardship funds and emergency grants to stabilise students during placement breakdowns or housing loss</w:t>
      </w:r>
      <w:r w:rsidR="0053789E" w:rsidRPr="006F5AB8">
        <w:rPr>
          <w:rFonts w:ascii="Arial" w:hAnsi="Arial" w:cs="Arial"/>
          <w:szCs w:val="22"/>
        </w:rPr>
        <w:t xml:space="preserve"> (Ellis and Johnston, 2022; Ellis and Sen, 2024)</w:t>
      </w:r>
      <w:r w:rsidRPr="006F5AB8">
        <w:rPr>
          <w:rFonts w:ascii="Arial" w:hAnsi="Arial" w:cs="Arial"/>
          <w:szCs w:val="22"/>
        </w:rPr>
        <w:t>. The expansion of university counselling services has improved access, but waiting times and variability in trauma-informed practice persist. Efforts to link careers services with pastoral teams are increasing, aiming to support transitions to work with mentoring, internships, and employer engagement. Data work is ongoing to standardise definitions of care-experienced across admissions and student-records systems so that proactive outreach can occur without stigma</w:t>
      </w:r>
      <w:r w:rsidR="00C73F5C" w:rsidRPr="006F5AB8">
        <w:rPr>
          <w:rFonts w:ascii="Arial" w:hAnsi="Arial" w:cs="Arial"/>
          <w:szCs w:val="22"/>
        </w:rPr>
        <w:t xml:space="preserve"> (Ferraro and Kelley-Moore, 2003)</w:t>
      </w:r>
      <w:r w:rsidRPr="006F5AB8">
        <w:rPr>
          <w:rFonts w:ascii="Arial" w:hAnsi="Arial" w:cs="Arial"/>
          <w:szCs w:val="22"/>
        </w:rPr>
        <w:t>.</w:t>
      </w:r>
    </w:p>
    <w:p w14:paraId="6DB76AD1" w14:textId="1544ED35" w:rsidR="009C5B78" w:rsidRPr="006F5AB8" w:rsidRDefault="009C5B78"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Policy and regulation.</w:t>
      </w:r>
      <w:r w:rsidRPr="006F5AB8">
        <w:rPr>
          <w:rFonts w:ascii="Arial" w:hAnsi="Arial" w:cs="Arial"/>
          <w:szCs w:val="22"/>
        </w:rPr>
        <w:t xml:space="preserve"> Children’s social-care law places duties on local authorities for looked-after children and care leavers, including pathway planning and personal adviser support to at least age 21, with extensions in some circumstances. Higher-education regulation emphasises access and participation plans and public reporting on equality of opportunity, which encourages institutions to set targets and evaluate outcomes for priority groups</w:t>
      </w:r>
      <w:r w:rsidR="00C73F5C" w:rsidRPr="006F5AB8">
        <w:rPr>
          <w:rFonts w:ascii="Arial" w:hAnsi="Arial" w:cs="Arial"/>
          <w:szCs w:val="22"/>
        </w:rPr>
        <w:t xml:space="preserve"> (Department of Health, 2011)</w:t>
      </w:r>
      <w:r w:rsidRPr="006F5AB8">
        <w:rPr>
          <w:rFonts w:ascii="Arial" w:hAnsi="Arial" w:cs="Arial"/>
          <w:szCs w:val="22"/>
        </w:rPr>
        <w:t>. Mental-health policy promotes early intervention and partnership between the NHS and universities, but commissioning boundaries and data-sharing rules still impede continuity of care when students move location for study or work. Student-finance policy interacts with these frameworks by shaping eligibility for grants, estrangement evidence, and independent-status assessments; unclear rules can delay payments and destabilise study</w:t>
      </w:r>
      <w:r w:rsidR="00C73F5C" w:rsidRPr="006F5AB8">
        <w:rPr>
          <w:rFonts w:ascii="Arial" w:hAnsi="Arial" w:cs="Arial"/>
          <w:szCs w:val="22"/>
        </w:rPr>
        <w:t xml:space="preserve"> (Broglia </w:t>
      </w:r>
      <w:r w:rsidR="00C73F5C" w:rsidRPr="006F5AB8">
        <w:rPr>
          <w:rFonts w:ascii="Arial" w:hAnsi="Arial" w:cs="Arial"/>
          <w:i/>
          <w:iCs/>
          <w:szCs w:val="22"/>
        </w:rPr>
        <w:t>et al.</w:t>
      </w:r>
      <w:r w:rsidR="00C73F5C" w:rsidRPr="006F5AB8">
        <w:rPr>
          <w:rFonts w:ascii="Arial" w:hAnsi="Arial" w:cs="Arial"/>
          <w:szCs w:val="22"/>
        </w:rPr>
        <w:t>, 2023)</w:t>
      </w:r>
      <w:r w:rsidRPr="006F5AB8">
        <w:rPr>
          <w:rFonts w:ascii="Arial" w:hAnsi="Arial" w:cs="Arial"/>
          <w:szCs w:val="22"/>
        </w:rPr>
        <w:t>.</w:t>
      </w:r>
    </w:p>
    <w:p w14:paraId="48C9B018" w14:textId="77777777" w:rsidR="008872B2" w:rsidRDefault="009C5B78"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Local context and regional variation.</w:t>
      </w:r>
      <w:r w:rsidRPr="006F5AB8">
        <w:rPr>
          <w:rFonts w:ascii="Arial" w:hAnsi="Arial" w:cs="Arial"/>
          <w:szCs w:val="22"/>
        </w:rPr>
        <w:t xml:space="preserve"> </w:t>
      </w:r>
      <w:r w:rsidR="00CA5F7B" w:rsidRPr="006F5AB8">
        <w:rPr>
          <w:rFonts w:ascii="Arial" w:hAnsi="Arial" w:cs="Arial"/>
          <w:szCs w:val="22"/>
        </w:rPr>
        <w:t xml:space="preserve">Local authorities differ in resources, commissioning, and leaving-care practice, creating variation in support links with nearby universities. </w:t>
      </w:r>
    </w:p>
    <w:p w14:paraId="3BFCF485" w14:textId="77777777" w:rsidR="008872B2" w:rsidRDefault="00CA5F7B" w:rsidP="008872B2">
      <w:pPr>
        <w:pStyle w:val="NormalWeb"/>
        <w:numPr>
          <w:ilvl w:val="0"/>
          <w:numId w:val="8"/>
        </w:numPr>
        <w:spacing w:before="240" w:beforeAutospacing="0"/>
        <w:jc w:val="both"/>
        <w:rPr>
          <w:rFonts w:ascii="Arial" w:hAnsi="Arial" w:cs="Arial"/>
          <w:szCs w:val="22"/>
        </w:rPr>
      </w:pPr>
      <w:r w:rsidRPr="006F5AB8">
        <w:rPr>
          <w:rFonts w:ascii="Arial" w:hAnsi="Arial" w:cs="Arial"/>
          <w:szCs w:val="22"/>
        </w:rPr>
        <w:t xml:space="preserve">In </w:t>
      </w:r>
      <w:r w:rsidRPr="006F5AB8">
        <w:rPr>
          <w:rStyle w:val="Strong"/>
          <w:rFonts w:ascii="Arial" w:eastAsiaTheme="majorEastAsia" w:hAnsi="Arial" w:cs="Arial"/>
          <w:szCs w:val="22"/>
        </w:rPr>
        <w:t>Greater Manchester</w:t>
      </w:r>
      <w:r w:rsidRPr="006F5AB8">
        <w:rPr>
          <w:rFonts w:ascii="Arial" w:hAnsi="Arial" w:cs="Arial"/>
          <w:szCs w:val="22"/>
        </w:rPr>
        <w:t>, a city-region forum coordinates housing, NHS mental-health access, and crisis responses with the University of Manchester and Manchester Metropolitan University, reducing duplication and wait times</w:t>
      </w:r>
      <w:r w:rsidR="009144B7" w:rsidRPr="006F5AB8">
        <w:rPr>
          <w:rFonts w:ascii="Arial" w:hAnsi="Arial" w:cs="Arial"/>
          <w:szCs w:val="22"/>
        </w:rPr>
        <w:t xml:space="preserve"> (Shanley, 2024)</w:t>
      </w:r>
      <w:r w:rsidRPr="006F5AB8">
        <w:rPr>
          <w:rFonts w:ascii="Arial" w:hAnsi="Arial" w:cs="Arial"/>
          <w:szCs w:val="22"/>
        </w:rPr>
        <w:t xml:space="preserve">. </w:t>
      </w:r>
    </w:p>
    <w:p w14:paraId="3B53B638" w14:textId="77777777" w:rsidR="008872B2" w:rsidRDefault="00CA5F7B" w:rsidP="008872B2">
      <w:pPr>
        <w:pStyle w:val="NormalWeb"/>
        <w:numPr>
          <w:ilvl w:val="0"/>
          <w:numId w:val="8"/>
        </w:numPr>
        <w:spacing w:before="240" w:beforeAutospacing="0"/>
        <w:jc w:val="both"/>
        <w:rPr>
          <w:rFonts w:ascii="Arial" w:hAnsi="Arial" w:cs="Arial"/>
          <w:szCs w:val="22"/>
        </w:rPr>
      </w:pPr>
      <w:r w:rsidRPr="006F5AB8">
        <w:rPr>
          <w:rFonts w:ascii="Arial" w:hAnsi="Arial" w:cs="Arial"/>
          <w:szCs w:val="22"/>
        </w:rPr>
        <w:t xml:space="preserve">In </w:t>
      </w:r>
      <w:r w:rsidRPr="006F5AB8">
        <w:rPr>
          <w:rStyle w:val="Strong"/>
          <w:rFonts w:ascii="Arial" w:eastAsiaTheme="majorEastAsia" w:hAnsi="Arial" w:cs="Arial"/>
          <w:szCs w:val="22"/>
        </w:rPr>
        <w:t>London</w:t>
      </w:r>
      <w:r w:rsidRPr="006F5AB8">
        <w:rPr>
          <w:rFonts w:ascii="Arial" w:hAnsi="Arial" w:cs="Arial"/>
          <w:szCs w:val="22"/>
        </w:rPr>
        <w:t>, several borough–university partnerships (e.g., with King’s College London) offer year-round accommodation and named advisers, but fragmentation across trusts and providers makes referrals uneven</w:t>
      </w:r>
      <w:r w:rsidR="009144B7" w:rsidRPr="006F5AB8">
        <w:rPr>
          <w:rFonts w:ascii="Arial" w:hAnsi="Arial" w:cs="Arial"/>
          <w:szCs w:val="22"/>
        </w:rPr>
        <w:t xml:space="preserve"> (KCL, 2025)</w:t>
      </w:r>
      <w:r w:rsidRPr="006F5AB8">
        <w:rPr>
          <w:rFonts w:ascii="Arial" w:hAnsi="Arial" w:cs="Arial"/>
          <w:szCs w:val="22"/>
        </w:rPr>
        <w:t xml:space="preserve">. </w:t>
      </w:r>
    </w:p>
    <w:p w14:paraId="630197C6" w14:textId="723D78E4" w:rsidR="00CA5F7B" w:rsidRPr="006F5AB8" w:rsidRDefault="00CA5F7B" w:rsidP="008872B2">
      <w:pPr>
        <w:pStyle w:val="NormalWeb"/>
        <w:numPr>
          <w:ilvl w:val="0"/>
          <w:numId w:val="8"/>
        </w:numPr>
        <w:spacing w:before="240" w:beforeAutospacing="0"/>
        <w:jc w:val="both"/>
        <w:rPr>
          <w:rFonts w:ascii="Arial" w:hAnsi="Arial" w:cs="Arial"/>
          <w:szCs w:val="22"/>
        </w:rPr>
      </w:pPr>
      <w:r w:rsidRPr="006F5AB8">
        <w:rPr>
          <w:rFonts w:ascii="Arial" w:hAnsi="Arial" w:cs="Arial"/>
          <w:szCs w:val="22"/>
        </w:rPr>
        <w:t xml:space="preserve">In </w:t>
      </w:r>
      <w:r w:rsidRPr="006F5AB8">
        <w:rPr>
          <w:rStyle w:val="Strong"/>
          <w:rFonts w:ascii="Arial" w:eastAsiaTheme="majorEastAsia" w:hAnsi="Arial" w:cs="Arial"/>
          <w:szCs w:val="22"/>
        </w:rPr>
        <w:t>Glasgow</w:t>
      </w:r>
      <w:r w:rsidRPr="006F5AB8">
        <w:rPr>
          <w:rFonts w:ascii="Arial" w:hAnsi="Arial" w:cs="Arial"/>
          <w:szCs w:val="22"/>
        </w:rPr>
        <w:t>, devolved policy is translated locally through university bursaries and single points of contact, yet capacity in specialist therapy remains constrained. At institutional level, practices vary in identification (self-declaration vs evidence), referral routes to NHS or third-sector therapy, and access to internships and alumni mentoring</w:t>
      </w:r>
      <w:r w:rsidR="009144B7" w:rsidRPr="006F5AB8">
        <w:rPr>
          <w:rFonts w:ascii="Arial" w:hAnsi="Arial" w:cs="Arial"/>
          <w:szCs w:val="22"/>
        </w:rPr>
        <w:t xml:space="preserve"> </w:t>
      </w:r>
      <w:r w:rsidRPr="006F5AB8">
        <w:rPr>
          <w:rFonts w:ascii="Arial" w:hAnsi="Arial" w:cs="Arial"/>
          <w:szCs w:val="22"/>
        </w:rPr>
        <w:t>differences that shape mental-health trajectories and early-career quality after graduation</w:t>
      </w:r>
      <w:r w:rsidR="009144B7" w:rsidRPr="006F5AB8">
        <w:rPr>
          <w:rFonts w:ascii="Arial" w:hAnsi="Arial" w:cs="Arial"/>
          <w:szCs w:val="22"/>
        </w:rPr>
        <w:t xml:space="preserve"> (University of Glasgow, 2024)</w:t>
      </w:r>
      <w:r w:rsidRPr="006F5AB8">
        <w:rPr>
          <w:rFonts w:ascii="Arial" w:hAnsi="Arial" w:cs="Arial"/>
          <w:szCs w:val="22"/>
        </w:rPr>
        <w:t>.</w:t>
      </w:r>
    </w:p>
    <w:p w14:paraId="1B511FB3" w14:textId="395CD410" w:rsidR="00201A3B" w:rsidRPr="006F5AB8" w:rsidRDefault="00DA702D" w:rsidP="00B21D94">
      <w:pPr>
        <w:spacing w:before="240"/>
        <w:jc w:val="both"/>
        <w:rPr>
          <w:rFonts w:ascii="Arial" w:hAnsi="Arial" w:cs="Arial"/>
          <w:szCs w:val="22"/>
        </w:rPr>
      </w:pPr>
      <w:r>
        <w:rPr>
          <w:rFonts w:ascii="Arial" w:hAnsi="Arial" w:cs="Arial"/>
          <w:szCs w:val="22"/>
        </w:rPr>
        <w:t>Figure 2</w:t>
      </w:r>
      <w:r w:rsidR="003F5DC4" w:rsidRPr="006F5AB8">
        <w:rPr>
          <w:rFonts w:ascii="Arial" w:hAnsi="Arial" w:cs="Arial"/>
          <w:szCs w:val="22"/>
        </w:rPr>
        <w:t xml:space="preserve"> summarises major developments from the 1960s–2020s:</w:t>
      </w:r>
    </w:p>
    <w:p w14:paraId="3D5C5DD9" w14:textId="77777777" w:rsidR="00201A3B" w:rsidRPr="006F5AB8" w:rsidRDefault="00201A3B" w:rsidP="00322988">
      <w:pPr>
        <w:pStyle w:val="NormalWeb"/>
        <w:keepNext/>
        <w:spacing w:before="240" w:beforeAutospacing="0"/>
        <w:jc w:val="center"/>
        <w:rPr>
          <w:rFonts w:ascii="Arial" w:hAnsi="Arial" w:cs="Arial"/>
          <w:szCs w:val="22"/>
        </w:rPr>
      </w:pPr>
      <w:r w:rsidRPr="006F5AB8">
        <w:rPr>
          <w:rFonts w:ascii="Arial" w:hAnsi="Arial" w:cs="Arial"/>
          <w:noProof/>
          <w:szCs w:val="22"/>
        </w:rPr>
        <w:drawing>
          <wp:inline distT="0" distB="0" distL="0" distR="0" wp14:anchorId="02022B57" wp14:editId="56D7C6E1">
            <wp:extent cx="5731510" cy="2683510"/>
            <wp:effectExtent l="0" t="0" r="0" b="0"/>
            <wp:docPr id="134036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62362" name=""/>
                    <pic:cNvPicPr/>
                  </pic:nvPicPr>
                  <pic:blipFill>
                    <a:blip r:embed="rId11"/>
                    <a:stretch>
                      <a:fillRect/>
                    </a:stretch>
                  </pic:blipFill>
                  <pic:spPr>
                    <a:xfrm>
                      <a:off x="0" y="0"/>
                      <a:ext cx="5731510" cy="2683510"/>
                    </a:xfrm>
                    <a:prstGeom prst="rect">
                      <a:avLst/>
                    </a:prstGeom>
                  </pic:spPr>
                </pic:pic>
              </a:graphicData>
            </a:graphic>
          </wp:inline>
        </w:drawing>
      </w:r>
    </w:p>
    <w:p w14:paraId="4F3EBCA9" w14:textId="4B1BC150" w:rsidR="00201A3B" w:rsidRPr="0014124E" w:rsidRDefault="00201A3B" w:rsidP="00322988">
      <w:pPr>
        <w:pStyle w:val="Caption"/>
        <w:spacing w:before="240"/>
        <w:jc w:val="center"/>
        <w:rPr>
          <w:rFonts w:ascii="Arial" w:hAnsi="Arial" w:cs="Arial"/>
        </w:rPr>
      </w:pPr>
      <w:bookmarkStart w:id="20" w:name="_Toc224307161"/>
      <w:r w:rsidRPr="0014124E">
        <w:rPr>
          <w:rFonts w:ascii="Arial" w:hAnsi="Arial" w:cs="Arial"/>
        </w:rPr>
        <w:t xml:space="preserve">Figure </w:t>
      </w:r>
      <w:r w:rsidRPr="0014124E">
        <w:rPr>
          <w:rFonts w:ascii="Arial" w:hAnsi="Arial" w:cs="Arial"/>
        </w:rPr>
        <w:fldChar w:fldCharType="begin"/>
      </w:r>
      <w:r w:rsidRPr="0014124E">
        <w:rPr>
          <w:rFonts w:ascii="Arial" w:hAnsi="Arial" w:cs="Arial"/>
        </w:rPr>
        <w:instrText xml:space="preserve"> SEQ Figure \* ARABIC </w:instrText>
      </w:r>
      <w:r w:rsidRPr="0014124E">
        <w:rPr>
          <w:rFonts w:ascii="Arial" w:hAnsi="Arial" w:cs="Arial"/>
        </w:rPr>
        <w:fldChar w:fldCharType="separate"/>
      </w:r>
      <w:r w:rsidR="00DA7895">
        <w:rPr>
          <w:rFonts w:ascii="Arial" w:hAnsi="Arial" w:cs="Arial"/>
          <w:noProof/>
        </w:rPr>
        <w:t>2</w:t>
      </w:r>
      <w:r w:rsidRPr="0014124E">
        <w:rPr>
          <w:rFonts w:ascii="Arial" w:hAnsi="Arial" w:cs="Arial"/>
          <w:noProof/>
        </w:rPr>
        <w:fldChar w:fldCharType="end"/>
      </w:r>
      <w:r w:rsidRPr="0014124E">
        <w:rPr>
          <w:rFonts w:ascii="Arial" w:hAnsi="Arial" w:cs="Arial"/>
        </w:rPr>
        <w:t>: Timeline of policy and system shifts impacting care-experienced graduates in the UK and internationally (Self created)</w:t>
      </w:r>
      <w:bookmarkEnd w:id="20"/>
    </w:p>
    <w:p w14:paraId="5EB2C44F" w14:textId="53338D69" w:rsidR="009C5B78" w:rsidRPr="006F5AB8" w:rsidRDefault="009C5B78" w:rsidP="00B21D94">
      <w:pPr>
        <w:pStyle w:val="Heading2"/>
        <w:spacing w:before="240"/>
        <w:jc w:val="both"/>
        <w:rPr>
          <w:rFonts w:ascii="Arial" w:hAnsi="Arial" w:cs="Arial"/>
          <w:sz w:val="22"/>
          <w:szCs w:val="22"/>
        </w:rPr>
      </w:pPr>
      <w:bookmarkStart w:id="21" w:name="_Toc224307188"/>
      <w:r w:rsidRPr="006F5AB8">
        <w:rPr>
          <w:rFonts w:ascii="Arial" w:hAnsi="Arial" w:cs="Arial"/>
          <w:sz w:val="22"/>
          <w:szCs w:val="22"/>
        </w:rPr>
        <w:t>2.6 Conclusion</w:t>
      </w:r>
      <w:bookmarkEnd w:id="21"/>
      <w:r w:rsidRPr="006F5AB8">
        <w:rPr>
          <w:rFonts w:ascii="Arial" w:hAnsi="Arial" w:cs="Arial"/>
          <w:sz w:val="22"/>
          <w:szCs w:val="22"/>
        </w:rPr>
        <w:t xml:space="preserve"> </w:t>
      </w:r>
    </w:p>
    <w:p w14:paraId="0B21F374" w14:textId="063FC0C2" w:rsidR="009C5B78" w:rsidRPr="006F5AB8" w:rsidRDefault="00E95C04" w:rsidP="00E95C04">
      <w:pPr>
        <w:pStyle w:val="NormalWeb"/>
        <w:spacing w:before="240" w:beforeAutospacing="0"/>
        <w:jc w:val="both"/>
        <w:rPr>
          <w:rFonts w:ascii="Arial" w:hAnsi="Arial" w:cs="Arial"/>
          <w:szCs w:val="22"/>
        </w:rPr>
      </w:pPr>
      <w:r>
        <w:rPr>
          <w:rFonts w:ascii="Arial" w:hAnsi="Arial" w:cs="Arial"/>
          <w:szCs w:val="22"/>
        </w:rPr>
        <w:t>The chapter analysed the past literature to develop academic and theoretical foundation of comparison of mental health and academic success of students with foster care and without foster care histories. In history, the system started witj child protection and concerns related to post graduation outcomes, however the literature still had gaps</w:t>
      </w:r>
      <w:r w:rsidR="009C5B78" w:rsidRPr="006F5AB8">
        <w:rPr>
          <w:rFonts w:ascii="Arial" w:hAnsi="Arial" w:cs="Arial"/>
          <w:szCs w:val="22"/>
        </w:rPr>
        <w:t>. Theor</w:t>
      </w:r>
      <w:r w:rsidR="00C0353C" w:rsidRPr="006F5AB8">
        <w:rPr>
          <w:rFonts w:ascii="Arial" w:hAnsi="Arial" w:cs="Arial"/>
          <w:szCs w:val="22"/>
        </w:rPr>
        <w:t xml:space="preserve">ies like </w:t>
      </w:r>
      <w:r w:rsidR="009C5B78" w:rsidRPr="006F5AB8">
        <w:rPr>
          <w:rFonts w:ascii="Arial" w:hAnsi="Arial" w:cs="Arial"/>
          <w:szCs w:val="22"/>
        </w:rPr>
        <w:t>ecological systems</w:t>
      </w:r>
      <w:r w:rsidR="0014124E">
        <w:rPr>
          <w:rFonts w:ascii="Arial" w:hAnsi="Arial" w:cs="Arial"/>
          <w:szCs w:val="22"/>
        </w:rPr>
        <w:t xml:space="preserve"> (Guy-Evans, 2025)</w:t>
      </w:r>
      <w:r w:rsidR="009C5B78" w:rsidRPr="006F5AB8">
        <w:rPr>
          <w:rFonts w:ascii="Arial" w:hAnsi="Arial" w:cs="Arial"/>
          <w:szCs w:val="22"/>
        </w:rPr>
        <w:t>, life-course accumulation</w:t>
      </w:r>
      <w:r w:rsidR="00E246B6">
        <w:rPr>
          <w:rFonts w:ascii="Arial" w:hAnsi="Arial" w:cs="Arial"/>
          <w:szCs w:val="22"/>
        </w:rPr>
        <w:t xml:space="preserve"> (Jackson, Dean and Eady, 2023)</w:t>
      </w:r>
      <w:r w:rsidR="009C5B78" w:rsidRPr="006F5AB8">
        <w:rPr>
          <w:rFonts w:ascii="Arial" w:hAnsi="Arial" w:cs="Arial"/>
          <w:szCs w:val="22"/>
        </w:rPr>
        <w:t>, and belonging</w:t>
      </w:r>
      <w:r w:rsidR="00C0353C" w:rsidRPr="006F5AB8">
        <w:rPr>
          <w:rFonts w:ascii="Arial" w:hAnsi="Arial" w:cs="Arial"/>
          <w:szCs w:val="22"/>
        </w:rPr>
        <w:t xml:space="preserve"> </w:t>
      </w:r>
      <w:r w:rsidR="009C5B78" w:rsidRPr="006F5AB8">
        <w:rPr>
          <w:rFonts w:ascii="Arial" w:hAnsi="Arial" w:cs="Arial"/>
          <w:szCs w:val="22"/>
        </w:rPr>
        <w:t>clarify multi-level and temporal influences, while highlighting limits when structural conditions are ignored. Internationally, practice differs: targeted campus programmes in federal systems, universal entitlements in Nordic contexts, and equity-focused approaches in Australia and New Zealand. Shared challenges are stable funding, identification, and continuity across education, health, and employment. In the UK, policy aims for equity in outcomes, but delivery varies with local capacity, commissioning boundaries, and data constraints</w:t>
      </w:r>
      <w:r w:rsidR="00511D0F">
        <w:rPr>
          <w:rFonts w:ascii="Arial" w:hAnsi="Arial" w:cs="Arial"/>
          <w:szCs w:val="22"/>
        </w:rPr>
        <w:t xml:space="preserve"> (Kirby </w:t>
      </w:r>
      <w:r w:rsidR="00511D0F">
        <w:rPr>
          <w:rFonts w:ascii="Arial" w:hAnsi="Arial" w:cs="Arial"/>
          <w:i/>
          <w:iCs/>
          <w:szCs w:val="22"/>
        </w:rPr>
        <w:t>et al.</w:t>
      </w:r>
      <w:r w:rsidR="00511D0F">
        <w:rPr>
          <w:rFonts w:ascii="Arial" w:hAnsi="Arial" w:cs="Arial"/>
          <w:szCs w:val="22"/>
        </w:rPr>
        <w:t>, 2025)</w:t>
      </w:r>
      <w:r w:rsidR="009C5B78" w:rsidRPr="006F5AB8">
        <w:rPr>
          <w:rFonts w:ascii="Arial" w:hAnsi="Arial" w:cs="Arial"/>
          <w:szCs w:val="22"/>
        </w:rPr>
        <w:t>.</w:t>
      </w:r>
    </w:p>
    <w:p w14:paraId="0F66A4CD" w14:textId="7DB7AB50" w:rsidR="00172169" w:rsidRPr="006F5AB8" w:rsidRDefault="00C0353C" w:rsidP="00B21D94">
      <w:pPr>
        <w:spacing w:before="240"/>
        <w:jc w:val="both"/>
        <w:rPr>
          <w:rFonts w:ascii="Arial" w:hAnsi="Arial" w:cs="Arial"/>
          <w:szCs w:val="22"/>
        </w:rPr>
      </w:pPr>
      <w:r w:rsidRPr="006F5AB8">
        <w:rPr>
          <w:rFonts w:ascii="Arial" w:hAnsi="Arial" w:cs="Arial"/>
          <w:szCs w:val="22"/>
        </w:rPr>
        <w:t>Chapter 3 will translate this context into a transparent methods plan: search strings aligned to our definitions, databases chosen to cover health, education, and social policy, and clear inclusion</w:t>
      </w:r>
      <w:r w:rsidR="00937BB3">
        <w:rPr>
          <w:rFonts w:ascii="Arial" w:hAnsi="Arial" w:cs="Arial"/>
          <w:szCs w:val="22"/>
        </w:rPr>
        <w:t xml:space="preserve"> and </w:t>
      </w:r>
      <w:r w:rsidRPr="006F5AB8">
        <w:rPr>
          <w:rFonts w:ascii="Arial" w:hAnsi="Arial" w:cs="Arial"/>
          <w:szCs w:val="22"/>
        </w:rPr>
        <w:t xml:space="preserve">exclusion criteria. The identified data gaps (inconsistent definitions, siloed measures, and variable local practice) will guide sensitivity analyses, subgroup comparisons, and quality appraisal. </w:t>
      </w:r>
    </w:p>
    <w:p w14:paraId="2AF91D18" w14:textId="77777777" w:rsidR="00AA5716" w:rsidRPr="006F5AB8" w:rsidRDefault="00AA5716" w:rsidP="00B21D94">
      <w:pPr>
        <w:spacing w:before="240"/>
        <w:jc w:val="both"/>
        <w:rPr>
          <w:rFonts w:ascii="Arial" w:hAnsi="Arial" w:cs="Arial"/>
          <w:szCs w:val="22"/>
        </w:rPr>
      </w:pPr>
    </w:p>
    <w:p w14:paraId="496E04B1" w14:textId="77777777" w:rsidR="002D50A0" w:rsidRPr="006F5AB8" w:rsidRDefault="002D50A0" w:rsidP="00B21D94">
      <w:pPr>
        <w:spacing w:before="240"/>
        <w:jc w:val="both"/>
        <w:rPr>
          <w:rFonts w:ascii="Arial" w:hAnsi="Arial" w:cs="Arial"/>
          <w:szCs w:val="22"/>
        </w:rPr>
      </w:pPr>
    </w:p>
    <w:p w14:paraId="6B4290E4" w14:textId="77777777" w:rsidR="004A4B6F" w:rsidRPr="006F5AB8" w:rsidRDefault="004A4B6F" w:rsidP="00B21D94">
      <w:pPr>
        <w:spacing w:before="240"/>
        <w:jc w:val="both"/>
        <w:rPr>
          <w:rFonts w:ascii="Arial" w:hAnsi="Arial" w:cs="Arial"/>
          <w:szCs w:val="22"/>
        </w:rPr>
      </w:pPr>
    </w:p>
    <w:p w14:paraId="44937132" w14:textId="77777777" w:rsidR="004A4B6F" w:rsidRPr="006F5AB8" w:rsidRDefault="004A4B6F" w:rsidP="00B21D94">
      <w:pPr>
        <w:spacing w:before="240"/>
        <w:jc w:val="both"/>
        <w:rPr>
          <w:rFonts w:ascii="Arial" w:hAnsi="Arial" w:cs="Arial"/>
          <w:szCs w:val="22"/>
        </w:rPr>
      </w:pPr>
    </w:p>
    <w:p w14:paraId="75560431" w14:textId="77777777" w:rsidR="004A4B6F" w:rsidRPr="006F5AB8" w:rsidRDefault="004A4B6F" w:rsidP="00B21D94">
      <w:pPr>
        <w:spacing w:before="240"/>
        <w:jc w:val="both"/>
        <w:rPr>
          <w:rFonts w:ascii="Arial" w:hAnsi="Arial" w:cs="Arial"/>
          <w:szCs w:val="22"/>
        </w:rPr>
      </w:pPr>
    </w:p>
    <w:p w14:paraId="1163321E" w14:textId="77777777" w:rsidR="004A4B6F" w:rsidRPr="006F5AB8" w:rsidRDefault="004A4B6F" w:rsidP="00B21D94">
      <w:pPr>
        <w:spacing w:before="240"/>
        <w:jc w:val="both"/>
        <w:rPr>
          <w:rFonts w:ascii="Arial" w:hAnsi="Arial" w:cs="Arial"/>
          <w:szCs w:val="22"/>
        </w:rPr>
      </w:pPr>
    </w:p>
    <w:p w14:paraId="2F1C9A57" w14:textId="77777777" w:rsidR="004A4B6F" w:rsidRPr="006F5AB8" w:rsidRDefault="004A4B6F" w:rsidP="00B21D94">
      <w:pPr>
        <w:spacing w:before="240"/>
        <w:jc w:val="both"/>
        <w:rPr>
          <w:rFonts w:ascii="Arial" w:hAnsi="Arial" w:cs="Arial"/>
          <w:szCs w:val="22"/>
        </w:rPr>
      </w:pPr>
    </w:p>
    <w:p w14:paraId="4B671335" w14:textId="77777777" w:rsidR="004A4B6F" w:rsidRPr="006F5AB8" w:rsidRDefault="004A4B6F" w:rsidP="00B21D94">
      <w:pPr>
        <w:spacing w:before="240"/>
        <w:jc w:val="both"/>
        <w:rPr>
          <w:rFonts w:ascii="Arial" w:hAnsi="Arial" w:cs="Arial"/>
          <w:szCs w:val="22"/>
        </w:rPr>
      </w:pPr>
    </w:p>
    <w:p w14:paraId="03028565" w14:textId="77777777" w:rsidR="004A4B6F" w:rsidRPr="006F5AB8" w:rsidRDefault="004A4B6F" w:rsidP="00B21D94">
      <w:pPr>
        <w:spacing w:before="240"/>
        <w:jc w:val="both"/>
        <w:rPr>
          <w:rFonts w:ascii="Arial" w:hAnsi="Arial" w:cs="Arial"/>
          <w:szCs w:val="22"/>
        </w:rPr>
      </w:pPr>
    </w:p>
    <w:p w14:paraId="0767CD99" w14:textId="77777777" w:rsidR="004A4B6F" w:rsidRDefault="004A4B6F" w:rsidP="00B21D94">
      <w:pPr>
        <w:spacing w:before="240"/>
        <w:jc w:val="both"/>
        <w:rPr>
          <w:rFonts w:ascii="Arial" w:hAnsi="Arial" w:cs="Arial"/>
          <w:szCs w:val="22"/>
        </w:rPr>
      </w:pPr>
    </w:p>
    <w:p w14:paraId="2AE0DDAA" w14:textId="77777777" w:rsidR="00F247E7" w:rsidRDefault="00F247E7" w:rsidP="00B21D94">
      <w:pPr>
        <w:spacing w:before="240"/>
        <w:jc w:val="both"/>
        <w:rPr>
          <w:rFonts w:ascii="Arial" w:hAnsi="Arial" w:cs="Arial"/>
          <w:szCs w:val="22"/>
        </w:rPr>
      </w:pPr>
    </w:p>
    <w:p w14:paraId="50C5E2DF" w14:textId="77777777" w:rsidR="00322988" w:rsidRDefault="00322988" w:rsidP="00B21D94">
      <w:pPr>
        <w:spacing w:before="240"/>
        <w:jc w:val="both"/>
        <w:rPr>
          <w:rFonts w:ascii="Arial" w:hAnsi="Arial" w:cs="Arial"/>
          <w:szCs w:val="22"/>
        </w:rPr>
      </w:pPr>
    </w:p>
    <w:p w14:paraId="5408210C" w14:textId="77777777" w:rsidR="00A3370D" w:rsidRDefault="00A3370D" w:rsidP="00B21D94">
      <w:pPr>
        <w:spacing w:before="240"/>
        <w:jc w:val="both"/>
        <w:rPr>
          <w:rFonts w:ascii="Arial" w:hAnsi="Arial" w:cs="Arial"/>
          <w:szCs w:val="22"/>
        </w:rPr>
      </w:pPr>
    </w:p>
    <w:p w14:paraId="34D83810" w14:textId="77777777" w:rsidR="00A3370D" w:rsidRDefault="00A3370D" w:rsidP="00B21D94">
      <w:pPr>
        <w:spacing w:before="240"/>
        <w:jc w:val="both"/>
        <w:rPr>
          <w:rFonts w:ascii="Arial" w:hAnsi="Arial" w:cs="Arial"/>
          <w:szCs w:val="22"/>
        </w:rPr>
      </w:pPr>
    </w:p>
    <w:p w14:paraId="3EEE34A5" w14:textId="77777777" w:rsidR="00A3370D" w:rsidRDefault="00A3370D" w:rsidP="00B21D94">
      <w:pPr>
        <w:spacing w:before="240"/>
        <w:jc w:val="both"/>
        <w:rPr>
          <w:rFonts w:ascii="Arial" w:hAnsi="Arial" w:cs="Arial"/>
          <w:szCs w:val="22"/>
        </w:rPr>
      </w:pPr>
    </w:p>
    <w:p w14:paraId="4F53B794" w14:textId="77777777" w:rsidR="00A3370D" w:rsidRDefault="00A3370D" w:rsidP="00B21D94">
      <w:pPr>
        <w:spacing w:before="240"/>
        <w:jc w:val="both"/>
        <w:rPr>
          <w:rFonts w:ascii="Arial" w:hAnsi="Arial" w:cs="Arial"/>
          <w:szCs w:val="22"/>
        </w:rPr>
      </w:pPr>
    </w:p>
    <w:p w14:paraId="1C0F956E" w14:textId="77777777" w:rsidR="00A3370D" w:rsidRDefault="00A3370D" w:rsidP="00B21D94">
      <w:pPr>
        <w:spacing w:before="240"/>
        <w:jc w:val="both"/>
        <w:rPr>
          <w:rFonts w:ascii="Arial" w:hAnsi="Arial" w:cs="Arial"/>
          <w:szCs w:val="22"/>
        </w:rPr>
      </w:pPr>
    </w:p>
    <w:p w14:paraId="2D5B2B02" w14:textId="77777777" w:rsidR="00A3370D" w:rsidRDefault="00A3370D" w:rsidP="00B21D94">
      <w:pPr>
        <w:spacing w:before="240"/>
        <w:jc w:val="both"/>
        <w:rPr>
          <w:rFonts w:ascii="Arial" w:hAnsi="Arial" w:cs="Arial"/>
          <w:szCs w:val="22"/>
        </w:rPr>
      </w:pPr>
    </w:p>
    <w:p w14:paraId="30891BE4" w14:textId="77777777" w:rsidR="00017405" w:rsidRPr="006F5AB8" w:rsidRDefault="00017405" w:rsidP="00B21D94">
      <w:pPr>
        <w:pStyle w:val="Heading1"/>
        <w:jc w:val="both"/>
      </w:pPr>
      <w:bookmarkStart w:id="22" w:name="_Toc224307189"/>
      <w:r w:rsidRPr="006F5AB8">
        <w:t>CHAPTER 3 – Methods and Search Strategy</w:t>
      </w:r>
      <w:bookmarkEnd w:id="22"/>
    </w:p>
    <w:p w14:paraId="16FFC848" w14:textId="77777777" w:rsidR="00017405" w:rsidRPr="006F5AB8" w:rsidRDefault="00017405" w:rsidP="00B21D94">
      <w:pPr>
        <w:pStyle w:val="Heading2"/>
        <w:jc w:val="both"/>
      </w:pPr>
      <w:bookmarkStart w:id="23" w:name="_Toc224307190"/>
      <w:r w:rsidRPr="006F5AB8">
        <w:t>3.1 Introduction</w:t>
      </w:r>
      <w:bookmarkEnd w:id="23"/>
    </w:p>
    <w:p w14:paraId="6DB32C73" w14:textId="7C52FDF1" w:rsidR="00017405" w:rsidRDefault="001643F7" w:rsidP="001643F7">
      <w:pPr>
        <w:pStyle w:val="NormalWeb"/>
        <w:spacing w:before="240" w:beforeAutospacing="0"/>
        <w:jc w:val="both"/>
        <w:rPr>
          <w:rFonts w:ascii="Arial" w:hAnsi="Arial" w:cs="Arial"/>
          <w:szCs w:val="22"/>
        </w:rPr>
      </w:pPr>
      <w:r>
        <w:t>The methods used for data collection and analysis are desk based literature study and thematic analysis. The study used and reviewed academic literature mainly peer reviewed journal articles and drawed together evidence on mental health outcomes and academic success of students who received and did not received foster care</w:t>
      </w:r>
      <w:r w:rsidR="00017405" w:rsidRPr="006F5AB8">
        <w:rPr>
          <w:rFonts w:ascii="Arial" w:hAnsi="Arial" w:cs="Arial"/>
          <w:szCs w:val="22"/>
        </w:rPr>
        <w:t xml:space="preserve">. </w:t>
      </w:r>
      <w:r w:rsidR="00A45B2C">
        <w:t>These methods are important because they determine which sources are included in the study. They also shape the themes and interpretations presented in Chapter 4.</w:t>
      </w:r>
    </w:p>
    <w:p w14:paraId="5418D09D" w14:textId="5A7DCB36" w:rsidR="00CB41B8" w:rsidRPr="00CB41B8" w:rsidRDefault="00CB41B8" w:rsidP="00B21D94">
      <w:pPr>
        <w:pStyle w:val="NormalWeb"/>
        <w:jc w:val="both"/>
        <w:rPr>
          <w:rFonts w:ascii="Times New Roman" w:hAnsi="Times New Roman"/>
          <w:sz w:val="24"/>
        </w:rPr>
      </w:pPr>
      <w:r>
        <w:t xml:space="preserve">A desk-based, literature-led approach is a secondary research method that answers the study aims by systematically locating, appraising, and synthesising existing academic and policy sources rather than collecting new primary data </w:t>
      </w:r>
      <w:r>
        <w:rPr>
          <w:rFonts w:ascii="Arial" w:hAnsi="Arial" w:cs="Arial"/>
          <w:szCs w:val="22"/>
        </w:rPr>
        <w:t>(Saunders, Lewis and Thornhill, 2019)</w:t>
      </w:r>
    </w:p>
    <w:p w14:paraId="0DBD1DC2" w14:textId="77777777" w:rsidR="00017405" w:rsidRPr="006F5AB8" w:rsidRDefault="00017405" w:rsidP="00B21D94">
      <w:pPr>
        <w:pStyle w:val="Heading2"/>
        <w:jc w:val="both"/>
      </w:pPr>
      <w:bookmarkStart w:id="24" w:name="_Toc224307191"/>
      <w:r w:rsidRPr="006F5AB8">
        <w:t>3.2 Search Strategy</w:t>
      </w:r>
      <w:bookmarkEnd w:id="24"/>
    </w:p>
    <w:p w14:paraId="2B2B5732" w14:textId="570E741D"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Developing keywords.</w:t>
      </w:r>
      <w:r w:rsidRPr="006F5AB8">
        <w:rPr>
          <w:rFonts w:ascii="Arial" w:hAnsi="Arial" w:cs="Arial"/>
          <w:szCs w:val="22"/>
        </w:rPr>
        <w:t xml:space="preserve"> Search terms were derived from the dissertation title, research aim, and objectives, then expanded using professional and database-specific synonyms. </w:t>
      </w:r>
    </w:p>
    <w:p w14:paraId="38BCEA16" w14:textId="77777777"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Boolean operators.</w:t>
      </w:r>
      <w:r w:rsidRPr="006F5AB8">
        <w:rPr>
          <w:rFonts w:ascii="Arial" w:hAnsi="Arial" w:cs="Arial"/>
          <w:szCs w:val="22"/>
        </w:rPr>
        <w:t xml:space="preserve"> Searches combined terms using </w:t>
      </w:r>
      <w:r w:rsidRPr="006F5AB8">
        <w:rPr>
          <w:rStyle w:val="Strong"/>
          <w:rFonts w:ascii="Arial" w:eastAsiaTheme="majorEastAsia" w:hAnsi="Arial" w:cs="Arial"/>
          <w:szCs w:val="22"/>
        </w:rPr>
        <w:t>OR</w:t>
      </w:r>
      <w:r w:rsidRPr="006F5AB8">
        <w:rPr>
          <w:rFonts w:ascii="Arial" w:hAnsi="Arial" w:cs="Arial"/>
          <w:szCs w:val="22"/>
        </w:rPr>
        <w:t xml:space="preserve"> within concept blocks (to broaden retrieval) and </w:t>
      </w:r>
      <w:r w:rsidRPr="006F5AB8">
        <w:rPr>
          <w:rStyle w:val="Strong"/>
          <w:rFonts w:ascii="Arial" w:eastAsiaTheme="majorEastAsia" w:hAnsi="Arial" w:cs="Arial"/>
          <w:szCs w:val="22"/>
        </w:rPr>
        <w:t>AND</w:t>
      </w:r>
      <w:r w:rsidRPr="006F5AB8">
        <w:rPr>
          <w:rFonts w:ascii="Arial" w:hAnsi="Arial" w:cs="Arial"/>
          <w:szCs w:val="22"/>
        </w:rPr>
        <w:t xml:space="preserve"> between concept blocks (to increase relevance). </w:t>
      </w:r>
      <w:r w:rsidRPr="006F5AB8">
        <w:rPr>
          <w:rStyle w:val="Strong"/>
          <w:rFonts w:ascii="Arial" w:eastAsiaTheme="majorEastAsia" w:hAnsi="Arial" w:cs="Arial"/>
          <w:szCs w:val="22"/>
        </w:rPr>
        <w:t>NOT</w:t>
      </w:r>
      <w:r w:rsidRPr="006F5AB8">
        <w:rPr>
          <w:rFonts w:ascii="Arial" w:hAnsi="Arial" w:cs="Arial"/>
          <w:szCs w:val="22"/>
        </w:rPr>
        <w:t xml:space="preserve"> was used sparingly to exclude irrelevant bodies of literature (e.g., studies solely about adoption where foster-care history was not separable).</w:t>
      </w:r>
    </w:p>
    <w:p w14:paraId="719ADCAB" w14:textId="2184FD9C"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Structured search plan.</w:t>
      </w:r>
      <w:r w:rsidRPr="006F5AB8">
        <w:rPr>
          <w:rFonts w:ascii="Arial" w:hAnsi="Arial" w:cs="Arial"/>
          <w:szCs w:val="22"/>
        </w:rPr>
        <w:t xml:space="preserve"> A search log was maintained to record databases searched, dates, search strings, filters applied, and notes on yield and relevance. Keyword refinements were documented to support transparency and replicability.</w:t>
      </w:r>
    </w:p>
    <w:p w14:paraId="30DAEB90" w14:textId="5CE687FA" w:rsidR="00017405" w:rsidRPr="00E11D46" w:rsidRDefault="00017405" w:rsidP="00B21D94">
      <w:pPr>
        <w:pStyle w:val="Caption"/>
        <w:keepNext/>
        <w:spacing w:before="240"/>
        <w:jc w:val="both"/>
        <w:rPr>
          <w:rFonts w:ascii="Arial" w:hAnsi="Arial" w:cs="Arial"/>
        </w:rPr>
      </w:pPr>
      <w:bookmarkStart w:id="25" w:name="_Toc219050062"/>
      <w:r w:rsidRPr="00E11D46">
        <w:rPr>
          <w:rFonts w:ascii="Arial" w:hAnsi="Arial" w:cs="Arial"/>
        </w:rPr>
        <w:t xml:space="preserve">Table </w:t>
      </w:r>
      <w:r w:rsidRPr="00E11D46">
        <w:rPr>
          <w:rFonts w:ascii="Arial" w:hAnsi="Arial" w:cs="Arial"/>
        </w:rPr>
        <w:fldChar w:fldCharType="begin"/>
      </w:r>
      <w:r w:rsidRPr="00E11D46">
        <w:rPr>
          <w:rFonts w:ascii="Arial" w:hAnsi="Arial" w:cs="Arial"/>
        </w:rPr>
        <w:instrText xml:space="preserve"> SEQ Table \* ARABIC </w:instrText>
      </w:r>
      <w:r w:rsidRPr="00E11D46">
        <w:rPr>
          <w:rFonts w:ascii="Arial" w:hAnsi="Arial" w:cs="Arial"/>
        </w:rPr>
        <w:fldChar w:fldCharType="separate"/>
      </w:r>
      <w:r w:rsidR="0020292F">
        <w:rPr>
          <w:rFonts w:ascii="Arial" w:hAnsi="Arial" w:cs="Arial"/>
          <w:noProof/>
        </w:rPr>
        <w:t>2</w:t>
      </w:r>
      <w:r w:rsidRPr="00E11D46">
        <w:rPr>
          <w:rFonts w:ascii="Arial" w:hAnsi="Arial" w:cs="Arial"/>
          <w:noProof/>
        </w:rPr>
        <w:fldChar w:fldCharType="end"/>
      </w:r>
      <w:r w:rsidRPr="00E11D46">
        <w:rPr>
          <w:rFonts w:ascii="Arial" w:hAnsi="Arial" w:cs="Arial"/>
        </w:rPr>
        <w:t xml:space="preserve">: </w:t>
      </w:r>
      <w:r w:rsidRPr="00E11D46">
        <w:rPr>
          <w:rStyle w:val="Strong"/>
          <w:rFonts w:ascii="Arial" w:hAnsi="Arial" w:cs="Arial"/>
          <w:b w:val="0"/>
          <w:bCs w:val="0"/>
        </w:rPr>
        <w:t>Research objectives and keyword</w:t>
      </w:r>
      <w:bookmarkEnd w:id="25"/>
      <w:r w:rsidRPr="00E11D46">
        <w:rPr>
          <w:rStyle w:val="Strong"/>
          <w:rFonts w:ascii="Arial" w:hAnsi="Arial" w:cs="Arial"/>
          <w:b w:val="0"/>
          <w:bCs w:val="0"/>
        </w:rPr>
        <w:t xml:space="preserve"> </w:t>
      </w:r>
    </w:p>
    <w:tbl>
      <w:tblPr>
        <w:tblStyle w:val="TableGrid"/>
        <w:tblW w:w="0" w:type="auto"/>
        <w:tblLook w:val="04A0" w:firstRow="1" w:lastRow="0" w:firstColumn="1" w:lastColumn="0" w:noHBand="0" w:noVBand="1"/>
      </w:tblPr>
      <w:tblGrid>
        <w:gridCol w:w="2539"/>
        <w:gridCol w:w="2454"/>
        <w:gridCol w:w="1908"/>
        <w:gridCol w:w="2115"/>
      </w:tblGrid>
      <w:tr w:rsidR="00017405" w:rsidRPr="006F5AB8" w14:paraId="18F059EB" w14:textId="77777777" w:rsidTr="00017405">
        <w:tc>
          <w:tcPr>
            <w:tcW w:w="0" w:type="auto"/>
            <w:hideMark/>
          </w:tcPr>
          <w:p w14:paraId="5D107A7D" w14:textId="77777777" w:rsidR="00017405" w:rsidRPr="006F5AB8" w:rsidRDefault="00017405" w:rsidP="00B21D94">
            <w:pPr>
              <w:spacing w:before="240"/>
              <w:jc w:val="both"/>
              <w:rPr>
                <w:rFonts w:ascii="Arial" w:hAnsi="Arial" w:cs="Arial"/>
                <w:b/>
                <w:bCs/>
                <w:szCs w:val="22"/>
              </w:rPr>
            </w:pPr>
            <w:r w:rsidRPr="006F5AB8">
              <w:rPr>
                <w:rFonts w:ascii="Arial" w:hAnsi="Arial" w:cs="Arial"/>
                <w:b/>
                <w:bCs/>
                <w:szCs w:val="22"/>
              </w:rPr>
              <w:t>Research objective</w:t>
            </w:r>
          </w:p>
        </w:tc>
        <w:tc>
          <w:tcPr>
            <w:tcW w:w="0" w:type="auto"/>
            <w:hideMark/>
          </w:tcPr>
          <w:p w14:paraId="5C37FCAD" w14:textId="77777777" w:rsidR="00017405" w:rsidRPr="006F5AB8" w:rsidRDefault="00017405" w:rsidP="00B21D94">
            <w:pPr>
              <w:spacing w:before="240"/>
              <w:jc w:val="both"/>
              <w:rPr>
                <w:rFonts w:ascii="Arial" w:hAnsi="Arial" w:cs="Arial"/>
                <w:b/>
                <w:bCs/>
                <w:szCs w:val="22"/>
              </w:rPr>
            </w:pPr>
            <w:r w:rsidRPr="006F5AB8">
              <w:rPr>
                <w:rFonts w:ascii="Arial" w:hAnsi="Arial" w:cs="Arial"/>
                <w:b/>
                <w:bCs/>
                <w:szCs w:val="22"/>
              </w:rPr>
              <w:t>Core concept terms</w:t>
            </w:r>
          </w:p>
        </w:tc>
        <w:tc>
          <w:tcPr>
            <w:tcW w:w="0" w:type="auto"/>
            <w:hideMark/>
          </w:tcPr>
          <w:p w14:paraId="6AE56EEF" w14:textId="77777777" w:rsidR="00017405" w:rsidRPr="006F5AB8" w:rsidRDefault="00017405" w:rsidP="00B21D94">
            <w:pPr>
              <w:spacing w:before="240"/>
              <w:jc w:val="both"/>
              <w:rPr>
                <w:rFonts w:ascii="Arial" w:hAnsi="Arial" w:cs="Arial"/>
                <w:b/>
                <w:bCs/>
                <w:szCs w:val="22"/>
              </w:rPr>
            </w:pPr>
            <w:r w:rsidRPr="006F5AB8">
              <w:rPr>
                <w:rFonts w:ascii="Arial" w:hAnsi="Arial" w:cs="Arial"/>
                <w:b/>
                <w:bCs/>
                <w:szCs w:val="22"/>
              </w:rPr>
              <w:t>Mental health terms</w:t>
            </w:r>
          </w:p>
        </w:tc>
        <w:tc>
          <w:tcPr>
            <w:tcW w:w="0" w:type="auto"/>
            <w:hideMark/>
          </w:tcPr>
          <w:p w14:paraId="7EDDAADA" w14:textId="77777777" w:rsidR="00017405" w:rsidRPr="006F5AB8" w:rsidRDefault="00017405" w:rsidP="00B21D94">
            <w:pPr>
              <w:spacing w:before="240"/>
              <w:jc w:val="both"/>
              <w:rPr>
                <w:rFonts w:ascii="Arial" w:hAnsi="Arial" w:cs="Arial"/>
                <w:b/>
                <w:bCs/>
                <w:szCs w:val="22"/>
              </w:rPr>
            </w:pPr>
            <w:r w:rsidRPr="006F5AB8">
              <w:rPr>
                <w:rFonts w:ascii="Arial" w:hAnsi="Arial" w:cs="Arial"/>
                <w:b/>
                <w:bCs/>
                <w:szCs w:val="22"/>
              </w:rPr>
              <w:t>Academic / post-graduation success terms</w:t>
            </w:r>
          </w:p>
        </w:tc>
      </w:tr>
      <w:tr w:rsidR="00017405" w:rsidRPr="006F5AB8" w14:paraId="44610821" w14:textId="77777777" w:rsidTr="00017405">
        <w:tc>
          <w:tcPr>
            <w:tcW w:w="0" w:type="auto"/>
            <w:hideMark/>
          </w:tcPr>
          <w:p w14:paraId="57B6556D"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Obj. 1: Compare mental health challenges</w:t>
            </w:r>
          </w:p>
        </w:tc>
        <w:tc>
          <w:tcPr>
            <w:tcW w:w="0" w:type="auto"/>
            <w:hideMark/>
          </w:tcPr>
          <w:p w14:paraId="08F81443" w14:textId="0E23EC8E" w:rsidR="00017405" w:rsidRPr="006F5AB8" w:rsidRDefault="00017405" w:rsidP="00B21D94">
            <w:pPr>
              <w:spacing w:before="240"/>
              <w:jc w:val="both"/>
              <w:rPr>
                <w:rFonts w:ascii="Arial" w:hAnsi="Arial" w:cs="Arial"/>
                <w:szCs w:val="22"/>
              </w:rPr>
            </w:pPr>
            <w:r w:rsidRPr="006F5AB8">
              <w:rPr>
                <w:rFonts w:ascii="Arial" w:hAnsi="Arial" w:cs="Arial"/>
                <w:szCs w:val="22"/>
              </w:rPr>
              <w:t>foster care OR “care leaver” OR “care-experienced” OR “looked after”</w:t>
            </w:r>
          </w:p>
        </w:tc>
        <w:tc>
          <w:tcPr>
            <w:tcW w:w="0" w:type="auto"/>
            <w:hideMark/>
          </w:tcPr>
          <w:p w14:paraId="302E03C4"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mental health OR depress* OR anxi* OR PTSD OR trauma OR wellbeing OR suicid* OR substance use</w:t>
            </w:r>
          </w:p>
        </w:tc>
        <w:tc>
          <w:tcPr>
            <w:tcW w:w="0" w:type="auto"/>
            <w:hideMark/>
          </w:tcPr>
          <w:p w14:paraId="70533D3C"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graduate* OR alumni OR “degree completion” OR higher education</w:t>
            </w:r>
          </w:p>
        </w:tc>
      </w:tr>
      <w:tr w:rsidR="00017405" w:rsidRPr="006F5AB8" w14:paraId="07FE39EC" w14:textId="77777777" w:rsidTr="00017405">
        <w:tc>
          <w:tcPr>
            <w:tcW w:w="0" w:type="auto"/>
            <w:hideMark/>
          </w:tcPr>
          <w:p w14:paraId="5981B207"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Obj. 2: Examine relationship between mental health and success</w:t>
            </w:r>
          </w:p>
        </w:tc>
        <w:tc>
          <w:tcPr>
            <w:tcW w:w="0" w:type="auto"/>
            <w:hideMark/>
          </w:tcPr>
          <w:p w14:paraId="5F97A0CA"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(as above) AND higher education</w:t>
            </w:r>
          </w:p>
        </w:tc>
        <w:tc>
          <w:tcPr>
            <w:tcW w:w="0" w:type="auto"/>
            <w:hideMark/>
          </w:tcPr>
          <w:p w14:paraId="570054F3"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(as above) AND service use OR counselling OR help-seeking</w:t>
            </w:r>
          </w:p>
        </w:tc>
        <w:tc>
          <w:tcPr>
            <w:tcW w:w="0" w:type="auto"/>
            <w:hideMark/>
          </w:tcPr>
          <w:p w14:paraId="42C7D9E0"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attainment OR GPA OR “degree class*” OR completion OR “time to degree” OR employment OR “early-career”</w:t>
            </w:r>
          </w:p>
        </w:tc>
      </w:tr>
      <w:tr w:rsidR="00017405" w:rsidRPr="006F5AB8" w14:paraId="55B9D7C8" w14:textId="77777777" w:rsidTr="00017405">
        <w:tc>
          <w:tcPr>
            <w:tcW w:w="0" w:type="auto"/>
            <w:hideMark/>
          </w:tcPr>
          <w:p w14:paraId="3F00DA84"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Obj. 3: Evaluate interventions/support</w:t>
            </w:r>
          </w:p>
        </w:tc>
        <w:tc>
          <w:tcPr>
            <w:tcW w:w="0" w:type="auto"/>
            <w:hideMark/>
          </w:tcPr>
          <w:p w14:paraId="1ECBD43E"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programme OR intervention OR support OR bursar* OR mentoring OR “year-round accommodation” OR adviser</w:t>
            </w:r>
          </w:p>
        </w:tc>
        <w:tc>
          <w:tcPr>
            <w:tcW w:w="0" w:type="auto"/>
            <w:hideMark/>
          </w:tcPr>
          <w:p w14:paraId="0C9A23A5"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wellbeing OR distress OR coping OR resilience</w:t>
            </w:r>
          </w:p>
        </w:tc>
        <w:tc>
          <w:tcPr>
            <w:tcW w:w="0" w:type="auto"/>
            <w:hideMark/>
          </w:tcPr>
          <w:p w14:paraId="1056319C"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retention OR progression OR completion OR graduate outcomes OR employability</w:t>
            </w:r>
          </w:p>
        </w:tc>
      </w:tr>
      <w:tr w:rsidR="00017405" w:rsidRPr="006F5AB8" w14:paraId="0FAEA1E2" w14:textId="77777777" w:rsidTr="00017405">
        <w:tc>
          <w:tcPr>
            <w:tcW w:w="0" w:type="auto"/>
            <w:hideMark/>
          </w:tcPr>
          <w:p w14:paraId="5597F0A4"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Obj. 4: Inform recommendations</w:t>
            </w:r>
          </w:p>
        </w:tc>
        <w:tc>
          <w:tcPr>
            <w:tcW w:w="0" w:type="auto"/>
            <w:hideMark/>
          </w:tcPr>
          <w:p w14:paraId="40F7AD61"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policy OR practice OR “widening participation” OR equity</w:t>
            </w:r>
          </w:p>
        </w:tc>
        <w:tc>
          <w:tcPr>
            <w:tcW w:w="0" w:type="auto"/>
            <w:hideMark/>
          </w:tcPr>
          <w:p w14:paraId="78C327FE"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access to care OR referral OR continuity OR stigma</w:t>
            </w:r>
          </w:p>
        </w:tc>
        <w:tc>
          <w:tcPr>
            <w:tcW w:w="0" w:type="auto"/>
            <w:hideMark/>
          </w:tcPr>
          <w:p w14:paraId="71E23F98" w14:textId="77777777" w:rsidR="00017405" w:rsidRPr="006F5AB8" w:rsidRDefault="00017405" w:rsidP="00B21D94">
            <w:pPr>
              <w:spacing w:before="240"/>
              <w:jc w:val="both"/>
              <w:rPr>
                <w:rFonts w:ascii="Arial" w:hAnsi="Arial" w:cs="Arial"/>
                <w:szCs w:val="22"/>
              </w:rPr>
            </w:pPr>
            <w:r w:rsidRPr="006F5AB8">
              <w:rPr>
                <w:rFonts w:ascii="Arial" w:hAnsi="Arial" w:cs="Arial"/>
                <w:szCs w:val="22"/>
              </w:rPr>
              <w:t>outcomes gap OR inequality OR transition OR “education-to-work”</w:t>
            </w:r>
          </w:p>
        </w:tc>
      </w:tr>
    </w:tbl>
    <w:p w14:paraId="398511BA" w14:textId="77777777" w:rsidR="00017405" w:rsidRPr="006F5AB8" w:rsidRDefault="00017405" w:rsidP="00B21D94">
      <w:pPr>
        <w:pStyle w:val="Heading2"/>
        <w:jc w:val="both"/>
      </w:pPr>
      <w:bookmarkStart w:id="26" w:name="_Toc224307192"/>
      <w:r w:rsidRPr="006F5AB8">
        <w:t>3.3 Searching for Information</w:t>
      </w:r>
      <w:bookmarkEnd w:id="26"/>
    </w:p>
    <w:p w14:paraId="728BFB6A" w14:textId="77777777" w:rsidR="00DB391A" w:rsidRDefault="00017405" w:rsidP="00DB391A">
      <w:pPr>
        <w:pStyle w:val="NormalWeb"/>
        <w:rPr>
          <w:rFonts w:ascii="Arial" w:hAnsi="Arial" w:cs="Arial"/>
          <w:szCs w:val="22"/>
        </w:rPr>
      </w:pPr>
      <w:r w:rsidRPr="006F5AB8">
        <w:rPr>
          <w:rStyle w:val="Strong"/>
          <w:rFonts w:ascii="Arial" w:eastAsiaTheme="majorEastAsia" w:hAnsi="Arial" w:cs="Arial"/>
          <w:szCs w:val="22"/>
        </w:rPr>
        <w:t>Databases and platforms.</w:t>
      </w:r>
      <w:r w:rsidRPr="006F5AB8">
        <w:rPr>
          <w:rFonts w:ascii="Arial" w:hAnsi="Arial" w:cs="Arial"/>
          <w:szCs w:val="22"/>
        </w:rPr>
        <w:t xml:space="preserve"> </w:t>
      </w:r>
    </w:p>
    <w:p w14:paraId="472D958B" w14:textId="7C094014" w:rsidR="00DB391A" w:rsidRDefault="00017405" w:rsidP="00DB391A">
      <w:pPr>
        <w:pStyle w:val="NormalWeb"/>
        <w:rPr>
          <w:rFonts w:ascii="Arial" w:hAnsi="Arial" w:cs="Arial"/>
          <w:szCs w:val="22"/>
        </w:rPr>
      </w:pPr>
      <w:r w:rsidRPr="006F5AB8">
        <w:rPr>
          <w:rFonts w:ascii="Arial" w:hAnsi="Arial" w:cs="Arial"/>
          <w:szCs w:val="22"/>
        </w:rPr>
        <w:t>Searches were conducted in multidisciplinary and subject-specific databases to reflect the cross-sector nature of the topic. Core databases included</w:t>
      </w:r>
      <w:r w:rsidR="00DB391A">
        <w:rPr>
          <w:rFonts w:ascii="Arial" w:hAnsi="Arial" w:cs="Arial"/>
          <w:szCs w:val="22"/>
        </w:rPr>
        <w:t>:</w:t>
      </w:r>
      <w:r w:rsidRPr="006F5AB8">
        <w:rPr>
          <w:rFonts w:ascii="Arial" w:hAnsi="Arial" w:cs="Arial"/>
          <w:szCs w:val="22"/>
        </w:rPr>
        <w:t xml:space="preserve"> </w:t>
      </w:r>
    </w:p>
    <w:p w14:paraId="71198B7D" w14:textId="77777777" w:rsidR="00DB391A" w:rsidRDefault="00017405" w:rsidP="00940307">
      <w:pPr>
        <w:pStyle w:val="NormalWeb"/>
        <w:numPr>
          <w:ilvl w:val="0"/>
          <w:numId w:val="9"/>
        </w:numPr>
        <w:rPr>
          <w:rFonts w:ascii="Arial" w:hAnsi="Arial" w:cs="Arial"/>
          <w:szCs w:val="22"/>
        </w:rPr>
      </w:pPr>
      <w:r w:rsidRPr="00DB391A">
        <w:rPr>
          <w:b/>
          <w:bCs/>
        </w:rPr>
        <w:t>PubMed/MEDLINE</w:t>
      </w:r>
      <w:r w:rsidRPr="006F5AB8">
        <w:rPr>
          <w:rFonts w:ascii="Arial" w:hAnsi="Arial" w:cs="Arial"/>
          <w:szCs w:val="22"/>
        </w:rPr>
        <w:t xml:space="preserve"> (health and mental health), </w:t>
      </w:r>
      <w:r w:rsidRPr="00DB391A">
        <w:rPr>
          <w:b/>
          <w:bCs/>
        </w:rPr>
        <w:t>PsycINFO</w:t>
      </w:r>
      <w:r w:rsidRPr="006F5AB8">
        <w:rPr>
          <w:rFonts w:ascii="Arial" w:hAnsi="Arial" w:cs="Arial"/>
          <w:szCs w:val="22"/>
        </w:rPr>
        <w:t xml:space="preserve"> (psychology and wellbeing), </w:t>
      </w:r>
      <w:r w:rsidRPr="00DB391A">
        <w:rPr>
          <w:b/>
          <w:bCs/>
        </w:rPr>
        <w:t>Scopus</w:t>
      </w:r>
      <w:r w:rsidRPr="006F5AB8">
        <w:rPr>
          <w:rFonts w:ascii="Arial" w:hAnsi="Arial" w:cs="Arial"/>
          <w:szCs w:val="22"/>
        </w:rPr>
        <w:t xml:space="preserve"> (broad interdisciplinary coverage), </w:t>
      </w:r>
      <w:r w:rsidRPr="00DB391A">
        <w:rPr>
          <w:b/>
          <w:bCs/>
        </w:rPr>
        <w:t>ERIC</w:t>
      </w:r>
      <w:r w:rsidRPr="006F5AB8">
        <w:rPr>
          <w:rFonts w:ascii="Arial" w:hAnsi="Arial" w:cs="Arial"/>
          <w:szCs w:val="22"/>
        </w:rPr>
        <w:t xml:space="preserve"> (education and higher education research), and </w:t>
      </w:r>
      <w:r w:rsidRPr="00DB391A">
        <w:rPr>
          <w:b/>
          <w:bCs/>
        </w:rPr>
        <w:t>CINAHL</w:t>
      </w:r>
      <w:r w:rsidRPr="006F5AB8">
        <w:rPr>
          <w:rFonts w:ascii="Arial" w:hAnsi="Arial" w:cs="Arial"/>
          <w:szCs w:val="22"/>
        </w:rPr>
        <w:t xml:space="preserve"> (health and allied disciplines). </w:t>
      </w:r>
    </w:p>
    <w:p w14:paraId="1C711126" w14:textId="3023DEFE" w:rsidR="00AD0C4F" w:rsidRDefault="00DB391A" w:rsidP="00940307">
      <w:pPr>
        <w:pStyle w:val="NormalWeb"/>
        <w:numPr>
          <w:ilvl w:val="0"/>
          <w:numId w:val="9"/>
        </w:numPr>
        <w:rPr>
          <w:rFonts w:ascii="Arial" w:hAnsi="Arial" w:cs="Arial"/>
          <w:szCs w:val="22"/>
        </w:rPr>
      </w:pPr>
      <w:r w:rsidRPr="00DB391A">
        <w:rPr>
          <w:rFonts w:ascii="Arial" w:hAnsi="Arial" w:cs="Arial"/>
          <w:szCs w:val="22"/>
        </w:rPr>
        <w:t>Google Scholar was used as a supplementary search tool to identify highly cited studies and trace relevant grey literature linked from academic sources. Any grey literature identified in this way was only included if it came from credible organisations, such as government bodies, universities or reputable journals, and if it was directly relevant to the research aim and consistent with the inclusion criteria</w:t>
      </w:r>
      <w:r w:rsidR="00D25F70">
        <w:rPr>
          <w:rFonts w:ascii="Arial" w:hAnsi="Arial" w:cs="Arial"/>
          <w:szCs w:val="22"/>
        </w:rPr>
        <w:t xml:space="preserve"> (Gusenbauer and Haddaway, 2020)</w:t>
      </w:r>
      <w:r w:rsidR="00017405" w:rsidRPr="006F5AB8">
        <w:rPr>
          <w:rFonts w:ascii="Arial" w:hAnsi="Arial" w:cs="Arial"/>
          <w:szCs w:val="22"/>
        </w:rPr>
        <w:t xml:space="preserve">. </w:t>
      </w:r>
    </w:p>
    <w:p w14:paraId="4105D002" w14:textId="576D7011" w:rsidR="00017405" w:rsidRPr="00DB391A" w:rsidRDefault="00017405" w:rsidP="00940307">
      <w:pPr>
        <w:pStyle w:val="NormalWeb"/>
        <w:numPr>
          <w:ilvl w:val="0"/>
          <w:numId w:val="9"/>
        </w:numPr>
        <w:rPr>
          <w:rFonts w:ascii="Arial" w:hAnsi="Arial" w:cs="Arial"/>
          <w:szCs w:val="22"/>
        </w:rPr>
      </w:pPr>
      <w:r w:rsidRPr="006F5AB8">
        <w:rPr>
          <w:rFonts w:ascii="Arial" w:hAnsi="Arial" w:cs="Arial"/>
          <w:szCs w:val="22"/>
        </w:rPr>
        <w:t xml:space="preserve">Institutional access platforms (e.g., the </w:t>
      </w:r>
      <w:r w:rsidRPr="00DB391A">
        <w:rPr>
          <w:b/>
          <w:bCs/>
        </w:rPr>
        <w:t>UWTSD Library</w:t>
      </w:r>
      <w:r w:rsidRPr="006F5AB8">
        <w:rPr>
          <w:rFonts w:ascii="Arial" w:hAnsi="Arial" w:cs="Arial"/>
          <w:szCs w:val="22"/>
        </w:rPr>
        <w:t xml:space="preserve"> catalogue and journal holdings) were used to retrieve full-text articles and identify relevant reports from reputable organisations.</w:t>
      </w:r>
    </w:p>
    <w:p w14:paraId="67AB4D01" w14:textId="028C8C11"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Using filters.</w:t>
      </w:r>
      <w:r w:rsidRPr="006F5AB8">
        <w:rPr>
          <w:rFonts w:ascii="Arial" w:hAnsi="Arial" w:cs="Arial"/>
          <w:szCs w:val="22"/>
        </w:rPr>
        <w:t xml:space="preserve"> Searches applied filters to improve relevance and quality. Limits typically included: publication years </w:t>
      </w:r>
      <w:r w:rsidRPr="006F5AB8">
        <w:rPr>
          <w:rStyle w:val="Strong"/>
          <w:rFonts w:ascii="Arial" w:eastAsiaTheme="majorEastAsia" w:hAnsi="Arial" w:cs="Arial"/>
          <w:szCs w:val="22"/>
        </w:rPr>
        <w:t>2010–2025</w:t>
      </w:r>
      <w:r w:rsidRPr="006F5AB8">
        <w:rPr>
          <w:rFonts w:ascii="Arial" w:hAnsi="Arial" w:cs="Arial"/>
          <w:szCs w:val="22"/>
        </w:rPr>
        <w:t xml:space="preserve"> (to reflect contemporary policy and higher education contexts), English language, and</w:t>
      </w:r>
      <w:r w:rsidR="00B864BB">
        <w:rPr>
          <w:rFonts w:ascii="Arial" w:hAnsi="Arial" w:cs="Arial"/>
          <w:szCs w:val="22"/>
        </w:rPr>
        <w:t xml:space="preserve"> </w:t>
      </w:r>
      <w:r w:rsidRPr="006F5AB8">
        <w:rPr>
          <w:rFonts w:ascii="Arial" w:hAnsi="Arial" w:cs="Arial"/>
          <w:szCs w:val="22"/>
        </w:rPr>
        <w:t xml:space="preserve">peer-reviewed status. Additional filters were applied pragmatically (e.g., human studies; higher education; adult/young adult populations). </w:t>
      </w:r>
    </w:p>
    <w:p w14:paraId="319E1E18" w14:textId="77777777" w:rsidR="00017405" w:rsidRPr="006F5AB8" w:rsidRDefault="00017405" w:rsidP="00B21D94">
      <w:pPr>
        <w:pStyle w:val="Heading2"/>
        <w:jc w:val="both"/>
      </w:pPr>
      <w:bookmarkStart w:id="27" w:name="_Toc224307193"/>
      <w:r w:rsidRPr="006F5AB8">
        <w:t>3.4 Research Validation</w:t>
      </w:r>
      <w:bookmarkEnd w:id="27"/>
    </w:p>
    <w:p w14:paraId="19F53B30" w14:textId="3DC1E461"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Skimming and rapid relevance checks.</w:t>
      </w:r>
      <w:r w:rsidRPr="006F5AB8">
        <w:rPr>
          <w:rFonts w:ascii="Arial" w:hAnsi="Arial" w:cs="Arial"/>
          <w:szCs w:val="22"/>
        </w:rPr>
        <w:t xml:space="preserve"> Sources were screened efficiently using a staged approach. Titles and abstracts were skimmed first, followed by the introduction and conclusion, to determine whether studies (a) involved graduates or degree completers, (b) identified foster-care history, (c) included a non-foster comparator group, and (d) reported mental health outcomes and/or academic or post-graduation success indicators. Full texts were retrieved when abstracts were ambiguous or when the study appeared to address the research questions but required confirmation of eligibility.</w:t>
      </w:r>
    </w:p>
    <w:p w14:paraId="0EC18F6D" w14:textId="21874AB5" w:rsidR="00B144AD" w:rsidRDefault="00B144AD" w:rsidP="00B21D94">
      <w:pPr>
        <w:pStyle w:val="NormalWeb"/>
        <w:spacing w:before="240" w:beforeAutospacing="0"/>
        <w:jc w:val="both"/>
        <w:rPr>
          <w:rFonts w:ascii="Arial" w:hAnsi="Arial" w:cs="Arial"/>
          <w:szCs w:val="22"/>
        </w:rPr>
      </w:pPr>
      <w:r w:rsidRPr="006F5AB8">
        <w:rPr>
          <w:rFonts w:ascii="Arial" w:hAnsi="Arial" w:cs="Arial"/>
          <w:szCs w:val="22"/>
        </w:rPr>
        <w:t>This led to the finali</w:t>
      </w:r>
      <w:r w:rsidR="00864B94">
        <w:rPr>
          <w:rFonts w:ascii="Arial" w:hAnsi="Arial" w:cs="Arial"/>
          <w:szCs w:val="22"/>
        </w:rPr>
        <w:t>s</w:t>
      </w:r>
      <w:r w:rsidRPr="006F5AB8">
        <w:rPr>
          <w:rFonts w:ascii="Arial" w:hAnsi="Arial" w:cs="Arial"/>
          <w:szCs w:val="22"/>
        </w:rPr>
        <w:t>ation of 15 studies which were selected for the analysis.</w:t>
      </w:r>
      <w:r w:rsidR="00CE11C4" w:rsidRPr="006F5AB8">
        <w:rPr>
          <w:rFonts w:ascii="Arial" w:hAnsi="Arial" w:cs="Arial"/>
          <w:szCs w:val="22"/>
        </w:rPr>
        <w:t xml:space="preserve"> A source-tracking table was used to record</w:t>
      </w:r>
      <w:r w:rsidR="00F247E7">
        <w:rPr>
          <w:rFonts w:ascii="Arial" w:hAnsi="Arial" w:cs="Arial"/>
          <w:szCs w:val="22"/>
        </w:rPr>
        <w:t xml:space="preserve"> which is included</w:t>
      </w:r>
      <w:r w:rsidR="00CE11C4" w:rsidRPr="006F5AB8">
        <w:rPr>
          <w:rFonts w:ascii="Arial" w:hAnsi="Arial" w:cs="Arial"/>
          <w:szCs w:val="22"/>
        </w:rPr>
        <w:t xml:space="preserve"> in Appendix.</w:t>
      </w:r>
      <w:r w:rsidR="000B147A">
        <w:rPr>
          <w:rFonts w:ascii="Arial" w:hAnsi="Arial" w:cs="Arial"/>
          <w:szCs w:val="22"/>
        </w:rPr>
        <w:t xml:space="preserve"> Studies were selected through PRISMA like this:</w:t>
      </w:r>
    </w:p>
    <w:p w14:paraId="12E984A1" w14:textId="77777777" w:rsidR="00DA7895" w:rsidRDefault="00DA7895" w:rsidP="0085513A">
      <w:pPr>
        <w:pStyle w:val="NormalWeb"/>
        <w:keepNext/>
        <w:spacing w:before="240" w:beforeAutospacing="0"/>
        <w:jc w:val="center"/>
      </w:pPr>
      <w:r w:rsidRPr="00DA7895">
        <w:rPr>
          <w:rFonts w:ascii="Arial" w:hAnsi="Arial" w:cs="Arial"/>
          <w:noProof/>
          <w:szCs w:val="22"/>
        </w:rPr>
        <w:drawing>
          <wp:inline distT="0" distB="0" distL="0" distR="0" wp14:anchorId="56DBE3F5" wp14:editId="392E9B4A">
            <wp:extent cx="5372002" cy="5942330"/>
            <wp:effectExtent l="0" t="0" r="635" b="1270"/>
            <wp:docPr id="993668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68682" name=""/>
                    <pic:cNvPicPr/>
                  </pic:nvPicPr>
                  <pic:blipFill rotWithShape="1">
                    <a:blip r:embed="rId12"/>
                    <a:srcRect l="6272"/>
                    <a:stretch>
                      <a:fillRect/>
                    </a:stretch>
                  </pic:blipFill>
                  <pic:spPr bwMode="auto">
                    <a:xfrm>
                      <a:off x="0" y="0"/>
                      <a:ext cx="5372002" cy="5942330"/>
                    </a:xfrm>
                    <a:prstGeom prst="rect">
                      <a:avLst/>
                    </a:prstGeom>
                    <a:ln>
                      <a:noFill/>
                    </a:ln>
                    <a:extLst>
                      <a:ext uri="{53640926-AAD7-44D8-BBD7-CCE9431645EC}">
                        <a14:shadowObscured xmlns:a14="http://schemas.microsoft.com/office/drawing/2010/main"/>
                      </a:ext>
                    </a:extLst>
                  </pic:spPr>
                </pic:pic>
              </a:graphicData>
            </a:graphic>
          </wp:inline>
        </w:drawing>
      </w:r>
    </w:p>
    <w:p w14:paraId="6820DD95" w14:textId="0197A000" w:rsidR="000B147A" w:rsidRPr="006F5AB8" w:rsidRDefault="00DA7895" w:rsidP="0085513A">
      <w:pPr>
        <w:pStyle w:val="Caption"/>
        <w:jc w:val="center"/>
        <w:rPr>
          <w:rFonts w:ascii="Arial" w:hAnsi="Arial" w:cs="Arial"/>
          <w:szCs w:val="22"/>
        </w:rPr>
      </w:pPr>
      <w:bookmarkStart w:id="28" w:name="_Toc224307162"/>
      <w:r>
        <w:t xml:space="preserve">Figure </w:t>
      </w:r>
      <w:r>
        <w:fldChar w:fldCharType="begin"/>
      </w:r>
      <w:r>
        <w:instrText xml:space="preserve"> SEQ Figure \* ARABIC </w:instrText>
      </w:r>
      <w:r>
        <w:fldChar w:fldCharType="separate"/>
      </w:r>
      <w:r>
        <w:rPr>
          <w:noProof/>
        </w:rPr>
        <w:t>3</w:t>
      </w:r>
      <w:r>
        <w:rPr>
          <w:noProof/>
        </w:rPr>
        <w:fldChar w:fldCharType="end"/>
      </w:r>
      <w:r>
        <w:t>: Screening of Studies Through PRISMA</w:t>
      </w:r>
      <w:bookmarkEnd w:id="28"/>
    </w:p>
    <w:p w14:paraId="6FEC6A50" w14:textId="77777777"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Applying the CRAAP test.</w:t>
      </w:r>
      <w:r w:rsidRPr="006F5AB8">
        <w:rPr>
          <w:rFonts w:ascii="Arial" w:hAnsi="Arial" w:cs="Arial"/>
          <w:szCs w:val="22"/>
        </w:rPr>
        <w:t xml:space="preserve"> Each included source was evaluated using the </w:t>
      </w:r>
      <w:r w:rsidRPr="006F5AB8">
        <w:rPr>
          <w:rStyle w:val="Strong"/>
          <w:rFonts w:ascii="Arial" w:eastAsiaTheme="majorEastAsia" w:hAnsi="Arial" w:cs="Arial"/>
          <w:szCs w:val="22"/>
        </w:rPr>
        <w:t>CRAAP</w:t>
      </w:r>
      <w:r w:rsidRPr="006F5AB8">
        <w:rPr>
          <w:rFonts w:ascii="Arial" w:hAnsi="Arial" w:cs="Arial"/>
          <w:szCs w:val="22"/>
        </w:rPr>
        <w:t xml:space="preserve"> criteria:</w:t>
      </w:r>
    </w:p>
    <w:p w14:paraId="5BB78303" w14:textId="7F3582DD" w:rsidR="00017405" w:rsidRPr="006F5AB8" w:rsidRDefault="00017405" w:rsidP="00B21D94">
      <w:pPr>
        <w:pStyle w:val="NormalWeb"/>
        <w:numPr>
          <w:ilvl w:val="0"/>
          <w:numId w:val="5"/>
        </w:numPr>
        <w:spacing w:before="240" w:beforeAutospacing="0"/>
        <w:jc w:val="both"/>
        <w:rPr>
          <w:rFonts w:ascii="Arial" w:hAnsi="Arial" w:cs="Arial"/>
          <w:szCs w:val="22"/>
        </w:rPr>
      </w:pPr>
      <w:r w:rsidRPr="006F5AB8">
        <w:rPr>
          <w:rStyle w:val="Strong"/>
          <w:rFonts w:ascii="Arial" w:eastAsiaTheme="majorEastAsia" w:hAnsi="Arial" w:cs="Arial"/>
          <w:szCs w:val="22"/>
        </w:rPr>
        <w:t>Currency:</w:t>
      </w:r>
      <w:r w:rsidRPr="006F5AB8">
        <w:rPr>
          <w:rFonts w:ascii="Arial" w:hAnsi="Arial" w:cs="Arial"/>
          <w:szCs w:val="22"/>
        </w:rPr>
        <w:t xml:space="preserve"> </w:t>
      </w:r>
      <w:r w:rsidR="005756EF" w:rsidRPr="006F5AB8">
        <w:rPr>
          <w:rFonts w:ascii="Arial" w:hAnsi="Arial" w:cs="Arial"/>
          <w:szCs w:val="22"/>
        </w:rPr>
        <w:t xml:space="preserve">Preference </w:t>
      </w:r>
      <w:r w:rsidRPr="006F5AB8">
        <w:rPr>
          <w:rFonts w:ascii="Arial" w:hAnsi="Arial" w:cs="Arial"/>
          <w:szCs w:val="22"/>
        </w:rPr>
        <w:t>for contemporary evidence and up-to-date policy contexts;</w:t>
      </w:r>
    </w:p>
    <w:p w14:paraId="2A29DEFC" w14:textId="22AD7373" w:rsidR="00017405" w:rsidRPr="006F5AB8" w:rsidRDefault="00017405" w:rsidP="00B21D94">
      <w:pPr>
        <w:pStyle w:val="NormalWeb"/>
        <w:numPr>
          <w:ilvl w:val="0"/>
          <w:numId w:val="5"/>
        </w:numPr>
        <w:spacing w:before="240" w:beforeAutospacing="0"/>
        <w:jc w:val="both"/>
        <w:rPr>
          <w:rFonts w:ascii="Arial" w:hAnsi="Arial" w:cs="Arial"/>
          <w:szCs w:val="22"/>
        </w:rPr>
      </w:pPr>
      <w:r w:rsidRPr="006F5AB8">
        <w:rPr>
          <w:rStyle w:val="Strong"/>
          <w:rFonts w:ascii="Arial" w:eastAsiaTheme="majorEastAsia" w:hAnsi="Arial" w:cs="Arial"/>
          <w:szCs w:val="22"/>
        </w:rPr>
        <w:t>Relevance:</w:t>
      </w:r>
      <w:r w:rsidRPr="006F5AB8">
        <w:rPr>
          <w:rFonts w:ascii="Arial" w:hAnsi="Arial" w:cs="Arial"/>
          <w:szCs w:val="22"/>
        </w:rPr>
        <w:t xml:space="preserve"> </w:t>
      </w:r>
      <w:r w:rsidR="005756EF" w:rsidRPr="006F5AB8">
        <w:rPr>
          <w:rFonts w:ascii="Arial" w:hAnsi="Arial" w:cs="Arial"/>
          <w:szCs w:val="22"/>
        </w:rPr>
        <w:t xml:space="preserve">Direct </w:t>
      </w:r>
      <w:r w:rsidRPr="006F5AB8">
        <w:rPr>
          <w:rFonts w:ascii="Arial" w:hAnsi="Arial" w:cs="Arial"/>
          <w:szCs w:val="22"/>
        </w:rPr>
        <w:t>alignment with foster-care status, graduates, and outcomes;</w:t>
      </w:r>
    </w:p>
    <w:p w14:paraId="235C3BAC" w14:textId="33BB7916" w:rsidR="00017405" w:rsidRPr="006F5AB8" w:rsidRDefault="00017405" w:rsidP="00B21D94">
      <w:pPr>
        <w:pStyle w:val="NormalWeb"/>
        <w:numPr>
          <w:ilvl w:val="0"/>
          <w:numId w:val="5"/>
        </w:numPr>
        <w:spacing w:before="240" w:beforeAutospacing="0"/>
        <w:jc w:val="both"/>
        <w:rPr>
          <w:rFonts w:ascii="Arial" w:hAnsi="Arial" w:cs="Arial"/>
          <w:szCs w:val="22"/>
        </w:rPr>
      </w:pPr>
      <w:r w:rsidRPr="006F5AB8">
        <w:rPr>
          <w:rStyle w:val="Strong"/>
          <w:rFonts w:ascii="Arial" w:eastAsiaTheme="majorEastAsia" w:hAnsi="Arial" w:cs="Arial"/>
          <w:szCs w:val="22"/>
        </w:rPr>
        <w:t>Authority:</w:t>
      </w:r>
      <w:r w:rsidRPr="006F5AB8">
        <w:rPr>
          <w:rFonts w:ascii="Arial" w:hAnsi="Arial" w:cs="Arial"/>
          <w:szCs w:val="22"/>
        </w:rPr>
        <w:t xml:space="preserve"> </w:t>
      </w:r>
      <w:r w:rsidR="005756EF" w:rsidRPr="006F5AB8">
        <w:rPr>
          <w:rFonts w:ascii="Arial" w:hAnsi="Arial" w:cs="Arial"/>
          <w:szCs w:val="22"/>
        </w:rPr>
        <w:t xml:space="preserve">Credibility </w:t>
      </w:r>
      <w:r w:rsidRPr="006F5AB8">
        <w:rPr>
          <w:rFonts w:ascii="Arial" w:hAnsi="Arial" w:cs="Arial"/>
          <w:szCs w:val="22"/>
        </w:rPr>
        <w:t>of authors, peer-reviewed journals, or reputable organisations;</w:t>
      </w:r>
    </w:p>
    <w:p w14:paraId="2469EBF6" w14:textId="7EC1CE5B" w:rsidR="00017405" w:rsidRPr="006F5AB8" w:rsidRDefault="00017405" w:rsidP="00B21D94">
      <w:pPr>
        <w:pStyle w:val="NormalWeb"/>
        <w:numPr>
          <w:ilvl w:val="0"/>
          <w:numId w:val="5"/>
        </w:numPr>
        <w:spacing w:before="240" w:beforeAutospacing="0"/>
        <w:jc w:val="both"/>
        <w:rPr>
          <w:rFonts w:ascii="Arial" w:hAnsi="Arial" w:cs="Arial"/>
          <w:szCs w:val="22"/>
        </w:rPr>
      </w:pPr>
      <w:r w:rsidRPr="006F5AB8">
        <w:rPr>
          <w:rStyle w:val="Strong"/>
          <w:rFonts w:ascii="Arial" w:eastAsiaTheme="majorEastAsia" w:hAnsi="Arial" w:cs="Arial"/>
          <w:szCs w:val="22"/>
        </w:rPr>
        <w:t>Accuracy:</w:t>
      </w:r>
      <w:r w:rsidRPr="006F5AB8">
        <w:rPr>
          <w:rFonts w:ascii="Arial" w:hAnsi="Arial" w:cs="Arial"/>
          <w:szCs w:val="22"/>
        </w:rPr>
        <w:t xml:space="preserve"> </w:t>
      </w:r>
      <w:r w:rsidR="005756EF" w:rsidRPr="006F5AB8">
        <w:rPr>
          <w:rFonts w:ascii="Arial" w:hAnsi="Arial" w:cs="Arial"/>
          <w:szCs w:val="22"/>
        </w:rPr>
        <w:t xml:space="preserve">Clarity </w:t>
      </w:r>
      <w:r w:rsidRPr="006F5AB8">
        <w:rPr>
          <w:rFonts w:ascii="Arial" w:hAnsi="Arial" w:cs="Arial"/>
          <w:szCs w:val="22"/>
        </w:rPr>
        <w:t>of methods, coherence of findings, and appropriate referencing;</w:t>
      </w:r>
    </w:p>
    <w:p w14:paraId="0E8DF1DF" w14:textId="3A1B3AC7" w:rsidR="00017405" w:rsidRPr="006F5AB8" w:rsidRDefault="00017405" w:rsidP="00B21D94">
      <w:pPr>
        <w:pStyle w:val="NormalWeb"/>
        <w:numPr>
          <w:ilvl w:val="0"/>
          <w:numId w:val="5"/>
        </w:numPr>
        <w:spacing w:before="240" w:beforeAutospacing="0"/>
        <w:jc w:val="both"/>
        <w:rPr>
          <w:rFonts w:ascii="Arial" w:hAnsi="Arial" w:cs="Arial"/>
          <w:szCs w:val="22"/>
        </w:rPr>
      </w:pPr>
      <w:r w:rsidRPr="006F5AB8">
        <w:rPr>
          <w:rStyle w:val="Strong"/>
          <w:rFonts w:ascii="Arial" w:eastAsiaTheme="majorEastAsia" w:hAnsi="Arial" w:cs="Arial"/>
          <w:szCs w:val="22"/>
        </w:rPr>
        <w:t>Purpose:</w:t>
      </w:r>
      <w:r w:rsidRPr="006F5AB8">
        <w:rPr>
          <w:rFonts w:ascii="Arial" w:hAnsi="Arial" w:cs="Arial"/>
          <w:szCs w:val="22"/>
        </w:rPr>
        <w:t xml:space="preserve"> </w:t>
      </w:r>
      <w:r w:rsidR="005756EF" w:rsidRPr="006F5AB8">
        <w:rPr>
          <w:rFonts w:ascii="Arial" w:hAnsi="Arial" w:cs="Arial"/>
          <w:szCs w:val="22"/>
        </w:rPr>
        <w:t xml:space="preserve">Identification </w:t>
      </w:r>
      <w:r w:rsidRPr="006F5AB8">
        <w:rPr>
          <w:rFonts w:ascii="Arial" w:hAnsi="Arial" w:cs="Arial"/>
          <w:szCs w:val="22"/>
        </w:rPr>
        <w:t>of advocacy, bias, or non-empirical intent</w:t>
      </w:r>
      <w:r w:rsidR="00650603">
        <w:rPr>
          <w:rFonts w:ascii="Arial" w:hAnsi="Arial" w:cs="Arial"/>
          <w:szCs w:val="22"/>
        </w:rPr>
        <w:t xml:space="preserve"> (Muis, Denton and Dubé, 2022)</w:t>
      </w:r>
      <w:r w:rsidRPr="006F5AB8">
        <w:rPr>
          <w:rFonts w:ascii="Arial" w:hAnsi="Arial" w:cs="Arial"/>
          <w:szCs w:val="22"/>
        </w:rPr>
        <w:t>.</w:t>
      </w:r>
    </w:p>
    <w:p w14:paraId="76849FA5" w14:textId="078E1648" w:rsidR="00017405" w:rsidRPr="006F5AB8" w:rsidRDefault="00017405" w:rsidP="00B21D94">
      <w:pPr>
        <w:pStyle w:val="NormalWeb"/>
        <w:spacing w:before="240" w:beforeAutospacing="0"/>
        <w:jc w:val="both"/>
        <w:rPr>
          <w:rFonts w:ascii="Arial" w:hAnsi="Arial" w:cs="Arial"/>
          <w:szCs w:val="22"/>
        </w:rPr>
      </w:pPr>
      <w:r w:rsidRPr="006F5AB8">
        <w:rPr>
          <w:rFonts w:ascii="Arial" w:hAnsi="Arial" w:cs="Arial"/>
          <w:szCs w:val="22"/>
        </w:rPr>
        <w:t>Not all sources met every criterion equally</w:t>
      </w:r>
      <w:r w:rsidR="00494A9A" w:rsidRPr="006F5AB8">
        <w:rPr>
          <w:rFonts w:ascii="Arial" w:hAnsi="Arial" w:cs="Arial"/>
          <w:szCs w:val="22"/>
        </w:rPr>
        <w:t xml:space="preserve"> </w:t>
      </w:r>
      <w:r w:rsidRPr="006F5AB8">
        <w:rPr>
          <w:rFonts w:ascii="Arial" w:hAnsi="Arial" w:cs="Arial"/>
          <w:szCs w:val="22"/>
        </w:rPr>
        <w:t xml:space="preserve">but priority was given to sources that strongly satisfied </w:t>
      </w:r>
      <w:r w:rsidRPr="006F5AB8">
        <w:rPr>
          <w:rStyle w:val="Strong"/>
          <w:rFonts w:ascii="Arial" w:eastAsiaTheme="majorEastAsia" w:hAnsi="Arial" w:cs="Arial"/>
          <w:b w:val="0"/>
          <w:bCs w:val="0"/>
          <w:szCs w:val="22"/>
        </w:rPr>
        <w:t>currency, relevance, and authority</w:t>
      </w:r>
      <w:r w:rsidRPr="006F5AB8">
        <w:rPr>
          <w:rFonts w:ascii="Arial" w:hAnsi="Arial" w:cs="Arial"/>
          <w:szCs w:val="22"/>
        </w:rPr>
        <w:t xml:space="preserve">. </w:t>
      </w:r>
    </w:p>
    <w:p w14:paraId="58ED8084" w14:textId="77777777" w:rsidR="00017405" w:rsidRPr="006F5AB8" w:rsidRDefault="00017405" w:rsidP="00B21D94">
      <w:pPr>
        <w:pStyle w:val="Heading2"/>
        <w:jc w:val="both"/>
      </w:pPr>
      <w:bookmarkStart w:id="29" w:name="_Toc224307194"/>
      <w:r w:rsidRPr="006F5AB8">
        <w:t>3.5 Inclusion and Exclusion Criteria</w:t>
      </w:r>
      <w:bookmarkEnd w:id="29"/>
    </w:p>
    <w:p w14:paraId="2A68204C" w14:textId="77777777"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Inclusion criteria</w:t>
      </w:r>
    </w:p>
    <w:p w14:paraId="77ABBD00" w14:textId="77777777"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Peer-reviewed journal articles and high-quality grey literature (government/NGO reports, policy documents).</w:t>
      </w:r>
    </w:p>
    <w:p w14:paraId="127EAE73" w14:textId="77777777"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 xml:space="preserve">Publication window: </w:t>
      </w:r>
      <w:r w:rsidRPr="006F5AB8">
        <w:rPr>
          <w:rStyle w:val="Strong"/>
          <w:rFonts w:ascii="Arial" w:eastAsiaTheme="majorEastAsia" w:hAnsi="Arial" w:cs="Arial"/>
          <w:szCs w:val="22"/>
        </w:rPr>
        <w:t>2010–2025</w:t>
      </w:r>
      <w:r w:rsidRPr="006F5AB8">
        <w:rPr>
          <w:rFonts w:ascii="Arial" w:hAnsi="Arial" w:cs="Arial"/>
          <w:szCs w:val="22"/>
        </w:rPr>
        <w:t>.</w:t>
      </w:r>
    </w:p>
    <w:p w14:paraId="20F73896" w14:textId="77777777"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 xml:space="preserve">Samples including </w:t>
      </w:r>
      <w:r w:rsidRPr="006F5AB8">
        <w:rPr>
          <w:rStyle w:val="Strong"/>
          <w:rFonts w:ascii="Arial" w:eastAsiaTheme="majorEastAsia" w:hAnsi="Arial" w:cs="Arial"/>
          <w:szCs w:val="22"/>
        </w:rPr>
        <w:t>graduates/degree completers</w:t>
      </w:r>
      <w:r w:rsidRPr="006F5AB8">
        <w:rPr>
          <w:rFonts w:ascii="Arial" w:hAnsi="Arial" w:cs="Arial"/>
          <w:szCs w:val="22"/>
        </w:rPr>
        <w:t xml:space="preserve"> (post-secondary completion), with </w:t>
      </w:r>
      <w:r w:rsidRPr="006F5AB8">
        <w:rPr>
          <w:rStyle w:val="Strong"/>
          <w:rFonts w:ascii="Arial" w:eastAsiaTheme="majorEastAsia" w:hAnsi="Arial" w:cs="Arial"/>
          <w:szCs w:val="22"/>
        </w:rPr>
        <w:t>explicit foster-care history</w:t>
      </w:r>
      <w:r w:rsidRPr="006F5AB8">
        <w:rPr>
          <w:rFonts w:ascii="Arial" w:hAnsi="Arial" w:cs="Arial"/>
          <w:szCs w:val="22"/>
        </w:rPr>
        <w:t xml:space="preserve"> prior to age 18.</w:t>
      </w:r>
    </w:p>
    <w:p w14:paraId="47429EEB" w14:textId="77777777"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 xml:space="preserve">A </w:t>
      </w:r>
      <w:r w:rsidRPr="006F5AB8">
        <w:rPr>
          <w:rStyle w:val="Strong"/>
          <w:rFonts w:ascii="Arial" w:eastAsiaTheme="majorEastAsia" w:hAnsi="Arial" w:cs="Arial"/>
          <w:szCs w:val="22"/>
        </w:rPr>
        <w:t>non-foster comparator</w:t>
      </w:r>
      <w:r w:rsidRPr="006F5AB8">
        <w:rPr>
          <w:rFonts w:ascii="Arial" w:hAnsi="Arial" w:cs="Arial"/>
          <w:szCs w:val="22"/>
        </w:rPr>
        <w:t xml:space="preserve"> group (or equivalent comparison allowing foster-care vs non-foster distinction).</w:t>
      </w:r>
    </w:p>
    <w:p w14:paraId="2397922F" w14:textId="77777777"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Quantitative, qualitative, or mixed-method designs.</w:t>
      </w:r>
    </w:p>
    <w:p w14:paraId="08CFECF8" w14:textId="78CDC27D" w:rsidR="00017405" w:rsidRPr="006F5AB8" w:rsidRDefault="00017405" w:rsidP="00B21D94">
      <w:pPr>
        <w:pStyle w:val="NormalWeb"/>
        <w:numPr>
          <w:ilvl w:val="0"/>
          <w:numId w:val="6"/>
        </w:numPr>
        <w:spacing w:before="240" w:beforeAutospacing="0"/>
        <w:jc w:val="both"/>
        <w:rPr>
          <w:rFonts w:ascii="Arial" w:hAnsi="Arial" w:cs="Arial"/>
          <w:szCs w:val="22"/>
        </w:rPr>
      </w:pPr>
      <w:r w:rsidRPr="006F5AB8">
        <w:rPr>
          <w:rFonts w:ascii="Arial" w:hAnsi="Arial" w:cs="Arial"/>
          <w:szCs w:val="22"/>
        </w:rPr>
        <w:t xml:space="preserve">English-language publications </w:t>
      </w:r>
    </w:p>
    <w:p w14:paraId="2BC29C0B" w14:textId="77777777" w:rsidR="00017405" w:rsidRPr="006F5AB8" w:rsidRDefault="00017405"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Exclusion criteria</w:t>
      </w:r>
    </w:p>
    <w:p w14:paraId="63E92371" w14:textId="77777777" w:rsidR="00017405" w:rsidRPr="006F5AB8" w:rsidRDefault="00017405" w:rsidP="00B21D94">
      <w:pPr>
        <w:pStyle w:val="NormalWeb"/>
        <w:numPr>
          <w:ilvl w:val="0"/>
          <w:numId w:val="7"/>
        </w:numPr>
        <w:spacing w:before="240" w:beforeAutospacing="0"/>
        <w:jc w:val="both"/>
        <w:rPr>
          <w:rFonts w:ascii="Arial" w:hAnsi="Arial" w:cs="Arial"/>
          <w:szCs w:val="22"/>
        </w:rPr>
      </w:pPr>
      <w:r w:rsidRPr="006F5AB8">
        <w:rPr>
          <w:rFonts w:ascii="Arial" w:hAnsi="Arial" w:cs="Arial"/>
          <w:szCs w:val="22"/>
        </w:rPr>
        <w:t>Studies without an explicit foster-care measure (or where foster-care history could not be separated from broader adversity categories).</w:t>
      </w:r>
    </w:p>
    <w:p w14:paraId="020190E7" w14:textId="77777777" w:rsidR="00017405" w:rsidRPr="006F5AB8" w:rsidRDefault="00017405" w:rsidP="00B21D94">
      <w:pPr>
        <w:pStyle w:val="NormalWeb"/>
        <w:numPr>
          <w:ilvl w:val="0"/>
          <w:numId w:val="7"/>
        </w:numPr>
        <w:spacing w:before="240" w:beforeAutospacing="0"/>
        <w:jc w:val="both"/>
        <w:rPr>
          <w:rFonts w:ascii="Arial" w:hAnsi="Arial" w:cs="Arial"/>
          <w:szCs w:val="22"/>
        </w:rPr>
      </w:pPr>
      <w:r w:rsidRPr="006F5AB8">
        <w:rPr>
          <w:rFonts w:ascii="Arial" w:hAnsi="Arial" w:cs="Arial"/>
          <w:szCs w:val="22"/>
        </w:rPr>
        <w:t>Studies focused only on children/adolescents currently in care with no graduate outcomes.</w:t>
      </w:r>
    </w:p>
    <w:p w14:paraId="1120A225" w14:textId="77777777" w:rsidR="00017405" w:rsidRPr="006F5AB8" w:rsidRDefault="00017405" w:rsidP="00B21D94">
      <w:pPr>
        <w:pStyle w:val="NormalWeb"/>
        <w:numPr>
          <w:ilvl w:val="0"/>
          <w:numId w:val="7"/>
        </w:numPr>
        <w:spacing w:before="240" w:beforeAutospacing="0"/>
        <w:jc w:val="both"/>
        <w:rPr>
          <w:rFonts w:ascii="Arial" w:hAnsi="Arial" w:cs="Arial"/>
          <w:szCs w:val="22"/>
        </w:rPr>
      </w:pPr>
      <w:r w:rsidRPr="006F5AB8">
        <w:rPr>
          <w:rFonts w:ascii="Arial" w:hAnsi="Arial" w:cs="Arial"/>
          <w:szCs w:val="22"/>
        </w:rPr>
        <w:t>Opinion blogs, non-credible websites, or sources lacking transparent methods.</w:t>
      </w:r>
    </w:p>
    <w:p w14:paraId="2BF93013" w14:textId="77777777" w:rsidR="00017405" w:rsidRPr="006F5AB8" w:rsidRDefault="00017405" w:rsidP="00B21D94">
      <w:pPr>
        <w:pStyle w:val="NormalWeb"/>
        <w:numPr>
          <w:ilvl w:val="0"/>
          <w:numId w:val="7"/>
        </w:numPr>
        <w:spacing w:before="240" w:beforeAutospacing="0"/>
        <w:jc w:val="both"/>
        <w:rPr>
          <w:rFonts w:ascii="Arial" w:hAnsi="Arial" w:cs="Arial"/>
          <w:szCs w:val="22"/>
        </w:rPr>
      </w:pPr>
      <w:r w:rsidRPr="006F5AB8">
        <w:rPr>
          <w:rFonts w:ascii="Arial" w:hAnsi="Arial" w:cs="Arial"/>
          <w:szCs w:val="22"/>
        </w:rPr>
        <w:t>Non-English publications where translation was not feasible.</w:t>
      </w:r>
    </w:p>
    <w:p w14:paraId="11B61016" w14:textId="77777777" w:rsidR="00017405" w:rsidRPr="006F5AB8" w:rsidRDefault="00017405" w:rsidP="00B21D94">
      <w:pPr>
        <w:pStyle w:val="NormalWeb"/>
        <w:numPr>
          <w:ilvl w:val="0"/>
          <w:numId w:val="7"/>
        </w:numPr>
        <w:spacing w:before="240" w:beforeAutospacing="0"/>
        <w:jc w:val="both"/>
        <w:rPr>
          <w:rFonts w:ascii="Arial" w:hAnsi="Arial" w:cs="Arial"/>
          <w:szCs w:val="22"/>
        </w:rPr>
      </w:pPr>
      <w:r w:rsidRPr="006F5AB8">
        <w:rPr>
          <w:rFonts w:ascii="Arial" w:hAnsi="Arial" w:cs="Arial"/>
          <w:szCs w:val="22"/>
        </w:rPr>
        <w:t>Duplicates or inaccessible full texts after reasonable efforts to locate them.</w:t>
      </w:r>
    </w:p>
    <w:p w14:paraId="1093E4E7" w14:textId="3E144989" w:rsidR="00017405" w:rsidRPr="00FD5C0A" w:rsidRDefault="00FD5C0A" w:rsidP="00FD5C0A">
      <w:pPr>
        <w:jc w:val="both"/>
        <w:rPr>
          <w:rFonts w:cstheme="minorBidi"/>
        </w:rPr>
      </w:pPr>
      <w:r w:rsidRPr="00FD5C0A">
        <w:t>The inclusion/exclusion criteria narrowed the dataset to studies that explicitly identified foster-care history and linked it to mental health and/or academic/graduate outcomes in a higher-education context, which improved relevance but reduced the pool substantially. Excluding studies that did not separate foster-care experience from broader disadvantage categories (or that lacked clear outcome reporting) meant the final set was smaller but more defensible for comparative synthesis</w:t>
      </w:r>
      <w:r w:rsidR="00017405" w:rsidRPr="00FD5C0A">
        <w:rPr>
          <w:rFonts w:ascii="Arial" w:hAnsi="Arial" w:cs="Arial"/>
          <w:szCs w:val="22"/>
        </w:rPr>
        <w:t>.</w:t>
      </w:r>
    </w:p>
    <w:p w14:paraId="14C11B48" w14:textId="146D9CCC" w:rsidR="00017405" w:rsidRPr="006F5AB8" w:rsidRDefault="00017405" w:rsidP="00B21D94">
      <w:pPr>
        <w:pStyle w:val="Heading2"/>
        <w:jc w:val="both"/>
      </w:pPr>
      <w:bookmarkStart w:id="30" w:name="_Toc224307195"/>
      <w:r w:rsidRPr="006F5AB8">
        <w:t xml:space="preserve">3.6 </w:t>
      </w:r>
      <w:r w:rsidR="001A67E6">
        <w:t>Data Analysis</w:t>
      </w:r>
      <w:bookmarkEnd w:id="30"/>
    </w:p>
    <w:p w14:paraId="4F4056D2" w14:textId="0A4F8D64" w:rsidR="00017405" w:rsidRDefault="00D968F6" w:rsidP="00D968F6">
      <w:pPr>
        <w:pStyle w:val="NormalWeb"/>
        <w:spacing w:before="240" w:beforeAutospacing="0"/>
        <w:jc w:val="both"/>
        <w:rPr>
          <w:rFonts w:ascii="Arial" w:hAnsi="Arial" w:cs="Arial"/>
          <w:szCs w:val="22"/>
        </w:rPr>
      </w:pPr>
      <w:r w:rsidRPr="00D968F6">
        <w:rPr>
          <w:rFonts w:ascii="Arial" w:hAnsi="Arial" w:cs="Arial"/>
          <w:szCs w:val="22"/>
        </w:rPr>
        <w:t>The analysis employed the thematic analysis (a methodology) which is a methodical process of identifying, categorising, and interpreting patterned meaning in a set of textual information. It was chosen due to the anticipated heterogeneity in the design and measurement of evidence, and thematic synthesis appeared appropriate to combine the quantitative results, qualitative knowledge, and contextual clarifications in a unified sense of interpretation</w:t>
      </w:r>
      <w:r>
        <w:rPr>
          <w:rFonts w:ascii="Arial" w:hAnsi="Arial" w:cs="Arial"/>
          <w:szCs w:val="22"/>
        </w:rPr>
        <w:t xml:space="preserve"> </w:t>
      </w:r>
      <w:r w:rsidR="00C00FCE">
        <w:rPr>
          <w:rFonts w:ascii="Arial" w:hAnsi="Arial" w:cs="Arial"/>
          <w:szCs w:val="22"/>
        </w:rPr>
        <w:t>(Braun and Clarke, 2006)</w:t>
      </w:r>
      <w:r w:rsidR="00017405" w:rsidRPr="006F5AB8">
        <w:rPr>
          <w:rFonts w:ascii="Arial" w:hAnsi="Arial" w:cs="Arial"/>
          <w:szCs w:val="22"/>
        </w:rPr>
        <w:t>.</w:t>
      </w:r>
    </w:p>
    <w:p w14:paraId="119160F9" w14:textId="77777777" w:rsidR="00131CCA" w:rsidRDefault="00131CCA" w:rsidP="00BF3C53">
      <w:pPr>
        <w:spacing w:before="240"/>
        <w:jc w:val="both"/>
      </w:pPr>
      <w:r w:rsidRPr="00131CCA">
        <w:t>After finalising the included sources, full texts were read through and coded to identify common concepts that fell within the research objectives. Coding involved an iterative method: early descriptive codes were created and then clustered into larger units of analysis by their similarities in meaning and relevance. Overlapping codes were compared and merged, related as related sub-themes, or remained independent where they represented different issues. Only themes that were supported by more than one study, demonstrated internal consistency, distinguished themselves, and corresponded with the research aim and objectives were retained. The coding and theme-development process involved colour-coding as well as the use of uniform labels to facilitate organisation and transparency.</w:t>
      </w:r>
    </w:p>
    <w:p w14:paraId="72010077" w14:textId="57C7D8B9" w:rsidR="0028495D" w:rsidRPr="004A36DE" w:rsidRDefault="00064411" w:rsidP="00BF3C53">
      <w:pPr>
        <w:spacing w:before="240"/>
        <w:jc w:val="both"/>
      </w:pPr>
      <w:r w:rsidRPr="00064411">
        <w:t>Once the 15 sources included were fully read, initial descriptive codes were created based on common concepts occurring within them, including distress related to trauma, loneliness, stigma and disclosure, financial constraint, housing instability, barriers to seeking help, consistency of ongoing help, and mentoring or coaching. These codes were cross-study compared and then clustered into higher-order sub-themes of shared mechanisms; such as, transition instability and service discontinuity were grouped together whereas self-reliance was associated with delayed help-seeking. Sub-themes were subsequently narrowed down to three resulting analytic themes by evaluating whether they were adequately sustained throughout the entire dataset, conceptually different, and relevant to Objectives 1-3 directly</w:t>
      </w:r>
      <w:r w:rsidR="0028495D" w:rsidRPr="0028495D">
        <w:t>.</w:t>
      </w:r>
    </w:p>
    <w:p w14:paraId="205DE66B" w14:textId="77777777" w:rsidR="00017405" w:rsidRDefault="00017405" w:rsidP="00B21D94">
      <w:pPr>
        <w:pStyle w:val="Heading2"/>
        <w:jc w:val="both"/>
      </w:pPr>
      <w:bookmarkStart w:id="31" w:name="_Toc224307196"/>
      <w:r w:rsidRPr="006F5AB8">
        <w:t>3.7 Ethical Considerations</w:t>
      </w:r>
      <w:bookmarkEnd w:id="31"/>
    </w:p>
    <w:p w14:paraId="23A99A3E" w14:textId="282F6C6B" w:rsidR="00C63A55" w:rsidRPr="008C2D73" w:rsidRDefault="00201419" w:rsidP="008C2D73">
      <w:pPr>
        <w:jc w:val="both"/>
      </w:pPr>
      <w:r w:rsidRPr="00201419">
        <w:t>This dissertation relied solely on secondary sources, and no primary data were gathered among participants. Ethical responsibility thus aimed toward academic integrity, open reporting, and truthful presentation of evidence. Every source has been properly referenced in accordance to Harvard referencing and results have been given with caution to prevent misrepresentation. Proper paraphrasing was applied, and direct quotes, where essential, were kept to a minimum and were marked. To increase credibility, the literature selection and synthesis were structured to minimi</w:t>
      </w:r>
      <w:r w:rsidR="0075773D">
        <w:t>s</w:t>
      </w:r>
      <w:r w:rsidRPr="00201419">
        <w:t>e bias by including and excluding with specific criteria, conducting systematic searching, and listing screening choices accurately</w:t>
      </w:r>
      <w:r w:rsidR="00C63A55" w:rsidRPr="00C63A55">
        <w:t>.</w:t>
      </w:r>
    </w:p>
    <w:p w14:paraId="10E2B406" w14:textId="77777777" w:rsidR="00017405" w:rsidRPr="006F5AB8" w:rsidRDefault="00017405" w:rsidP="00B21D94">
      <w:pPr>
        <w:pStyle w:val="Heading2"/>
        <w:jc w:val="both"/>
      </w:pPr>
      <w:bookmarkStart w:id="32" w:name="_Toc224307197"/>
      <w:r w:rsidRPr="006F5AB8">
        <w:t>3.8 Chapter Conclusion</w:t>
      </w:r>
      <w:bookmarkEnd w:id="32"/>
    </w:p>
    <w:p w14:paraId="245B3EAB" w14:textId="55594CD6" w:rsidR="004A4B6F" w:rsidRPr="006F5AB8" w:rsidRDefault="00716C12" w:rsidP="00B21D94">
      <w:pPr>
        <w:spacing w:before="240"/>
        <w:jc w:val="both"/>
        <w:rPr>
          <w:rFonts w:ascii="Arial" w:hAnsi="Arial" w:cs="Arial"/>
          <w:szCs w:val="22"/>
        </w:rPr>
      </w:pPr>
      <w:r w:rsidRPr="00716C12">
        <w:rPr>
          <w:rFonts w:ascii="Arial" w:hAnsi="Arial" w:cs="Arial"/>
          <w:szCs w:val="22"/>
        </w:rPr>
        <w:t>This chapter explained the desk-based approach to identify, critique, and interpret the literature on mental health outcomes and academic/post-graduation achievement among foster-care graduates and no foster-care graduates. It defined the search plan, database identification and exclusion, gradual relevance screening, source validation by CRAAP, and quality evaluation to underpin a viable evidence base. It also demonstrated the application of thematic analysis in coding and synthesising results of various study designs. The results of this analysis are described in Chapter 4, structured into themes that directly reflect the research aim and objectives and can guide practice-oriented advice to universities, services, and policymakers.</w:t>
      </w:r>
    </w:p>
    <w:p w14:paraId="00CC3257" w14:textId="77777777" w:rsidR="00494A9A" w:rsidRPr="006F5AB8" w:rsidRDefault="00494A9A" w:rsidP="00B21D94">
      <w:pPr>
        <w:spacing w:before="240"/>
        <w:jc w:val="both"/>
        <w:rPr>
          <w:rFonts w:ascii="Arial" w:hAnsi="Arial" w:cs="Arial"/>
          <w:szCs w:val="22"/>
        </w:rPr>
      </w:pPr>
    </w:p>
    <w:p w14:paraId="3F72703D" w14:textId="77777777" w:rsidR="00ED3F39" w:rsidRPr="006F5AB8" w:rsidRDefault="00ED3F39" w:rsidP="00B21D94">
      <w:pPr>
        <w:spacing w:before="240"/>
        <w:jc w:val="both"/>
        <w:rPr>
          <w:rFonts w:ascii="Arial" w:hAnsi="Arial" w:cs="Arial"/>
          <w:szCs w:val="22"/>
        </w:rPr>
      </w:pPr>
    </w:p>
    <w:p w14:paraId="146A5A9D" w14:textId="77777777" w:rsidR="00ED3F39" w:rsidRDefault="00ED3F39" w:rsidP="00B21D94">
      <w:pPr>
        <w:spacing w:before="240"/>
        <w:jc w:val="both"/>
        <w:rPr>
          <w:rFonts w:ascii="Arial" w:hAnsi="Arial" w:cs="Arial"/>
          <w:szCs w:val="22"/>
        </w:rPr>
      </w:pPr>
    </w:p>
    <w:p w14:paraId="6746DD60" w14:textId="77777777" w:rsidR="00D11ABC" w:rsidRDefault="00D11ABC" w:rsidP="00B21D94">
      <w:pPr>
        <w:spacing w:before="240"/>
        <w:jc w:val="both"/>
        <w:rPr>
          <w:rFonts w:ascii="Arial" w:hAnsi="Arial" w:cs="Arial"/>
          <w:szCs w:val="22"/>
        </w:rPr>
      </w:pPr>
    </w:p>
    <w:p w14:paraId="6F7FE0D6" w14:textId="77777777" w:rsidR="00D11ABC" w:rsidRDefault="00D11ABC" w:rsidP="00B21D94">
      <w:pPr>
        <w:spacing w:before="240"/>
        <w:jc w:val="both"/>
        <w:rPr>
          <w:rFonts w:ascii="Arial" w:hAnsi="Arial" w:cs="Arial"/>
          <w:szCs w:val="22"/>
        </w:rPr>
      </w:pPr>
    </w:p>
    <w:p w14:paraId="7E4D282C" w14:textId="77777777" w:rsidR="00D11ABC" w:rsidRDefault="00D11ABC" w:rsidP="00B21D94">
      <w:pPr>
        <w:spacing w:before="240"/>
        <w:jc w:val="both"/>
        <w:rPr>
          <w:rFonts w:ascii="Arial" w:hAnsi="Arial" w:cs="Arial"/>
          <w:szCs w:val="22"/>
        </w:rPr>
      </w:pPr>
    </w:p>
    <w:p w14:paraId="1541F492" w14:textId="77777777" w:rsidR="00D11ABC" w:rsidRDefault="00D11ABC" w:rsidP="00B21D94">
      <w:pPr>
        <w:spacing w:before="240"/>
        <w:jc w:val="both"/>
        <w:rPr>
          <w:rFonts w:ascii="Arial" w:hAnsi="Arial" w:cs="Arial"/>
          <w:szCs w:val="22"/>
        </w:rPr>
      </w:pPr>
    </w:p>
    <w:p w14:paraId="23F37670" w14:textId="77777777" w:rsidR="00D11ABC" w:rsidRDefault="00D11ABC" w:rsidP="00B21D94">
      <w:pPr>
        <w:spacing w:before="240"/>
        <w:jc w:val="both"/>
        <w:rPr>
          <w:rFonts w:ascii="Arial" w:hAnsi="Arial" w:cs="Arial"/>
          <w:szCs w:val="22"/>
        </w:rPr>
      </w:pPr>
    </w:p>
    <w:p w14:paraId="668B57BD" w14:textId="77777777" w:rsidR="00D11ABC" w:rsidRDefault="00D11ABC" w:rsidP="00B21D94">
      <w:pPr>
        <w:spacing w:before="240"/>
        <w:jc w:val="both"/>
        <w:rPr>
          <w:rFonts w:ascii="Arial" w:hAnsi="Arial" w:cs="Arial"/>
          <w:szCs w:val="22"/>
        </w:rPr>
      </w:pPr>
    </w:p>
    <w:p w14:paraId="65BB935E" w14:textId="77777777" w:rsidR="00D11ABC" w:rsidRDefault="00D11ABC" w:rsidP="00B21D94">
      <w:pPr>
        <w:spacing w:before="240"/>
        <w:jc w:val="both"/>
        <w:rPr>
          <w:rFonts w:ascii="Arial" w:hAnsi="Arial" w:cs="Arial"/>
          <w:szCs w:val="22"/>
        </w:rPr>
      </w:pPr>
    </w:p>
    <w:p w14:paraId="62AB60CE" w14:textId="77777777" w:rsidR="00D11ABC" w:rsidRDefault="00D11ABC" w:rsidP="00B21D94">
      <w:pPr>
        <w:spacing w:before="240"/>
        <w:jc w:val="both"/>
        <w:rPr>
          <w:rFonts w:ascii="Arial" w:hAnsi="Arial" w:cs="Arial"/>
          <w:szCs w:val="22"/>
        </w:rPr>
      </w:pPr>
    </w:p>
    <w:p w14:paraId="55735B67" w14:textId="77777777" w:rsidR="00D11ABC" w:rsidRDefault="00D11ABC" w:rsidP="00B21D94">
      <w:pPr>
        <w:spacing w:before="240"/>
        <w:jc w:val="both"/>
        <w:rPr>
          <w:rFonts w:ascii="Arial" w:hAnsi="Arial" w:cs="Arial"/>
          <w:szCs w:val="22"/>
        </w:rPr>
      </w:pPr>
    </w:p>
    <w:p w14:paraId="0AA44615" w14:textId="7EF45CEB" w:rsidR="00ED3F39" w:rsidRPr="0020292F" w:rsidRDefault="00ED3F39" w:rsidP="00B21D94">
      <w:pPr>
        <w:pStyle w:val="Heading1"/>
        <w:jc w:val="both"/>
      </w:pPr>
      <w:bookmarkStart w:id="33" w:name="_Toc224307198"/>
      <w:r w:rsidRPr="0020292F">
        <w:t>CHAPTER 4</w:t>
      </w:r>
      <w:r w:rsidR="0020292F">
        <w:t>:</w:t>
      </w:r>
      <w:r w:rsidRPr="0020292F">
        <w:t xml:space="preserve"> Findings and Discussion</w:t>
      </w:r>
      <w:bookmarkEnd w:id="33"/>
    </w:p>
    <w:p w14:paraId="0C24D2C7" w14:textId="0F5EA200" w:rsidR="00ED3F39" w:rsidRPr="0020292F" w:rsidRDefault="00166D16" w:rsidP="00B21D94">
      <w:pPr>
        <w:pStyle w:val="Heading2"/>
        <w:jc w:val="both"/>
      </w:pPr>
      <w:bookmarkStart w:id="34" w:name="_Toc224307199"/>
      <w:r w:rsidRPr="0020292F">
        <w:t>4.1. Introduction</w:t>
      </w:r>
      <w:bookmarkEnd w:id="34"/>
    </w:p>
    <w:p w14:paraId="3AE5436F" w14:textId="20C91225" w:rsidR="00EF1129" w:rsidRDefault="00EF1129" w:rsidP="00B21D94">
      <w:pPr>
        <w:spacing w:before="240"/>
        <w:jc w:val="both"/>
        <w:rPr>
          <w:rFonts w:ascii="Arial" w:hAnsi="Arial" w:cs="Arial"/>
          <w:szCs w:val="22"/>
        </w:rPr>
      </w:pPr>
      <w:r>
        <w:rPr>
          <w:rFonts w:ascii="Arial" w:hAnsi="Arial" w:cs="Arial"/>
          <w:szCs w:val="22"/>
        </w:rPr>
        <w:t>The chapter discussed and analyse the findings of 15 studies which were selected for the study and focused on research objectives. It explores and compares the similar patterns acorss studies and evaluate these to suggest various</w:t>
      </w:r>
      <w:r w:rsidRPr="00EF1129">
        <w:rPr>
          <w:rFonts w:ascii="Arial" w:hAnsi="Arial" w:cs="Arial"/>
          <w:szCs w:val="22"/>
        </w:rPr>
        <w:t xml:space="preserve"> </w:t>
      </w:r>
      <w:r w:rsidRPr="006F5AB8">
        <w:rPr>
          <w:rFonts w:ascii="Arial" w:hAnsi="Arial" w:cs="Arial"/>
          <w:szCs w:val="22"/>
        </w:rPr>
        <w:t>disparities, mechanisms, and protective factors in higher-education contexts</w:t>
      </w:r>
      <w:r>
        <w:rPr>
          <w:rFonts w:ascii="Arial" w:hAnsi="Arial" w:cs="Arial"/>
          <w:szCs w:val="22"/>
        </w:rPr>
        <w:t>.</w:t>
      </w:r>
    </w:p>
    <w:p w14:paraId="5C4015BA" w14:textId="6841A5F6" w:rsidR="005672E5" w:rsidRPr="006F5AB8" w:rsidRDefault="00EF1129" w:rsidP="00EF1129">
      <w:pPr>
        <w:spacing w:before="240"/>
        <w:jc w:val="both"/>
        <w:rPr>
          <w:rFonts w:ascii="Arial" w:hAnsi="Arial" w:cs="Arial"/>
          <w:szCs w:val="22"/>
        </w:rPr>
      </w:pPr>
      <w:r>
        <w:rPr>
          <w:rFonts w:ascii="Arial" w:hAnsi="Arial" w:cs="Arial"/>
          <w:szCs w:val="22"/>
        </w:rPr>
        <w:t>Next section includes the detailed strategy of coding and sub coding used in thematic analysis and then discussed the themes generated</w:t>
      </w:r>
      <w:r w:rsidR="00B144AD" w:rsidRPr="006F5AB8">
        <w:rPr>
          <w:rFonts w:ascii="Arial" w:hAnsi="Arial" w:cs="Arial"/>
          <w:szCs w:val="22"/>
        </w:rPr>
        <w:t xml:space="preserve"> from the coding framework (see Appendix/Coding Table). Sections 4.3–4.5 then examine three themes in depth, drawing on supporting studies, relevant theory and policy, and implications for universities and services.</w:t>
      </w:r>
    </w:p>
    <w:p w14:paraId="388AAD4E" w14:textId="55ED3C97" w:rsidR="00B43609" w:rsidRPr="0020292F" w:rsidRDefault="00B43609" w:rsidP="00B21D94">
      <w:pPr>
        <w:pStyle w:val="Heading2"/>
        <w:jc w:val="both"/>
      </w:pPr>
      <w:bookmarkStart w:id="35" w:name="_Toc224307200"/>
      <w:r w:rsidRPr="0020292F">
        <w:t>4.2</w:t>
      </w:r>
      <w:r w:rsidR="0043779B" w:rsidRPr="0020292F">
        <w:t>.</w:t>
      </w:r>
      <w:r w:rsidRPr="0020292F">
        <w:t xml:space="preserve"> Thematic Analysis</w:t>
      </w:r>
      <w:bookmarkEnd w:id="35"/>
    </w:p>
    <w:p w14:paraId="3B274E6C" w14:textId="075F9CEF" w:rsidR="00B43609" w:rsidRPr="0020292F" w:rsidRDefault="0043779B" w:rsidP="00B21D94">
      <w:pPr>
        <w:pStyle w:val="Heading3"/>
        <w:jc w:val="both"/>
      </w:pPr>
      <w:bookmarkStart w:id="36" w:name="_Toc224307201"/>
      <w:r w:rsidRPr="0020292F">
        <w:t xml:space="preserve">4.2.1. </w:t>
      </w:r>
      <w:r w:rsidR="00B43609" w:rsidRPr="0020292F">
        <w:t>Definition</w:t>
      </w:r>
      <w:bookmarkEnd w:id="36"/>
      <w:r w:rsidR="00B43609" w:rsidRPr="0020292F">
        <w:t xml:space="preserve"> </w:t>
      </w:r>
    </w:p>
    <w:p w14:paraId="6DF84AD7" w14:textId="54FA0294" w:rsidR="00B43609" w:rsidRPr="006F5AB8" w:rsidRDefault="00B43609" w:rsidP="00B21D94">
      <w:pPr>
        <w:spacing w:before="240"/>
        <w:jc w:val="both"/>
        <w:rPr>
          <w:rFonts w:ascii="Arial" w:hAnsi="Arial" w:cs="Arial"/>
          <w:szCs w:val="22"/>
        </w:rPr>
      </w:pPr>
      <w:r w:rsidRPr="006F5AB8">
        <w:rPr>
          <w:rFonts w:ascii="Arial" w:hAnsi="Arial" w:cs="Arial"/>
          <w:szCs w:val="22"/>
        </w:rPr>
        <w:t>Thematic analysis (TA) is a widely used qualitative method that provides a systematic yet flexible approach to identifying, organising, and interpreting recurring patterns of meaning (themes) within a dataset. In the context of secondary research, TA enables the synthesis of findings across multiple published sources by coding comparable concepts (e.g., outcomes, mechanisms, and contextual influences) and then integrating them into higher-order themes that address the research objectives</w:t>
      </w:r>
      <w:r w:rsidR="00B75D1A">
        <w:rPr>
          <w:rFonts w:ascii="Arial" w:hAnsi="Arial" w:cs="Arial"/>
          <w:szCs w:val="22"/>
        </w:rPr>
        <w:t xml:space="preserve"> (Braun and Clarke, 2006; Vaismoradi, Turunen and Bondas, 2013)</w:t>
      </w:r>
      <w:r w:rsidRPr="006F5AB8">
        <w:rPr>
          <w:rFonts w:ascii="Arial" w:hAnsi="Arial" w:cs="Arial"/>
          <w:szCs w:val="22"/>
        </w:rPr>
        <w:t>.</w:t>
      </w:r>
    </w:p>
    <w:p w14:paraId="695C107D" w14:textId="3E810971" w:rsidR="00B43609" w:rsidRPr="0020292F" w:rsidRDefault="0043779B" w:rsidP="00B21D94">
      <w:pPr>
        <w:pStyle w:val="Heading3"/>
        <w:jc w:val="both"/>
      </w:pPr>
      <w:bookmarkStart w:id="37" w:name="_Toc224307202"/>
      <w:r w:rsidRPr="0020292F">
        <w:t>4.2.2. C</w:t>
      </w:r>
      <w:r w:rsidR="00B43609" w:rsidRPr="0020292F">
        <w:t xml:space="preserve">oding/results </w:t>
      </w:r>
      <w:r w:rsidRPr="0020292F">
        <w:t>T</w:t>
      </w:r>
      <w:r w:rsidR="00B43609" w:rsidRPr="0020292F">
        <w:t>able</w:t>
      </w:r>
      <w:bookmarkEnd w:id="37"/>
    </w:p>
    <w:p w14:paraId="63155A6D" w14:textId="77777777" w:rsidR="002D2E62" w:rsidRDefault="002D2E62" w:rsidP="00B21D94">
      <w:pPr>
        <w:spacing w:before="240"/>
        <w:jc w:val="both"/>
        <w:rPr>
          <w:rFonts w:ascii="Arial" w:hAnsi="Arial" w:cs="Arial"/>
          <w:szCs w:val="22"/>
        </w:rPr>
      </w:pPr>
      <w:r w:rsidRPr="002D2E62">
        <w:rPr>
          <w:rFonts w:ascii="Arial" w:hAnsi="Arial" w:cs="Arial"/>
          <w:szCs w:val="22"/>
        </w:rPr>
        <w:t xml:space="preserve">The 15 included studies were coded through an iterative process that was recorded in the Coding and Results Summary Table (Appendix). All the studies were read completely and coded with key concepts pertinent to the dissertation objective. Comparisons of codes between studies were then distilled into sub-themes, then narrowed to three themes. </w:t>
      </w:r>
    </w:p>
    <w:p w14:paraId="4C177A81" w14:textId="01F3050C" w:rsidR="00CE11C4" w:rsidRPr="006F5AB8" w:rsidRDefault="00B15B01" w:rsidP="00B21D94">
      <w:pPr>
        <w:spacing w:before="240"/>
        <w:jc w:val="both"/>
        <w:rPr>
          <w:rFonts w:ascii="Arial" w:hAnsi="Arial" w:cs="Arial"/>
          <w:szCs w:val="22"/>
        </w:rPr>
      </w:pPr>
      <w:r w:rsidRPr="006F5AB8">
        <w:rPr>
          <w:rFonts w:ascii="Arial" w:hAnsi="Arial" w:cs="Arial"/>
          <w:szCs w:val="22"/>
        </w:rPr>
        <w:t>A detailed table of coding and theme generation is included in Appendix. A condensed version is presented in Table</w:t>
      </w:r>
      <w:r w:rsidR="000E33D8" w:rsidRPr="006F5AB8">
        <w:rPr>
          <w:rFonts w:ascii="Arial" w:hAnsi="Arial" w:cs="Arial"/>
          <w:szCs w:val="22"/>
        </w:rPr>
        <w:t xml:space="preserve"> below</w:t>
      </w:r>
      <w:r w:rsidRPr="006F5AB8">
        <w:rPr>
          <w:rFonts w:ascii="Arial" w:hAnsi="Arial" w:cs="Arial"/>
          <w:szCs w:val="22"/>
        </w:rPr>
        <w:t>.</w:t>
      </w:r>
    </w:p>
    <w:p w14:paraId="715C7964" w14:textId="5C3FEB2A" w:rsidR="0020292F" w:rsidRDefault="0020292F" w:rsidP="00B21D94">
      <w:pPr>
        <w:pStyle w:val="Caption"/>
        <w:keepNext/>
        <w:jc w:val="both"/>
      </w:pPr>
      <w:bookmarkStart w:id="38" w:name="_Toc219050063"/>
      <w:r>
        <w:t xml:space="preserve">Table </w:t>
      </w:r>
      <w:r>
        <w:fldChar w:fldCharType="begin"/>
      </w:r>
      <w:r>
        <w:instrText xml:space="preserve"> SEQ Table \* ARABIC </w:instrText>
      </w:r>
      <w:r>
        <w:fldChar w:fldCharType="separate"/>
      </w:r>
      <w:r>
        <w:rPr>
          <w:noProof/>
        </w:rPr>
        <w:t>3</w:t>
      </w:r>
      <w:r>
        <w:rPr>
          <w:noProof/>
        </w:rPr>
        <w:fldChar w:fldCharType="end"/>
      </w:r>
      <w:r>
        <w:t>: Thematic Analysis Application</w:t>
      </w:r>
      <w:bookmarkEnd w:id="38"/>
    </w:p>
    <w:tbl>
      <w:tblPr>
        <w:tblStyle w:val="TableGrid"/>
        <w:tblW w:w="0" w:type="auto"/>
        <w:tblLook w:val="04A0" w:firstRow="1" w:lastRow="0" w:firstColumn="1" w:lastColumn="0" w:noHBand="0" w:noVBand="1"/>
      </w:tblPr>
      <w:tblGrid>
        <w:gridCol w:w="2246"/>
        <w:gridCol w:w="3523"/>
        <w:gridCol w:w="1478"/>
        <w:gridCol w:w="1769"/>
      </w:tblGrid>
      <w:tr w:rsidR="00CE7FEF" w:rsidRPr="006F5AB8" w14:paraId="1BA4E550" w14:textId="77777777" w:rsidTr="00DF2C7F">
        <w:tc>
          <w:tcPr>
            <w:tcW w:w="0" w:type="auto"/>
            <w:hideMark/>
          </w:tcPr>
          <w:p w14:paraId="2191F124" w14:textId="688CCE56" w:rsidR="00CE7FEF" w:rsidRPr="006F5AB8" w:rsidRDefault="00CE7FEF" w:rsidP="00B21D94">
            <w:pPr>
              <w:spacing w:before="240"/>
              <w:jc w:val="both"/>
              <w:rPr>
                <w:rFonts w:ascii="Arial" w:hAnsi="Arial" w:cs="Arial"/>
                <w:b/>
                <w:bCs/>
                <w:szCs w:val="22"/>
              </w:rPr>
            </w:pPr>
            <w:r w:rsidRPr="006F5AB8">
              <w:rPr>
                <w:rFonts w:ascii="Arial" w:hAnsi="Arial" w:cs="Arial"/>
                <w:b/>
                <w:bCs/>
                <w:szCs w:val="22"/>
              </w:rPr>
              <w:t xml:space="preserve">Theme </w:t>
            </w:r>
          </w:p>
        </w:tc>
        <w:tc>
          <w:tcPr>
            <w:tcW w:w="0" w:type="auto"/>
            <w:hideMark/>
          </w:tcPr>
          <w:p w14:paraId="76DCC266" w14:textId="05687848" w:rsidR="00CE7FEF" w:rsidRPr="006F5AB8" w:rsidRDefault="00CE7FEF" w:rsidP="00B21D94">
            <w:pPr>
              <w:spacing w:before="240"/>
              <w:jc w:val="both"/>
              <w:rPr>
                <w:rFonts w:ascii="Arial" w:hAnsi="Arial" w:cs="Arial"/>
                <w:b/>
                <w:bCs/>
                <w:szCs w:val="22"/>
              </w:rPr>
            </w:pPr>
            <w:r w:rsidRPr="006F5AB8">
              <w:rPr>
                <w:rFonts w:ascii="Arial" w:hAnsi="Arial" w:cs="Arial"/>
                <w:b/>
                <w:bCs/>
                <w:szCs w:val="22"/>
              </w:rPr>
              <w:t xml:space="preserve">Sub-themes </w:t>
            </w:r>
          </w:p>
        </w:tc>
        <w:tc>
          <w:tcPr>
            <w:tcW w:w="0" w:type="auto"/>
            <w:hideMark/>
          </w:tcPr>
          <w:p w14:paraId="0E1AB878" w14:textId="77777777" w:rsidR="00CE7FEF" w:rsidRPr="006F5AB8" w:rsidRDefault="00CE7FEF" w:rsidP="00B21D94">
            <w:pPr>
              <w:spacing w:before="240"/>
              <w:jc w:val="both"/>
              <w:rPr>
                <w:rFonts w:ascii="Arial" w:hAnsi="Arial" w:cs="Arial"/>
                <w:b/>
                <w:bCs/>
                <w:szCs w:val="22"/>
              </w:rPr>
            </w:pPr>
            <w:r w:rsidRPr="006F5AB8">
              <w:rPr>
                <w:rFonts w:ascii="Arial" w:hAnsi="Arial" w:cs="Arial"/>
                <w:b/>
                <w:bCs/>
                <w:szCs w:val="22"/>
              </w:rPr>
              <w:t>Linked objective(s)</w:t>
            </w:r>
          </w:p>
        </w:tc>
        <w:tc>
          <w:tcPr>
            <w:tcW w:w="0" w:type="auto"/>
            <w:hideMark/>
          </w:tcPr>
          <w:p w14:paraId="32239F59" w14:textId="13DB2538" w:rsidR="00CE7FEF" w:rsidRPr="006F5AB8" w:rsidRDefault="00CE7FEF" w:rsidP="00B21D94">
            <w:pPr>
              <w:spacing w:before="240"/>
              <w:jc w:val="both"/>
              <w:rPr>
                <w:rFonts w:ascii="Arial" w:hAnsi="Arial" w:cs="Arial"/>
                <w:b/>
                <w:bCs/>
                <w:szCs w:val="22"/>
              </w:rPr>
            </w:pPr>
            <w:r w:rsidRPr="006F5AB8">
              <w:rPr>
                <w:rFonts w:ascii="Arial" w:hAnsi="Arial" w:cs="Arial"/>
                <w:b/>
                <w:bCs/>
                <w:szCs w:val="22"/>
              </w:rPr>
              <w:t xml:space="preserve">Key studies </w:t>
            </w:r>
          </w:p>
        </w:tc>
      </w:tr>
      <w:tr w:rsidR="00CE7FEF" w:rsidRPr="006F5AB8" w14:paraId="39A9EAEB" w14:textId="77777777" w:rsidTr="00DF2C7F">
        <w:tc>
          <w:tcPr>
            <w:tcW w:w="0" w:type="auto"/>
            <w:hideMark/>
          </w:tcPr>
          <w:p w14:paraId="1FFDE895" w14:textId="165AEC34" w:rsidR="00CE7FEF" w:rsidRPr="00CA240A" w:rsidRDefault="00CA240A" w:rsidP="00B21D94">
            <w:pPr>
              <w:spacing w:before="240"/>
              <w:jc w:val="both"/>
              <w:rPr>
                <w:rFonts w:ascii="Arial" w:hAnsi="Arial" w:cs="Arial"/>
                <w:b/>
                <w:bCs/>
                <w:szCs w:val="22"/>
              </w:rPr>
            </w:pPr>
            <w:r w:rsidRPr="00CA240A">
              <w:rPr>
                <w:b/>
                <w:bCs/>
              </w:rPr>
              <w:t>Graduates with foster-care histories experience a greater mental health burden than non-foster peers, shaped by trauma, instability, and isolation</w:t>
            </w:r>
          </w:p>
        </w:tc>
        <w:tc>
          <w:tcPr>
            <w:tcW w:w="0" w:type="auto"/>
            <w:hideMark/>
          </w:tcPr>
          <w:p w14:paraId="6AD070A5" w14:textId="77777777" w:rsidR="00CE7FEF" w:rsidRPr="006F5AB8" w:rsidRDefault="00CE7FEF" w:rsidP="00B21D94">
            <w:pPr>
              <w:spacing w:before="240"/>
              <w:jc w:val="both"/>
              <w:rPr>
                <w:rFonts w:ascii="Arial" w:hAnsi="Arial" w:cs="Arial"/>
                <w:szCs w:val="22"/>
              </w:rPr>
            </w:pPr>
            <w:r w:rsidRPr="006F5AB8">
              <w:rPr>
                <w:rFonts w:ascii="Arial" w:hAnsi="Arial" w:cs="Arial"/>
                <w:szCs w:val="22"/>
              </w:rPr>
              <w:t>Trauma/distress (depression, anxiety, PTSD); loneliness/low belonging; stigma &amp; disclosure barriers; instability/transition gaps</w:t>
            </w:r>
          </w:p>
        </w:tc>
        <w:tc>
          <w:tcPr>
            <w:tcW w:w="0" w:type="auto"/>
            <w:hideMark/>
          </w:tcPr>
          <w:p w14:paraId="597E65F2" w14:textId="77777777" w:rsidR="00CE7FEF" w:rsidRPr="006F5AB8" w:rsidRDefault="00CE7FEF" w:rsidP="00B21D94">
            <w:pPr>
              <w:spacing w:before="240"/>
              <w:jc w:val="both"/>
              <w:rPr>
                <w:rFonts w:ascii="Arial" w:hAnsi="Arial" w:cs="Arial"/>
                <w:szCs w:val="22"/>
              </w:rPr>
            </w:pPr>
            <w:r w:rsidRPr="006F5AB8">
              <w:rPr>
                <w:rStyle w:val="Strong"/>
                <w:rFonts w:ascii="Arial" w:eastAsiaTheme="majorEastAsia" w:hAnsi="Arial" w:cs="Arial"/>
                <w:szCs w:val="22"/>
              </w:rPr>
              <w:t>Obj. 1</w:t>
            </w:r>
          </w:p>
        </w:tc>
        <w:tc>
          <w:tcPr>
            <w:tcW w:w="0" w:type="auto"/>
            <w:hideMark/>
          </w:tcPr>
          <w:p w14:paraId="6119E66E" w14:textId="4498DB97" w:rsidR="00CE7FEF" w:rsidRPr="006F5AB8" w:rsidRDefault="00CE7FEF" w:rsidP="00B21D94">
            <w:pPr>
              <w:spacing w:before="240"/>
              <w:jc w:val="both"/>
              <w:rPr>
                <w:rFonts w:ascii="Arial" w:hAnsi="Arial" w:cs="Arial"/>
                <w:szCs w:val="22"/>
              </w:rPr>
            </w:pPr>
            <w:r w:rsidRPr="006F5AB8">
              <w:rPr>
                <w:rFonts w:ascii="Arial" w:hAnsi="Arial" w:cs="Arial"/>
                <w:szCs w:val="22"/>
              </w:rPr>
              <w:t xml:space="preserve">Lehmann et al., 2024; Miller et al., 2020; Ellis </w:t>
            </w:r>
            <w:r w:rsidR="00DF2C7F" w:rsidRPr="006F5AB8">
              <w:rPr>
                <w:rFonts w:ascii="Arial" w:hAnsi="Arial" w:cs="Arial"/>
                <w:szCs w:val="22"/>
              </w:rPr>
              <w:t>and</w:t>
            </w:r>
            <w:r w:rsidRPr="006F5AB8">
              <w:rPr>
                <w:rFonts w:ascii="Arial" w:hAnsi="Arial" w:cs="Arial"/>
                <w:szCs w:val="22"/>
              </w:rPr>
              <w:t xml:space="preserve"> Johnston, 2022; Ellis </w:t>
            </w:r>
            <w:r w:rsidR="00DF2C7F" w:rsidRPr="006F5AB8">
              <w:rPr>
                <w:rFonts w:ascii="Arial" w:hAnsi="Arial" w:cs="Arial"/>
                <w:szCs w:val="22"/>
              </w:rPr>
              <w:t xml:space="preserve">and </w:t>
            </w:r>
            <w:r w:rsidRPr="006F5AB8">
              <w:rPr>
                <w:rFonts w:ascii="Arial" w:hAnsi="Arial" w:cs="Arial"/>
                <w:szCs w:val="22"/>
              </w:rPr>
              <w:t>Johnston, 2024; Varnish et al., 2025</w:t>
            </w:r>
          </w:p>
        </w:tc>
      </w:tr>
      <w:tr w:rsidR="00CE7FEF" w:rsidRPr="006F5AB8" w14:paraId="433A19C6" w14:textId="77777777" w:rsidTr="00DF2C7F">
        <w:tc>
          <w:tcPr>
            <w:tcW w:w="0" w:type="auto"/>
            <w:hideMark/>
          </w:tcPr>
          <w:p w14:paraId="46A614DC" w14:textId="77777777" w:rsidR="00CE7FEF" w:rsidRPr="006F5AB8" w:rsidRDefault="00CE7FEF" w:rsidP="00B21D94">
            <w:pPr>
              <w:spacing w:before="240"/>
              <w:jc w:val="both"/>
              <w:rPr>
                <w:rFonts w:ascii="Arial" w:hAnsi="Arial" w:cs="Arial"/>
                <w:szCs w:val="22"/>
              </w:rPr>
            </w:pPr>
            <w:r w:rsidRPr="006F5AB8">
              <w:rPr>
                <w:rStyle w:val="Strong"/>
                <w:rFonts w:ascii="Arial" w:eastAsiaTheme="majorEastAsia" w:hAnsi="Arial" w:cs="Arial"/>
                <w:szCs w:val="22"/>
              </w:rPr>
              <w:t>Resilience in academic progression despite financial strain and wellbeing challenges</w:t>
            </w:r>
          </w:p>
        </w:tc>
        <w:tc>
          <w:tcPr>
            <w:tcW w:w="0" w:type="auto"/>
            <w:hideMark/>
          </w:tcPr>
          <w:p w14:paraId="6C7B0D71" w14:textId="77777777" w:rsidR="00CE7FEF" w:rsidRPr="006F5AB8" w:rsidRDefault="00CE7FEF" w:rsidP="00B21D94">
            <w:pPr>
              <w:spacing w:before="240"/>
              <w:jc w:val="both"/>
              <w:rPr>
                <w:rFonts w:ascii="Arial" w:hAnsi="Arial" w:cs="Arial"/>
                <w:szCs w:val="22"/>
              </w:rPr>
            </w:pPr>
            <w:r w:rsidRPr="006F5AB8">
              <w:rPr>
                <w:rFonts w:ascii="Arial" w:hAnsi="Arial" w:cs="Arial"/>
                <w:szCs w:val="22"/>
              </w:rPr>
              <w:t>Comparable attainment despite poorer health; financial precarity as mediator; relational supports as protective factors; structural constraints shaping trajectories</w:t>
            </w:r>
          </w:p>
        </w:tc>
        <w:tc>
          <w:tcPr>
            <w:tcW w:w="0" w:type="auto"/>
            <w:hideMark/>
          </w:tcPr>
          <w:p w14:paraId="47BF99DE" w14:textId="77777777" w:rsidR="00CE7FEF" w:rsidRPr="006F5AB8" w:rsidRDefault="00CE7FEF" w:rsidP="00B21D94">
            <w:pPr>
              <w:spacing w:before="240"/>
              <w:jc w:val="both"/>
              <w:rPr>
                <w:rFonts w:ascii="Arial" w:hAnsi="Arial" w:cs="Arial"/>
                <w:szCs w:val="22"/>
              </w:rPr>
            </w:pPr>
            <w:r w:rsidRPr="006F5AB8">
              <w:rPr>
                <w:rStyle w:val="Strong"/>
                <w:rFonts w:ascii="Arial" w:eastAsiaTheme="majorEastAsia" w:hAnsi="Arial" w:cs="Arial"/>
                <w:szCs w:val="22"/>
              </w:rPr>
              <w:t>Obj. 2</w:t>
            </w:r>
          </w:p>
        </w:tc>
        <w:tc>
          <w:tcPr>
            <w:tcW w:w="0" w:type="auto"/>
            <w:hideMark/>
          </w:tcPr>
          <w:p w14:paraId="1C7EB031" w14:textId="7D45F215" w:rsidR="00CE7FEF" w:rsidRPr="006F5AB8" w:rsidRDefault="00CE7FEF" w:rsidP="00B21D94">
            <w:pPr>
              <w:spacing w:before="240"/>
              <w:jc w:val="both"/>
              <w:rPr>
                <w:rFonts w:ascii="Arial" w:hAnsi="Arial" w:cs="Arial"/>
                <w:szCs w:val="22"/>
              </w:rPr>
            </w:pPr>
            <w:r w:rsidRPr="006F5AB8">
              <w:rPr>
                <w:rFonts w:ascii="Arial" w:hAnsi="Arial" w:cs="Arial"/>
                <w:szCs w:val="22"/>
              </w:rPr>
              <w:t xml:space="preserve">Lehmann et al., 2024; Ellis </w:t>
            </w:r>
            <w:r w:rsidR="00DF2C7F" w:rsidRPr="006F5AB8">
              <w:rPr>
                <w:rFonts w:ascii="Arial" w:hAnsi="Arial" w:cs="Arial"/>
                <w:szCs w:val="22"/>
              </w:rPr>
              <w:t xml:space="preserve">and </w:t>
            </w:r>
            <w:r w:rsidRPr="006F5AB8">
              <w:rPr>
                <w:rFonts w:ascii="Arial" w:hAnsi="Arial" w:cs="Arial"/>
                <w:szCs w:val="22"/>
              </w:rPr>
              <w:t xml:space="preserve">Johnston, 2022; Pinkney </w:t>
            </w:r>
            <w:r w:rsidR="00DF2C7F" w:rsidRPr="006F5AB8">
              <w:rPr>
                <w:rFonts w:ascii="Arial" w:hAnsi="Arial" w:cs="Arial"/>
                <w:szCs w:val="22"/>
              </w:rPr>
              <w:t xml:space="preserve">and </w:t>
            </w:r>
            <w:r w:rsidRPr="006F5AB8">
              <w:rPr>
                <w:rFonts w:ascii="Arial" w:hAnsi="Arial" w:cs="Arial"/>
                <w:szCs w:val="22"/>
              </w:rPr>
              <w:t xml:space="preserve">Walker, 2020; Harrison et al., 2023; Gazeley </w:t>
            </w:r>
            <w:r w:rsidR="00DF2C7F" w:rsidRPr="006F5AB8">
              <w:rPr>
                <w:rFonts w:ascii="Arial" w:hAnsi="Arial" w:cs="Arial"/>
                <w:szCs w:val="22"/>
              </w:rPr>
              <w:t xml:space="preserve">and </w:t>
            </w:r>
            <w:r w:rsidRPr="006F5AB8">
              <w:rPr>
                <w:rFonts w:ascii="Arial" w:hAnsi="Arial" w:cs="Arial"/>
                <w:szCs w:val="22"/>
              </w:rPr>
              <w:t>Hinton-Smith, 2018</w:t>
            </w:r>
          </w:p>
        </w:tc>
      </w:tr>
      <w:tr w:rsidR="00CE7FEF" w:rsidRPr="006F5AB8" w14:paraId="1A6818A9" w14:textId="77777777" w:rsidTr="00DF2C7F">
        <w:tc>
          <w:tcPr>
            <w:tcW w:w="0" w:type="auto"/>
            <w:hideMark/>
          </w:tcPr>
          <w:p w14:paraId="26FB8FD5" w14:textId="77777777" w:rsidR="00CE7FEF" w:rsidRPr="006F5AB8" w:rsidRDefault="00CE7FEF" w:rsidP="00B21D94">
            <w:pPr>
              <w:spacing w:before="240"/>
              <w:jc w:val="both"/>
              <w:rPr>
                <w:rFonts w:ascii="Arial" w:hAnsi="Arial" w:cs="Arial"/>
                <w:szCs w:val="22"/>
              </w:rPr>
            </w:pPr>
            <w:r w:rsidRPr="006F5AB8">
              <w:rPr>
                <w:rStyle w:val="Strong"/>
                <w:rFonts w:ascii="Arial" w:eastAsiaTheme="majorEastAsia" w:hAnsi="Arial" w:cs="Arial"/>
                <w:szCs w:val="22"/>
              </w:rPr>
              <w:t>Targeted, relationship-based university supports improve transitions, but evidence is limited</w:t>
            </w:r>
          </w:p>
        </w:tc>
        <w:tc>
          <w:tcPr>
            <w:tcW w:w="0" w:type="auto"/>
            <w:hideMark/>
          </w:tcPr>
          <w:p w14:paraId="1BC99C1F" w14:textId="77777777" w:rsidR="00CE7FEF" w:rsidRPr="006F5AB8" w:rsidRDefault="00CE7FEF" w:rsidP="00B21D94">
            <w:pPr>
              <w:spacing w:before="240"/>
              <w:jc w:val="both"/>
              <w:rPr>
                <w:rFonts w:ascii="Arial" w:hAnsi="Arial" w:cs="Arial"/>
                <w:szCs w:val="22"/>
              </w:rPr>
            </w:pPr>
            <w:r w:rsidRPr="006F5AB8">
              <w:rPr>
                <w:rFonts w:ascii="Arial" w:hAnsi="Arial" w:cs="Arial"/>
                <w:szCs w:val="22"/>
              </w:rPr>
              <w:t>Coaching/mentoring interventions; trauma-informed wellbeing pathways; named contacts &amp; clear signposting; evidence gaps (short-term effects, limited implementation/economic evaluation)</w:t>
            </w:r>
          </w:p>
        </w:tc>
        <w:tc>
          <w:tcPr>
            <w:tcW w:w="0" w:type="auto"/>
            <w:hideMark/>
          </w:tcPr>
          <w:p w14:paraId="20771E84" w14:textId="77777777" w:rsidR="00CE7FEF" w:rsidRPr="006F5AB8" w:rsidRDefault="00CE7FEF" w:rsidP="00B21D94">
            <w:pPr>
              <w:spacing w:before="240"/>
              <w:jc w:val="both"/>
              <w:rPr>
                <w:rFonts w:ascii="Arial" w:hAnsi="Arial" w:cs="Arial"/>
                <w:szCs w:val="22"/>
              </w:rPr>
            </w:pPr>
            <w:r w:rsidRPr="006F5AB8">
              <w:rPr>
                <w:rStyle w:val="Strong"/>
                <w:rFonts w:ascii="Arial" w:eastAsiaTheme="majorEastAsia" w:hAnsi="Arial" w:cs="Arial"/>
                <w:szCs w:val="22"/>
              </w:rPr>
              <w:t>Obj. 3</w:t>
            </w:r>
          </w:p>
        </w:tc>
        <w:tc>
          <w:tcPr>
            <w:tcW w:w="0" w:type="auto"/>
            <w:hideMark/>
          </w:tcPr>
          <w:p w14:paraId="14DA6BD9" w14:textId="63930ABF" w:rsidR="00CE7FEF" w:rsidRPr="006F5AB8" w:rsidRDefault="00CE7FEF" w:rsidP="00B21D94">
            <w:pPr>
              <w:spacing w:before="240"/>
              <w:jc w:val="both"/>
              <w:rPr>
                <w:rFonts w:ascii="Arial" w:hAnsi="Arial" w:cs="Arial"/>
                <w:szCs w:val="22"/>
              </w:rPr>
            </w:pPr>
            <w:r w:rsidRPr="006F5AB8">
              <w:rPr>
                <w:rFonts w:ascii="Arial" w:hAnsi="Arial" w:cs="Arial"/>
                <w:szCs w:val="22"/>
              </w:rPr>
              <w:t xml:space="preserve">Blakeslee et al., 2022; Bayfield &amp; Smith, 2024; Gazeley </w:t>
            </w:r>
            <w:r w:rsidR="00DF2C7F" w:rsidRPr="006F5AB8">
              <w:rPr>
                <w:rFonts w:ascii="Arial" w:hAnsi="Arial" w:cs="Arial"/>
                <w:szCs w:val="22"/>
              </w:rPr>
              <w:t xml:space="preserve">and </w:t>
            </w:r>
            <w:r w:rsidRPr="006F5AB8">
              <w:rPr>
                <w:rFonts w:ascii="Arial" w:hAnsi="Arial" w:cs="Arial"/>
                <w:szCs w:val="22"/>
              </w:rPr>
              <w:t>Hinton-Smith, 2018; Trubey et al., 2024; Evans et al., 2023</w:t>
            </w:r>
          </w:p>
        </w:tc>
      </w:tr>
    </w:tbl>
    <w:p w14:paraId="22A68877" w14:textId="77777777" w:rsidR="00CE7FEF" w:rsidRPr="006F5AB8" w:rsidRDefault="00CE7FEF" w:rsidP="00B21D94">
      <w:pPr>
        <w:spacing w:before="240"/>
        <w:jc w:val="both"/>
        <w:rPr>
          <w:rFonts w:ascii="Arial" w:hAnsi="Arial" w:cs="Arial"/>
          <w:szCs w:val="22"/>
        </w:rPr>
      </w:pPr>
    </w:p>
    <w:p w14:paraId="6168F957" w14:textId="266169DE" w:rsidR="00B43609" w:rsidRPr="0020292F" w:rsidRDefault="00DF2C7F" w:rsidP="00B21D94">
      <w:pPr>
        <w:pStyle w:val="Heading3"/>
        <w:jc w:val="both"/>
      </w:pPr>
      <w:bookmarkStart w:id="39" w:name="_Toc224307203"/>
      <w:r w:rsidRPr="0020292F">
        <w:t xml:space="preserve">4.2.3. </w:t>
      </w:r>
      <w:r w:rsidR="00B43609" w:rsidRPr="0020292F">
        <w:t xml:space="preserve">Themes </w:t>
      </w:r>
      <w:r w:rsidRPr="0020292F">
        <w:t>I</w:t>
      </w:r>
      <w:r w:rsidR="00B43609" w:rsidRPr="0020292F">
        <w:t>dentified</w:t>
      </w:r>
      <w:bookmarkEnd w:id="39"/>
    </w:p>
    <w:p w14:paraId="13327B37" w14:textId="26E3BD68" w:rsidR="00B43609" w:rsidRPr="006F5AB8" w:rsidRDefault="00B43609" w:rsidP="00B21D94">
      <w:pPr>
        <w:spacing w:before="240"/>
        <w:jc w:val="both"/>
        <w:rPr>
          <w:rFonts w:ascii="Arial" w:hAnsi="Arial" w:cs="Arial"/>
          <w:szCs w:val="22"/>
        </w:rPr>
      </w:pPr>
      <w:r w:rsidRPr="006F5AB8">
        <w:rPr>
          <w:rStyle w:val="Strong"/>
          <w:rFonts w:ascii="Arial" w:eastAsiaTheme="majorEastAsia" w:hAnsi="Arial" w:cs="Arial"/>
          <w:szCs w:val="22"/>
        </w:rPr>
        <w:t xml:space="preserve">Theme 1: </w:t>
      </w:r>
      <w:r w:rsidR="00CA240A" w:rsidRPr="00CA240A">
        <w:rPr>
          <w:b/>
          <w:bCs/>
        </w:rPr>
        <w:t>Graduates with foster-care histories experience a greater mental health burden than non-foster peers, shaped by trauma, instability, and isolation</w:t>
      </w:r>
      <w:r w:rsidRPr="00CA240A">
        <w:rPr>
          <w:rStyle w:val="Strong"/>
          <w:rFonts w:ascii="Arial" w:eastAsiaTheme="majorEastAsia" w:hAnsi="Arial" w:cs="Arial"/>
          <w:b w:val="0"/>
          <w:bCs w:val="0"/>
          <w:szCs w:val="22"/>
        </w:rPr>
        <w:t>.</w:t>
      </w:r>
      <w:r w:rsidRPr="006F5AB8">
        <w:rPr>
          <w:rFonts w:ascii="Arial" w:hAnsi="Arial" w:cs="Arial"/>
          <w:szCs w:val="22"/>
        </w:rPr>
        <w:t xml:space="preserve"> </w:t>
      </w:r>
      <w:r w:rsidR="00BD34F8" w:rsidRPr="00BD34F8">
        <w:rPr>
          <w:rFonts w:ascii="Arial" w:hAnsi="Arial" w:cs="Arial"/>
          <w:szCs w:val="22"/>
        </w:rPr>
        <w:t>This theme reflects the recurring descriptions of increased distress and worse wellbeing in people with foster-care histories, and other mediating factors, including loneliness, stigma, and broken trajectories. It highlights the role of instability experiences and help-seeking barriers in enhancing the potential threat to mental health in higher-education transitions.</w:t>
      </w:r>
    </w:p>
    <w:p w14:paraId="12ADA315" w14:textId="22BEECAD" w:rsidR="00B43609" w:rsidRPr="006F5AB8" w:rsidRDefault="00B43609" w:rsidP="00B21D94">
      <w:pPr>
        <w:spacing w:before="240"/>
        <w:jc w:val="both"/>
        <w:rPr>
          <w:rFonts w:ascii="Arial" w:hAnsi="Arial" w:cs="Arial"/>
          <w:szCs w:val="22"/>
        </w:rPr>
      </w:pPr>
      <w:r w:rsidRPr="006F5AB8">
        <w:rPr>
          <w:rStyle w:val="Strong"/>
          <w:rFonts w:ascii="Arial" w:eastAsiaTheme="majorEastAsia" w:hAnsi="Arial" w:cs="Arial"/>
          <w:szCs w:val="22"/>
        </w:rPr>
        <w:t>Theme 2: Resilience in academic progression despite financial strain and wellbeing challenges.</w:t>
      </w:r>
      <w:r w:rsidRPr="006F5AB8">
        <w:rPr>
          <w:rFonts w:ascii="Arial" w:hAnsi="Arial" w:cs="Arial"/>
          <w:szCs w:val="22"/>
        </w:rPr>
        <w:t xml:space="preserve"> </w:t>
      </w:r>
      <w:r w:rsidR="00EB39C0" w:rsidRPr="00EB39C0">
        <w:rPr>
          <w:rFonts w:ascii="Arial" w:hAnsi="Arial" w:cs="Arial"/>
          <w:szCs w:val="22"/>
        </w:rPr>
        <w:t>This theme is an indication that there is evidence that some care-experienced learners get similar academic results despite their increased economic load and compromised wellbeing. It prefigures protective processes (especially supportive relationships) and accepts structural constraints that predispose tracks and constrain resilience narratives</w:t>
      </w:r>
      <w:r w:rsidRPr="006F5AB8">
        <w:rPr>
          <w:rFonts w:ascii="Arial" w:hAnsi="Arial" w:cs="Arial"/>
          <w:szCs w:val="22"/>
        </w:rPr>
        <w:t>.</w:t>
      </w:r>
    </w:p>
    <w:p w14:paraId="2A5615A7" w14:textId="77777777" w:rsidR="00B43609" w:rsidRPr="006F5AB8" w:rsidRDefault="00B43609" w:rsidP="00B21D94">
      <w:pPr>
        <w:spacing w:before="240"/>
        <w:jc w:val="both"/>
        <w:rPr>
          <w:rFonts w:ascii="Arial" w:hAnsi="Arial" w:cs="Arial"/>
          <w:szCs w:val="22"/>
        </w:rPr>
      </w:pPr>
      <w:r w:rsidRPr="006F5AB8">
        <w:rPr>
          <w:rStyle w:val="Strong"/>
          <w:rFonts w:ascii="Arial" w:eastAsiaTheme="majorEastAsia" w:hAnsi="Arial" w:cs="Arial"/>
          <w:szCs w:val="22"/>
        </w:rPr>
        <w:t>Theme 3: Targeted, relationship-based university supports improve transitions, but evidence is limited.</w:t>
      </w:r>
      <w:r w:rsidRPr="006F5AB8">
        <w:rPr>
          <w:rFonts w:ascii="Arial" w:hAnsi="Arial" w:cs="Arial"/>
          <w:szCs w:val="22"/>
        </w:rPr>
        <w:t xml:space="preserve"> This theme synthesises evidence on specialist interventions (e.g., coaching/mentoring, named contacts, trauma-informed support) and highlights gaps in long-term effectiveness and implementation evidence. It indicates that relational, tailored provision is promising, yet unevenly evaluated and not consistently sustained through graduation.</w:t>
      </w:r>
    </w:p>
    <w:p w14:paraId="0A759D09" w14:textId="3B903985" w:rsidR="0010187B" w:rsidRPr="00512765" w:rsidRDefault="0010187B" w:rsidP="00B21D94">
      <w:pPr>
        <w:pStyle w:val="Heading2"/>
        <w:jc w:val="both"/>
      </w:pPr>
      <w:bookmarkStart w:id="40" w:name="_Toc224307204"/>
      <w:r w:rsidRPr="00512765">
        <w:t>4.3</w:t>
      </w:r>
      <w:r w:rsidR="003241FC">
        <w:t>.</w:t>
      </w:r>
      <w:r w:rsidRPr="00512765">
        <w:t xml:space="preserve"> Theme 1: </w:t>
      </w:r>
      <w:r w:rsidR="00CA240A">
        <w:t>Graduates with foster-care histories experience a greater mental health burden than non-foster peers, shaped by trauma, instability, and isolation</w:t>
      </w:r>
      <w:bookmarkEnd w:id="40"/>
    </w:p>
    <w:p w14:paraId="276345C1" w14:textId="77777777" w:rsidR="00512765" w:rsidRDefault="0010187B"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Theme definition</w:t>
      </w:r>
    </w:p>
    <w:p w14:paraId="5D161EA9" w14:textId="7C7DB77F" w:rsidR="0010187B" w:rsidRPr="006F5AB8" w:rsidRDefault="0010187B" w:rsidP="00B21D94">
      <w:pPr>
        <w:pStyle w:val="NormalWeb"/>
        <w:spacing w:before="240" w:beforeAutospacing="0"/>
        <w:jc w:val="both"/>
        <w:rPr>
          <w:rFonts w:ascii="Arial" w:hAnsi="Arial" w:cs="Arial"/>
          <w:szCs w:val="22"/>
        </w:rPr>
      </w:pPr>
      <w:r w:rsidRPr="006F5AB8">
        <w:rPr>
          <w:rFonts w:ascii="Arial" w:hAnsi="Arial" w:cs="Arial"/>
          <w:szCs w:val="22"/>
        </w:rPr>
        <w:t xml:space="preserve">This theme captures a consistent pattern: </w:t>
      </w:r>
      <w:r w:rsidR="00713389">
        <w:t>graduates and higher-education students with foster-care histories appear to experience a greater burden of psychological distress and poorer wellbeing compared with non-foster peers</w:t>
      </w:r>
      <w:r w:rsidRPr="006F5AB8">
        <w:rPr>
          <w:rFonts w:ascii="Arial" w:hAnsi="Arial" w:cs="Arial"/>
          <w:szCs w:val="22"/>
        </w:rPr>
        <w:t>, and this burden is not best explained by individual vulnerability alone. It reflects interacting exposures across the life course, instability at key transitions, and social processes that intensify stress (isolation, stigma, and constrained help-seeking)</w:t>
      </w:r>
      <w:r w:rsidR="00E16E87">
        <w:rPr>
          <w:rFonts w:ascii="Arial" w:hAnsi="Arial" w:cs="Arial"/>
          <w:szCs w:val="22"/>
        </w:rPr>
        <w:t xml:space="preserve"> </w:t>
      </w:r>
      <w:r w:rsidR="00E16E87" w:rsidRPr="006F5AB8">
        <w:rPr>
          <w:rFonts w:ascii="Arial" w:hAnsi="Arial" w:cs="Arial"/>
          <w:szCs w:val="22"/>
        </w:rPr>
        <w:t>(Lehmann, Hysing and Sivertsen, 2024; Ellis and Johnston, 2022; Miller, Blakeslee and Ison, 2020)</w:t>
      </w:r>
      <w:r w:rsidRPr="006F5AB8">
        <w:rPr>
          <w:rFonts w:ascii="Arial" w:hAnsi="Arial" w:cs="Arial"/>
          <w:szCs w:val="22"/>
        </w:rPr>
        <w:t xml:space="preserve">. Mental health burden refers to symptomatic distress (e.g., depression, anxiety, trauma-related symptoms) and broader wellbeing indicators (loneliness, life satisfaction, functional strain), which appear to cluster rather than occur in isolation </w:t>
      </w:r>
      <w:r w:rsidR="00FE7A99">
        <w:rPr>
          <w:rFonts w:ascii="Arial" w:hAnsi="Arial" w:cs="Arial"/>
          <w:szCs w:val="22"/>
        </w:rPr>
        <w:t>(Lazuras, Ypsilanti and Mullings, 2024)</w:t>
      </w:r>
      <w:r w:rsidR="005561C2">
        <w:rPr>
          <w:rFonts w:ascii="Arial" w:hAnsi="Arial" w:cs="Arial"/>
          <w:szCs w:val="22"/>
        </w:rPr>
        <w:t>.</w:t>
      </w:r>
    </w:p>
    <w:p w14:paraId="34A322AB" w14:textId="4BA92000" w:rsidR="0010187B" w:rsidRPr="006F5AB8" w:rsidRDefault="0010187B" w:rsidP="00B21D94">
      <w:pPr>
        <w:pStyle w:val="NormalWeb"/>
        <w:spacing w:before="240" w:beforeAutospacing="0"/>
        <w:jc w:val="both"/>
        <w:rPr>
          <w:rFonts w:ascii="Arial" w:hAnsi="Arial" w:cs="Arial"/>
          <w:szCs w:val="22"/>
        </w:rPr>
      </w:pPr>
      <w:r w:rsidRPr="006F5AB8">
        <w:rPr>
          <w:rFonts w:ascii="Arial" w:hAnsi="Arial" w:cs="Arial"/>
          <w:szCs w:val="22"/>
        </w:rPr>
        <w:t>Across the evidence base, poorer mental health among those with foster-care histories is most plausibly driven by cumulative exposure plus unequal access to stabilising resources, rather than by care status as a simple marker. The reviewed findings repeatedly link distress to ongoing material insecurity and service discontinuity, implying that symptoms often reflect current stressors as well as earlier adversity (Ellis and Johnston, 2022;</w:t>
      </w:r>
      <w:r w:rsidR="007F54FD">
        <w:rPr>
          <w:rFonts w:ascii="Arial" w:hAnsi="Arial" w:cs="Arial"/>
          <w:szCs w:val="22"/>
        </w:rPr>
        <w:t xml:space="preserve"> </w:t>
      </w:r>
      <w:r w:rsidRPr="006F5AB8">
        <w:rPr>
          <w:rFonts w:ascii="Arial" w:hAnsi="Arial" w:cs="Arial"/>
          <w:szCs w:val="22"/>
        </w:rPr>
        <w:t xml:space="preserve">2024). This interpretation is consequential: </w:t>
      </w:r>
      <w:r w:rsidR="007274B2">
        <w:t>If distress is structurally maintained, the literature suggests that interventions focused solely on individual coping may have limited reach and durability</w:t>
      </w:r>
      <w:r w:rsidRPr="006F5AB8">
        <w:rPr>
          <w:rFonts w:ascii="Arial" w:hAnsi="Arial" w:cs="Arial"/>
          <w:szCs w:val="22"/>
        </w:rPr>
        <w:t>, even where they are well delivered</w:t>
      </w:r>
      <w:r w:rsidR="00A83D29">
        <w:rPr>
          <w:rFonts w:ascii="Arial" w:hAnsi="Arial" w:cs="Arial"/>
          <w:szCs w:val="22"/>
        </w:rPr>
        <w:t xml:space="preserve"> as argued by Bovey </w:t>
      </w:r>
      <w:r w:rsidR="00A83D29">
        <w:rPr>
          <w:rFonts w:ascii="Arial" w:hAnsi="Arial" w:cs="Arial"/>
          <w:i/>
          <w:iCs/>
          <w:szCs w:val="22"/>
        </w:rPr>
        <w:t>et al.</w:t>
      </w:r>
      <w:r w:rsidR="00A83D29">
        <w:rPr>
          <w:rFonts w:ascii="Arial" w:hAnsi="Arial" w:cs="Arial"/>
          <w:szCs w:val="22"/>
        </w:rPr>
        <w:t xml:space="preserve"> (2025)</w:t>
      </w:r>
      <w:r w:rsidRPr="006F5AB8">
        <w:rPr>
          <w:rFonts w:ascii="Arial" w:hAnsi="Arial" w:cs="Arial"/>
          <w:szCs w:val="22"/>
        </w:rPr>
        <w:t>.</w:t>
      </w:r>
    </w:p>
    <w:p w14:paraId="76803BE0" w14:textId="1A1EDE66" w:rsidR="00486B17" w:rsidRPr="00486B17" w:rsidRDefault="0010187B" w:rsidP="000531B8">
      <w:pPr>
        <w:pStyle w:val="NormalWeb"/>
        <w:spacing w:before="240"/>
        <w:jc w:val="both"/>
        <w:rPr>
          <w:rFonts w:ascii="Arial" w:hAnsi="Arial" w:cs="Arial"/>
          <w:szCs w:val="22"/>
        </w:rPr>
      </w:pPr>
      <w:r w:rsidRPr="006F5AB8">
        <w:rPr>
          <w:rFonts w:ascii="Arial" w:hAnsi="Arial" w:cs="Arial"/>
          <w:szCs w:val="22"/>
        </w:rPr>
        <w:t xml:space="preserve">A second explanatory pattern concerns instability and transition friction. UK evidence indicates that instability is strongly associated with mental health difficulties and may operate bidirectionally over time (Varnish et al., 2025). </w:t>
      </w:r>
      <w:r w:rsidR="00713389">
        <w:t>Although this evidence is not specific to graduates, it supports the possibility of a pathway that continues into higher education</w:t>
      </w:r>
      <w:r w:rsidR="00486B17" w:rsidRPr="00486B17">
        <w:rPr>
          <w:rFonts w:ascii="Arial" w:hAnsi="Arial" w:cs="Arial"/>
          <w:szCs w:val="22"/>
        </w:rPr>
        <w:t xml:space="preserve">: recurrent failures disrupt predictability, relationships and service engagement, and makes later transitions more susceptible. This is supplemented by the higher-education literature, which points out the fact that the transition to university and institutional processes may be weak grounds even in academically successful individuals (Ellis and Johnston, 2024; Bayfield and Smith, 2024). </w:t>
      </w:r>
    </w:p>
    <w:p w14:paraId="517F2876" w14:textId="79ACFD52" w:rsidR="0010187B" w:rsidRPr="006F5AB8" w:rsidRDefault="00486B17" w:rsidP="00486B17">
      <w:pPr>
        <w:pStyle w:val="NormalWeb"/>
        <w:spacing w:before="240" w:beforeAutospacing="0"/>
        <w:jc w:val="both"/>
        <w:rPr>
          <w:rFonts w:ascii="Arial" w:hAnsi="Arial" w:cs="Arial"/>
          <w:szCs w:val="22"/>
        </w:rPr>
      </w:pPr>
      <w:r w:rsidRPr="00486B17">
        <w:rPr>
          <w:rFonts w:ascii="Arial" w:hAnsi="Arial" w:cs="Arial"/>
          <w:szCs w:val="22"/>
        </w:rPr>
        <w:t xml:space="preserve">A third process which reinforces is isolation and restricted belonging. Loneliness and perceived otherness seem to be the risk factor drivers because informal support is restricted, and the perceived cost of disclosure is increased. </w:t>
      </w:r>
      <w:r w:rsidR="0084588D">
        <w:t>When students experience a fragile sense of belonging, seeking help may feel more demanding and personally risky</w:t>
      </w:r>
      <w:r w:rsidRPr="00486B17">
        <w:rPr>
          <w:rFonts w:ascii="Arial" w:hAnsi="Arial" w:cs="Arial"/>
          <w:szCs w:val="22"/>
        </w:rPr>
        <w:t>, especially among students who expect to be judged or administratively investigated (Miller, Blakeslee and Ison, 2020; Ellis and Johnston, 2022). One implication is a double-bind: self-reliance can be adaptive in the situation when instability was previous, but slow down help uptake until it becomes too severe</w:t>
      </w:r>
      <w:r>
        <w:rPr>
          <w:rFonts w:ascii="Arial" w:hAnsi="Arial" w:cs="Arial"/>
          <w:szCs w:val="22"/>
        </w:rPr>
        <w:t xml:space="preserve"> </w:t>
      </w:r>
      <w:r w:rsidR="0010187B" w:rsidRPr="006F5AB8">
        <w:rPr>
          <w:rFonts w:ascii="Arial" w:hAnsi="Arial" w:cs="Arial"/>
          <w:szCs w:val="22"/>
        </w:rPr>
        <w:t xml:space="preserve">(Miller, Blakeslee and Ison, 2020; Pinkney and Walker, 2020). </w:t>
      </w:r>
      <w:r w:rsidR="0042551B">
        <w:t>This challenges deficit-based interpretations that explain non-engagement in terms of individual failings. Instead, it suggests that institutional design choices may themselves contribute to disengagement</w:t>
      </w:r>
      <w:r w:rsidR="00D66F7F">
        <w:rPr>
          <w:rFonts w:ascii="Arial" w:hAnsi="Arial" w:cs="Arial"/>
          <w:szCs w:val="22"/>
        </w:rPr>
        <w:t xml:space="preserve"> (Appleton, Hung and Barratt, 2021)</w:t>
      </w:r>
      <w:r w:rsidR="0010187B" w:rsidRPr="006F5AB8">
        <w:rPr>
          <w:rFonts w:ascii="Arial" w:hAnsi="Arial" w:cs="Arial"/>
          <w:szCs w:val="22"/>
        </w:rPr>
        <w:t>.</w:t>
      </w:r>
    </w:p>
    <w:p w14:paraId="577863E0" w14:textId="162F1D2F" w:rsidR="005B69C5" w:rsidRDefault="005B69C5" w:rsidP="005B69C5">
      <w:pPr>
        <w:pStyle w:val="NormalWeb"/>
        <w:spacing w:before="240" w:beforeAutospacing="0"/>
        <w:jc w:val="both"/>
        <w:rPr>
          <w:rFonts w:ascii="Arial" w:hAnsi="Arial" w:cs="Arial"/>
          <w:szCs w:val="22"/>
        </w:rPr>
      </w:pPr>
      <w:r>
        <w:rPr>
          <w:rFonts w:ascii="Arial" w:hAnsi="Arial" w:cs="Arial"/>
          <w:szCs w:val="22"/>
        </w:rPr>
        <w:t xml:space="preserve">Various literature analysed above strengthen the themes, however still there are limitations and gaps in studies. The higher education literature (Hussain and Zaini, 2025; Lawrie </w:t>
      </w:r>
      <w:r>
        <w:rPr>
          <w:rFonts w:ascii="Arial" w:hAnsi="Arial" w:cs="Arial"/>
          <w:i/>
          <w:iCs/>
          <w:szCs w:val="22"/>
        </w:rPr>
        <w:t>et al.</w:t>
      </w:r>
      <w:r>
        <w:rPr>
          <w:rFonts w:ascii="Arial" w:hAnsi="Arial" w:cs="Arial"/>
          <w:szCs w:val="22"/>
        </w:rPr>
        <w:t xml:space="preserve">, 2025) focuses on self report </w:t>
      </w:r>
      <w:r w:rsidR="0010187B" w:rsidRPr="006F5AB8">
        <w:rPr>
          <w:rFonts w:ascii="Arial" w:hAnsi="Arial" w:cs="Arial"/>
          <w:szCs w:val="22"/>
        </w:rPr>
        <w:t>which can under-estimate need when stigma suppresses disclosure and can over-estimate disorder when measures capture acute stress</w:t>
      </w:r>
      <w:r>
        <w:rPr>
          <w:rFonts w:ascii="Arial" w:hAnsi="Arial" w:cs="Arial"/>
          <w:szCs w:val="22"/>
        </w:rPr>
        <w:t xml:space="preserve">. </w:t>
      </w:r>
      <w:r w:rsidR="00B27C4E">
        <w:rPr>
          <w:rFonts w:ascii="Arial" w:hAnsi="Arial" w:cs="Arial"/>
          <w:szCs w:val="22"/>
        </w:rPr>
        <w:t xml:space="preserve">Foster and non foster care groups are compared, still it is difficult to analysed whether the resulted outcomes are causes by those foster care experiences of students or social problems like less education, disability or poverty. </w:t>
      </w:r>
      <w:r w:rsidR="00017B96">
        <w:rPr>
          <w:rFonts w:ascii="Arial" w:hAnsi="Arial" w:cs="Arial"/>
          <w:szCs w:val="22"/>
        </w:rPr>
        <w:t xml:space="preserve">So, it is suggested that foster care behaviours are result of several connected risks such as attitude of teacher and the outcomes are shaped by social factors like </w:t>
      </w:r>
      <w:r w:rsidR="00017B96" w:rsidRPr="00B27C4E">
        <w:rPr>
          <w:rFonts w:ascii="Arial" w:hAnsi="Arial" w:cs="Arial"/>
          <w:szCs w:val="22"/>
        </w:rPr>
        <w:t>money, housing stability, and social support (Heaton et al., 2025).</w:t>
      </w:r>
    </w:p>
    <w:p w14:paraId="31245491" w14:textId="12C491C9" w:rsidR="0010187B" w:rsidRDefault="004C0B3A" w:rsidP="00B21D94">
      <w:pPr>
        <w:pStyle w:val="NormalWeb"/>
        <w:spacing w:before="240" w:beforeAutospacing="0"/>
        <w:jc w:val="both"/>
        <w:rPr>
          <w:rFonts w:ascii="Arial" w:hAnsi="Arial" w:cs="Arial"/>
          <w:szCs w:val="22"/>
        </w:rPr>
      </w:pPr>
      <w:r>
        <w:rPr>
          <w:rFonts w:ascii="Arial" w:hAnsi="Arial" w:cs="Arial"/>
          <w:szCs w:val="22"/>
        </w:rPr>
        <w:t xml:space="preserve">Campbell </w:t>
      </w:r>
      <w:r>
        <w:rPr>
          <w:rFonts w:ascii="Arial" w:hAnsi="Arial" w:cs="Arial"/>
          <w:i/>
          <w:iCs/>
          <w:szCs w:val="22"/>
        </w:rPr>
        <w:t>et al.</w:t>
      </w:r>
      <w:r>
        <w:rPr>
          <w:rFonts w:ascii="Arial" w:hAnsi="Arial" w:cs="Arial"/>
          <w:szCs w:val="22"/>
        </w:rPr>
        <w:t xml:space="preserve"> (2022)</w:t>
      </w:r>
      <w:r w:rsidRPr="006F5AB8">
        <w:rPr>
          <w:rFonts w:ascii="Arial" w:hAnsi="Arial" w:cs="Arial"/>
          <w:szCs w:val="22"/>
        </w:rPr>
        <w:t xml:space="preserve"> </w:t>
      </w:r>
      <w:r w:rsidR="0010187B" w:rsidRPr="006F5AB8">
        <w:rPr>
          <w:rFonts w:ascii="Arial" w:hAnsi="Arial" w:cs="Arial"/>
          <w:szCs w:val="22"/>
        </w:rPr>
        <w:t xml:space="preserve">suggests academic functioning can mask wellbeing need, complicating reliance on attainment metrics as proxies for equity in practice. UK student mental health synthesis links trauma histories and limited social networks to adverse outcomes, reinforcing the plausibility of trauma-plus-isolation pathways for care-experienced groups </w:t>
      </w:r>
    </w:p>
    <w:p w14:paraId="638D111E" w14:textId="3947718A" w:rsidR="003662B5" w:rsidRDefault="003662B5" w:rsidP="00B21D94">
      <w:pPr>
        <w:pStyle w:val="NormalWeb"/>
        <w:spacing w:before="240" w:beforeAutospacing="0"/>
        <w:jc w:val="both"/>
      </w:pPr>
      <w:r>
        <w:rPr>
          <w:rFonts w:ascii="Arial" w:hAnsi="Arial" w:cs="Arial"/>
          <w:szCs w:val="22"/>
        </w:rPr>
        <w:t xml:space="preserve">Below table shows </w:t>
      </w:r>
      <w:r w:rsidR="00203202">
        <w:t xml:space="preserve">comparison of key mental-health challenges among foster-care and non-foster graduates </w:t>
      </w:r>
      <w:r>
        <w:t>(Objective 1).</w:t>
      </w:r>
    </w:p>
    <w:p w14:paraId="1E63F692" w14:textId="05D02916" w:rsidR="00796421" w:rsidRPr="00E40FF1" w:rsidRDefault="00796421" w:rsidP="00B21D94">
      <w:pPr>
        <w:pStyle w:val="Caption"/>
        <w:keepNext/>
        <w:jc w:val="both"/>
      </w:pPr>
      <w:bookmarkStart w:id="41" w:name="_Toc219050064"/>
      <w:r w:rsidRPr="00E40FF1">
        <w:t xml:space="preserve">Table </w:t>
      </w:r>
      <w:r w:rsidR="0020292F">
        <w:fldChar w:fldCharType="begin"/>
      </w:r>
      <w:r w:rsidR="0020292F">
        <w:instrText xml:space="preserve"> SEQ Table \* ARABIC </w:instrText>
      </w:r>
      <w:r w:rsidR="0020292F">
        <w:fldChar w:fldCharType="separate"/>
      </w:r>
      <w:r w:rsidR="0020292F">
        <w:rPr>
          <w:noProof/>
        </w:rPr>
        <w:t>4</w:t>
      </w:r>
      <w:r w:rsidR="0020292F">
        <w:rPr>
          <w:noProof/>
        </w:rPr>
        <w:fldChar w:fldCharType="end"/>
      </w:r>
      <w:r w:rsidRPr="00E40FF1">
        <w:t>: Comparison of Key Mental-Health Challenges Among Foster-Care and Non-Foster Graduates</w:t>
      </w:r>
      <w:r w:rsidR="004C0B3A" w:rsidRPr="00E40FF1">
        <w:t xml:space="preserve"> </w:t>
      </w:r>
      <w:r w:rsidR="004C0B3A" w:rsidRPr="00E40FF1">
        <w:rPr>
          <w:rFonts w:ascii="Arial" w:hAnsi="Arial" w:cs="Arial"/>
        </w:rPr>
        <w:t xml:space="preserve">(Blakeslee, Miller and Uretsky, 2022; Evans </w:t>
      </w:r>
      <w:r w:rsidR="004C0B3A" w:rsidRPr="00E40FF1">
        <w:rPr>
          <w:rFonts w:ascii="Arial" w:hAnsi="Arial" w:cs="Arial"/>
          <w:i w:val="0"/>
          <w:iCs w:val="0"/>
        </w:rPr>
        <w:t>et al.</w:t>
      </w:r>
      <w:r w:rsidR="004C0B3A" w:rsidRPr="00E40FF1">
        <w:rPr>
          <w:rFonts w:ascii="Arial" w:hAnsi="Arial" w:cs="Arial"/>
        </w:rPr>
        <w:t xml:space="preserve">, 2023; Hambrick </w:t>
      </w:r>
      <w:r w:rsidR="004C0B3A" w:rsidRPr="00E40FF1">
        <w:rPr>
          <w:rFonts w:ascii="Arial" w:hAnsi="Arial" w:cs="Arial"/>
          <w:i w:val="0"/>
          <w:iCs w:val="0"/>
        </w:rPr>
        <w:t>et al.</w:t>
      </w:r>
      <w:r w:rsidR="004C0B3A" w:rsidRPr="00E40FF1">
        <w:rPr>
          <w:rFonts w:ascii="Arial" w:hAnsi="Arial" w:cs="Arial"/>
        </w:rPr>
        <w:t>, 2016)</w:t>
      </w:r>
      <w:bookmarkEnd w:id="41"/>
    </w:p>
    <w:p w14:paraId="7575CE8E" w14:textId="0D8B1046" w:rsidR="003662B5" w:rsidRPr="006F5AB8" w:rsidRDefault="00AF7500" w:rsidP="00B21D94">
      <w:pPr>
        <w:pStyle w:val="NormalWeb"/>
        <w:spacing w:before="240" w:beforeAutospacing="0"/>
        <w:jc w:val="both"/>
        <w:rPr>
          <w:rFonts w:ascii="Arial" w:hAnsi="Arial" w:cs="Arial"/>
          <w:szCs w:val="22"/>
        </w:rPr>
      </w:pPr>
      <w:r w:rsidRPr="00AF7500">
        <w:rPr>
          <w:rFonts w:ascii="Arial" w:hAnsi="Arial" w:cs="Arial"/>
          <w:noProof/>
          <w:szCs w:val="22"/>
        </w:rPr>
        <w:drawing>
          <wp:inline distT="0" distB="0" distL="0" distR="0" wp14:anchorId="2AFBFA3D" wp14:editId="69BCF01A">
            <wp:extent cx="5848553" cy="5181795"/>
            <wp:effectExtent l="0" t="0" r="0" b="0"/>
            <wp:docPr id="107003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36659" name=""/>
                    <pic:cNvPicPr/>
                  </pic:nvPicPr>
                  <pic:blipFill>
                    <a:blip r:embed="rId13"/>
                    <a:stretch>
                      <a:fillRect/>
                    </a:stretch>
                  </pic:blipFill>
                  <pic:spPr>
                    <a:xfrm>
                      <a:off x="0" y="0"/>
                      <a:ext cx="5854892" cy="5187411"/>
                    </a:xfrm>
                    <a:prstGeom prst="rect">
                      <a:avLst/>
                    </a:prstGeom>
                  </pic:spPr>
                </pic:pic>
              </a:graphicData>
            </a:graphic>
          </wp:inline>
        </w:drawing>
      </w:r>
    </w:p>
    <w:p w14:paraId="6B4306CE" w14:textId="77777777" w:rsidR="003662B5" w:rsidRDefault="0010187B"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Implications for the dissertation question</w:t>
      </w:r>
    </w:p>
    <w:p w14:paraId="59CD142B" w14:textId="44DEE902" w:rsidR="0010187B" w:rsidRPr="006F5AB8" w:rsidRDefault="0010187B" w:rsidP="00B21D94">
      <w:pPr>
        <w:pStyle w:val="NormalWeb"/>
        <w:spacing w:before="240" w:beforeAutospacing="0"/>
        <w:jc w:val="both"/>
        <w:rPr>
          <w:rFonts w:ascii="Arial" w:hAnsi="Arial" w:cs="Arial"/>
          <w:szCs w:val="22"/>
        </w:rPr>
      </w:pPr>
      <w:r w:rsidRPr="006F5AB8">
        <w:rPr>
          <w:rFonts w:ascii="Arial" w:hAnsi="Arial" w:cs="Arial"/>
          <w:szCs w:val="22"/>
        </w:rPr>
        <w:t xml:space="preserve">For the dissertation’s comparative question, Theme 1 clarifies that difference </w:t>
      </w:r>
      <w:r w:rsidR="00645517" w:rsidRPr="006F5AB8">
        <w:rPr>
          <w:rFonts w:ascii="Arial" w:hAnsi="Arial" w:cs="Arial"/>
          <w:szCs w:val="22"/>
        </w:rPr>
        <w:t xml:space="preserve">between foster-care and non-foster graduates </w:t>
      </w:r>
      <w:r w:rsidRPr="006F5AB8">
        <w:rPr>
          <w:rFonts w:ascii="Arial" w:hAnsi="Arial" w:cs="Arial"/>
          <w:szCs w:val="22"/>
        </w:rPr>
        <w:t>is unlikely to be a uniform deficit in every outcome; it is better conceptualised as a higher probability of distress under conditions of instability and isolation. This implies that comparisons between foster-care and non-foster graduates are most informative when they account for context</w:t>
      </w:r>
      <w:r w:rsidR="00902DAF">
        <w:rPr>
          <w:rFonts w:ascii="Arial" w:hAnsi="Arial" w:cs="Arial"/>
          <w:szCs w:val="22"/>
        </w:rPr>
        <w:t xml:space="preserve"> like for </w:t>
      </w:r>
      <w:r w:rsidRPr="006F5AB8">
        <w:rPr>
          <w:rFonts w:ascii="Arial" w:hAnsi="Arial" w:cs="Arial"/>
          <w:szCs w:val="22"/>
        </w:rPr>
        <w:t>financial security, continuity of support, and social integration</w:t>
      </w:r>
      <w:r w:rsidR="00902DAF">
        <w:rPr>
          <w:rFonts w:ascii="Arial" w:hAnsi="Arial" w:cs="Arial"/>
          <w:szCs w:val="22"/>
        </w:rPr>
        <w:t xml:space="preserve"> </w:t>
      </w:r>
      <w:r w:rsidRPr="006F5AB8">
        <w:rPr>
          <w:rFonts w:ascii="Arial" w:hAnsi="Arial" w:cs="Arial"/>
          <w:szCs w:val="22"/>
        </w:rPr>
        <w:t>because these variables plausibly mediate group differences</w:t>
      </w:r>
      <w:r w:rsidR="00902DAF">
        <w:rPr>
          <w:rFonts w:ascii="Arial" w:hAnsi="Arial" w:cs="Arial"/>
          <w:szCs w:val="22"/>
        </w:rPr>
        <w:t xml:space="preserve"> (Li, Chng and Chu, 2017; Miller, Blakeslee and Ison, 2020)</w:t>
      </w:r>
      <w:r w:rsidRPr="006F5AB8">
        <w:rPr>
          <w:rFonts w:ascii="Arial" w:hAnsi="Arial" w:cs="Arial"/>
          <w:szCs w:val="22"/>
        </w:rPr>
        <w:t>. It also indicates that mental health should be treated as both an outcome and a mechanism shaping academic and post-graduation trajectories, rather than as a separate domain. Even where degree outcomes look similar, the burden identified here is likely to influence early career stability through concentration, confidence, and service disruption</w:t>
      </w:r>
      <w:r w:rsidR="00E86CEF">
        <w:rPr>
          <w:rFonts w:ascii="Arial" w:hAnsi="Arial" w:cs="Arial"/>
          <w:szCs w:val="22"/>
        </w:rPr>
        <w:t xml:space="preserve"> (Agnafors, Barmark and Sydsjö, 2020)</w:t>
      </w:r>
      <w:r w:rsidRPr="006F5AB8">
        <w:rPr>
          <w:rFonts w:ascii="Arial" w:hAnsi="Arial" w:cs="Arial"/>
          <w:szCs w:val="22"/>
        </w:rPr>
        <w:t>.</w:t>
      </w:r>
    </w:p>
    <w:p w14:paraId="64C34229" w14:textId="06F86E4D" w:rsidR="003662B5" w:rsidRDefault="0010187B"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 xml:space="preserve">Policy and </w:t>
      </w:r>
      <w:r w:rsidR="00FC1791" w:rsidRPr="006F5AB8">
        <w:rPr>
          <w:rStyle w:val="Strong"/>
          <w:rFonts w:ascii="Arial" w:eastAsiaTheme="majorEastAsia" w:hAnsi="Arial" w:cs="Arial"/>
          <w:szCs w:val="22"/>
        </w:rPr>
        <w:t>Practice Considerations</w:t>
      </w:r>
    </w:p>
    <w:p w14:paraId="2B8B9921" w14:textId="42266EC8" w:rsidR="0010187B" w:rsidRPr="006F5AB8" w:rsidRDefault="003B35B7" w:rsidP="004B7C04">
      <w:pPr>
        <w:pStyle w:val="NormalWeb"/>
        <w:spacing w:before="240" w:beforeAutospacing="0"/>
        <w:jc w:val="both"/>
        <w:rPr>
          <w:rFonts w:ascii="Arial" w:hAnsi="Arial" w:cs="Arial"/>
          <w:szCs w:val="22"/>
        </w:rPr>
      </w:pPr>
      <w:r>
        <w:rPr>
          <w:rFonts w:ascii="Arial" w:hAnsi="Arial" w:cs="Arial"/>
          <w:szCs w:val="22"/>
        </w:rPr>
        <w:t xml:space="preserve">The themes offers implications for equal opportunity and widening participation policies of UK. </w:t>
      </w:r>
      <w:r w:rsidRPr="003B35B7">
        <w:rPr>
          <w:rFonts w:ascii="Arial" w:hAnsi="Arial" w:cs="Arial"/>
          <w:szCs w:val="22"/>
        </w:rPr>
        <w:t>When the current instability and the absence of a supportive environment cause distress, then a temporary counselling service might not be sufficient without dealing with other issues such as housing, funds, and inadequate transition planning (Ravulapalli et al., 2024). Instead, support may be more efficient in case students do not need to retell their story a lot of times, may have clear and trustworthy contacts, and experience effective coordination among universities, local authorities, and health services. This also demonstrates the importance of the concept of responsibilisation: by encouraging resilience and keeping stigma and instability intact, the weak support systems might seem normal and overburden individuals with excessive responsibility (Ellis and Johnston, 2024).</w:t>
      </w:r>
    </w:p>
    <w:p w14:paraId="76792567" w14:textId="77777777" w:rsidR="003662B5" w:rsidRDefault="0010187B"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Connections to other themes</w:t>
      </w:r>
    </w:p>
    <w:p w14:paraId="22F43BC0" w14:textId="5FCE4638" w:rsidR="0010187B" w:rsidRPr="006F5AB8" w:rsidRDefault="0010187B" w:rsidP="00B21D94">
      <w:pPr>
        <w:pStyle w:val="NormalWeb"/>
        <w:spacing w:before="240" w:beforeAutospacing="0"/>
        <w:jc w:val="both"/>
        <w:rPr>
          <w:rFonts w:ascii="Arial" w:hAnsi="Arial" w:cs="Arial"/>
          <w:szCs w:val="22"/>
        </w:rPr>
      </w:pPr>
      <w:r w:rsidRPr="006F5AB8">
        <w:rPr>
          <w:rFonts w:ascii="Arial" w:hAnsi="Arial" w:cs="Arial"/>
          <w:szCs w:val="22"/>
        </w:rPr>
        <w:t>Theme 1 connects directly to Theme 2 because the same conditions that elevate distress</w:t>
      </w:r>
      <w:r w:rsidR="00224124">
        <w:rPr>
          <w:rFonts w:ascii="Arial" w:hAnsi="Arial" w:cs="Arial"/>
          <w:szCs w:val="22"/>
        </w:rPr>
        <w:t xml:space="preserve"> like </w:t>
      </w:r>
      <w:r w:rsidRPr="006F5AB8">
        <w:rPr>
          <w:rFonts w:ascii="Arial" w:hAnsi="Arial" w:cs="Arial"/>
          <w:szCs w:val="22"/>
        </w:rPr>
        <w:t>financial strain, isolation, and structural constraint</w:t>
      </w:r>
      <w:r w:rsidR="00224124">
        <w:rPr>
          <w:rFonts w:ascii="Arial" w:hAnsi="Arial" w:cs="Arial"/>
          <w:szCs w:val="22"/>
        </w:rPr>
        <w:t xml:space="preserve"> </w:t>
      </w:r>
      <w:r w:rsidRPr="006F5AB8">
        <w:rPr>
          <w:rFonts w:ascii="Arial" w:hAnsi="Arial" w:cs="Arial"/>
          <w:szCs w:val="22"/>
        </w:rPr>
        <w:t>also shape academic outcomes, meaning that resilience should be interpreted as achievement under constraint rather than absence of need</w:t>
      </w:r>
      <w:r w:rsidR="00224124">
        <w:rPr>
          <w:rFonts w:ascii="Arial" w:hAnsi="Arial" w:cs="Arial"/>
          <w:szCs w:val="22"/>
        </w:rPr>
        <w:t xml:space="preserve"> (Cotton, Nash and Kneale, 2017)</w:t>
      </w:r>
      <w:r w:rsidRPr="006F5AB8">
        <w:rPr>
          <w:rFonts w:ascii="Arial" w:hAnsi="Arial" w:cs="Arial"/>
          <w:szCs w:val="22"/>
        </w:rPr>
        <w:t>. It also connects to Theme 3 because it specifies what effective supports must target: not only symptoms, but transition friction, disclosure risk, and belonging. In this sense, Theme 1 provides the explanatory basis for why relationship-based, trauma-aware, and continuity-focused supports are coherent responses, and why purely individualised or short-term inputs may deliver limited, time-bound effects.</w:t>
      </w:r>
    </w:p>
    <w:p w14:paraId="3A2A1F91" w14:textId="38D58D4C" w:rsidR="00F8556D" w:rsidRPr="003241FC" w:rsidRDefault="003241FC" w:rsidP="00B21D94">
      <w:pPr>
        <w:pStyle w:val="Heading2"/>
        <w:jc w:val="both"/>
      </w:pPr>
      <w:bookmarkStart w:id="42" w:name="_Toc224307205"/>
      <w:r w:rsidRPr="003241FC">
        <w:t xml:space="preserve">4.4. </w:t>
      </w:r>
      <w:r w:rsidR="00F8556D" w:rsidRPr="003241FC">
        <w:t xml:space="preserve">Theme 2: Resilience in </w:t>
      </w:r>
      <w:r w:rsidR="004C6C88" w:rsidRPr="003241FC">
        <w:t xml:space="preserve">Academic Progression Despite Financial Strain </w:t>
      </w:r>
      <w:r w:rsidR="00F8556D" w:rsidRPr="003241FC">
        <w:t xml:space="preserve">and </w:t>
      </w:r>
      <w:r w:rsidR="004C6C88" w:rsidRPr="003241FC">
        <w:t>Wellbeing Challenges</w:t>
      </w:r>
      <w:bookmarkEnd w:id="42"/>
      <w:r w:rsidR="004C6C88" w:rsidRPr="003241FC">
        <w:t xml:space="preserve"> </w:t>
      </w:r>
    </w:p>
    <w:p w14:paraId="0281506E" w14:textId="77777777" w:rsidR="004B7C04" w:rsidRPr="004B7C04" w:rsidRDefault="004B7C04" w:rsidP="004B7C04">
      <w:pPr>
        <w:pStyle w:val="NormalWeb"/>
        <w:spacing w:before="240" w:beforeAutospacing="0"/>
        <w:jc w:val="both"/>
        <w:rPr>
          <w:rStyle w:val="Strong"/>
          <w:rFonts w:ascii="Arial" w:eastAsiaTheme="majorEastAsia" w:hAnsi="Arial" w:cs="Arial"/>
          <w:b w:val="0"/>
          <w:bCs w:val="0"/>
          <w:szCs w:val="22"/>
        </w:rPr>
      </w:pPr>
      <w:r w:rsidRPr="004B7C04">
        <w:rPr>
          <w:rStyle w:val="Strong"/>
          <w:rFonts w:ascii="Arial" w:eastAsiaTheme="majorEastAsia" w:hAnsi="Arial" w:cs="Arial"/>
          <w:b w:val="0"/>
          <w:bCs w:val="0"/>
          <w:szCs w:val="22"/>
        </w:rPr>
        <w:t>Resilience in academic progression in this review refers to the sustenance of academic activity, retention, advancement through years of education, or attainment of good grades in situations that increase the risk of discontinuation (Abdelrahman et al., 2025). The concept is a conditional one: it defines success in conditional terms and is studied in conditions of enabling supports, compensatory measures, and the costs incurred to the success. Financial strain is defined as long-term material pressures, such as a lack of cash, paid employment, decreased accessibility to family resources, and continual concerns about affording living expenses. In this theme, resilience is not the lack of hardship, but the academic development despite structural and psychosocial strains that may build up and increase with time (Samuel et al., 2025).</w:t>
      </w:r>
    </w:p>
    <w:p w14:paraId="59A442DD" w14:textId="2B0F97E9" w:rsidR="00763F59" w:rsidRPr="00A91343" w:rsidRDefault="00F8556D" w:rsidP="00A91343">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 xml:space="preserve">Background </w:t>
      </w:r>
    </w:p>
    <w:p w14:paraId="5EC92784" w14:textId="77777777" w:rsidR="00763F59" w:rsidRDefault="00763F59" w:rsidP="00C82552">
      <w:pPr>
        <w:pStyle w:val="NormalWeb"/>
        <w:spacing w:before="240"/>
        <w:jc w:val="both"/>
        <w:rPr>
          <w:rStyle w:val="Strong"/>
          <w:rFonts w:eastAsiaTheme="majorEastAsia"/>
          <w:b w:val="0"/>
          <w:bCs w:val="0"/>
        </w:rPr>
      </w:pPr>
      <w:r w:rsidRPr="00763F59">
        <w:rPr>
          <w:rStyle w:val="Strong"/>
          <w:rFonts w:eastAsiaTheme="majorEastAsia"/>
          <w:b w:val="0"/>
          <w:bCs w:val="0"/>
        </w:rPr>
        <w:t>Throughout the sampled literature, widening participation has increased the access of care-experienced students, but the processes that facilitate long-lasting improvement are not balanced. This is important since institutional accountability is more prone to focusing on visible and comparable indicators (entry, continuation, classification, destinations), whereas the resources on which persistence is built such as stable housing, predictable income, and reliable adult support are not constantly measured or commissioned (Harrison, 2019). In areas with low safety nets, the ability of the students to stay engaged is determined by their capacity to absorb shocks that students can manage by relying on parental support, informal guidance, or short-term financial aid (Swartz et al., 2011; Trubey et al., 2024). Findings of the research indicate that academic trajectories of care-experienced students thus act in an environment of escalated precarity, in which even the usual developmental shifts can end up destabilised due to their overlapping with administrative and financial vulnerability (Ellis and Johnston, 2022; Pinkney and Walker, 2020). This framing encourages a more cautious definition of resilience: similar achievement can indicate a remarkable effort, as opposed to fair access.</w:t>
      </w:r>
    </w:p>
    <w:p w14:paraId="00C6D42F" w14:textId="7C262793" w:rsidR="00C469B5" w:rsidRPr="00C469B5" w:rsidRDefault="00F8556D" w:rsidP="00C82552">
      <w:pPr>
        <w:pStyle w:val="NormalWeb"/>
        <w:spacing w:before="240"/>
        <w:jc w:val="both"/>
        <w:rPr>
          <w:rFonts w:ascii="Arial" w:hAnsi="Arial" w:cs="Arial"/>
          <w:szCs w:val="22"/>
        </w:rPr>
      </w:pPr>
      <w:r w:rsidRPr="006F5AB8">
        <w:rPr>
          <w:rFonts w:ascii="Arial" w:hAnsi="Arial" w:cs="Arial"/>
          <w:szCs w:val="22"/>
        </w:rPr>
        <w:t xml:space="preserve">The strongest </w:t>
      </w:r>
      <w:r w:rsidR="00DD6166">
        <w:rPr>
          <w:rFonts w:ascii="Arial" w:hAnsi="Arial" w:cs="Arial"/>
          <w:szCs w:val="22"/>
        </w:rPr>
        <w:t>result</w:t>
      </w:r>
      <w:r w:rsidRPr="006F5AB8">
        <w:rPr>
          <w:rFonts w:ascii="Arial" w:hAnsi="Arial" w:cs="Arial"/>
          <w:szCs w:val="22"/>
        </w:rPr>
        <w:t xml:space="preserve"> is the coexistence of comparable educational functioning with elevated burden. Foster care alumni in Norway reported substantially higher economic burden, poorer mental and somatic health, and lower parental financial support than peers, yet showed broadly comparable grades and study progression (Lehmann, Hysing and Sivertsen, 2024). They also reported that roughly twice as many foster care alumni received or needed special assistance in their studies, implying that parity in outcomes may be maintained through extra input, support needs, or compensatory labour (Lehmann, Hysing and Sivertsen, 2024). </w:t>
      </w:r>
      <w:r w:rsidR="00DE54D7">
        <w:t>The UK evidence highlights the hidden pressures that can exist behind apparent academic success</w:t>
      </w:r>
      <w:r w:rsidR="00C469B5" w:rsidRPr="00C469B5">
        <w:rPr>
          <w:rFonts w:ascii="Arial" w:hAnsi="Arial" w:cs="Arial"/>
          <w:szCs w:val="22"/>
        </w:rPr>
        <w:t>: Ellis and Johnston (2022) document that more than half of care-experienced students thought of dropping out, even with the fact that they have already surmounted tremendous obstacles to access. These are interesting since they not only contradict a basic deficit model (care-experienced students are not all failing alike) but also challenge complacent interpretations of parity (achievement is not a sign that things are fair). An important implication is a critical implication survivorship bias: individuals who continue to their education may be an overly persistent subgroup, which can overstate the apparent resilience and understate the needs of those who drop out earlier (Czeisler et al., 2021).</w:t>
      </w:r>
    </w:p>
    <w:p w14:paraId="3AECA7F7" w14:textId="4D3A58B8" w:rsidR="00F8556D" w:rsidRPr="006F5AB8" w:rsidRDefault="00C469B5" w:rsidP="00C469B5">
      <w:pPr>
        <w:pStyle w:val="NormalWeb"/>
        <w:spacing w:before="240" w:beforeAutospacing="0"/>
        <w:jc w:val="both"/>
        <w:rPr>
          <w:rFonts w:ascii="Arial" w:hAnsi="Arial" w:cs="Arial"/>
          <w:szCs w:val="22"/>
        </w:rPr>
      </w:pPr>
      <w:r w:rsidRPr="00C469B5">
        <w:rPr>
          <w:rFonts w:ascii="Arial" w:hAnsi="Arial" w:cs="Arial"/>
          <w:szCs w:val="22"/>
        </w:rPr>
        <w:t>The cumulative disadvantage interpretation explains why academic resilience may be present along with financial pressure and wellbeing issues. The existing evidence reviewed here is in line with accumulation-and-compensation dynamic: limited support networks and reduced material buffers enhance exposure to shock, whereas students act to counter them by intensifying self-reliance and trade-offs. Such trade-offs are plausibly higher levels of paid work, less involvement in campus life, and later help-seeking, which can sustain academic functioning in the short term but destroy wellbeing and long-term sustainability (Klutsey and Mahama, 2025). This understanding is consistent with the fact that care-experienced students are known to balance financial concerns with experiences of transitioning in both study and experience as precarious and not supported (Ellis and Johnston, 2022; Pinkney and Walker, 2020). Gazeley and Hinton-Smith (2018) justify the incremental orientation of success in the literature and state that progress can be viewed more as a series of tiny steps and that persistence may actually include a series of interruption and rebuilding, as opposed to a steady movemen</w:t>
      </w:r>
      <w:r>
        <w:rPr>
          <w:rFonts w:ascii="Arial" w:hAnsi="Arial" w:cs="Arial"/>
          <w:szCs w:val="22"/>
        </w:rPr>
        <w:t>t</w:t>
      </w:r>
      <w:r w:rsidR="00F8556D" w:rsidRPr="006F5AB8">
        <w:rPr>
          <w:rFonts w:ascii="Arial" w:hAnsi="Arial" w:cs="Arial"/>
          <w:szCs w:val="22"/>
        </w:rPr>
        <w:t>.</w:t>
      </w:r>
    </w:p>
    <w:p w14:paraId="5E8E1C66" w14:textId="77777777" w:rsidR="00680186" w:rsidRDefault="00680186" w:rsidP="00B21D94">
      <w:pPr>
        <w:spacing w:before="100" w:beforeAutospacing="1" w:after="100" w:afterAutospacing="1"/>
        <w:jc w:val="both"/>
      </w:pPr>
      <w:r>
        <w:t>This lens sharpens the critique of resilience discourse by showing how it can shift responsibility from institutions to individuals. Ellis and Johnston (2024) argue that individualised framings can responsibilise care-experienced students, because they treat persistence as sufficient evidence of fairness and recast barriers as personal shortcomings. The reviewed evidence supports this critique because academic continuation often depends on external scaffolding rather than on internal grit alone. Pinkney and Walker (2020) show that effective support is relational, non-judgemental, and sustained, because it substitutes for absent or fragile support networks and lowers the practical and emotional burden of navigating complex university systems. Harrison et al. (2023) likewise locate barriers in structural constraints rather than personal deficits, which implies that resilience should be assessed against unequal opportunities and resources, not only against headline outcomes.</w:t>
      </w:r>
    </w:p>
    <w:p w14:paraId="29BA8A1F" w14:textId="79687223" w:rsidR="00EA468E" w:rsidRPr="00EA468E" w:rsidRDefault="00EA468E" w:rsidP="00B21D94">
      <w:pPr>
        <w:spacing w:before="100" w:beforeAutospacing="1" w:after="100" w:afterAutospacing="1"/>
        <w:jc w:val="both"/>
      </w:pPr>
      <w:r w:rsidRPr="00EA468E">
        <w:t xml:space="preserve">This table summarises </w:t>
      </w:r>
      <w:r w:rsidR="001D2E20">
        <w:t>that how</w:t>
      </w:r>
      <w:r w:rsidRPr="00EA468E">
        <w:t xml:space="preserve"> mental-health status interacts with academic performance, highlighting that care-experienced students may sustain progression through resilience and supports, but often at higher personal and material cost.</w:t>
      </w:r>
    </w:p>
    <w:p w14:paraId="081B3444" w14:textId="7B67BE25" w:rsidR="00EA468E" w:rsidRPr="00452BB3" w:rsidRDefault="00EA468E" w:rsidP="00B21D94">
      <w:pPr>
        <w:pStyle w:val="Caption"/>
        <w:keepNext/>
        <w:jc w:val="both"/>
      </w:pPr>
      <w:bookmarkStart w:id="43" w:name="_Toc219050065"/>
      <w:r w:rsidRPr="00452BB3">
        <w:t xml:space="preserve">Table </w:t>
      </w:r>
      <w:r w:rsidR="0020292F">
        <w:fldChar w:fldCharType="begin"/>
      </w:r>
      <w:r w:rsidR="0020292F">
        <w:instrText xml:space="preserve"> SEQ Table \* ARABIC </w:instrText>
      </w:r>
      <w:r w:rsidR="0020292F">
        <w:fldChar w:fldCharType="separate"/>
      </w:r>
      <w:r w:rsidR="0020292F">
        <w:rPr>
          <w:noProof/>
        </w:rPr>
        <w:t>5</w:t>
      </w:r>
      <w:r w:rsidR="0020292F">
        <w:rPr>
          <w:noProof/>
        </w:rPr>
        <w:fldChar w:fldCharType="end"/>
      </w:r>
      <w:r w:rsidRPr="00452BB3">
        <w:t>: Mental Health and Academic Performance</w:t>
      </w:r>
      <w:r w:rsidR="000A3180" w:rsidRPr="00452BB3">
        <w:t xml:space="preserve">; </w:t>
      </w:r>
      <w:r w:rsidRPr="00452BB3">
        <w:t>Resilience Patterns and Barriers</w:t>
      </w:r>
      <w:r w:rsidR="00AE2D32" w:rsidRPr="00452BB3">
        <w:t xml:space="preserve"> </w:t>
      </w:r>
      <w:r w:rsidR="002D503F" w:rsidRPr="00452BB3">
        <w:rPr>
          <w:rFonts w:ascii="Arial" w:hAnsi="Arial" w:cs="Arial"/>
        </w:rPr>
        <w:t xml:space="preserve">(Abdelrahman </w:t>
      </w:r>
      <w:r w:rsidR="002D503F" w:rsidRPr="00452BB3">
        <w:rPr>
          <w:rFonts w:ascii="Arial" w:hAnsi="Arial" w:cs="Arial"/>
          <w:i w:val="0"/>
          <w:iCs w:val="0"/>
        </w:rPr>
        <w:t>et al.</w:t>
      </w:r>
      <w:r w:rsidR="002D503F" w:rsidRPr="00452BB3">
        <w:rPr>
          <w:rFonts w:ascii="Arial" w:hAnsi="Arial" w:cs="Arial"/>
        </w:rPr>
        <w:t>, 2025; Ellis and Johnston, 2022; Ellis and Sen, 2024)</w:t>
      </w:r>
      <w:bookmarkEnd w:id="43"/>
    </w:p>
    <w:p w14:paraId="7C9F8A40" w14:textId="266C5366" w:rsidR="00EA468E" w:rsidRPr="006F5AB8" w:rsidRDefault="00AE28E6" w:rsidP="00B21D94">
      <w:pPr>
        <w:pStyle w:val="NormalWeb"/>
        <w:spacing w:before="240" w:beforeAutospacing="0"/>
        <w:jc w:val="both"/>
        <w:rPr>
          <w:rFonts w:ascii="Arial" w:hAnsi="Arial" w:cs="Arial"/>
          <w:szCs w:val="22"/>
        </w:rPr>
      </w:pPr>
      <w:r w:rsidRPr="00AE28E6">
        <w:rPr>
          <w:rFonts w:ascii="Arial" w:hAnsi="Arial" w:cs="Arial"/>
          <w:noProof/>
          <w:szCs w:val="22"/>
        </w:rPr>
        <w:drawing>
          <wp:inline distT="0" distB="0" distL="0" distR="0" wp14:anchorId="24C82E2C" wp14:editId="3BE5D6A0">
            <wp:extent cx="5731510" cy="5857875"/>
            <wp:effectExtent l="0" t="0" r="0" b="0"/>
            <wp:docPr id="393097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97808" name=""/>
                    <pic:cNvPicPr/>
                  </pic:nvPicPr>
                  <pic:blipFill>
                    <a:blip r:embed="rId14"/>
                    <a:stretch>
                      <a:fillRect/>
                    </a:stretch>
                  </pic:blipFill>
                  <pic:spPr>
                    <a:xfrm>
                      <a:off x="0" y="0"/>
                      <a:ext cx="5731510" cy="5857875"/>
                    </a:xfrm>
                    <a:prstGeom prst="rect">
                      <a:avLst/>
                    </a:prstGeom>
                  </pic:spPr>
                </pic:pic>
              </a:graphicData>
            </a:graphic>
          </wp:inline>
        </w:drawing>
      </w:r>
    </w:p>
    <w:p w14:paraId="7A722E08" w14:textId="210172B7" w:rsidR="003662B5" w:rsidRDefault="00F8556D"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 xml:space="preserve">Policy and </w:t>
      </w:r>
      <w:r w:rsidR="001D4091" w:rsidRPr="006F5AB8">
        <w:rPr>
          <w:rStyle w:val="Strong"/>
          <w:rFonts w:ascii="Arial" w:eastAsiaTheme="majorEastAsia" w:hAnsi="Arial" w:cs="Arial"/>
          <w:szCs w:val="22"/>
        </w:rPr>
        <w:t>Legislation</w:t>
      </w:r>
    </w:p>
    <w:p w14:paraId="1F0A2428" w14:textId="77777777" w:rsidR="00A91343" w:rsidRDefault="00A91343" w:rsidP="00B21D94">
      <w:pPr>
        <w:pStyle w:val="NormalWeb"/>
        <w:spacing w:before="240" w:beforeAutospacing="0"/>
        <w:jc w:val="both"/>
      </w:pPr>
      <w:r w:rsidRPr="00A91343">
        <w:t>UK leaving-care responsibilities to local authorities go further into early adulthood, by including pathway planning and personal adviser services, which theoretically minimises transition risk, by providing continuity, advocacy and practical solving of problems on transfers to independent living (Gov UK, 2018). In higher education, access and participation criteria generate institutional impetus in identification of care-experienced students and bridging outcomes disparities, thus universities tend to work on interventions that can be delivered and audited, e.g., bursaries, hardship funds, accommodation guarantees (Ellis and Johnston, 2022; Bayfield and Smith, 2024). Literature however suggests that there is a timing dis-fit since the provision is often focused at entry, whereas the most destabilising forces usually increase over time by accumulated financial strain, housing disturbance, and the loss of structured support at graduation. Such a mismatch contributes to the understanding of how academic advancement can be maintained, and wellbeing can be reduced, as universities can secure objective results of continuation without always caring about the material and service environments underpinning mental health in the long term (Gusenbauer and Haddaway, 2020).</w:t>
      </w:r>
    </w:p>
    <w:p w14:paraId="1A09D0D0" w14:textId="30A758E5" w:rsidR="003662B5" w:rsidRDefault="00F8556D"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Implications for the research question</w:t>
      </w:r>
    </w:p>
    <w:p w14:paraId="078BD4C5" w14:textId="52D879BE" w:rsidR="0015346F" w:rsidRDefault="0015346F" w:rsidP="0015346F">
      <w:pPr>
        <w:pStyle w:val="NormalWeb"/>
        <w:spacing w:before="240" w:beforeAutospacing="0"/>
        <w:jc w:val="both"/>
      </w:pPr>
      <w:r>
        <w:rPr>
          <w:rFonts w:ascii="Arial" w:hAnsi="Arial" w:cs="Arial"/>
          <w:szCs w:val="22"/>
        </w:rPr>
        <w:t xml:space="preserve">The themes suggests that academic successes depends on well being of student and the resources he is getting. </w:t>
      </w:r>
      <w:r>
        <w:t>Doing so may hide real inequality, because foster-care graduates often achieve success while facing greater financial, emotional, and practical difficulties. On the other hand, the literature challenges negative assumptions and argue that if foster care students get strong relationships and custo support options, they perform very well in academics (Lehmann, Hysing and Sivertsen, 2024; Pinkney and Walker, 2020). However, Collier and Blanchard (2024) argue that institutions focus more on grades and personal capacity of students instead of wider problems like income which can result in instability after graudation and early career stages</w:t>
      </w:r>
      <w:r w:rsidR="002613E8">
        <w:t>.</w:t>
      </w:r>
    </w:p>
    <w:p w14:paraId="28599DB3" w14:textId="0B80422A" w:rsidR="003662B5" w:rsidRDefault="00F8556D"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Connections to other themes</w:t>
      </w:r>
    </w:p>
    <w:p w14:paraId="68BD15FD" w14:textId="60943F68" w:rsidR="00F8556D" w:rsidRPr="006F5AB8" w:rsidRDefault="00F8556D" w:rsidP="00B21D94">
      <w:pPr>
        <w:pStyle w:val="NormalWeb"/>
        <w:spacing w:before="240" w:beforeAutospacing="0"/>
        <w:jc w:val="both"/>
        <w:rPr>
          <w:rFonts w:ascii="Arial" w:hAnsi="Arial" w:cs="Arial"/>
          <w:szCs w:val="22"/>
        </w:rPr>
      </w:pPr>
      <w:r w:rsidRPr="006F5AB8">
        <w:rPr>
          <w:rFonts w:ascii="Arial" w:hAnsi="Arial" w:cs="Arial"/>
          <w:szCs w:val="22"/>
        </w:rPr>
        <w:t>Theme 2 overlaps with Theme 1 because the drivers that elevate distress</w:t>
      </w:r>
      <w:r w:rsidR="006C5B8F">
        <w:rPr>
          <w:rFonts w:ascii="Arial" w:hAnsi="Arial" w:cs="Arial"/>
          <w:szCs w:val="22"/>
        </w:rPr>
        <w:t xml:space="preserve"> like </w:t>
      </w:r>
      <w:r w:rsidRPr="006F5AB8">
        <w:rPr>
          <w:rFonts w:ascii="Arial" w:hAnsi="Arial" w:cs="Arial"/>
          <w:szCs w:val="22"/>
        </w:rPr>
        <w:t>instability, isolation, and stigma</w:t>
      </w:r>
      <w:r w:rsidR="006C5B8F">
        <w:rPr>
          <w:rFonts w:ascii="Arial" w:hAnsi="Arial" w:cs="Arial"/>
          <w:szCs w:val="22"/>
        </w:rPr>
        <w:t xml:space="preserve"> </w:t>
      </w:r>
      <w:r w:rsidRPr="006F5AB8">
        <w:rPr>
          <w:rFonts w:ascii="Arial" w:hAnsi="Arial" w:cs="Arial"/>
          <w:szCs w:val="22"/>
        </w:rPr>
        <w:t>also determine when persistence becomes fragile and when compensation collapses into withdrawal. It anticipates Theme 3 because targeted supports that stabilise finance, simplify navigation, and strengthen belonging should lower the cost of success, shifting resilience from individual endurance toward system-enabled thriving (Campbell et al., 2022; Pinkney and Walker, 2020).</w:t>
      </w:r>
    </w:p>
    <w:p w14:paraId="4F002948" w14:textId="5351E974" w:rsidR="00152CDE" w:rsidRPr="003241FC" w:rsidRDefault="003241FC" w:rsidP="00B21D94">
      <w:pPr>
        <w:pStyle w:val="Heading2"/>
        <w:jc w:val="both"/>
      </w:pPr>
      <w:bookmarkStart w:id="44" w:name="_Toc224307206"/>
      <w:r w:rsidRPr="003241FC">
        <w:t xml:space="preserve">4.5. </w:t>
      </w:r>
      <w:r w:rsidR="00152CDE" w:rsidRPr="003241FC">
        <w:t>Theme 3: Targeted, Relationship-Based University Supports Improve Transitions</w:t>
      </w:r>
      <w:bookmarkEnd w:id="44"/>
    </w:p>
    <w:p w14:paraId="76559CCE" w14:textId="77777777" w:rsidR="0056561C"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Definition</w:t>
      </w:r>
    </w:p>
    <w:p w14:paraId="145E933A" w14:textId="739C925F" w:rsidR="00152CDE" w:rsidRPr="00322D61" w:rsidRDefault="00035458" w:rsidP="00937EA2">
      <w:pPr>
        <w:pStyle w:val="NormalWeb"/>
        <w:jc w:val="both"/>
        <w:rPr>
          <w:rFonts w:ascii="Times New Roman" w:hAnsi="Times New Roman"/>
          <w:sz w:val="24"/>
        </w:rPr>
      </w:pPr>
      <w:r w:rsidRPr="00035458">
        <w:rPr>
          <w:rFonts w:ascii="Arial" w:hAnsi="Arial" w:cs="Arial"/>
          <w:szCs w:val="22"/>
        </w:rPr>
        <w:t>This theme summari</w:t>
      </w:r>
      <w:r w:rsidR="00864B94">
        <w:rPr>
          <w:rFonts w:ascii="Arial" w:hAnsi="Arial" w:cs="Arial"/>
          <w:szCs w:val="22"/>
        </w:rPr>
        <w:t>s</w:t>
      </w:r>
      <w:r w:rsidRPr="00035458">
        <w:rPr>
          <w:rFonts w:ascii="Arial" w:hAnsi="Arial" w:cs="Arial"/>
          <w:szCs w:val="22"/>
        </w:rPr>
        <w:t xml:space="preserve">es the systematic, person-centred interventions in higher education tailor-made to care-experienced or foster-care graduates to support their transition into, through, and beyond university. </w:t>
      </w:r>
      <w:r w:rsidR="00322D61" w:rsidRPr="00937EA2">
        <w:rPr>
          <w:rFonts w:ascii="Arial" w:hAnsi="Arial" w:cs="Arial"/>
          <w:szCs w:val="22"/>
        </w:rPr>
        <w:t>The term targeted refers to support that is specifically designed to address the needs associated with disrupted care histories</w:t>
      </w:r>
      <w:r w:rsidRPr="00035458">
        <w:rPr>
          <w:rFonts w:ascii="Arial" w:hAnsi="Arial" w:cs="Arial"/>
          <w:szCs w:val="22"/>
        </w:rPr>
        <w:t xml:space="preserve"> (Baldwin et al., 2025), whereas the term relationship-based implies interventions that emphasise long-term human connection via mentoring, coaching, or assigned contacts as the methods of emotional safety, belonging, and continuity. It is concerned with the quality and stability of relationships, but not necessarily on the resources delivered</w:t>
      </w:r>
      <w:r>
        <w:rPr>
          <w:rFonts w:ascii="Arial" w:hAnsi="Arial" w:cs="Arial"/>
          <w:szCs w:val="22"/>
        </w:rPr>
        <w:t xml:space="preserve"> </w:t>
      </w:r>
      <w:r w:rsidR="00617024">
        <w:rPr>
          <w:rFonts w:ascii="Arial" w:hAnsi="Arial" w:cs="Arial"/>
          <w:szCs w:val="22"/>
        </w:rPr>
        <w:t>(Goldner and Ben-Eliyahu, 2021)</w:t>
      </w:r>
      <w:r w:rsidR="00152CDE" w:rsidRPr="006F5AB8">
        <w:rPr>
          <w:rFonts w:ascii="Arial" w:hAnsi="Arial" w:cs="Arial"/>
          <w:szCs w:val="22"/>
        </w:rPr>
        <w:t xml:space="preserve">. </w:t>
      </w:r>
    </w:p>
    <w:p w14:paraId="0F76D8F9" w14:textId="77777777"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Historical and Contextual Background</w:t>
      </w:r>
    </w:p>
    <w:p w14:paraId="502B65DE" w14:textId="77777777" w:rsidR="004C102D" w:rsidRDefault="004C102D" w:rsidP="00AB6AB2">
      <w:pPr>
        <w:spacing w:before="240"/>
        <w:jc w:val="both"/>
        <w:rPr>
          <w:rFonts w:ascii="Arial" w:hAnsi="Arial" w:cs="Arial"/>
          <w:szCs w:val="22"/>
        </w:rPr>
      </w:pPr>
      <w:r w:rsidRPr="004C102D">
        <w:rPr>
          <w:rFonts w:ascii="Arial" w:hAnsi="Arial" w:cs="Arial"/>
          <w:szCs w:val="22"/>
        </w:rPr>
        <w:t>Traditionally the provision of support to care-experienced students in UK higher education has developed beyond simply providing financial and/or administrative support to include rather comprehensive, relationship-focused support. Initial widening participation initiatives (e.g., the 2007 Care Matters Green Paper) were more about access by recruiting with bursaries and waiving of fees (HM Government, 2007). Nevertheless, as data started piling up that financial assistance could never help guarantee retention or wellbeing, a shift in policy and practice towards psychosocial and developmental support models commenced (Harrison et al., 2023). This shift is indicative of an increased understanding that care-experienced students are not only maturity deficient but also discontinuous in their support structures and more psychologically fragile (Ellis and Johnston, 2022).</w:t>
      </w:r>
    </w:p>
    <w:p w14:paraId="53C90C61" w14:textId="20E61DE1" w:rsidR="00152CDE" w:rsidRPr="00DB78C5" w:rsidRDefault="003F7151" w:rsidP="00AB6AB2">
      <w:pPr>
        <w:spacing w:before="240"/>
        <w:jc w:val="both"/>
      </w:pPr>
      <w:r w:rsidRPr="003F7151">
        <w:t>Universities are inclined to explain transition failures in terms of relational discontinuity as care-experienced students tend to have less stable informal support and when institutional contact is disrupted or brief, trust and timely help-seeking decline despite the adequate academic talent (Zhao et al., 2023). An example of paradigm shift is the CLASS Cymru programme (Bayfield, 2022) and near-peer coaching programmes (Gazeley and Hinton-Smith, 2018): success is perceived to be built on reliable and regular interactions, not one-off interventions. However, there is inconsistent provision. Some universities institutionali</w:t>
      </w:r>
      <w:r w:rsidR="00864B94">
        <w:t>s</w:t>
      </w:r>
      <w:r w:rsidRPr="003F7151">
        <w:t xml:space="preserve">e such supports, but others use temporary, project-based programs, constrained by their sustainability and scope (Trubey et al., 2024). </w:t>
      </w:r>
      <w:r w:rsidR="002E31D2">
        <w:t>This imbalance may reinforce institutional inequalities within a sector that is often presented as inclusive.</w:t>
      </w:r>
    </w:p>
    <w:p w14:paraId="75CBCEA7" w14:textId="77777777"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Relevance to Research Question</w:t>
      </w:r>
    </w:p>
    <w:p w14:paraId="62ECC1EC" w14:textId="06E0C4D4" w:rsidR="00152CDE" w:rsidRPr="006F5AB8" w:rsidRDefault="00152CDE" w:rsidP="00B21D94">
      <w:pPr>
        <w:pStyle w:val="NormalWeb"/>
        <w:spacing w:before="240" w:beforeAutospacing="0"/>
        <w:jc w:val="both"/>
        <w:rPr>
          <w:rFonts w:ascii="Arial" w:hAnsi="Arial" w:cs="Arial"/>
          <w:szCs w:val="22"/>
        </w:rPr>
      </w:pPr>
      <w:r w:rsidRPr="006F5AB8">
        <w:rPr>
          <w:rFonts w:ascii="Arial" w:hAnsi="Arial" w:cs="Arial"/>
          <w:szCs w:val="22"/>
        </w:rPr>
        <w:t xml:space="preserve">This theme directly informs the dissertation’s central question on how mental health and academic outcomes differ between foster-care and non-foster graduates, and what mechanisms bridge that gap. The evidence </w:t>
      </w:r>
      <w:r w:rsidR="00727BC7">
        <w:rPr>
          <w:rFonts w:ascii="Arial" w:hAnsi="Arial" w:cs="Arial"/>
          <w:szCs w:val="22"/>
        </w:rPr>
        <w:t xml:space="preserve">(Wade, Wright and Finegold, 2022; Zhang </w:t>
      </w:r>
      <w:r w:rsidR="00727BC7">
        <w:rPr>
          <w:rFonts w:ascii="Arial" w:hAnsi="Arial" w:cs="Arial"/>
          <w:i/>
          <w:iCs/>
          <w:szCs w:val="22"/>
        </w:rPr>
        <w:t>et al.</w:t>
      </w:r>
      <w:r w:rsidR="00727BC7">
        <w:rPr>
          <w:rFonts w:ascii="Arial" w:hAnsi="Arial" w:cs="Arial"/>
          <w:szCs w:val="22"/>
        </w:rPr>
        <w:t>, 2024)</w:t>
      </w:r>
      <w:r w:rsidR="00727BC7" w:rsidRPr="006F5AB8">
        <w:rPr>
          <w:rFonts w:ascii="Arial" w:hAnsi="Arial" w:cs="Arial"/>
          <w:szCs w:val="22"/>
        </w:rPr>
        <w:t xml:space="preserve"> </w:t>
      </w:r>
      <w:r w:rsidRPr="006F5AB8">
        <w:rPr>
          <w:rFonts w:ascii="Arial" w:hAnsi="Arial" w:cs="Arial"/>
          <w:szCs w:val="22"/>
        </w:rPr>
        <w:t xml:space="preserve">suggests that relationship-based supports serve as </w:t>
      </w:r>
      <w:r w:rsidRPr="00C83DBF">
        <w:rPr>
          <w:rStyle w:val="Emphasis"/>
          <w:rFonts w:ascii="Arial" w:eastAsiaTheme="majorEastAsia" w:hAnsi="Arial" w:cs="Arial"/>
          <w:i w:val="0"/>
          <w:iCs w:val="0"/>
          <w:szCs w:val="22"/>
        </w:rPr>
        <w:t>transitional stabilisers</w:t>
      </w:r>
      <w:r w:rsidRPr="006F5AB8">
        <w:rPr>
          <w:rFonts w:ascii="Arial" w:hAnsi="Arial" w:cs="Arial"/>
          <w:szCs w:val="22"/>
        </w:rPr>
        <w:t xml:space="preserve">: they rebuild belonging and mitigate mental health risks identified in Theme 1, while enhancing persistence and achievement explored in Theme 2. These supports therefore represent the operational link between individual resilience and structural enablement. </w:t>
      </w:r>
      <w:r w:rsidR="00FF30C6">
        <w:rPr>
          <w:rFonts w:ascii="Arial" w:hAnsi="Arial" w:cs="Arial"/>
          <w:szCs w:val="22"/>
        </w:rPr>
        <w:t>However</w:t>
      </w:r>
      <w:r w:rsidRPr="006F5AB8">
        <w:rPr>
          <w:rFonts w:ascii="Arial" w:hAnsi="Arial" w:cs="Arial"/>
          <w:szCs w:val="22"/>
        </w:rPr>
        <w:t xml:space="preserve">, </w:t>
      </w:r>
      <w:r w:rsidR="00FF30C6">
        <w:t>these supports work best because students have a consistent, trusted person, not just a programme on paper. When universities make this reliable care part of how support is delivered, it helps reduce outcome gaps and improves equity</w:t>
      </w:r>
      <w:r w:rsidR="005A37DF">
        <w:t xml:space="preserve"> </w:t>
      </w:r>
      <w:r w:rsidR="005A37DF">
        <w:rPr>
          <w:rFonts w:ascii="Arial" w:hAnsi="Arial" w:cs="Arial"/>
          <w:szCs w:val="22"/>
        </w:rPr>
        <w:t xml:space="preserve">(Ruihua </w:t>
      </w:r>
      <w:r w:rsidR="005A37DF">
        <w:rPr>
          <w:rFonts w:ascii="Arial" w:hAnsi="Arial" w:cs="Arial"/>
          <w:i/>
          <w:iCs/>
          <w:szCs w:val="22"/>
        </w:rPr>
        <w:t>et al.</w:t>
      </w:r>
      <w:r w:rsidR="005A37DF">
        <w:rPr>
          <w:rFonts w:ascii="Arial" w:hAnsi="Arial" w:cs="Arial"/>
          <w:szCs w:val="22"/>
        </w:rPr>
        <w:t>, 2025)</w:t>
      </w:r>
      <w:r w:rsidR="00FF30C6">
        <w:t>.</w:t>
      </w:r>
    </w:p>
    <w:p w14:paraId="24E47EB3" w14:textId="4F1160F4" w:rsidR="00152CDE" w:rsidRPr="006F5AB8" w:rsidRDefault="00152CDE" w:rsidP="00B21D94">
      <w:pPr>
        <w:pStyle w:val="NormalWeb"/>
        <w:spacing w:before="240" w:beforeAutospacing="0"/>
        <w:jc w:val="both"/>
        <w:rPr>
          <w:rFonts w:ascii="Arial" w:hAnsi="Arial" w:cs="Arial"/>
          <w:szCs w:val="22"/>
        </w:rPr>
      </w:pPr>
      <w:r w:rsidRPr="006F5AB8">
        <w:rPr>
          <w:rFonts w:ascii="Arial" w:hAnsi="Arial" w:cs="Arial"/>
          <w:szCs w:val="22"/>
        </w:rPr>
        <w:t xml:space="preserve">Quantitative evidence indicates that targeted support correlates with improved retention and wellbeing outcomes for care-experienced students, though causality remains under-examined. Blakeslee et al. (2022) reported that coaching-based interventions improved GPA scores and reduced withdrawal rates among participants by approximately 15%, aligning with similar figures from UK near-peer programmes (Gazeley </w:t>
      </w:r>
      <w:r w:rsidR="00117043">
        <w:rPr>
          <w:rFonts w:ascii="Arial" w:hAnsi="Arial" w:cs="Arial"/>
          <w:szCs w:val="22"/>
        </w:rPr>
        <w:t>and</w:t>
      </w:r>
      <w:r w:rsidRPr="006F5AB8">
        <w:rPr>
          <w:rFonts w:ascii="Arial" w:hAnsi="Arial" w:cs="Arial"/>
          <w:szCs w:val="22"/>
        </w:rPr>
        <w:t xml:space="preserve"> Hinton-Smith, 2018). Data from Welsh institutions show that students accessing CLASS Cymru’s advisory model were 20% more likely to complete their degree than those relying solely on standard pastoral care (Bayfield </w:t>
      </w:r>
      <w:r w:rsidR="00C77957">
        <w:rPr>
          <w:rFonts w:ascii="Arial" w:hAnsi="Arial" w:cs="Arial"/>
          <w:szCs w:val="22"/>
        </w:rPr>
        <w:t>and</w:t>
      </w:r>
      <w:r w:rsidRPr="006F5AB8">
        <w:rPr>
          <w:rFonts w:ascii="Arial" w:hAnsi="Arial" w:cs="Arial"/>
          <w:szCs w:val="22"/>
        </w:rPr>
        <w:t xml:space="preserve"> Smith, 2024).</w:t>
      </w:r>
    </w:p>
    <w:p w14:paraId="01A178F8" w14:textId="0B624F54" w:rsidR="00152CDE" w:rsidRPr="006F5AB8" w:rsidRDefault="00152CDE" w:rsidP="00B21D94">
      <w:pPr>
        <w:pStyle w:val="NormalWeb"/>
        <w:spacing w:before="240" w:beforeAutospacing="0"/>
        <w:jc w:val="both"/>
        <w:rPr>
          <w:rFonts w:ascii="Arial" w:hAnsi="Arial" w:cs="Arial"/>
          <w:szCs w:val="22"/>
        </w:rPr>
      </w:pPr>
      <w:r w:rsidRPr="006F5AB8">
        <w:rPr>
          <w:rFonts w:ascii="Arial" w:hAnsi="Arial" w:cs="Arial"/>
          <w:szCs w:val="22"/>
        </w:rPr>
        <w:t xml:space="preserve">Despite these encouraging figures, only about 55% of UK universities currently offer integrated care-experienced frameworks, and fewer than half sustain support beyond enrolment (Ellis </w:t>
      </w:r>
      <w:r w:rsidR="00C77957">
        <w:rPr>
          <w:rFonts w:ascii="Arial" w:hAnsi="Arial" w:cs="Arial"/>
          <w:szCs w:val="22"/>
        </w:rPr>
        <w:t>and</w:t>
      </w:r>
      <w:r w:rsidRPr="006F5AB8">
        <w:rPr>
          <w:rFonts w:ascii="Arial" w:hAnsi="Arial" w:cs="Arial"/>
          <w:szCs w:val="22"/>
        </w:rPr>
        <w:t xml:space="preserve"> Johnston, 2024). This discontinuity highlights a persistent transition cliff, where assistance drops sharply after admission</w:t>
      </w:r>
      <w:r w:rsidR="006B2604">
        <w:rPr>
          <w:rFonts w:ascii="Arial" w:hAnsi="Arial" w:cs="Arial"/>
          <w:szCs w:val="22"/>
        </w:rPr>
        <w:t xml:space="preserve"> </w:t>
      </w:r>
      <w:r w:rsidRPr="006F5AB8">
        <w:rPr>
          <w:rFonts w:ascii="Arial" w:hAnsi="Arial" w:cs="Arial"/>
          <w:szCs w:val="22"/>
        </w:rPr>
        <w:t>precisely when relational anchors are most needed. The inconsistency also undermines national widening-participation goals, revealing that successful practice depends less on funding levels than on strategic coherence and sustained human relationships</w:t>
      </w:r>
      <w:r w:rsidR="001A438F">
        <w:rPr>
          <w:rFonts w:ascii="Arial" w:hAnsi="Arial" w:cs="Arial"/>
          <w:szCs w:val="22"/>
        </w:rPr>
        <w:t xml:space="preserve"> (Ravulapalli </w:t>
      </w:r>
      <w:r w:rsidR="001A438F">
        <w:rPr>
          <w:rFonts w:ascii="Arial" w:hAnsi="Arial" w:cs="Arial"/>
          <w:i/>
          <w:iCs/>
          <w:szCs w:val="22"/>
        </w:rPr>
        <w:t>et al.</w:t>
      </w:r>
      <w:r w:rsidR="001A438F">
        <w:rPr>
          <w:rFonts w:ascii="Arial" w:hAnsi="Arial" w:cs="Arial"/>
          <w:szCs w:val="22"/>
        </w:rPr>
        <w:t>, 2024)</w:t>
      </w:r>
      <w:r w:rsidRPr="006F5AB8">
        <w:rPr>
          <w:rFonts w:ascii="Arial" w:hAnsi="Arial" w:cs="Arial"/>
          <w:szCs w:val="22"/>
        </w:rPr>
        <w:t>.</w:t>
      </w:r>
    </w:p>
    <w:p w14:paraId="43D5E5C1" w14:textId="77777777"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Application of Ecological Systems Theory</w:t>
      </w:r>
    </w:p>
    <w:p w14:paraId="164EBFF6" w14:textId="1B344627" w:rsidR="00877BF9" w:rsidRPr="00877BF9" w:rsidRDefault="000C2185" w:rsidP="00A26C5A">
      <w:pPr>
        <w:spacing w:after="240"/>
        <w:jc w:val="both"/>
        <w:rPr>
          <w:rFonts w:ascii="Arial" w:hAnsi="Arial" w:cs="Arial"/>
          <w:szCs w:val="22"/>
        </w:rPr>
      </w:pPr>
      <w:r>
        <w:rPr>
          <w:rFonts w:ascii="Arial" w:hAnsi="Arial" w:cs="Arial"/>
          <w:szCs w:val="22"/>
        </w:rPr>
        <w:t>Theory</w:t>
      </w:r>
      <w:r w:rsidR="00877BF9" w:rsidRPr="00877BF9">
        <w:rPr>
          <w:rFonts w:ascii="Arial" w:hAnsi="Arial" w:cs="Arial"/>
          <w:szCs w:val="22"/>
        </w:rPr>
        <w:t xml:space="preserve"> by Bronfenbrenner can be used to interpret these findings. The mesosystem links, between social services, education, and community support, tend to be non-cooperative amongst care-experienced students. University programs that are based on relationships serve as compensatory mesosystems establishing relational bridges between the individual and the institution (Bronfenbrenner, 1992; Campbell et al., 2022).</w:t>
      </w:r>
    </w:p>
    <w:p w14:paraId="5DE5F7D2" w14:textId="07C1F052" w:rsidR="00152CDE" w:rsidRPr="00F65AA7" w:rsidRDefault="00877BF9" w:rsidP="00A26C5A">
      <w:pPr>
        <w:spacing w:after="240"/>
        <w:jc w:val="both"/>
        <w:rPr>
          <w:rFonts w:ascii="Arial" w:hAnsi="Arial" w:cs="Arial"/>
          <w:szCs w:val="22"/>
        </w:rPr>
      </w:pPr>
      <w:r w:rsidRPr="00877BF9">
        <w:rPr>
          <w:rFonts w:ascii="Arial" w:hAnsi="Arial" w:cs="Arial"/>
          <w:szCs w:val="22"/>
        </w:rPr>
        <w:t>Individually, mentoring or named-advisor programs enhance mesosystem continuity through linking academic, emotional, and logistical spheres of student life. The success of the intervention is thus not related to novelty but its role in ecology, it restores interconnectedness where fragmentation was of pre-eminence (Goldner and Ben-Eliyahu, 2021). Bursaries, on the other hand, cannot substitute the predictable, trusting relationships most care-experienced students miss, and so such issues as isolation and stress can reach critical levels. Relational support is effective because, when delivered consistently through study, housing, wellbeing and services, it binds things together and is more effective than a one-off help</w:t>
      </w:r>
      <w:r>
        <w:rPr>
          <w:rFonts w:ascii="Arial" w:hAnsi="Arial" w:cs="Arial"/>
          <w:szCs w:val="22"/>
        </w:rPr>
        <w:t xml:space="preserve"> </w:t>
      </w:r>
      <w:r w:rsidR="003817C6">
        <w:rPr>
          <w:rFonts w:ascii="Arial" w:hAnsi="Arial" w:cs="Arial"/>
          <w:szCs w:val="22"/>
        </w:rPr>
        <w:t xml:space="preserve">(Harrison </w:t>
      </w:r>
      <w:r w:rsidR="003817C6">
        <w:rPr>
          <w:rFonts w:ascii="Arial" w:hAnsi="Arial" w:cs="Arial"/>
          <w:i/>
          <w:iCs/>
          <w:szCs w:val="22"/>
        </w:rPr>
        <w:t>et al.</w:t>
      </w:r>
      <w:r w:rsidR="003817C6">
        <w:rPr>
          <w:rFonts w:ascii="Arial" w:hAnsi="Arial" w:cs="Arial"/>
          <w:szCs w:val="22"/>
        </w:rPr>
        <w:t>, 2023)</w:t>
      </w:r>
      <w:r w:rsidR="00152CDE" w:rsidRPr="00F65AA7">
        <w:rPr>
          <w:rFonts w:ascii="Arial" w:hAnsi="Arial" w:cs="Arial"/>
          <w:szCs w:val="22"/>
        </w:rPr>
        <w:t>.</w:t>
      </w:r>
    </w:p>
    <w:p w14:paraId="6B816E40" w14:textId="77777777"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Policy and Legislation</w:t>
      </w:r>
    </w:p>
    <w:p w14:paraId="446C1E32" w14:textId="09F72CB4" w:rsidR="00DD6F02" w:rsidRDefault="00DD6F02" w:rsidP="00B21D94">
      <w:pPr>
        <w:pStyle w:val="NormalWeb"/>
        <w:spacing w:before="240" w:beforeAutospacing="0"/>
        <w:jc w:val="both"/>
        <w:rPr>
          <w:rFonts w:ascii="Arial" w:hAnsi="Arial" w:cs="Arial"/>
          <w:szCs w:val="22"/>
        </w:rPr>
      </w:pPr>
      <w:r w:rsidRPr="00DD6F02">
        <w:rPr>
          <w:rFonts w:ascii="Arial" w:hAnsi="Arial" w:cs="Arial"/>
          <w:szCs w:val="22"/>
        </w:rPr>
        <w:t>The policy of higher-education in the UK nowadays requires that the care-experienced students should be recogni</w:t>
      </w:r>
      <w:r w:rsidR="00864B94">
        <w:rPr>
          <w:rFonts w:ascii="Arial" w:hAnsi="Arial" w:cs="Arial"/>
          <w:szCs w:val="22"/>
        </w:rPr>
        <w:t>s</w:t>
      </w:r>
      <w:r w:rsidRPr="00DD6F02">
        <w:rPr>
          <w:rFonts w:ascii="Arial" w:hAnsi="Arial" w:cs="Arial"/>
          <w:szCs w:val="22"/>
        </w:rPr>
        <w:t xml:space="preserve">ed as a priority population. Universities have to provide bursaries, year-round accommodation, and a point of contact, as specified in the Care Leaver Covenant (2018), and the Office for Students Access and Participation Plans. Nonetheless, </w:t>
      </w:r>
      <w:r w:rsidR="00D51693">
        <w:t>compliance does not necessarily equate to effectiveness</w:t>
      </w:r>
      <w:r w:rsidRPr="00DD6F02">
        <w:rPr>
          <w:rFonts w:ascii="Arial" w:hAnsi="Arial" w:cs="Arial"/>
          <w:szCs w:val="22"/>
        </w:rPr>
        <w:t>. The policies are measured more than they have an impact and neglecting the quality of relationship and student agency. This inconsistency in the standards of consistency or trauma-informed training leads to unequal provision, which creates postcode lotteries of support (Harrison et al., 2023). Incorporating a relational measure like trust, access, and continuity into regulatory measurement may help to close the policy-practice gap and ensure that formal obligations are aligned with the processes that have been shown to be effective in the literature (Akintola, Newbury-Birch and Kilinc, 2024).</w:t>
      </w:r>
    </w:p>
    <w:p w14:paraId="5B50FF70" w14:textId="21C2ACCE"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Critical Analysis and Discussion</w:t>
      </w:r>
    </w:p>
    <w:p w14:paraId="6502CF8E" w14:textId="77777777" w:rsidR="00594020" w:rsidRPr="00594020" w:rsidRDefault="00594020" w:rsidP="00594020">
      <w:pPr>
        <w:pStyle w:val="NormalWeb"/>
        <w:spacing w:before="240"/>
        <w:rPr>
          <w:rFonts w:ascii="Arial" w:hAnsi="Arial" w:cs="Arial"/>
          <w:szCs w:val="22"/>
        </w:rPr>
      </w:pPr>
      <w:r w:rsidRPr="00594020">
        <w:rPr>
          <w:rFonts w:ascii="Arial" w:hAnsi="Arial" w:cs="Arial"/>
          <w:szCs w:val="22"/>
        </w:rPr>
        <w:t>These findings in the analysed literature show that there is a common denominator insofar as it is observed that relationship-based interventions are transformative, insofar as they restore trust, a psychological resource that has often been depleted by previous occurrences of abandonment and systemic failure. According to Miller et al. (2020) and Pinkney and Walker (2020), care-experienced students experience institutional care via relational authenticity; in case advisers are reliable and empathetic, students internalise a sense of belonging that improves engagement. This is a performative and not a rhetorical credibility; it has to be put into effect in order to be believed.</w:t>
      </w:r>
    </w:p>
    <w:p w14:paraId="1B8F71D6" w14:textId="19817DD1" w:rsidR="00152CDE" w:rsidRPr="006F5AB8" w:rsidRDefault="00594020" w:rsidP="00594020">
      <w:pPr>
        <w:pStyle w:val="NormalWeb"/>
        <w:spacing w:before="240" w:beforeAutospacing="0"/>
        <w:jc w:val="both"/>
        <w:rPr>
          <w:rFonts w:ascii="Arial" w:hAnsi="Arial" w:cs="Arial"/>
          <w:szCs w:val="22"/>
        </w:rPr>
      </w:pPr>
      <w:r w:rsidRPr="00594020">
        <w:rPr>
          <w:rFonts w:ascii="Arial" w:hAnsi="Arial" w:cs="Arial"/>
          <w:szCs w:val="22"/>
        </w:rPr>
        <w:t xml:space="preserve">Ellis and Johnston (2024) on the other hand warn that even the most well-intentioned relationships break down without structural reinforcement. The dependence on individual practitioners is brittle, as the emergence of staff turnover leads to the breakdown of continuity, which is a recurrence of the instability seen in the care system itself. The discovery is consistent with the evidence in organisational psychology more generally: It is not individual actors, but systemic cultures of care that maintain belonging in institutions. Hence, </w:t>
      </w:r>
      <w:r w:rsidR="00232DC1">
        <w:t>the issue is not simply to introduce mentors or advisers</w:t>
      </w:r>
      <w:r w:rsidRPr="00594020">
        <w:rPr>
          <w:rFonts w:ascii="Arial" w:hAnsi="Arial" w:cs="Arial"/>
          <w:szCs w:val="22"/>
        </w:rPr>
        <w:t>, but to inculcate relational accountability across the institution</w:t>
      </w:r>
      <w:r w:rsidR="00152CDE" w:rsidRPr="006F5AB8">
        <w:rPr>
          <w:rFonts w:ascii="Arial" w:hAnsi="Arial" w:cs="Arial"/>
          <w:szCs w:val="22"/>
        </w:rPr>
        <w:t>.</w:t>
      </w:r>
    </w:p>
    <w:p w14:paraId="6E884F61" w14:textId="77777777" w:rsidR="002613E8" w:rsidRDefault="002613E8" w:rsidP="00B21D94">
      <w:pPr>
        <w:pStyle w:val="NormalWeb"/>
        <w:spacing w:before="240" w:beforeAutospacing="0"/>
        <w:jc w:val="both"/>
        <w:rPr>
          <w:rFonts w:ascii="Arial" w:hAnsi="Arial" w:cs="Arial"/>
          <w:szCs w:val="22"/>
        </w:rPr>
      </w:pPr>
      <w:r w:rsidRPr="002613E8">
        <w:rPr>
          <w:rFonts w:ascii="Arial" w:hAnsi="Arial" w:cs="Arial"/>
          <w:szCs w:val="22"/>
        </w:rPr>
        <w:t xml:space="preserve">This conclusion has a basis in comparative literature. Both Australian (De Zilva et al., 2021) and U.S. studies show that mentoring enhances retention when integrated into coherent institutional ecosystems between counselling, financial aid, and academic services. Pioneering efforts, no matter how humane, yield short-term benefits. The same can be said about trauma-informed wellbeing services: until mental health practitioners and academic staff coordinate their efforts, interventions will be reactive and isolated. </w:t>
      </w:r>
    </w:p>
    <w:p w14:paraId="23501E21" w14:textId="1E95A930" w:rsidR="00486C1A"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Implications</w:t>
      </w:r>
    </w:p>
    <w:p w14:paraId="22CB6FAD" w14:textId="4ADCB668" w:rsidR="00152CDE" w:rsidRPr="00446F7C" w:rsidRDefault="00117A75" w:rsidP="00B21D94">
      <w:pPr>
        <w:jc w:val="both"/>
        <w:rPr>
          <w:rFonts w:ascii="Arial" w:hAnsi="Arial" w:cs="Arial"/>
          <w:szCs w:val="22"/>
        </w:rPr>
      </w:pPr>
      <w:r w:rsidRPr="00117A75">
        <w:rPr>
          <w:rFonts w:ascii="Arial" w:hAnsi="Arial" w:cs="Arial"/>
          <w:szCs w:val="22"/>
        </w:rPr>
        <w:t>Relationship practices expose the wider reality regarding the functioning of universities as emotionally intelligent institutions. Regarding care-experienced students, they provide stabilisation, reducing the cumulative impacts of financial uncertainty and mental health susceptibility (Bayfield and Smith, 2024; Blakeslee, Miller and Uretsky, 2022). In the case of universities, they show that relational infrastructures such as trust, continuity, responsiveness are not incidental but central to academic performance (Campbell et al., 2022; Gale and Thalitaya, 2015). Nevertheless, the literature cautions against excessive reliance on these interventions</w:t>
      </w:r>
      <w:r w:rsidR="00152CDE" w:rsidRPr="00446F7C">
        <w:rPr>
          <w:rFonts w:ascii="Arial" w:hAnsi="Arial" w:cs="Arial"/>
          <w:szCs w:val="22"/>
        </w:rPr>
        <w:t xml:space="preserve">. </w:t>
      </w:r>
      <w:r w:rsidR="00F71FC3" w:rsidRPr="00446F7C">
        <w:rPr>
          <w:rFonts w:ascii="Arial" w:hAnsi="Arial" w:cs="Arial"/>
          <w:szCs w:val="22"/>
        </w:rPr>
        <w:t xml:space="preserve">Without stable funding, relationship-based support can become insecure, low-status work that is taken for granted, which weakens the consistent help it is meant to provide. Making these approaches part of core university strategy, not optional short-term projects, is therefore about fairness as well as impact </w:t>
      </w:r>
      <w:r w:rsidR="00B4399C" w:rsidRPr="00446F7C">
        <w:rPr>
          <w:rFonts w:ascii="Arial" w:hAnsi="Arial" w:cs="Arial"/>
          <w:szCs w:val="22"/>
        </w:rPr>
        <w:t xml:space="preserve">(Russell </w:t>
      </w:r>
      <w:r w:rsidR="00B4399C" w:rsidRPr="00446F7C">
        <w:rPr>
          <w:rFonts w:ascii="Arial" w:hAnsi="Arial" w:cs="Arial"/>
          <w:i/>
          <w:iCs/>
          <w:szCs w:val="22"/>
        </w:rPr>
        <w:t>et al.</w:t>
      </w:r>
      <w:r w:rsidR="00B4399C" w:rsidRPr="00446F7C">
        <w:rPr>
          <w:rFonts w:ascii="Arial" w:hAnsi="Arial" w:cs="Arial"/>
          <w:szCs w:val="22"/>
        </w:rPr>
        <w:t>, 2025)</w:t>
      </w:r>
      <w:r w:rsidR="00446F7C" w:rsidRPr="00446F7C">
        <w:rPr>
          <w:rFonts w:ascii="Arial" w:hAnsi="Arial" w:cs="Arial"/>
          <w:szCs w:val="22"/>
        </w:rPr>
        <w:t>.</w:t>
      </w:r>
    </w:p>
    <w:p w14:paraId="4C9659CE" w14:textId="77777777" w:rsidR="003662B5" w:rsidRDefault="00152CDE" w:rsidP="00B21D94">
      <w:pPr>
        <w:pStyle w:val="NormalWeb"/>
        <w:spacing w:before="240" w:beforeAutospacing="0"/>
        <w:jc w:val="both"/>
        <w:rPr>
          <w:rStyle w:val="Strong"/>
          <w:rFonts w:ascii="Arial" w:eastAsiaTheme="majorEastAsia" w:hAnsi="Arial" w:cs="Arial"/>
          <w:szCs w:val="22"/>
        </w:rPr>
      </w:pPr>
      <w:r w:rsidRPr="006F5AB8">
        <w:rPr>
          <w:rStyle w:val="Strong"/>
          <w:rFonts w:ascii="Arial" w:eastAsiaTheme="majorEastAsia" w:hAnsi="Arial" w:cs="Arial"/>
          <w:szCs w:val="22"/>
        </w:rPr>
        <w:t>Connections to Other Themes</w:t>
      </w:r>
    </w:p>
    <w:p w14:paraId="7187F4D2" w14:textId="3F0007AE" w:rsidR="00152CDE" w:rsidRPr="006F5AB8" w:rsidRDefault="00152CDE" w:rsidP="00B21D94">
      <w:pPr>
        <w:pStyle w:val="NormalWeb"/>
        <w:spacing w:before="240" w:beforeAutospacing="0"/>
        <w:jc w:val="both"/>
        <w:rPr>
          <w:rFonts w:ascii="Arial" w:hAnsi="Arial" w:cs="Arial"/>
          <w:szCs w:val="22"/>
        </w:rPr>
      </w:pPr>
      <w:r w:rsidRPr="006F5AB8">
        <w:rPr>
          <w:rFonts w:ascii="Arial" w:hAnsi="Arial" w:cs="Arial"/>
          <w:szCs w:val="22"/>
        </w:rPr>
        <w:t>This theme is tightly interwoven with the previous two. It addresses the institutional counterpart to the individual struggles identified earlier. By providing continuity, targeted supports directly counter the instability and social isolation driving poor mental health outcomes (Theme 1). Simultaneously, they operationalise the resilience mechanisms underpinning academic persistence (Theme 2), transforming individual coping into collective care. Together, the three themes form a developmental continuum: from vulnerability (Theme 1) through adaptation (Theme 2) to systemic enablement (Theme 3).</w:t>
      </w:r>
    </w:p>
    <w:p w14:paraId="5BEC0C41" w14:textId="27B67864" w:rsidR="00A9478C" w:rsidRPr="001418F8" w:rsidRDefault="00A9478C" w:rsidP="00B21D94">
      <w:pPr>
        <w:pStyle w:val="Heading2"/>
        <w:jc w:val="both"/>
      </w:pPr>
      <w:bookmarkStart w:id="45" w:name="_Toc224307207"/>
      <w:r w:rsidRPr="006F5AB8">
        <w:t>4.6. Chapter Conclusion</w:t>
      </w:r>
      <w:bookmarkEnd w:id="45"/>
    </w:p>
    <w:p w14:paraId="2A0D1E8A" w14:textId="176173DB" w:rsidR="00572E83" w:rsidRPr="006F5AB8" w:rsidRDefault="00572E83" w:rsidP="00B21D94">
      <w:pPr>
        <w:pStyle w:val="NormalWeb"/>
        <w:spacing w:before="240" w:beforeAutospacing="0"/>
        <w:jc w:val="both"/>
        <w:rPr>
          <w:rFonts w:ascii="Arial" w:hAnsi="Arial" w:cs="Arial"/>
          <w:szCs w:val="22"/>
        </w:rPr>
      </w:pPr>
      <w:r w:rsidRPr="006F5AB8">
        <w:rPr>
          <w:rFonts w:ascii="Arial" w:hAnsi="Arial" w:cs="Arial"/>
          <w:szCs w:val="22"/>
        </w:rPr>
        <w:t>Chapter 4 synthesised evidence from fifteen studies to address disparities between graduates with and without foster-care histories. Thematic analysis identified: (1) elevated mental health burden shaped by trauma, instability and isolation; (2) resilience in academic progression despite financial strain and wellbeing costs; and (3) targeted, relationship-based university supports that can stabilise transitions, though implementation and evaluation remain uneven. Across themes, the discussion highlighted how structural conditions (housing, finance, service continuity and stigma) mediate both mental health and achievement, limiting explanations that rely on individual deficit or resilience alone. Chapter 5 will consolidate implications and recommendations for policy, practice and research.</w:t>
      </w:r>
    </w:p>
    <w:p w14:paraId="7A4679B2" w14:textId="77777777" w:rsidR="00572E83" w:rsidRPr="006F5AB8" w:rsidRDefault="00572E83" w:rsidP="00B21D94">
      <w:pPr>
        <w:spacing w:before="240"/>
        <w:jc w:val="both"/>
        <w:rPr>
          <w:rFonts w:ascii="Arial" w:hAnsi="Arial" w:cs="Arial"/>
          <w:szCs w:val="22"/>
        </w:rPr>
      </w:pPr>
    </w:p>
    <w:p w14:paraId="3F4D3BDB" w14:textId="77777777" w:rsidR="00BD46AC" w:rsidRPr="006F5AB8" w:rsidRDefault="00BD46AC" w:rsidP="00B21D94">
      <w:pPr>
        <w:spacing w:before="240"/>
        <w:jc w:val="both"/>
        <w:rPr>
          <w:rFonts w:ascii="Arial" w:hAnsi="Arial" w:cs="Arial"/>
          <w:szCs w:val="22"/>
        </w:rPr>
      </w:pPr>
    </w:p>
    <w:p w14:paraId="7D19E5D0" w14:textId="77777777" w:rsidR="00BD46AC" w:rsidRDefault="00BD46AC" w:rsidP="00B21D94">
      <w:pPr>
        <w:spacing w:before="240"/>
        <w:jc w:val="both"/>
        <w:rPr>
          <w:rFonts w:ascii="Arial" w:hAnsi="Arial" w:cs="Arial"/>
          <w:szCs w:val="22"/>
        </w:rPr>
      </w:pPr>
    </w:p>
    <w:p w14:paraId="5BCCDE02" w14:textId="77777777" w:rsidR="00322988" w:rsidRDefault="00322988" w:rsidP="00B21D94">
      <w:pPr>
        <w:spacing w:before="240"/>
        <w:jc w:val="both"/>
        <w:rPr>
          <w:rFonts w:ascii="Arial" w:hAnsi="Arial" w:cs="Arial"/>
          <w:szCs w:val="22"/>
        </w:rPr>
      </w:pPr>
    </w:p>
    <w:p w14:paraId="2DBD213C" w14:textId="77777777" w:rsidR="00322988" w:rsidRDefault="00322988" w:rsidP="00B21D94">
      <w:pPr>
        <w:spacing w:before="240"/>
        <w:jc w:val="both"/>
        <w:rPr>
          <w:rFonts w:ascii="Arial" w:hAnsi="Arial" w:cs="Arial"/>
          <w:szCs w:val="22"/>
        </w:rPr>
      </w:pPr>
    </w:p>
    <w:p w14:paraId="55E95047" w14:textId="77777777" w:rsidR="00322988" w:rsidRDefault="00322988" w:rsidP="00B21D94">
      <w:pPr>
        <w:spacing w:before="240"/>
        <w:jc w:val="both"/>
        <w:rPr>
          <w:rFonts w:ascii="Arial" w:hAnsi="Arial" w:cs="Arial"/>
          <w:szCs w:val="22"/>
        </w:rPr>
      </w:pPr>
    </w:p>
    <w:p w14:paraId="5777C39D" w14:textId="77777777" w:rsidR="00322988" w:rsidRDefault="00322988" w:rsidP="00B21D94">
      <w:pPr>
        <w:spacing w:before="240"/>
        <w:jc w:val="both"/>
        <w:rPr>
          <w:rFonts w:ascii="Arial" w:hAnsi="Arial" w:cs="Arial"/>
          <w:szCs w:val="22"/>
        </w:rPr>
      </w:pPr>
    </w:p>
    <w:p w14:paraId="71CFA79D" w14:textId="77777777" w:rsidR="00322988" w:rsidRDefault="00322988" w:rsidP="00B21D94">
      <w:pPr>
        <w:spacing w:before="240"/>
        <w:jc w:val="both"/>
        <w:rPr>
          <w:rFonts w:ascii="Arial" w:hAnsi="Arial" w:cs="Arial"/>
          <w:szCs w:val="22"/>
        </w:rPr>
      </w:pPr>
    </w:p>
    <w:p w14:paraId="265E240C" w14:textId="77777777" w:rsidR="00322988" w:rsidRDefault="00322988" w:rsidP="00B21D94">
      <w:pPr>
        <w:spacing w:before="240"/>
        <w:jc w:val="both"/>
        <w:rPr>
          <w:rFonts w:ascii="Arial" w:hAnsi="Arial" w:cs="Arial"/>
          <w:szCs w:val="22"/>
        </w:rPr>
      </w:pPr>
    </w:p>
    <w:p w14:paraId="16474232" w14:textId="77777777" w:rsidR="00322988" w:rsidRDefault="00322988" w:rsidP="00B21D94">
      <w:pPr>
        <w:spacing w:before="240"/>
        <w:jc w:val="both"/>
        <w:rPr>
          <w:rFonts w:ascii="Arial" w:hAnsi="Arial" w:cs="Arial"/>
          <w:szCs w:val="22"/>
        </w:rPr>
      </w:pPr>
    </w:p>
    <w:p w14:paraId="4BC3BDD7" w14:textId="77777777" w:rsidR="00322988" w:rsidRDefault="00322988" w:rsidP="00B21D94">
      <w:pPr>
        <w:spacing w:before="240"/>
        <w:jc w:val="both"/>
        <w:rPr>
          <w:rFonts w:ascii="Arial" w:hAnsi="Arial" w:cs="Arial"/>
          <w:szCs w:val="22"/>
        </w:rPr>
      </w:pPr>
    </w:p>
    <w:p w14:paraId="2DCA4207" w14:textId="77777777" w:rsidR="00322988" w:rsidRDefault="00322988" w:rsidP="00B21D94">
      <w:pPr>
        <w:spacing w:before="240"/>
        <w:jc w:val="both"/>
        <w:rPr>
          <w:rFonts w:ascii="Arial" w:hAnsi="Arial" w:cs="Arial"/>
          <w:szCs w:val="22"/>
        </w:rPr>
      </w:pPr>
    </w:p>
    <w:p w14:paraId="00336B0D" w14:textId="77777777" w:rsidR="00322988" w:rsidRDefault="00322988" w:rsidP="00B21D94">
      <w:pPr>
        <w:spacing w:before="240"/>
        <w:jc w:val="both"/>
        <w:rPr>
          <w:rFonts w:ascii="Arial" w:hAnsi="Arial" w:cs="Arial"/>
          <w:szCs w:val="22"/>
        </w:rPr>
      </w:pPr>
    </w:p>
    <w:p w14:paraId="0D99FC07" w14:textId="77777777" w:rsidR="00322988" w:rsidRDefault="00322988" w:rsidP="00B21D94">
      <w:pPr>
        <w:spacing w:before="240"/>
        <w:jc w:val="both"/>
        <w:rPr>
          <w:rFonts w:ascii="Arial" w:hAnsi="Arial" w:cs="Arial"/>
          <w:szCs w:val="22"/>
        </w:rPr>
      </w:pPr>
    </w:p>
    <w:p w14:paraId="4CA3734C" w14:textId="77777777" w:rsidR="00F149E3" w:rsidRDefault="00F149E3" w:rsidP="00B21D94">
      <w:pPr>
        <w:spacing w:before="240"/>
        <w:jc w:val="both"/>
        <w:rPr>
          <w:rFonts w:ascii="Arial" w:hAnsi="Arial" w:cs="Arial"/>
          <w:szCs w:val="22"/>
        </w:rPr>
      </w:pPr>
    </w:p>
    <w:p w14:paraId="33220B56" w14:textId="77777777" w:rsidR="00F149E3" w:rsidRDefault="00F149E3" w:rsidP="00B21D94">
      <w:pPr>
        <w:spacing w:before="240"/>
        <w:jc w:val="both"/>
        <w:rPr>
          <w:rFonts w:ascii="Arial" w:hAnsi="Arial" w:cs="Arial"/>
          <w:szCs w:val="22"/>
        </w:rPr>
      </w:pPr>
    </w:p>
    <w:p w14:paraId="3A00A855" w14:textId="77777777" w:rsidR="00BD46AC" w:rsidRPr="006F5AB8" w:rsidRDefault="00BD46AC" w:rsidP="00B21D94">
      <w:pPr>
        <w:spacing w:before="240"/>
        <w:jc w:val="both"/>
        <w:rPr>
          <w:rFonts w:ascii="Arial" w:hAnsi="Arial" w:cs="Arial"/>
          <w:szCs w:val="22"/>
        </w:rPr>
      </w:pPr>
    </w:p>
    <w:p w14:paraId="38F07402" w14:textId="4600E148" w:rsidR="00F076E3" w:rsidRPr="006F5AB8" w:rsidRDefault="00F076E3" w:rsidP="00B21D94">
      <w:pPr>
        <w:pStyle w:val="Heading1"/>
        <w:jc w:val="both"/>
      </w:pPr>
      <w:bookmarkStart w:id="46" w:name="_Toc224307208"/>
      <w:r w:rsidRPr="006F5AB8">
        <w:t>CHAPTER 5</w:t>
      </w:r>
      <w:r w:rsidR="003241FC">
        <w:t>:</w:t>
      </w:r>
      <w:r w:rsidRPr="006F5AB8">
        <w:t xml:space="preserve"> Conclusion and Recommendations</w:t>
      </w:r>
      <w:bookmarkEnd w:id="46"/>
      <w:r w:rsidRPr="006F5AB8">
        <w:t xml:space="preserve"> </w:t>
      </w:r>
    </w:p>
    <w:p w14:paraId="7B9F3D86" w14:textId="439F9FC0" w:rsidR="00F076E3" w:rsidRPr="006F5AB8" w:rsidRDefault="00F076E3" w:rsidP="00B21D94">
      <w:pPr>
        <w:pStyle w:val="Heading2"/>
        <w:jc w:val="both"/>
      </w:pPr>
      <w:bookmarkStart w:id="47" w:name="_Toc224307209"/>
      <w:r w:rsidRPr="006F5AB8">
        <w:t>5.1 Overall Conclusion</w:t>
      </w:r>
      <w:bookmarkEnd w:id="47"/>
      <w:r w:rsidRPr="006F5AB8">
        <w:t xml:space="preserve"> </w:t>
      </w:r>
    </w:p>
    <w:p w14:paraId="049F41E4" w14:textId="3A41BBF6" w:rsidR="00F149E3" w:rsidRDefault="00F149E3" w:rsidP="00B21D94">
      <w:pPr>
        <w:pStyle w:val="NormalWeb"/>
        <w:spacing w:before="240" w:beforeAutospacing="0"/>
        <w:jc w:val="both"/>
        <w:rPr>
          <w:rFonts w:ascii="Arial" w:hAnsi="Arial" w:cs="Arial"/>
          <w:szCs w:val="22"/>
        </w:rPr>
      </w:pPr>
      <w:r>
        <w:rPr>
          <w:rFonts w:ascii="Arial" w:hAnsi="Arial" w:cs="Arial"/>
          <w:szCs w:val="22"/>
        </w:rPr>
        <w:t xml:space="preserve">The dissertation aimed to compare the mental health outcomes and academic success of students who received and did not receive foster care, and also proposed recommendations </w:t>
      </w:r>
      <w:r w:rsidRPr="006F5AB8">
        <w:rPr>
          <w:rFonts w:ascii="Arial" w:hAnsi="Arial" w:cs="Arial"/>
          <w:szCs w:val="22"/>
        </w:rPr>
        <w:t>for universities, services, and policymakers</w:t>
      </w:r>
      <w:r>
        <w:rPr>
          <w:rFonts w:ascii="Arial" w:hAnsi="Arial" w:cs="Arial"/>
          <w:szCs w:val="22"/>
        </w:rPr>
        <w:t>.</w:t>
      </w:r>
    </w:p>
    <w:p w14:paraId="03462CC0" w14:textId="594903E5" w:rsidR="00F076E3" w:rsidRPr="006F5AB8" w:rsidRDefault="00D4144E" w:rsidP="00B21D94">
      <w:pPr>
        <w:pStyle w:val="NormalWeb"/>
        <w:spacing w:before="240" w:beforeAutospacing="0"/>
        <w:jc w:val="both"/>
        <w:rPr>
          <w:rFonts w:ascii="Arial" w:hAnsi="Arial" w:cs="Arial"/>
          <w:szCs w:val="22"/>
        </w:rPr>
      </w:pPr>
      <w:r w:rsidRPr="00D4144E">
        <w:rPr>
          <w:rFonts w:ascii="Arial" w:hAnsi="Arial" w:cs="Arial"/>
          <w:szCs w:val="22"/>
        </w:rPr>
        <w:t>In general, the findings addressed the following research objectives. Goal 1 was achieved by finding a pattern of high mental health burden in individuals with foster-care backgrounds, which is determined by exposures to trauma, instability during changes, and loneliness. Objective 2 was achieved through demonstrating that despite the financial pressures and wellbeing difficulties, academic progress can be made, but its achievement often comes with concealed costs and depends on the relationships of protection and support. Achieving the objective 3 consisted in the assessment of specific interventions and institutional supports, meaning that relationship-based models (called contacts, mentoring, coaching, trauma-informed pathways) have the potential to enhance navigation and persistence, but the evidence base is uneven and in most cases focused on short-term results. Collectively, the dissertation presents the argument that a just graduate achievement would require a fit between institutional practice and the process of facilitating risk and safeguarding through care-to-university-to-works transitions</w:t>
      </w:r>
      <w:r w:rsidR="00F076E3" w:rsidRPr="006F5AB8">
        <w:rPr>
          <w:rFonts w:ascii="Arial" w:hAnsi="Arial" w:cs="Arial"/>
          <w:szCs w:val="22"/>
        </w:rPr>
        <w:t>.</w:t>
      </w:r>
    </w:p>
    <w:p w14:paraId="362F7527" w14:textId="5AA68F6D" w:rsidR="00F076E3" w:rsidRPr="006F5AB8" w:rsidRDefault="00F076E3" w:rsidP="00B21D94">
      <w:pPr>
        <w:pStyle w:val="Heading2"/>
        <w:jc w:val="both"/>
      </w:pPr>
      <w:bookmarkStart w:id="48" w:name="_Toc224307210"/>
      <w:r w:rsidRPr="006F5AB8">
        <w:t>5.2 Recommendations</w:t>
      </w:r>
      <w:bookmarkEnd w:id="48"/>
      <w:r w:rsidRPr="006F5AB8">
        <w:t xml:space="preserve"> </w:t>
      </w:r>
    </w:p>
    <w:p w14:paraId="55AE23DF" w14:textId="77777777" w:rsidR="00F076E3" w:rsidRPr="006F5AB8" w:rsidRDefault="00F076E3" w:rsidP="00B21D94">
      <w:pPr>
        <w:pStyle w:val="Heading3"/>
        <w:jc w:val="both"/>
      </w:pPr>
      <w:bookmarkStart w:id="49" w:name="_Toc224307211"/>
      <w:r w:rsidRPr="006F5AB8">
        <w:t>5.2.1 Recommendation 1: Build continuity-first, relationship-based support that spans entry to post-graduation</w:t>
      </w:r>
      <w:bookmarkEnd w:id="49"/>
    </w:p>
    <w:p w14:paraId="4FA3FDD4" w14:textId="33B4A138" w:rsidR="00F076E3" w:rsidRPr="006F5AB8" w:rsidRDefault="00F076E3"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Recommendation.</w:t>
      </w:r>
      <w:r w:rsidRPr="006F5AB8">
        <w:rPr>
          <w:rFonts w:ascii="Arial" w:hAnsi="Arial" w:cs="Arial"/>
          <w:szCs w:val="22"/>
        </w:rPr>
        <w:t xml:space="preserve"> </w:t>
      </w:r>
      <w:r w:rsidR="0077019B" w:rsidRPr="0077019B">
        <w:rPr>
          <w:rFonts w:ascii="Arial" w:hAnsi="Arial" w:cs="Arial"/>
          <w:szCs w:val="22"/>
        </w:rPr>
        <w:t>Universities must adopt a continuuity model of care-experienced students, which ensures a named, trained key contact, proactive, frequent check-ins and planned transition support continuing into graduation and the first post-graduation year (e.g., careers follow-up, referral continuity, alumni mentoring). Instead, the central idea is that students are not required to repeatedly re-tell care history or crisis stories to receive assistance (Aune et al., 2023). This is based on the results in Chapter 4, which indicated that instability, disclosure load, and weak cross-service handovers could enhance distress and weaken engagement with support. A continuity-first model directly addresses such mechanisms by reducing friction, maintaining trust, and creating a stable relational anchor through institutional transitions</w:t>
      </w:r>
      <w:r w:rsidR="0077019B">
        <w:rPr>
          <w:rFonts w:ascii="Arial" w:hAnsi="Arial" w:cs="Arial"/>
          <w:szCs w:val="22"/>
        </w:rPr>
        <w:t xml:space="preserve"> </w:t>
      </w:r>
      <w:r w:rsidR="00FC575F">
        <w:rPr>
          <w:rFonts w:ascii="Arial" w:hAnsi="Arial" w:cs="Arial"/>
          <w:szCs w:val="22"/>
        </w:rPr>
        <w:t xml:space="preserve">(Barden </w:t>
      </w:r>
      <w:r w:rsidR="00FC575F">
        <w:rPr>
          <w:rFonts w:ascii="Arial" w:hAnsi="Arial" w:cs="Arial"/>
          <w:i/>
          <w:iCs/>
          <w:szCs w:val="22"/>
        </w:rPr>
        <w:t>et al.</w:t>
      </w:r>
      <w:r w:rsidR="00FC575F">
        <w:rPr>
          <w:rFonts w:ascii="Arial" w:hAnsi="Arial" w:cs="Arial"/>
          <w:szCs w:val="22"/>
        </w:rPr>
        <w:t>, 2025)</w:t>
      </w:r>
      <w:r w:rsidRPr="006F5AB8">
        <w:rPr>
          <w:rFonts w:ascii="Arial" w:hAnsi="Arial" w:cs="Arial"/>
          <w:szCs w:val="22"/>
        </w:rPr>
        <w:t>.</w:t>
      </w:r>
    </w:p>
    <w:p w14:paraId="614D7E1D" w14:textId="0B4A7BBD" w:rsidR="00F076E3" w:rsidRPr="006F5AB8" w:rsidRDefault="00F076E3"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Barriers/limitations.</w:t>
      </w:r>
      <w:r w:rsidRPr="006F5AB8">
        <w:rPr>
          <w:rFonts w:ascii="Arial" w:hAnsi="Arial" w:cs="Arial"/>
          <w:szCs w:val="22"/>
        </w:rPr>
        <w:t xml:space="preserve"> Staff turnover, uneven training, and high caseloads can undermine relational consistency. Funding constraints may limit universities’ capacity to extend support beyond enrolment</w:t>
      </w:r>
      <w:r w:rsidR="002967D4">
        <w:rPr>
          <w:rFonts w:ascii="Arial" w:hAnsi="Arial" w:cs="Arial"/>
          <w:szCs w:val="22"/>
        </w:rPr>
        <w:t xml:space="preserve"> (Russell </w:t>
      </w:r>
      <w:r w:rsidR="002967D4">
        <w:rPr>
          <w:rFonts w:ascii="Arial" w:hAnsi="Arial" w:cs="Arial"/>
          <w:i/>
          <w:iCs/>
          <w:szCs w:val="22"/>
        </w:rPr>
        <w:t>et al.</w:t>
      </w:r>
      <w:r w:rsidR="002967D4">
        <w:rPr>
          <w:rFonts w:ascii="Arial" w:hAnsi="Arial" w:cs="Arial"/>
          <w:szCs w:val="22"/>
        </w:rPr>
        <w:t xml:space="preserve">, 2025; Samuel </w:t>
      </w:r>
      <w:r w:rsidR="002967D4">
        <w:rPr>
          <w:rFonts w:ascii="Arial" w:hAnsi="Arial" w:cs="Arial"/>
          <w:i/>
          <w:iCs/>
          <w:szCs w:val="22"/>
        </w:rPr>
        <w:t>et al.</w:t>
      </w:r>
      <w:r w:rsidR="002967D4">
        <w:rPr>
          <w:rFonts w:ascii="Arial" w:hAnsi="Arial" w:cs="Arial"/>
          <w:szCs w:val="22"/>
        </w:rPr>
        <w:t>, 2025)</w:t>
      </w:r>
      <w:r w:rsidRPr="006F5AB8">
        <w:rPr>
          <w:rFonts w:ascii="Arial" w:hAnsi="Arial" w:cs="Arial"/>
          <w:szCs w:val="22"/>
        </w:rPr>
        <w:t>.</w:t>
      </w:r>
    </w:p>
    <w:p w14:paraId="74EBFF0A" w14:textId="5D72E057" w:rsidR="00F076E3" w:rsidRPr="006F5AB8" w:rsidRDefault="00F076E3" w:rsidP="00F67F0D">
      <w:pPr>
        <w:pStyle w:val="NormalWeb"/>
        <w:rPr>
          <w:rFonts w:ascii="Arial" w:hAnsi="Arial" w:cs="Arial"/>
          <w:szCs w:val="22"/>
        </w:rPr>
      </w:pPr>
      <w:r w:rsidRPr="006F5AB8">
        <w:rPr>
          <w:rStyle w:val="Strong"/>
          <w:rFonts w:ascii="Arial" w:eastAsiaTheme="majorEastAsia" w:hAnsi="Arial" w:cs="Arial"/>
          <w:szCs w:val="22"/>
        </w:rPr>
        <w:t>How to overcome.</w:t>
      </w:r>
      <w:r w:rsidR="00F67F0D">
        <w:rPr>
          <w:rStyle w:val="Strong"/>
          <w:rFonts w:ascii="Arial" w:eastAsiaTheme="majorEastAsia" w:hAnsi="Arial" w:cs="Arial"/>
          <w:szCs w:val="22"/>
        </w:rPr>
        <w:t xml:space="preserve"> </w:t>
      </w:r>
      <w:r w:rsidR="00F67F0D" w:rsidRPr="00F67F0D">
        <w:rPr>
          <w:rStyle w:val="Strong"/>
          <w:rFonts w:ascii="Arial" w:eastAsiaTheme="majorEastAsia" w:hAnsi="Arial" w:cs="Arial"/>
          <w:b w:val="0"/>
          <w:bCs w:val="0"/>
          <w:szCs w:val="22"/>
        </w:rPr>
        <w:t>Institiutions should make sure that the teams are sharing equal responbility for students and using clear practices giving staff training in trauma and stigma sensitive strategies. A written documented proecess should continue in case of staff change. The process should be a part of Access and Participation planning to make institutions accountable</w:t>
      </w:r>
      <w:r w:rsidR="00F67F0D">
        <w:rPr>
          <w:rStyle w:val="Strong"/>
          <w:rFonts w:ascii="Arial" w:eastAsiaTheme="majorEastAsia" w:hAnsi="Arial" w:cs="Arial"/>
          <w:szCs w:val="22"/>
        </w:rPr>
        <w:t xml:space="preserve"> </w:t>
      </w:r>
      <w:r w:rsidR="00103615">
        <w:rPr>
          <w:rFonts w:ascii="Arial" w:hAnsi="Arial" w:cs="Arial"/>
          <w:szCs w:val="22"/>
        </w:rPr>
        <w:t xml:space="preserve">(Aune </w:t>
      </w:r>
      <w:r w:rsidR="00103615">
        <w:rPr>
          <w:rFonts w:ascii="Arial" w:hAnsi="Arial" w:cs="Arial"/>
          <w:i/>
          <w:iCs/>
          <w:szCs w:val="22"/>
        </w:rPr>
        <w:t>et al.</w:t>
      </w:r>
      <w:r w:rsidR="00103615">
        <w:rPr>
          <w:rFonts w:ascii="Arial" w:hAnsi="Arial" w:cs="Arial"/>
          <w:szCs w:val="22"/>
        </w:rPr>
        <w:t>, 2023)</w:t>
      </w:r>
      <w:r w:rsidRPr="006F5AB8">
        <w:rPr>
          <w:rFonts w:ascii="Arial" w:hAnsi="Arial" w:cs="Arial"/>
          <w:szCs w:val="22"/>
        </w:rPr>
        <w:t>.</w:t>
      </w:r>
    </w:p>
    <w:p w14:paraId="1CA4210A" w14:textId="77777777" w:rsidR="00F076E3" w:rsidRPr="006F5AB8" w:rsidRDefault="00F076E3" w:rsidP="00B21D94">
      <w:pPr>
        <w:pStyle w:val="Heading3"/>
        <w:jc w:val="both"/>
      </w:pPr>
      <w:bookmarkStart w:id="50" w:name="_Toc224307212"/>
      <w:r w:rsidRPr="006F5AB8">
        <w:t>5.2.2 Recommendation 2: Reduce structural drivers of distress through integrated finance, housing, and crisis-response protocols</w:t>
      </w:r>
      <w:bookmarkEnd w:id="50"/>
    </w:p>
    <w:p w14:paraId="557ED764" w14:textId="2F01BF8A" w:rsidR="00F076E3" w:rsidRPr="006F5AB8" w:rsidRDefault="00F076E3" w:rsidP="00AA4141">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Recommendation.</w:t>
      </w:r>
      <w:r w:rsidRPr="006F5AB8">
        <w:rPr>
          <w:rFonts w:ascii="Arial" w:hAnsi="Arial" w:cs="Arial"/>
          <w:szCs w:val="22"/>
        </w:rPr>
        <w:t xml:space="preserve"> </w:t>
      </w:r>
      <w:r w:rsidR="00AA4141">
        <w:rPr>
          <w:rFonts w:ascii="Arial" w:hAnsi="Arial" w:cs="Arial"/>
          <w:szCs w:val="22"/>
        </w:rPr>
        <w:t xml:space="preserve">The institutions should consider income and housing challenges as mental health factors rather then simple welfare issues. The recommendation stems from Chapter 4 findings which suggested that unstable mental state is caused by not having access to basic resources which also affects academic resilience. This can be done by yearly accomodation plans and hostels, scholarship opportunities through a simple background check and </w:t>
      </w:r>
      <w:r w:rsidRPr="006F5AB8">
        <w:rPr>
          <w:rFonts w:ascii="Arial" w:hAnsi="Arial" w:cs="Arial"/>
          <w:szCs w:val="22"/>
        </w:rPr>
        <w:t>joint protocols between student services, accommodation teams, and external partners (local authority leaving-care teams, third-sector providers)</w:t>
      </w:r>
      <w:r w:rsidR="00704A20">
        <w:rPr>
          <w:rFonts w:ascii="Arial" w:hAnsi="Arial" w:cs="Arial"/>
          <w:szCs w:val="22"/>
        </w:rPr>
        <w:t xml:space="preserve"> (Blakeslee, Miller and Uretsky, 2022)</w:t>
      </w:r>
      <w:r w:rsidRPr="006F5AB8">
        <w:rPr>
          <w:rFonts w:ascii="Arial" w:hAnsi="Arial" w:cs="Arial"/>
          <w:szCs w:val="22"/>
        </w:rPr>
        <w:t xml:space="preserve">. </w:t>
      </w:r>
      <w:r w:rsidR="004E6ABB" w:rsidRPr="004E6ABB">
        <w:rPr>
          <w:rStyle w:val="Strong"/>
          <w:rFonts w:eastAsiaTheme="majorEastAsia"/>
          <w:b w:val="0"/>
          <w:bCs w:val="0"/>
        </w:rPr>
        <w:t>Addressing finance and housing can reduce chronic stressors. It can also improve students’ capacity to engage in study, employment preparation, and help-seeking</w:t>
      </w:r>
      <w:r w:rsidR="004E6ABB">
        <w:t xml:space="preserve"> (Broglia et al., 2023).</w:t>
      </w:r>
    </w:p>
    <w:p w14:paraId="7E19FECD" w14:textId="77777777" w:rsidR="00F076E3" w:rsidRPr="006F5AB8" w:rsidRDefault="00F076E3"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Barriers/limitations.</w:t>
      </w:r>
      <w:r w:rsidRPr="006F5AB8">
        <w:rPr>
          <w:rFonts w:ascii="Arial" w:hAnsi="Arial" w:cs="Arial"/>
          <w:szCs w:val="22"/>
        </w:rPr>
        <w:t xml:space="preserve"> Accommodation capacity may be limited, hardship funds are finite, and cross-agency partnership is often constrained by differing eligibility rules and data-sharing concerns.</w:t>
      </w:r>
    </w:p>
    <w:p w14:paraId="4650F8C1" w14:textId="43DBFC88" w:rsidR="00F076E3" w:rsidRPr="006F5AB8" w:rsidRDefault="00F076E3"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How to overcome.</w:t>
      </w:r>
      <w:r w:rsidRPr="006F5AB8">
        <w:rPr>
          <w:rFonts w:ascii="Arial" w:hAnsi="Arial" w:cs="Arial"/>
          <w:szCs w:val="22"/>
        </w:rPr>
        <w:t xml:space="preserve"> Use prioritisation criteria for high-risk periods (vacations, placement breakdown, final year, graduation), ring-fence emergency funds for care-experienced students, and implement single conversation referral models so students are not bounced between teams. Develop data-sharing agreements and consent-based information pathways to improve continuity while protecting confidentiality</w:t>
      </w:r>
      <w:r w:rsidR="00985130">
        <w:rPr>
          <w:rFonts w:ascii="Arial" w:hAnsi="Arial" w:cs="Arial"/>
          <w:szCs w:val="22"/>
        </w:rPr>
        <w:t xml:space="preserve"> </w:t>
      </w:r>
      <w:r w:rsidR="00FB78A2">
        <w:rPr>
          <w:rFonts w:ascii="Arial" w:hAnsi="Arial" w:cs="Arial"/>
          <w:szCs w:val="22"/>
        </w:rPr>
        <w:t>(Kenton, 2020)</w:t>
      </w:r>
      <w:r w:rsidRPr="006F5AB8">
        <w:rPr>
          <w:rFonts w:ascii="Arial" w:hAnsi="Arial" w:cs="Arial"/>
          <w:szCs w:val="22"/>
        </w:rPr>
        <w:t>.</w:t>
      </w:r>
    </w:p>
    <w:p w14:paraId="2B63EEBD" w14:textId="77777777" w:rsidR="00F076E3" w:rsidRPr="006F5AB8" w:rsidRDefault="00F076E3" w:rsidP="00B21D94">
      <w:pPr>
        <w:pStyle w:val="Heading3"/>
        <w:jc w:val="both"/>
      </w:pPr>
      <w:bookmarkStart w:id="51" w:name="_Toc224307213"/>
      <w:r w:rsidRPr="006F5AB8">
        <w:t>5.2.3 Recommendation 3: Strengthen evidence and accountability through evaluation that measures outcomes, mechanisms, and equity impacts</w:t>
      </w:r>
      <w:bookmarkEnd w:id="51"/>
    </w:p>
    <w:p w14:paraId="61584EA8" w14:textId="77777777" w:rsidR="00EE4617" w:rsidRDefault="00F076E3" w:rsidP="00EE4617">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Recommendation.</w:t>
      </w:r>
      <w:r w:rsidRPr="006F5AB8">
        <w:rPr>
          <w:rFonts w:ascii="Arial" w:hAnsi="Arial" w:cs="Arial"/>
          <w:szCs w:val="22"/>
        </w:rPr>
        <w:t xml:space="preserve"> </w:t>
      </w:r>
      <w:r w:rsidR="00EE4617" w:rsidRPr="00EE4617">
        <w:rPr>
          <w:rFonts w:ascii="Arial" w:hAnsi="Arial" w:cs="Arial"/>
          <w:szCs w:val="22"/>
        </w:rPr>
        <w:t>Universities and policymakers must insist on regular assessment of care-experienced support with short- and medium-term outcomes (retention, wellbeing indicators, graduate transitions) and mechanism measures (belonging, service accessibility, continuity of contact). When possible, assessment must involve comparison groups or pre-post designs and must document implementation variables (training, staffing, uptake) (Piel et al., 2016). The findings of the review support this recommendation as promising interventions have limited long-term evidence and inconsistent implementation across settings. Unless they are evaluated properly on how programmes operate, with whom they operate and whether they are uniformly applied, there is a risk of their being judged by headline results or anecdotal success. It may result in a cycle of short-term pilots instead of long-term system enhancement (Somers et al., 2020).</w:t>
      </w:r>
    </w:p>
    <w:p w14:paraId="77695EC8" w14:textId="2E71DDD7" w:rsidR="00F076E3" w:rsidRPr="006F5AB8" w:rsidRDefault="00F076E3" w:rsidP="00EE4617">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Barriers/limitations.</w:t>
      </w:r>
      <w:r w:rsidRPr="006F5AB8">
        <w:rPr>
          <w:rFonts w:ascii="Arial" w:hAnsi="Arial" w:cs="Arial"/>
          <w:szCs w:val="22"/>
        </w:rPr>
        <w:t xml:space="preserve"> Evaluation capacity is uneven, staff may lack research skills, and small cohorts can limit statistical power and anonymity</w:t>
      </w:r>
      <w:r w:rsidR="00394384">
        <w:rPr>
          <w:rFonts w:ascii="Arial" w:hAnsi="Arial" w:cs="Arial"/>
          <w:szCs w:val="22"/>
        </w:rPr>
        <w:t xml:space="preserve"> (Piel </w:t>
      </w:r>
      <w:r w:rsidR="00394384">
        <w:rPr>
          <w:rFonts w:ascii="Arial" w:hAnsi="Arial" w:cs="Arial"/>
          <w:i/>
          <w:iCs/>
          <w:szCs w:val="22"/>
        </w:rPr>
        <w:t>et al.</w:t>
      </w:r>
      <w:r w:rsidR="00394384">
        <w:rPr>
          <w:rFonts w:ascii="Arial" w:hAnsi="Arial" w:cs="Arial"/>
          <w:szCs w:val="22"/>
        </w:rPr>
        <w:t>, 2016)</w:t>
      </w:r>
      <w:r w:rsidRPr="006F5AB8">
        <w:rPr>
          <w:rFonts w:ascii="Arial" w:hAnsi="Arial" w:cs="Arial"/>
          <w:szCs w:val="22"/>
        </w:rPr>
        <w:t>.</w:t>
      </w:r>
    </w:p>
    <w:p w14:paraId="2066218F" w14:textId="7335F6B6" w:rsidR="00F076E3" w:rsidRPr="006F5AB8" w:rsidRDefault="00F076E3" w:rsidP="00B21D94">
      <w:pPr>
        <w:pStyle w:val="NormalWeb"/>
        <w:spacing w:before="240" w:beforeAutospacing="0"/>
        <w:jc w:val="both"/>
        <w:rPr>
          <w:rFonts w:ascii="Arial" w:hAnsi="Arial" w:cs="Arial"/>
          <w:szCs w:val="22"/>
        </w:rPr>
      </w:pPr>
      <w:r w:rsidRPr="006F5AB8">
        <w:rPr>
          <w:rStyle w:val="Strong"/>
          <w:rFonts w:ascii="Arial" w:eastAsiaTheme="majorEastAsia" w:hAnsi="Arial" w:cs="Arial"/>
          <w:szCs w:val="22"/>
        </w:rPr>
        <w:t>How to overcome.</w:t>
      </w:r>
      <w:r w:rsidRPr="006F5AB8">
        <w:rPr>
          <w:rFonts w:ascii="Arial" w:hAnsi="Arial" w:cs="Arial"/>
          <w:szCs w:val="22"/>
        </w:rPr>
        <w:t xml:space="preserve"> Use proportionate methods: mixed-method evaluation combining routine monitoring with qualitative feedback, and shared measurement frameworks across institutions to enable pooled learning. Embed evaluation requirements into Access and Participation planning and commissioning expectations. Protect confidentiality through aggregated reporting and careful thresholding, while ensuring that limited sample size does not become a reason for no evaluation at all</w:t>
      </w:r>
      <w:r w:rsidR="00BD4AD0">
        <w:rPr>
          <w:rFonts w:ascii="Arial" w:hAnsi="Arial" w:cs="Arial"/>
          <w:szCs w:val="22"/>
        </w:rPr>
        <w:t xml:space="preserve"> (Trubey </w:t>
      </w:r>
      <w:r w:rsidR="00BD4AD0">
        <w:rPr>
          <w:rFonts w:ascii="Arial" w:hAnsi="Arial" w:cs="Arial"/>
          <w:i/>
          <w:iCs/>
          <w:szCs w:val="22"/>
        </w:rPr>
        <w:t>et al.</w:t>
      </w:r>
      <w:r w:rsidR="00BD4AD0">
        <w:rPr>
          <w:rFonts w:ascii="Arial" w:hAnsi="Arial" w:cs="Arial"/>
          <w:szCs w:val="22"/>
        </w:rPr>
        <w:t>, 2024)</w:t>
      </w:r>
      <w:r w:rsidRPr="006F5AB8">
        <w:rPr>
          <w:rFonts w:ascii="Arial" w:hAnsi="Arial" w:cs="Arial"/>
          <w:szCs w:val="22"/>
        </w:rPr>
        <w:t>.</w:t>
      </w:r>
    </w:p>
    <w:p w14:paraId="1C19037A" w14:textId="2913EB06" w:rsidR="00BD46AC" w:rsidRDefault="00C45DA5" w:rsidP="00C45DA5">
      <w:pPr>
        <w:pStyle w:val="Heading2"/>
      </w:pPr>
      <w:bookmarkStart w:id="52" w:name="_Toc224307214"/>
      <w:r>
        <w:t>5.3. Limitations of Study</w:t>
      </w:r>
      <w:bookmarkEnd w:id="52"/>
    </w:p>
    <w:p w14:paraId="12D57762" w14:textId="1A8F70FD" w:rsidR="00E0118B" w:rsidRDefault="00A32131" w:rsidP="00C45DA5">
      <w:pPr>
        <w:jc w:val="both"/>
      </w:pPr>
      <w:r w:rsidRPr="00A32131">
        <w:t>First, it used comparatively few secondary sources and not every study specifically targeted graduates, which restricts the extent to which the results can be generalised. Second, much of the evidence was founded on self-reported data, which can introduce bias or underreporting. Lastly, since this was simply a desk-based literature review, it is unable to provide definite causal connections among foster-care history, mental health, and academic success.</w:t>
      </w:r>
    </w:p>
    <w:p w14:paraId="2B96BFEC" w14:textId="77777777" w:rsidR="00173C9F" w:rsidRDefault="00173C9F" w:rsidP="00C45DA5">
      <w:pPr>
        <w:jc w:val="both"/>
      </w:pPr>
    </w:p>
    <w:p w14:paraId="25DFD13A" w14:textId="77777777" w:rsidR="00173C9F" w:rsidRDefault="00173C9F" w:rsidP="00C45DA5">
      <w:pPr>
        <w:jc w:val="both"/>
      </w:pPr>
    </w:p>
    <w:p w14:paraId="0BACACA9" w14:textId="77777777" w:rsidR="00173C9F" w:rsidRDefault="00173C9F" w:rsidP="00C45DA5">
      <w:pPr>
        <w:jc w:val="both"/>
      </w:pPr>
    </w:p>
    <w:p w14:paraId="323B1F25" w14:textId="77777777" w:rsidR="00E0118B" w:rsidRDefault="00E0118B" w:rsidP="00C45DA5">
      <w:pPr>
        <w:jc w:val="both"/>
      </w:pPr>
    </w:p>
    <w:p w14:paraId="79AB5BEA" w14:textId="77777777" w:rsidR="00E0118B" w:rsidRPr="00C45DA5" w:rsidRDefault="00E0118B" w:rsidP="00C45DA5">
      <w:pPr>
        <w:jc w:val="both"/>
        <w:rPr>
          <w:lang w:eastAsia="en-US"/>
        </w:rPr>
      </w:pPr>
    </w:p>
    <w:p w14:paraId="4E9F34F8" w14:textId="3A364313" w:rsidR="003241FC" w:rsidRDefault="003241FC" w:rsidP="00B21D94">
      <w:pPr>
        <w:pStyle w:val="Heading1"/>
        <w:jc w:val="both"/>
      </w:pPr>
      <w:bookmarkStart w:id="53" w:name="_Toc224307215"/>
      <w:r>
        <w:t>6. References</w:t>
      </w:r>
      <w:bookmarkEnd w:id="53"/>
      <w:r>
        <w:t xml:space="preserve"> </w:t>
      </w:r>
    </w:p>
    <w:p w14:paraId="20BBFAD5"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Abdelrahman, H. </w:t>
      </w:r>
      <w:r w:rsidRPr="003E7685">
        <w:rPr>
          <w:rFonts w:ascii="Arial" w:hAnsi="Arial" w:cs="Arial"/>
          <w:i/>
          <w:iCs/>
          <w:szCs w:val="22"/>
        </w:rPr>
        <w:t>et al.</w:t>
      </w:r>
      <w:r w:rsidRPr="003E7685">
        <w:rPr>
          <w:rFonts w:ascii="Arial" w:hAnsi="Arial" w:cs="Arial"/>
          <w:szCs w:val="22"/>
        </w:rPr>
        <w:t xml:space="preserve"> (2025) ‘Academic Resilience and its Relationship With Emotional Intelligence and Stress Among University Students: A Three</w:t>
      </w:r>
      <w:r w:rsidRPr="003E7685">
        <w:rPr>
          <w:rFonts w:ascii="Cambria Math" w:hAnsi="Cambria Math" w:cs="Cambria Math"/>
          <w:szCs w:val="22"/>
        </w:rPr>
        <w:t>‐</w:t>
      </w:r>
      <w:r w:rsidRPr="003E7685">
        <w:rPr>
          <w:rFonts w:ascii="Arial" w:hAnsi="Arial" w:cs="Arial"/>
          <w:szCs w:val="22"/>
        </w:rPr>
        <w:t xml:space="preserve">Country Survey’, </w:t>
      </w:r>
      <w:r w:rsidRPr="003E7685">
        <w:rPr>
          <w:rFonts w:ascii="Arial" w:hAnsi="Arial" w:cs="Arial"/>
          <w:i/>
          <w:iCs/>
          <w:szCs w:val="22"/>
        </w:rPr>
        <w:t>Brain and Behavior</w:t>
      </w:r>
      <w:r w:rsidRPr="003E7685">
        <w:rPr>
          <w:rFonts w:ascii="Arial" w:hAnsi="Arial" w:cs="Arial"/>
          <w:szCs w:val="22"/>
        </w:rPr>
        <w:t>, 15(4). Available at: https://doi.org/10.1002/brb3.70497.</w:t>
      </w:r>
    </w:p>
    <w:p w14:paraId="66928E3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Agnafors, S., Barmark, M. and Sydsjö, G. (2020) ‘Mental health and academic performance: A study on selection and causation effects from childhood to early adulthood’, </w:t>
      </w:r>
      <w:r w:rsidRPr="003E7685">
        <w:rPr>
          <w:rFonts w:ascii="Arial" w:hAnsi="Arial" w:cs="Arial"/>
          <w:i/>
          <w:iCs/>
          <w:szCs w:val="22"/>
        </w:rPr>
        <w:t>Social Psychiatry and Psychiatric Epidemiology</w:t>
      </w:r>
      <w:r w:rsidRPr="003E7685">
        <w:rPr>
          <w:rFonts w:ascii="Arial" w:hAnsi="Arial" w:cs="Arial"/>
          <w:szCs w:val="22"/>
        </w:rPr>
        <w:t>, 56(5), pp. 857–866. Available at: https://doi.org/10.1007/s00127-020-01934-5.</w:t>
      </w:r>
    </w:p>
    <w:p w14:paraId="1F67208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Akintola, A., Newbury-Birch, D. and Kilinc, S. (2024) ‘Bridging the gap between research evidence and its implementation in public health practice: case studies of embedded research model’, </w:t>
      </w:r>
      <w:r w:rsidRPr="003E7685">
        <w:rPr>
          <w:rFonts w:ascii="Arial" w:hAnsi="Arial" w:cs="Arial"/>
          <w:i/>
          <w:iCs/>
          <w:szCs w:val="22"/>
        </w:rPr>
        <w:t>BMC public health</w:t>
      </w:r>
      <w:r w:rsidRPr="003E7685">
        <w:rPr>
          <w:rFonts w:ascii="Arial" w:hAnsi="Arial" w:cs="Arial"/>
          <w:szCs w:val="22"/>
        </w:rPr>
        <w:t>, 24(1299). Available at: https://doi.org/10.1186/s12889-024-18727-z.</w:t>
      </w:r>
    </w:p>
    <w:p w14:paraId="5257FCF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Appleton, P., Hung, I. and Barratt, C. (2021) ‘Internal conversations, self-reliance and social support in emerging adults transitioning from out-of-home care: An interpretative phenomenological study’, </w:t>
      </w:r>
      <w:r w:rsidRPr="003E7685">
        <w:rPr>
          <w:rFonts w:ascii="Arial" w:hAnsi="Arial" w:cs="Arial"/>
          <w:i/>
          <w:iCs/>
          <w:szCs w:val="22"/>
        </w:rPr>
        <w:t>Clinical Child Psychology and Psychiatry</w:t>
      </w:r>
      <w:r w:rsidRPr="003E7685">
        <w:rPr>
          <w:rFonts w:ascii="Arial" w:hAnsi="Arial" w:cs="Arial"/>
          <w:szCs w:val="22"/>
        </w:rPr>
        <w:t>, 26(3), p. 135910452110058. Available at: https://doi.org/10.1177/13591045211005827.</w:t>
      </w:r>
    </w:p>
    <w:p w14:paraId="1490575D"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Aune, I. </w:t>
      </w:r>
      <w:r w:rsidRPr="003E7685">
        <w:rPr>
          <w:rFonts w:ascii="Arial" w:hAnsi="Arial" w:cs="Arial"/>
          <w:i/>
          <w:iCs/>
          <w:szCs w:val="22"/>
        </w:rPr>
        <w:t>et al.</w:t>
      </w:r>
      <w:r w:rsidRPr="003E7685">
        <w:rPr>
          <w:rFonts w:ascii="Arial" w:hAnsi="Arial" w:cs="Arial"/>
          <w:szCs w:val="22"/>
        </w:rPr>
        <w:t xml:space="preserve"> (2023) ‘Women’s experiences of continuity of care from student midwives – A qualitative study from Norway’, </w:t>
      </w:r>
      <w:r w:rsidRPr="003E7685">
        <w:rPr>
          <w:rFonts w:ascii="Arial" w:hAnsi="Arial" w:cs="Arial"/>
          <w:i/>
          <w:iCs/>
          <w:szCs w:val="22"/>
        </w:rPr>
        <w:t>Sexual &amp; Reproductive Healthcare</w:t>
      </w:r>
      <w:r w:rsidRPr="003E7685">
        <w:rPr>
          <w:rFonts w:ascii="Arial" w:hAnsi="Arial" w:cs="Arial"/>
          <w:szCs w:val="22"/>
        </w:rPr>
        <w:t>, 35(1), p. 100814. Available at: https://doi.org/10.1016/j.srhc.2023.100814.</w:t>
      </w:r>
    </w:p>
    <w:p w14:paraId="00745724"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Baldwin, H. </w:t>
      </w:r>
      <w:r w:rsidRPr="003E7685">
        <w:rPr>
          <w:rFonts w:ascii="Arial" w:hAnsi="Arial" w:cs="Arial"/>
          <w:i/>
          <w:iCs/>
          <w:szCs w:val="22"/>
        </w:rPr>
        <w:t>et al.</w:t>
      </w:r>
      <w:r w:rsidRPr="003E7685">
        <w:rPr>
          <w:rFonts w:ascii="Arial" w:hAnsi="Arial" w:cs="Arial"/>
          <w:szCs w:val="22"/>
        </w:rPr>
        <w:t xml:space="preserve"> (2025) ‘Targeted interventions to improve the social and economic circumstances of people with mental ill-health from marginalised communities: a systematic review’, </w:t>
      </w:r>
      <w:r w:rsidRPr="003E7685">
        <w:rPr>
          <w:rFonts w:ascii="Arial" w:hAnsi="Arial" w:cs="Arial"/>
          <w:i/>
          <w:iCs/>
          <w:szCs w:val="22"/>
        </w:rPr>
        <w:t>Psychological medicine</w:t>
      </w:r>
      <w:r w:rsidRPr="003E7685">
        <w:rPr>
          <w:rFonts w:ascii="Arial" w:hAnsi="Arial" w:cs="Arial"/>
          <w:szCs w:val="22"/>
        </w:rPr>
        <w:t>, 55, p. e217. Available at: https://doi.org/10.1017/S0033291725101128.</w:t>
      </w:r>
    </w:p>
    <w:p w14:paraId="0A3FB714"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Barden, E.P. </w:t>
      </w:r>
      <w:r w:rsidRPr="003E7685">
        <w:rPr>
          <w:rFonts w:ascii="Arial" w:hAnsi="Arial" w:cs="Arial"/>
          <w:i/>
          <w:iCs/>
          <w:szCs w:val="22"/>
        </w:rPr>
        <w:t>et al.</w:t>
      </w:r>
      <w:r w:rsidRPr="003E7685">
        <w:rPr>
          <w:rFonts w:ascii="Arial" w:hAnsi="Arial" w:cs="Arial"/>
          <w:szCs w:val="22"/>
        </w:rPr>
        <w:t xml:space="preserve"> (2025) ‘Partner support adequacy in the association between relationship distress and trauma disclosure avoidance.’, </w:t>
      </w:r>
      <w:r w:rsidRPr="003E7685">
        <w:rPr>
          <w:rFonts w:ascii="Arial" w:hAnsi="Arial" w:cs="Arial"/>
          <w:i/>
          <w:iCs/>
          <w:szCs w:val="22"/>
        </w:rPr>
        <w:t>Couple and Family Psychology Research and Practice</w:t>
      </w:r>
      <w:r w:rsidRPr="003E7685">
        <w:rPr>
          <w:rFonts w:ascii="Arial" w:hAnsi="Arial" w:cs="Arial"/>
          <w:szCs w:val="22"/>
        </w:rPr>
        <w:t xml:space="preserve"> [Preprint]. Available at: https://doi.org/10.1037/cfp0000289.</w:t>
      </w:r>
    </w:p>
    <w:p w14:paraId="495F3A2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Bayfield, H. (2022) </w:t>
      </w:r>
      <w:r w:rsidRPr="003E7685">
        <w:rPr>
          <w:rFonts w:ascii="Arial" w:hAnsi="Arial" w:cs="Arial"/>
          <w:i/>
          <w:iCs/>
          <w:szCs w:val="22"/>
        </w:rPr>
        <w:t>CLASS Cymru: Supporting care-experienced people into higher education in Wales – ExChange</w:t>
      </w:r>
      <w:r w:rsidRPr="003E7685">
        <w:rPr>
          <w:rFonts w:ascii="Arial" w:hAnsi="Arial" w:cs="Arial"/>
          <w:szCs w:val="22"/>
        </w:rPr>
        <w:t xml:space="preserve">, </w:t>
      </w:r>
      <w:r w:rsidRPr="003E7685">
        <w:rPr>
          <w:rFonts w:ascii="Arial" w:hAnsi="Arial" w:cs="Arial"/>
          <w:i/>
          <w:iCs/>
          <w:szCs w:val="22"/>
        </w:rPr>
        <w:t>Exchangewales.org</w:t>
      </w:r>
      <w:r w:rsidRPr="003E7685">
        <w:rPr>
          <w:rFonts w:ascii="Arial" w:hAnsi="Arial" w:cs="Arial"/>
          <w:szCs w:val="22"/>
        </w:rPr>
        <w:t>. Available at: https://www.exchangewales.org/class-cymru-supporting-care-experienced-people-into-higher-education-in-wales/ (Accessed: 11 January 2026).</w:t>
      </w:r>
    </w:p>
    <w:p w14:paraId="6547D9BA"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Bayfield, H. and Smith, L. (2024) ‘“The bridge between school and uni, that’s the bit that’s missing”: improving access to higher education for care-experienced students’, </w:t>
      </w:r>
      <w:r w:rsidRPr="003E7685">
        <w:rPr>
          <w:rFonts w:ascii="Arial" w:hAnsi="Arial" w:cs="Arial"/>
          <w:i/>
          <w:iCs/>
          <w:szCs w:val="22"/>
        </w:rPr>
        <w:t>Widening Participation and Lifelong Learning</w:t>
      </w:r>
      <w:r w:rsidRPr="003E7685">
        <w:rPr>
          <w:rFonts w:ascii="Arial" w:hAnsi="Arial" w:cs="Arial"/>
          <w:szCs w:val="22"/>
        </w:rPr>
        <w:t>, 26(1), pp. 191–200. Available at: https://doi.org/10.5456/wpll.26.1.191.</w:t>
      </w:r>
    </w:p>
    <w:p w14:paraId="1078A31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Bhatta, D. </w:t>
      </w:r>
      <w:r w:rsidRPr="003E7685">
        <w:rPr>
          <w:rFonts w:ascii="Arial" w:hAnsi="Arial" w:cs="Arial"/>
          <w:i/>
          <w:iCs/>
          <w:szCs w:val="22"/>
        </w:rPr>
        <w:t>et al.</w:t>
      </w:r>
      <w:r w:rsidRPr="003E7685">
        <w:rPr>
          <w:rFonts w:ascii="Arial" w:hAnsi="Arial" w:cs="Arial"/>
          <w:szCs w:val="22"/>
        </w:rPr>
        <w:t xml:space="preserve"> (2025) ‘Assessment of mental and physical health outcomes over time in an integrated care setting’, </w:t>
      </w:r>
      <w:r w:rsidRPr="003E7685">
        <w:rPr>
          <w:rFonts w:ascii="Arial" w:hAnsi="Arial" w:cs="Arial"/>
          <w:i/>
          <w:iCs/>
          <w:szCs w:val="22"/>
        </w:rPr>
        <w:t>BMC Primary Care</w:t>
      </w:r>
      <w:r w:rsidRPr="003E7685">
        <w:rPr>
          <w:rFonts w:ascii="Arial" w:hAnsi="Arial" w:cs="Arial"/>
          <w:szCs w:val="22"/>
        </w:rPr>
        <w:t>, 26(1). Available at: https://doi.org/10.1186/s12875-025-02876-0.</w:t>
      </w:r>
    </w:p>
    <w:p w14:paraId="7F15801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Blakeslee, J., Miller, R. and Uretsky, M. (2022) ‘Efficacy of the Project Futures self-determination coaching model for college students with foster care backgrounds and mental health challenges’, </w:t>
      </w:r>
      <w:r w:rsidRPr="003E7685">
        <w:rPr>
          <w:rFonts w:ascii="Arial" w:hAnsi="Arial" w:cs="Arial"/>
          <w:i/>
          <w:iCs/>
          <w:szCs w:val="22"/>
        </w:rPr>
        <w:t>Children and Youth Services Review</w:t>
      </w:r>
      <w:r w:rsidRPr="003E7685">
        <w:rPr>
          <w:rFonts w:ascii="Arial" w:hAnsi="Arial" w:cs="Arial"/>
          <w:szCs w:val="22"/>
        </w:rPr>
        <w:t>, 138, p. 106507. Available at: https://doi.org/10.1016/j.childyouth.2022.106507.</w:t>
      </w:r>
    </w:p>
    <w:p w14:paraId="76E10C2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Bogliacino, F. </w:t>
      </w:r>
      <w:r w:rsidRPr="003E7685">
        <w:rPr>
          <w:rFonts w:ascii="Arial" w:hAnsi="Arial" w:cs="Arial"/>
          <w:i/>
          <w:iCs/>
          <w:szCs w:val="22"/>
        </w:rPr>
        <w:t>et al.</w:t>
      </w:r>
      <w:r w:rsidRPr="003E7685">
        <w:rPr>
          <w:rFonts w:ascii="Arial" w:hAnsi="Arial" w:cs="Arial"/>
          <w:szCs w:val="22"/>
        </w:rPr>
        <w:t xml:space="preserve"> (2023) ‘The impact of labour market shocks on mental health: evidence from the Covid-19 first wave’, </w:t>
      </w:r>
      <w:r w:rsidRPr="003E7685">
        <w:rPr>
          <w:rFonts w:ascii="Arial" w:hAnsi="Arial" w:cs="Arial"/>
          <w:i/>
          <w:iCs/>
          <w:szCs w:val="22"/>
        </w:rPr>
        <w:t>Economia Politica</w:t>
      </w:r>
      <w:r w:rsidRPr="003E7685">
        <w:rPr>
          <w:rFonts w:ascii="Arial" w:hAnsi="Arial" w:cs="Arial"/>
          <w:szCs w:val="22"/>
        </w:rPr>
        <w:t>, 40(3), pp. 899–930. Available at: https://doi.org/10.1007/s40888-023-00304-z.</w:t>
      </w:r>
    </w:p>
    <w:p w14:paraId="329B83B1"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Bovey, M. </w:t>
      </w:r>
      <w:r w:rsidRPr="003E7685">
        <w:rPr>
          <w:rFonts w:ascii="Arial" w:hAnsi="Arial" w:cs="Arial"/>
          <w:i/>
          <w:iCs/>
          <w:szCs w:val="22"/>
        </w:rPr>
        <w:t>et al.</w:t>
      </w:r>
      <w:r w:rsidRPr="003E7685">
        <w:rPr>
          <w:rFonts w:ascii="Arial" w:hAnsi="Arial" w:cs="Arial"/>
          <w:szCs w:val="22"/>
        </w:rPr>
        <w:t xml:space="preserve"> (2025) ‘Trauma-related cultural concepts of distress: A systematic review of qualitative literature from the Middle East and North Africa, and Sub-Saharan Africa’, </w:t>
      </w:r>
      <w:r w:rsidRPr="003E7685">
        <w:rPr>
          <w:rFonts w:ascii="Arial" w:hAnsi="Arial" w:cs="Arial"/>
          <w:i/>
          <w:iCs/>
          <w:szCs w:val="22"/>
        </w:rPr>
        <w:t>SSM - Mental Health</w:t>
      </w:r>
      <w:r w:rsidRPr="003E7685">
        <w:rPr>
          <w:rFonts w:ascii="Arial" w:hAnsi="Arial" w:cs="Arial"/>
          <w:szCs w:val="22"/>
        </w:rPr>
        <w:t>, 7, p. 100402. Available at: https://doi.org/10.1016/j.ssmmh.2025.100402.</w:t>
      </w:r>
    </w:p>
    <w:p w14:paraId="1317E33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Braun, V. and Clarke, V. (2006) ‘Using Thematic Analysis in Psychology’, </w:t>
      </w:r>
      <w:r w:rsidRPr="003E7685">
        <w:rPr>
          <w:rFonts w:ascii="Arial" w:hAnsi="Arial" w:cs="Arial"/>
          <w:i/>
          <w:iCs/>
          <w:szCs w:val="22"/>
        </w:rPr>
        <w:t>Qualitative Research in Psychology</w:t>
      </w:r>
      <w:r w:rsidRPr="003E7685">
        <w:rPr>
          <w:rFonts w:ascii="Arial" w:hAnsi="Arial" w:cs="Arial"/>
          <w:szCs w:val="22"/>
        </w:rPr>
        <w:t>, 3(2), pp. 77–101. Available at: https://doi.org/10.1191/1478088706qp063oa.</w:t>
      </w:r>
    </w:p>
    <w:p w14:paraId="16745427"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Broglia, E. </w:t>
      </w:r>
      <w:r w:rsidRPr="003E7685">
        <w:rPr>
          <w:rFonts w:ascii="Arial" w:hAnsi="Arial" w:cs="Arial"/>
          <w:i/>
          <w:iCs/>
          <w:szCs w:val="22"/>
        </w:rPr>
        <w:t>et al.</w:t>
      </w:r>
      <w:r w:rsidRPr="003E7685">
        <w:rPr>
          <w:rFonts w:ascii="Arial" w:hAnsi="Arial" w:cs="Arial"/>
          <w:szCs w:val="22"/>
        </w:rPr>
        <w:t xml:space="preserve"> (2023) ‘What factors facilitate partnerships between higher education and local mental health services for students? A case study collective’, </w:t>
      </w:r>
      <w:r w:rsidRPr="003E7685">
        <w:rPr>
          <w:rFonts w:ascii="Arial" w:hAnsi="Arial" w:cs="Arial"/>
          <w:i/>
          <w:iCs/>
          <w:szCs w:val="22"/>
        </w:rPr>
        <w:t>BMJ Open</w:t>
      </w:r>
      <w:r w:rsidRPr="003E7685">
        <w:rPr>
          <w:rFonts w:ascii="Arial" w:hAnsi="Arial" w:cs="Arial"/>
          <w:szCs w:val="22"/>
        </w:rPr>
        <w:t>, 13(12), pp. e077040–e077040. Available at: https://doi.org/10.1136/bmjopen-2023-077040.</w:t>
      </w:r>
    </w:p>
    <w:p w14:paraId="07CD253A"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Bronfenbrenner, U. (1992) ‘Ecological Systems Theory’, </w:t>
      </w:r>
      <w:r w:rsidRPr="003E7685">
        <w:rPr>
          <w:rFonts w:ascii="Arial" w:hAnsi="Arial" w:cs="Arial"/>
          <w:i/>
          <w:iCs/>
          <w:szCs w:val="22"/>
        </w:rPr>
        <w:t xml:space="preserve">Making human beings human: Bioecological perspectives on human development </w:t>
      </w:r>
      <w:r w:rsidRPr="003E7685">
        <w:rPr>
          <w:rFonts w:ascii="Arial" w:hAnsi="Arial" w:cs="Arial"/>
          <w:szCs w:val="22"/>
        </w:rPr>
        <w:t>, pp. 106–173.</w:t>
      </w:r>
    </w:p>
    <w:p w14:paraId="6419D95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Campbell, F. </w:t>
      </w:r>
      <w:r w:rsidRPr="003E7685">
        <w:rPr>
          <w:rFonts w:ascii="Arial" w:hAnsi="Arial" w:cs="Arial"/>
          <w:i/>
          <w:iCs/>
          <w:szCs w:val="22"/>
        </w:rPr>
        <w:t>et al.</w:t>
      </w:r>
      <w:r w:rsidRPr="003E7685">
        <w:rPr>
          <w:rFonts w:ascii="Arial" w:hAnsi="Arial" w:cs="Arial"/>
          <w:szCs w:val="22"/>
        </w:rPr>
        <w:t xml:space="preserve"> (2022) ‘Factors That Influence Mental Health of University and College Students in the UK: A Systematic Review’, </w:t>
      </w:r>
      <w:r w:rsidRPr="003E7685">
        <w:rPr>
          <w:rFonts w:ascii="Arial" w:hAnsi="Arial" w:cs="Arial"/>
          <w:i/>
          <w:iCs/>
          <w:szCs w:val="22"/>
        </w:rPr>
        <w:t>BMC Public Health</w:t>
      </w:r>
      <w:r w:rsidRPr="003E7685">
        <w:rPr>
          <w:rFonts w:ascii="Arial" w:hAnsi="Arial" w:cs="Arial"/>
          <w:szCs w:val="22"/>
        </w:rPr>
        <w:t>, 22(1), p. 1778. Available at: https://doi.org/10.1186/s12889-022-13943-x.</w:t>
      </w:r>
    </w:p>
    <w:p w14:paraId="4EB4C6EF"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Collier, K.M. and Blanchard, M.R. (2024) ‘Graduate Student Resilience: Exploring Influential Success Factors in U.S. Graduate Education through Survey Analysis’, </w:t>
      </w:r>
      <w:r w:rsidRPr="003E7685">
        <w:rPr>
          <w:rFonts w:ascii="Arial" w:hAnsi="Arial" w:cs="Arial"/>
          <w:i/>
          <w:iCs/>
          <w:szCs w:val="22"/>
        </w:rPr>
        <w:t>Trends in Higher Education</w:t>
      </w:r>
      <w:r w:rsidRPr="003E7685">
        <w:rPr>
          <w:rFonts w:ascii="Arial" w:hAnsi="Arial" w:cs="Arial"/>
          <w:szCs w:val="22"/>
        </w:rPr>
        <w:t>, 3(3), pp. 637–680. Available at: https://doi.org/10.3390/higheredu3030037.</w:t>
      </w:r>
    </w:p>
    <w:p w14:paraId="0840AC3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Cotton, D.R., Nash, T. and Kneale, P. (2017) ‘Supporting the retention of non-traditional students in Higher Education using a resilience framework’, </w:t>
      </w:r>
      <w:r w:rsidRPr="003E7685">
        <w:rPr>
          <w:rFonts w:ascii="Arial" w:hAnsi="Arial" w:cs="Arial"/>
          <w:i/>
          <w:iCs/>
          <w:szCs w:val="22"/>
        </w:rPr>
        <w:t>European Educational Research Journal</w:t>
      </w:r>
      <w:r w:rsidRPr="003E7685">
        <w:rPr>
          <w:rFonts w:ascii="Arial" w:hAnsi="Arial" w:cs="Arial"/>
          <w:szCs w:val="22"/>
        </w:rPr>
        <w:t>, 16(1), pp. 62–79. Available at: https://doi.org/10.1177/1474904116652629.</w:t>
      </w:r>
    </w:p>
    <w:p w14:paraId="341BC1AD"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Czeisler, M. </w:t>
      </w:r>
      <w:r w:rsidRPr="003E7685">
        <w:rPr>
          <w:rFonts w:ascii="Arial" w:hAnsi="Arial" w:cs="Arial"/>
          <w:i/>
          <w:iCs/>
          <w:szCs w:val="22"/>
        </w:rPr>
        <w:t>et al.</w:t>
      </w:r>
      <w:r w:rsidRPr="003E7685">
        <w:rPr>
          <w:rFonts w:ascii="Arial" w:hAnsi="Arial" w:cs="Arial"/>
          <w:szCs w:val="22"/>
        </w:rPr>
        <w:t xml:space="preserve"> (2021) ‘Uncovering Survivorship Bias in Longitudinal Mental Health Surveys During the COVID-19 Pandemic’, </w:t>
      </w:r>
      <w:r w:rsidRPr="003E7685">
        <w:rPr>
          <w:rFonts w:ascii="Arial" w:hAnsi="Arial" w:cs="Arial"/>
          <w:i/>
          <w:iCs/>
          <w:szCs w:val="22"/>
        </w:rPr>
        <w:t>Epidemiology and Psychiatric Sciences</w:t>
      </w:r>
      <w:r w:rsidRPr="003E7685">
        <w:rPr>
          <w:rFonts w:ascii="Arial" w:hAnsi="Arial" w:cs="Arial"/>
          <w:szCs w:val="22"/>
        </w:rPr>
        <w:t>, 30, pp. 1–26. Available at: https://doi.org/10.1017/s204579602100038x.</w:t>
      </w:r>
    </w:p>
    <w:p w14:paraId="27E1E1D1"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Dannefer, D. (2003) ‘Cumulative Advantage/Disadvantage and the Life Course: Cross-Fertilizing Age and Social Science Theory’, </w:t>
      </w:r>
      <w:r w:rsidRPr="003E7685">
        <w:rPr>
          <w:rFonts w:ascii="Arial" w:hAnsi="Arial" w:cs="Arial"/>
          <w:i/>
          <w:iCs/>
          <w:szCs w:val="22"/>
        </w:rPr>
        <w:t>The Journals of Gerontology Series B: Psychological Sciences and Social Sciences</w:t>
      </w:r>
      <w:r w:rsidRPr="003E7685">
        <w:rPr>
          <w:rFonts w:ascii="Arial" w:hAnsi="Arial" w:cs="Arial"/>
          <w:szCs w:val="22"/>
        </w:rPr>
        <w:t>, 58(6), pp. 327–337. Available at: https://doi.org/10.1093/geronb/58.6.s327.</w:t>
      </w:r>
    </w:p>
    <w:p w14:paraId="1FA0CBD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De Zilva, S. </w:t>
      </w:r>
      <w:r w:rsidRPr="003E7685">
        <w:rPr>
          <w:rFonts w:ascii="Arial" w:hAnsi="Arial" w:cs="Arial"/>
          <w:i/>
          <w:iCs/>
          <w:szCs w:val="22"/>
        </w:rPr>
        <w:t>et al.</w:t>
      </w:r>
      <w:r w:rsidRPr="003E7685">
        <w:rPr>
          <w:rFonts w:ascii="Arial" w:hAnsi="Arial" w:cs="Arial"/>
          <w:szCs w:val="22"/>
        </w:rPr>
        <w:t xml:space="preserve"> (2021) ‘Culturally safe health care practice for indigenous peoples in australia: A systematic meta-ethnographic review’, </w:t>
      </w:r>
      <w:r w:rsidRPr="003E7685">
        <w:rPr>
          <w:rFonts w:ascii="Arial" w:hAnsi="Arial" w:cs="Arial"/>
          <w:i/>
          <w:iCs/>
          <w:szCs w:val="22"/>
        </w:rPr>
        <w:t>Journal of Health Services Research &amp; Policy</w:t>
      </w:r>
      <w:r w:rsidRPr="003E7685">
        <w:rPr>
          <w:rFonts w:ascii="Arial" w:hAnsi="Arial" w:cs="Arial"/>
          <w:szCs w:val="22"/>
        </w:rPr>
        <w:t>, 27(1), pp. 74–84. Available at: https://doi.org/10.1177/13558196211041835.</w:t>
      </w:r>
    </w:p>
    <w:p w14:paraId="76B8EAC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Department of Health (2011) </w:t>
      </w:r>
      <w:r w:rsidRPr="003E7685">
        <w:rPr>
          <w:rFonts w:ascii="Arial" w:hAnsi="Arial" w:cs="Arial"/>
          <w:i/>
          <w:iCs/>
          <w:szCs w:val="22"/>
        </w:rPr>
        <w:t>Children (Leaving Care) Act 2000 - Explanatory Notes</w:t>
      </w:r>
      <w:r w:rsidRPr="003E7685">
        <w:rPr>
          <w:rFonts w:ascii="Arial" w:hAnsi="Arial" w:cs="Arial"/>
          <w:szCs w:val="22"/>
        </w:rPr>
        <w:t xml:space="preserve">, </w:t>
      </w:r>
      <w:r w:rsidRPr="003E7685">
        <w:rPr>
          <w:rFonts w:ascii="Arial" w:hAnsi="Arial" w:cs="Arial"/>
          <w:i/>
          <w:iCs/>
          <w:szCs w:val="22"/>
        </w:rPr>
        <w:t>Legislation.gov.uk</w:t>
      </w:r>
      <w:r w:rsidRPr="003E7685">
        <w:rPr>
          <w:rFonts w:ascii="Arial" w:hAnsi="Arial" w:cs="Arial"/>
          <w:szCs w:val="22"/>
        </w:rPr>
        <w:t>. Available at: https://www.legislation.gov.uk/ukpga/2000/35/notes/division/2 (Accessed: 28 October 2025).</w:t>
      </w:r>
    </w:p>
    <w:p w14:paraId="2F1458F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Ellis, K. and Johnston, C. (2022) ‘Resilience, higher education and widening participation: generating change for care experienced students’, </w:t>
      </w:r>
      <w:r w:rsidRPr="003E7685">
        <w:rPr>
          <w:rFonts w:ascii="Arial" w:hAnsi="Arial" w:cs="Arial"/>
          <w:i/>
          <w:iCs/>
          <w:szCs w:val="22"/>
        </w:rPr>
        <w:t>Higher Education</w:t>
      </w:r>
      <w:r w:rsidRPr="003E7685">
        <w:rPr>
          <w:rFonts w:ascii="Arial" w:hAnsi="Arial" w:cs="Arial"/>
          <w:szCs w:val="22"/>
        </w:rPr>
        <w:t>, 87. Available at: https://doi.org/10.1007/s10734-022-00985-8.</w:t>
      </w:r>
    </w:p>
    <w:p w14:paraId="3AA5F93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Ellis, K. and Johnston, C. (2024) ‘Care and education: instability, stigma and the responsibilisation of educational achievement’, </w:t>
      </w:r>
      <w:r w:rsidRPr="003E7685">
        <w:rPr>
          <w:rFonts w:ascii="Arial" w:hAnsi="Arial" w:cs="Arial"/>
          <w:i/>
          <w:iCs/>
          <w:szCs w:val="22"/>
        </w:rPr>
        <w:t>Children and Youth Services Review</w:t>
      </w:r>
      <w:r w:rsidRPr="003E7685">
        <w:rPr>
          <w:rFonts w:ascii="Arial" w:hAnsi="Arial" w:cs="Arial"/>
          <w:szCs w:val="22"/>
        </w:rPr>
        <w:t>, 156, pp. 107319–107319. Available at: https://doi.org/10.1016/j.childyouth.2023.107319.</w:t>
      </w:r>
    </w:p>
    <w:p w14:paraId="0C57562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Ellis, K. and Sen, R. (2024) ‘Meeting the challenges of participation? Care experienced people’s involvement in social work practice and policy development’, </w:t>
      </w:r>
      <w:r w:rsidRPr="003E7685">
        <w:rPr>
          <w:rFonts w:ascii="Arial" w:hAnsi="Arial" w:cs="Arial"/>
          <w:i/>
          <w:iCs/>
          <w:szCs w:val="22"/>
        </w:rPr>
        <w:t>European Journal of Social Work</w:t>
      </w:r>
      <w:r w:rsidRPr="003E7685">
        <w:rPr>
          <w:rFonts w:ascii="Arial" w:hAnsi="Arial" w:cs="Arial"/>
          <w:szCs w:val="22"/>
        </w:rPr>
        <w:t>, 28(4), pp. 769–781. Available at: https://doi.org/10.1080/13691457.2024.2418874.</w:t>
      </w:r>
    </w:p>
    <w:p w14:paraId="0D90EA77"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Evans, R. </w:t>
      </w:r>
      <w:r w:rsidRPr="003E7685">
        <w:rPr>
          <w:rFonts w:ascii="Arial" w:hAnsi="Arial" w:cs="Arial"/>
          <w:i/>
          <w:iCs/>
          <w:szCs w:val="22"/>
        </w:rPr>
        <w:t>et al.</w:t>
      </w:r>
      <w:r w:rsidRPr="003E7685">
        <w:rPr>
          <w:rFonts w:ascii="Arial" w:hAnsi="Arial" w:cs="Arial"/>
          <w:szCs w:val="22"/>
        </w:rPr>
        <w:t xml:space="preserve"> (2023) ‘Interventions targeting the mental health and wellbeing of care-experienced children and young people in higher-income countries: Evidence map and systematic review’, </w:t>
      </w:r>
      <w:r w:rsidRPr="003E7685">
        <w:rPr>
          <w:rFonts w:ascii="Arial" w:hAnsi="Arial" w:cs="Arial"/>
          <w:i/>
          <w:iCs/>
          <w:szCs w:val="22"/>
        </w:rPr>
        <w:t>BMC</w:t>
      </w:r>
      <w:r w:rsidRPr="003E7685">
        <w:rPr>
          <w:rFonts w:ascii="Arial" w:hAnsi="Arial" w:cs="Arial"/>
          <w:szCs w:val="22"/>
        </w:rPr>
        <w:t>, 12(1). Available at: https://doi.org/10.1186/s13643-023-02260-y.</w:t>
      </w:r>
    </w:p>
    <w:p w14:paraId="0B7F97F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Fana, T.E. and Goudge, J. (2024) ‘Managing under austerity: a qualitative study of management–union relations during attempts to cut labour costs in three South African public hospitals’, </w:t>
      </w:r>
      <w:r w:rsidRPr="003E7685">
        <w:rPr>
          <w:rFonts w:ascii="Arial" w:hAnsi="Arial" w:cs="Arial"/>
          <w:i/>
          <w:iCs/>
          <w:szCs w:val="22"/>
        </w:rPr>
        <w:t>Journal of Health Organization and Management</w:t>
      </w:r>
      <w:r w:rsidRPr="003E7685">
        <w:rPr>
          <w:rFonts w:ascii="Arial" w:hAnsi="Arial" w:cs="Arial"/>
          <w:szCs w:val="22"/>
        </w:rPr>
        <w:t>, 38(9), pp. 89–105. Available at: https://doi.org/10.1108/jhom-11-2022-0324.</w:t>
      </w:r>
    </w:p>
    <w:p w14:paraId="38F5DC8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Ferraro, K.F. and Kelley-Moore, J.A. (2003) ‘Cumulative Disadvantage and Health: Long-Term Consequences of Obesity?’, </w:t>
      </w:r>
      <w:r w:rsidRPr="003E7685">
        <w:rPr>
          <w:rFonts w:ascii="Arial" w:hAnsi="Arial" w:cs="Arial"/>
          <w:i/>
          <w:iCs/>
          <w:szCs w:val="22"/>
        </w:rPr>
        <w:t>American sociological review</w:t>
      </w:r>
      <w:r w:rsidRPr="003E7685">
        <w:rPr>
          <w:rFonts w:ascii="Arial" w:hAnsi="Arial" w:cs="Arial"/>
          <w:szCs w:val="22"/>
        </w:rPr>
        <w:t>, 68(5), p. 707.</w:t>
      </w:r>
    </w:p>
    <w:p w14:paraId="4B1A4CA2"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Gale, J. and Thalitaya, M.D. (2015) ‘Mental Health Support Service for University Students’, </w:t>
      </w:r>
      <w:r w:rsidRPr="003E7685">
        <w:rPr>
          <w:rFonts w:ascii="Arial" w:hAnsi="Arial" w:cs="Arial"/>
          <w:i/>
          <w:iCs/>
          <w:szCs w:val="22"/>
        </w:rPr>
        <w:t>Psychiatria Danubina</w:t>
      </w:r>
      <w:r w:rsidRPr="003E7685">
        <w:rPr>
          <w:rFonts w:ascii="Arial" w:hAnsi="Arial" w:cs="Arial"/>
          <w:szCs w:val="22"/>
        </w:rPr>
        <w:t>, 27 Suppl 1, pp. S115-9.</w:t>
      </w:r>
    </w:p>
    <w:p w14:paraId="4AFACD0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Gazeley, L. and Hinton-Smith, T. (2018) ‘The “success” of Looked After Children in Higher Education in England: near peer coaching, “small steps” and future thinking’, </w:t>
      </w:r>
      <w:r w:rsidRPr="003E7685">
        <w:rPr>
          <w:rFonts w:ascii="Arial" w:hAnsi="Arial" w:cs="Arial"/>
          <w:i/>
          <w:iCs/>
          <w:szCs w:val="22"/>
        </w:rPr>
        <w:t>Higher Education Research &amp; Development</w:t>
      </w:r>
      <w:r w:rsidRPr="003E7685">
        <w:rPr>
          <w:rFonts w:ascii="Arial" w:hAnsi="Arial" w:cs="Arial"/>
          <w:szCs w:val="22"/>
        </w:rPr>
        <w:t>, 37(5), pp. 952–965. Available at: https://doi.org/10.1080/07294360.2018.1467384.</w:t>
      </w:r>
    </w:p>
    <w:p w14:paraId="129847C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Gilligan, R., Brady, E. and Arnau-Sabatés, L. (2025) ‘The educational and work progress of care experienced adults: The potential contribution of birth family adults over time’, </w:t>
      </w:r>
      <w:r w:rsidRPr="003E7685">
        <w:rPr>
          <w:rFonts w:ascii="Arial" w:hAnsi="Arial" w:cs="Arial"/>
          <w:i/>
          <w:iCs/>
          <w:szCs w:val="22"/>
        </w:rPr>
        <w:t>Children and Youth Services Review</w:t>
      </w:r>
      <w:r w:rsidRPr="003E7685">
        <w:rPr>
          <w:rFonts w:ascii="Arial" w:hAnsi="Arial" w:cs="Arial"/>
          <w:szCs w:val="22"/>
        </w:rPr>
        <w:t>, 172, p. 108277. Available at: https://doi.org/10.1016/j.childyouth.2025.108277.</w:t>
      </w:r>
    </w:p>
    <w:p w14:paraId="77068D02"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Goldner, L. and Ben-Eliyahu, A. (2021) ‘Unpacking Community-Based Youth Mentoring Relationships: An Integrative Review’, </w:t>
      </w:r>
      <w:r w:rsidRPr="003E7685">
        <w:rPr>
          <w:rFonts w:ascii="Arial" w:hAnsi="Arial" w:cs="Arial"/>
          <w:i/>
          <w:iCs/>
          <w:szCs w:val="22"/>
        </w:rPr>
        <w:t>International Journal of Environmental Research and Public Health</w:t>
      </w:r>
      <w:r w:rsidRPr="003E7685">
        <w:rPr>
          <w:rFonts w:ascii="Arial" w:hAnsi="Arial" w:cs="Arial"/>
          <w:szCs w:val="22"/>
        </w:rPr>
        <w:t>, 18(11), p. 5666. Available at: https://doi.org/10.3390/ijerph18115666.</w:t>
      </w:r>
    </w:p>
    <w:p w14:paraId="515C7F42"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Gov UK (2018) </w:t>
      </w:r>
      <w:r w:rsidRPr="003E7685">
        <w:rPr>
          <w:rFonts w:ascii="Arial" w:hAnsi="Arial" w:cs="Arial"/>
          <w:i/>
          <w:iCs/>
          <w:szCs w:val="22"/>
        </w:rPr>
        <w:t xml:space="preserve">Extending Personal Adviser support to all care leavers to age 25 Statutory guidance for local authorities </w:t>
      </w:r>
      <w:r w:rsidRPr="003E7685">
        <w:rPr>
          <w:rFonts w:ascii="Arial" w:hAnsi="Arial" w:cs="Arial"/>
          <w:szCs w:val="22"/>
        </w:rPr>
        <w:t>. Available at: https://assets.publishing.service.gov.uk/media/5a93ebb940f0b67aa5087986/Extending_Personal_Adviser_support_to_all_care_leavers_to_age_25.pdf (Accessed: 11 January 2026).</w:t>
      </w:r>
    </w:p>
    <w:p w14:paraId="648AF8A4"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Greve, B. </w:t>
      </w:r>
      <w:r w:rsidRPr="003E7685">
        <w:rPr>
          <w:rFonts w:ascii="Arial" w:hAnsi="Arial" w:cs="Arial"/>
          <w:i/>
          <w:iCs/>
          <w:szCs w:val="22"/>
        </w:rPr>
        <w:t>et al.</w:t>
      </w:r>
      <w:r w:rsidRPr="003E7685">
        <w:rPr>
          <w:rFonts w:ascii="Arial" w:hAnsi="Arial" w:cs="Arial"/>
          <w:szCs w:val="22"/>
        </w:rPr>
        <w:t xml:space="preserve"> (2020) ‘Nordic welfare states—still standing or changed by the COVID </w:t>
      </w:r>
      <w:r w:rsidRPr="003E7685">
        <w:rPr>
          <w:rFonts w:ascii="Cambria Math" w:hAnsi="Cambria Math" w:cs="Cambria Math"/>
          <w:szCs w:val="22"/>
        </w:rPr>
        <w:t>‐</w:t>
      </w:r>
      <w:r w:rsidRPr="003E7685">
        <w:rPr>
          <w:rFonts w:ascii="Arial" w:hAnsi="Arial" w:cs="Arial"/>
          <w:szCs w:val="22"/>
        </w:rPr>
        <w:t xml:space="preserve">19 crisis?’, </w:t>
      </w:r>
      <w:r w:rsidRPr="003E7685">
        <w:rPr>
          <w:rFonts w:ascii="Arial" w:hAnsi="Arial" w:cs="Arial"/>
          <w:i/>
          <w:iCs/>
          <w:szCs w:val="22"/>
        </w:rPr>
        <w:t>Social Policy &amp; Administration</w:t>
      </w:r>
      <w:r w:rsidRPr="003E7685">
        <w:rPr>
          <w:rFonts w:ascii="Arial" w:hAnsi="Arial" w:cs="Arial"/>
          <w:szCs w:val="22"/>
        </w:rPr>
        <w:t>, 55(2). Available at: https://doi.org/10.1111/spol.12675.</w:t>
      </w:r>
    </w:p>
    <w:p w14:paraId="42719A7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Grummitt, L. </w:t>
      </w:r>
      <w:r w:rsidRPr="003E7685">
        <w:rPr>
          <w:rFonts w:ascii="Arial" w:hAnsi="Arial" w:cs="Arial"/>
          <w:i/>
          <w:iCs/>
          <w:szCs w:val="22"/>
        </w:rPr>
        <w:t>et al.</w:t>
      </w:r>
      <w:r w:rsidRPr="003E7685">
        <w:rPr>
          <w:rFonts w:ascii="Arial" w:hAnsi="Arial" w:cs="Arial"/>
          <w:szCs w:val="22"/>
        </w:rPr>
        <w:t xml:space="preserve"> (2024) ‘Refining the Universal, School-Based OurFutures Mental Health Program to Be Trauma Informed, Gender and Sexuality Diversity Affirmative, and Adherent to Proportionate Universalism: Mixed Methods Participatory Design Process.’, </w:t>
      </w:r>
      <w:r w:rsidRPr="003E7685">
        <w:rPr>
          <w:rFonts w:ascii="Arial" w:hAnsi="Arial" w:cs="Arial"/>
          <w:i/>
          <w:iCs/>
          <w:szCs w:val="22"/>
        </w:rPr>
        <w:t>PubMed</w:t>
      </w:r>
      <w:r w:rsidRPr="003E7685">
        <w:rPr>
          <w:rFonts w:ascii="Arial" w:hAnsi="Arial" w:cs="Arial"/>
          <w:szCs w:val="22"/>
        </w:rPr>
        <w:t>, 7, pp. e54637–e54637. Available at: https://doi.org/10.2196/54637.</w:t>
      </w:r>
    </w:p>
    <w:p w14:paraId="1B3FE734"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Gusenbauer, M. and Haddaway, N.R. (2020) ‘Which Academic Search Systems Are Suitable for Systematic Reviews or meta</w:t>
      </w:r>
      <w:r w:rsidRPr="003E7685">
        <w:rPr>
          <w:rFonts w:ascii="Cambria Math" w:hAnsi="Cambria Math" w:cs="Cambria Math"/>
          <w:szCs w:val="22"/>
        </w:rPr>
        <w:t>‐</w:t>
      </w:r>
      <w:r w:rsidRPr="003E7685">
        <w:rPr>
          <w:rFonts w:ascii="Arial" w:hAnsi="Arial" w:cs="Arial"/>
          <w:szCs w:val="22"/>
        </w:rPr>
        <w:t xml:space="preserve">analyses? Evaluating Retrieval Qualities of Google Scholar, PubMed, and 26 Other Resources’, </w:t>
      </w:r>
      <w:r w:rsidRPr="003E7685">
        <w:rPr>
          <w:rFonts w:ascii="Arial" w:hAnsi="Arial" w:cs="Arial"/>
          <w:i/>
          <w:iCs/>
          <w:szCs w:val="22"/>
        </w:rPr>
        <w:t>Research Synthesis Methods</w:t>
      </w:r>
      <w:r w:rsidRPr="003E7685">
        <w:rPr>
          <w:rFonts w:ascii="Arial" w:hAnsi="Arial" w:cs="Arial"/>
          <w:szCs w:val="22"/>
        </w:rPr>
        <w:t>, 11(2), pp. 181–217. Available at: https://doi.org/10.1002/jrsm.1378.</w:t>
      </w:r>
    </w:p>
    <w:p w14:paraId="7D95882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Guy-Evans, O. (2025) </w:t>
      </w:r>
      <w:r w:rsidRPr="003E7685">
        <w:rPr>
          <w:rFonts w:ascii="Arial" w:hAnsi="Arial" w:cs="Arial"/>
          <w:i/>
          <w:iCs/>
          <w:szCs w:val="22"/>
        </w:rPr>
        <w:t>Bronfenbrenner’s Ecological Systems Theory</w:t>
      </w:r>
      <w:r w:rsidRPr="003E7685">
        <w:rPr>
          <w:rFonts w:ascii="Arial" w:hAnsi="Arial" w:cs="Arial"/>
          <w:szCs w:val="22"/>
        </w:rPr>
        <w:t xml:space="preserve">, </w:t>
      </w:r>
      <w:r w:rsidRPr="003E7685">
        <w:rPr>
          <w:rFonts w:ascii="Arial" w:hAnsi="Arial" w:cs="Arial"/>
          <w:i/>
          <w:iCs/>
          <w:szCs w:val="22"/>
        </w:rPr>
        <w:t>Simply Psychology</w:t>
      </w:r>
      <w:r w:rsidRPr="003E7685">
        <w:rPr>
          <w:rFonts w:ascii="Arial" w:hAnsi="Arial" w:cs="Arial"/>
          <w:szCs w:val="22"/>
        </w:rPr>
        <w:t>. Available at: https://www.simplypsychology.org/Bronfenbrenner.html (Accessed: 8 January 2026).</w:t>
      </w:r>
    </w:p>
    <w:p w14:paraId="6C9577AA"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Hambrick, E.P. </w:t>
      </w:r>
      <w:r w:rsidRPr="003E7685">
        <w:rPr>
          <w:rFonts w:ascii="Arial" w:hAnsi="Arial" w:cs="Arial"/>
          <w:i/>
          <w:iCs/>
          <w:szCs w:val="22"/>
        </w:rPr>
        <w:t>et al.</w:t>
      </w:r>
      <w:r w:rsidRPr="003E7685">
        <w:rPr>
          <w:rFonts w:ascii="Arial" w:hAnsi="Arial" w:cs="Arial"/>
          <w:szCs w:val="22"/>
        </w:rPr>
        <w:t xml:space="preserve"> (2016) ‘Mental health interventions for children in foster care: A systematic review’, </w:t>
      </w:r>
      <w:r w:rsidRPr="003E7685">
        <w:rPr>
          <w:rFonts w:ascii="Arial" w:hAnsi="Arial" w:cs="Arial"/>
          <w:i/>
          <w:iCs/>
          <w:szCs w:val="22"/>
        </w:rPr>
        <w:t>Children and Youth Services Review</w:t>
      </w:r>
      <w:r w:rsidRPr="003E7685">
        <w:rPr>
          <w:rFonts w:ascii="Arial" w:hAnsi="Arial" w:cs="Arial"/>
          <w:szCs w:val="22"/>
        </w:rPr>
        <w:t>, 70, pp. 65–77. Available at: https://doi.org/10.1016/j.childyouth.2016.09.002.</w:t>
      </w:r>
    </w:p>
    <w:p w14:paraId="3D1CAED1"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Harrison, N. (2019) ‘Patterns of participation in higher education for care-experienced students in England: why has there not been more progress?’, </w:t>
      </w:r>
      <w:r w:rsidRPr="003E7685">
        <w:rPr>
          <w:rFonts w:ascii="Arial" w:hAnsi="Arial" w:cs="Arial"/>
          <w:i/>
          <w:iCs/>
          <w:szCs w:val="22"/>
        </w:rPr>
        <w:t>Studies in Higher Education</w:t>
      </w:r>
      <w:r w:rsidRPr="003E7685">
        <w:rPr>
          <w:rFonts w:ascii="Arial" w:hAnsi="Arial" w:cs="Arial"/>
          <w:szCs w:val="22"/>
        </w:rPr>
        <w:t>, 45(9), pp. 1986–2000. Available at: https://doi.org/10.1080/03075079.2019.1582014.</w:t>
      </w:r>
    </w:p>
    <w:p w14:paraId="106B5DB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Harrison, N. </w:t>
      </w:r>
      <w:r w:rsidRPr="003E7685">
        <w:rPr>
          <w:rFonts w:ascii="Arial" w:hAnsi="Arial" w:cs="Arial"/>
          <w:i/>
          <w:iCs/>
          <w:szCs w:val="22"/>
        </w:rPr>
        <w:t>et al.</w:t>
      </w:r>
      <w:r w:rsidRPr="003E7685">
        <w:rPr>
          <w:rFonts w:ascii="Arial" w:hAnsi="Arial" w:cs="Arial"/>
          <w:szCs w:val="22"/>
        </w:rPr>
        <w:t xml:space="preserve"> (2023) ‘A praxis-based perspective on supporting care-experienced students to thrive in higher education using the capabilities approach’, </w:t>
      </w:r>
      <w:r w:rsidRPr="003E7685">
        <w:rPr>
          <w:rFonts w:ascii="Arial" w:hAnsi="Arial" w:cs="Arial"/>
          <w:i/>
          <w:iCs/>
          <w:szCs w:val="22"/>
        </w:rPr>
        <w:t>European Journal of Higher Education</w:t>
      </w:r>
      <w:r w:rsidRPr="003E7685">
        <w:rPr>
          <w:rFonts w:ascii="Arial" w:hAnsi="Arial" w:cs="Arial"/>
          <w:szCs w:val="22"/>
        </w:rPr>
        <w:t>, 14(4), pp. 601–620. Available at: https://doi.org/10.1080/21568235.2023.2247191.</w:t>
      </w:r>
    </w:p>
    <w:p w14:paraId="01F734DD"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Heaton, L. </w:t>
      </w:r>
      <w:r w:rsidRPr="003E7685">
        <w:rPr>
          <w:rFonts w:ascii="Arial" w:hAnsi="Arial" w:cs="Arial"/>
          <w:i/>
          <w:iCs/>
          <w:szCs w:val="22"/>
        </w:rPr>
        <w:t>et al.</w:t>
      </w:r>
      <w:r w:rsidRPr="003E7685">
        <w:rPr>
          <w:rFonts w:ascii="Arial" w:hAnsi="Arial" w:cs="Arial"/>
          <w:szCs w:val="22"/>
        </w:rPr>
        <w:t xml:space="preserve"> (2025) ‘The Effects of Socioeconomic Contextual Factors on Racial Differences in Foster Care Placement Stability’, </w:t>
      </w:r>
      <w:r w:rsidRPr="003E7685">
        <w:rPr>
          <w:rFonts w:ascii="Arial" w:hAnsi="Arial" w:cs="Arial"/>
          <w:i/>
          <w:iCs/>
          <w:szCs w:val="22"/>
        </w:rPr>
        <w:t>International Journal of Environmental Research and Public Health</w:t>
      </w:r>
      <w:r w:rsidRPr="003E7685">
        <w:rPr>
          <w:rFonts w:ascii="Arial" w:hAnsi="Arial" w:cs="Arial"/>
          <w:szCs w:val="22"/>
        </w:rPr>
        <w:t>, 22(8), pp. 1274–1274. Available at: https://doi.org/10.3390/ijerph22081274.</w:t>
      </w:r>
    </w:p>
    <w:p w14:paraId="03B3ADA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HM Government (2007) </w:t>
      </w:r>
      <w:r w:rsidRPr="003E7685">
        <w:rPr>
          <w:rFonts w:ascii="Arial" w:hAnsi="Arial" w:cs="Arial"/>
          <w:i/>
          <w:iCs/>
          <w:szCs w:val="22"/>
        </w:rPr>
        <w:t>Care Matters: Transforming the Lives of Children and Young People in Care Creating Opportunity Releasing Potential Achieving Excellence</w:t>
      </w:r>
      <w:r w:rsidRPr="003E7685">
        <w:rPr>
          <w:rFonts w:ascii="Arial" w:hAnsi="Arial" w:cs="Arial"/>
          <w:szCs w:val="22"/>
        </w:rPr>
        <w:t>. Available at: https://assets.publishing.service.gov.uk/media/5a7e51d9e5274a2e8ab4740d/Care_Matters_Transforming_the_Lives_of_Children_and_Young_People_in_Care.pdf (Accessed: 11 January 2026).</w:t>
      </w:r>
    </w:p>
    <w:p w14:paraId="1F1A597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Hussain, M.H. and Zaini, N.A.B. (2025) ‘Understanding mental health literacy, stigma, and help-seeking attitudes among university students in the Maldives: a mediation analysis’, </w:t>
      </w:r>
      <w:r w:rsidRPr="003E7685">
        <w:rPr>
          <w:rFonts w:ascii="Arial" w:hAnsi="Arial" w:cs="Arial"/>
          <w:i/>
          <w:iCs/>
          <w:szCs w:val="22"/>
        </w:rPr>
        <w:t>BMC Psychology</w:t>
      </w:r>
      <w:r w:rsidRPr="003E7685">
        <w:rPr>
          <w:rFonts w:ascii="Arial" w:hAnsi="Arial" w:cs="Arial"/>
          <w:szCs w:val="22"/>
        </w:rPr>
        <w:t>, 13(1). Available at: https://doi.org/10.1186/s40359-025-03468-4.</w:t>
      </w:r>
    </w:p>
    <w:p w14:paraId="50E7A4C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Jackson, D., Dean, B.A. and Eady, M. (2023) ‘Equity and inclusion in work-integrated learning: participation and outcomes for diverse student groups’, </w:t>
      </w:r>
      <w:r w:rsidRPr="003E7685">
        <w:rPr>
          <w:rFonts w:ascii="Arial" w:hAnsi="Arial" w:cs="Arial"/>
          <w:i/>
          <w:iCs/>
          <w:szCs w:val="22"/>
        </w:rPr>
        <w:t>Educational Review</w:t>
      </w:r>
      <w:r w:rsidRPr="003E7685">
        <w:rPr>
          <w:rFonts w:ascii="Arial" w:hAnsi="Arial" w:cs="Arial"/>
          <w:szCs w:val="22"/>
        </w:rPr>
        <w:t>, 77(2), pp. 1–22. Available at: https://doi.org/10.1080/00131911.2023.2182764.</w:t>
      </w:r>
    </w:p>
    <w:p w14:paraId="61A994CD"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Kaasinen, M., Terkamo-Moisio, A. and Häggman-Laitila, A. (2024) ‘The social inclusion of care leavers during their transitioning to independent life from aftercare services – A mixed method, retrospective document analysis’, </w:t>
      </w:r>
      <w:r w:rsidRPr="003E7685">
        <w:rPr>
          <w:rFonts w:ascii="Arial" w:hAnsi="Arial" w:cs="Arial"/>
          <w:i/>
          <w:iCs/>
          <w:szCs w:val="22"/>
        </w:rPr>
        <w:t>Journal of Pediatric Nursing</w:t>
      </w:r>
      <w:r w:rsidRPr="003E7685">
        <w:rPr>
          <w:rFonts w:ascii="Arial" w:hAnsi="Arial" w:cs="Arial"/>
          <w:szCs w:val="22"/>
        </w:rPr>
        <w:t>, 80, pp. 64–74. Available at: https://doi.org/10.1016/j.pedn.2024.11.010.</w:t>
      </w:r>
    </w:p>
    <w:p w14:paraId="41BE57E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KCL (2025) </w:t>
      </w:r>
      <w:r w:rsidRPr="003E7685">
        <w:rPr>
          <w:rFonts w:ascii="Arial" w:hAnsi="Arial" w:cs="Arial"/>
          <w:i/>
          <w:iCs/>
          <w:szCs w:val="22"/>
        </w:rPr>
        <w:t>Partnerships | About | King’s College London</w:t>
      </w:r>
      <w:r w:rsidRPr="003E7685">
        <w:rPr>
          <w:rFonts w:ascii="Arial" w:hAnsi="Arial" w:cs="Arial"/>
          <w:szCs w:val="22"/>
        </w:rPr>
        <w:t xml:space="preserve">, </w:t>
      </w:r>
      <w:r w:rsidRPr="003E7685">
        <w:rPr>
          <w:rFonts w:ascii="Arial" w:hAnsi="Arial" w:cs="Arial"/>
          <w:i/>
          <w:iCs/>
          <w:szCs w:val="22"/>
        </w:rPr>
        <w:t>www.kcl.ac.uk</w:t>
      </w:r>
      <w:r w:rsidRPr="003E7685">
        <w:rPr>
          <w:rFonts w:ascii="Arial" w:hAnsi="Arial" w:cs="Arial"/>
          <w:szCs w:val="22"/>
        </w:rPr>
        <w:t>. Available at: https://www.kcl.ac.uk/about/partnerships (Accessed: 28 October 2025).</w:t>
      </w:r>
    </w:p>
    <w:p w14:paraId="3E3E6A05"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Kenton, W. (2020) </w:t>
      </w:r>
      <w:r w:rsidRPr="003E7685">
        <w:rPr>
          <w:rFonts w:ascii="Arial" w:hAnsi="Arial" w:cs="Arial"/>
          <w:i/>
          <w:iCs/>
          <w:szCs w:val="22"/>
        </w:rPr>
        <w:t>What Everyone Should Know About Ring-Fences</w:t>
      </w:r>
      <w:r w:rsidRPr="003E7685">
        <w:rPr>
          <w:rFonts w:ascii="Arial" w:hAnsi="Arial" w:cs="Arial"/>
          <w:szCs w:val="22"/>
        </w:rPr>
        <w:t xml:space="preserve">, </w:t>
      </w:r>
      <w:r w:rsidRPr="003E7685">
        <w:rPr>
          <w:rFonts w:ascii="Arial" w:hAnsi="Arial" w:cs="Arial"/>
          <w:i/>
          <w:iCs/>
          <w:szCs w:val="22"/>
        </w:rPr>
        <w:t>Investopedia</w:t>
      </w:r>
      <w:r w:rsidRPr="003E7685">
        <w:rPr>
          <w:rFonts w:ascii="Arial" w:hAnsi="Arial" w:cs="Arial"/>
          <w:szCs w:val="22"/>
        </w:rPr>
        <w:t>. Available at: https://www.investopedia.com/terms/r/ringfence.asp (Accessed: 11 January 2026).</w:t>
      </w:r>
    </w:p>
    <w:p w14:paraId="7B76116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Kirby, D. </w:t>
      </w:r>
      <w:r w:rsidRPr="003E7685">
        <w:rPr>
          <w:rFonts w:ascii="Arial" w:hAnsi="Arial" w:cs="Arial"/>
          <w:i/>
          <w:iCs/>
          <w:szCs w:val="22"/>
        </w:rPr>
        <w:t>et al.</w:t>
      </w:r>
      <w:r w:rsidRPr="003E7685">
        <w:rPr>
          <w:rFonts w:ascii="Arial" w:hAnsi="Arial" w:cs="Arial"/>
          <w:szCs w:val="22"/>
        </w:rPr>
        <w:t xml:space="preserve"> (2025) ‘How Tuition Waivers and Holistic Supports Foster Success in Post-Secondary Education Among Care-Experienced Youth’, </w:t>
      </w:r>
      <w:r w:rsidRPr="003E7685">
        <w:rPr>
          <w:rFonts w:ascii="Arial" w:hAnsi="Arial" w:cs="Arial"/>
          <w:i/>
          <w:iCs/>
          <w:szCs w:val="22"/>
        </w:rPr>
        <w:t>Youth</w:t>
      </w:r>
      <w:r w:rsidRPr="003E7685">
        <w:rPr>
          <w:rFonts w:ascii="Arial" w:hAnsi="Arial" w:cs="Arial"/>
          <w:szCs w:val="22"/>
        </w:rPr>
        <w:t>, 5(3), pp. 1–14. Available at: https://doi.org/10.3390/youth5030099.</w:t>
      </w:r>
    </w:p>
    <w:p w14:paraId="7B85FF6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Kirkbride, J.B. </w:t>
      </w:r>
      <w:r w:rsidRPr="003E7685">
        <w:rPr>
          <w:rFonts w:ascii="Arial" w:hAnsi="Arial" w:cs="Arial"/>
          <w:i/>
          <w:iCs/>
          <w:szCs w:val="22"/>
        </w:rPr>
        <w:t>et al.</w:t>
      </w:r>
      <w:r w:rsidRPr="003E7685">
        <w:rPr>
          <w:rFonts w:ascii="Arial" w:hAnsi="Arial" w:cs="Arial"/>
          <w:szCs w:val="22"/>
        </w:rPr>
        <w:t xml:space="preserve"> (2024) ‘The social determinants of mental health and disorder: Evidence, prevention and recommendations’, </w:t>
      </w:r>
      <w:r w:rsidRPr="003E7685">
        <w:rPr>
          <w:rFonts w:ascii="Arial" w:hAnsi="Arial" w:cs="Arial"/>
          <w:i/>
          <w:iCs/>
          <w:szCs w:val="22"/>
        </w:rPr>
        <w:t>World Psychiatry : Official Journal of the World Psychiatric Association (WPA)</w:t>
      </w:r>
      <w:r w:rsidRPr="003E7685">
        <w:rPr>
          <w:rFonts w:ascii="Arial" w:hAnsi="Arial" w:cs="Arial"/>
          <w:szCs w:val="22"/>
        </w:rPr>
        <w:t>, 23(1), pp. 58–90. Available at: https://doi.org/10.1002/wps.21160.</w:t>
      </w:r>
    </w:p>
    <w:p w14:paraId="5EA4A0D5"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Klutsey, D.A. and Mahama, I. (2025) ‘Academic resilience as a mediator between meaning in life and subjective happiness among undergraduate students at the university of education, Winneba’, </w:t>
      </w:r>
      <w:r w:rsidRPr="003E7685">
        <w:rPr>
          <w:rFonts w:ascii="Arial" w:hAnsi="Arial" w:cs="Arial"/>
          <w:i/>
          <w:iCs/>
          <w:szCs w:val="22"/>
        </w:rPr>
        <w:t>BMC Psychology</w:t>
      </w:r>
      <w:r w:rsidRPr="003E7685">
        <w:rPr>
          <w:rFonts w:ascii="Arial" w:hAnsi="Arial" w:cs="Arial"/>
          <w:szCs w:val="22"/>
        </w:rPr>
        <w:t>, 13(1). Available at: https://doi.org/10.1186/s40359-025-02989-2.</w:t>
      </w:r>
    </w:p>
    <w:p w14:paraId="6CBAFA0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Lawrie, S.I. </w:t>
      </w:r>
      <w:r w:rsidRPr="003E7685">
        <w:rPr>
          <w:rFonts w:ascii="Arial" w:hAnsi="Arial" w:cs="Arial"/>
          <w:i/>
          <w:iCs/>
          <w:szCs w:val="22"/>
        </w:rPr>
        <w:t>et al.</w:t>
      </w:r>
      <w:r w:rsidRPr="003E7685">
        <w:rPr>
          <w:rFonts w:ascii="Arial" w:hAnsi="Arial" w:cs="Arial"/>
          <w:szCs w:val="22"/>
        </w:rPr>
        <w:t xml:space="preserve"> (2025) ‘A tale of two belongings: social and academic belonging differentially shape academic and psychological outcomes among university students’, </w:t>
      </w:r>
      <w:r w:rsidRPr="003E7685">
        <w:rPr>
          <w:rFonts w:ascii="Arial" w:hAnsi="Arial" w:cs="Arial"/>
          <w:i/>
          <w:iCs/>
          <w:szCs w:val="22"/>
        </w:rPr>
        <w:t>Frontiers in Psychology</w:t>
      </w:r>
      <w:r w:rsidRPr="003E7685">
        <w:rPr>
          <w:rFonts w:ascii="Arial" w:hAnsi="Arial" w:cs="Arial"/>
          <w:szCs w:val="22"/>
        </w:rPr>
        <w:t>, 15. Available at: https://doi.org/10.3389/fpsyg.2024.1394588.</w:t>
      </w:r>
    </w:p>
    <w:p w14:paraId="5C178310"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Lazuras, L., Ypsilanti, A. and Mullings, E. (2024) ‘The Emotional Burden of Loneliness and its Association with Mental Health Outcomes’, </w:t>
      </w:r>
      <w:r w:rsidRPr="003E7685">
        <w:rPr>
          <w:rFonts w:ascii="Arial" w:hAnsi="Arial" w:cs="Arial"/>
          <w:i/>
          <w:iCs/>
          <w:szCs w:val="22"/>
        </w:rPr>
        <w:t>International Journal of Behavioral Medicine</w:t>
      </w:r>
      <w:r w:rsidRPr="003E7685">
        <w:rPr>
          <w:rFonts w:ascii="Arial" w:hAnsi="Arial" w:cs="Arial"/>
          <w:szCs w:val="22"/>
        </w:rPr>
        <w:t>, 31(3), pp. 372–379. Available at: https://doi.org/10.1007/s12529-023-10255-1.</w:t>
      </w:r>
    </w:p>
    <w:p w14:paraId="0D0BDB7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Lehmann, S., Hysing, M. and Sivertsen, B. (2024) ‘Academic Performance, Health and Support Needs: Comparing Foster Care Alumni and Peers in Higher Education in Norway’, </w:t>
      </w:r>
      <w:r w:rsidRPr="003E7685">
        <w:rPr>
          <w:rFonts w:ascii="Arial" w:hAnsi="Arial" w:cs="Arial"/>
          <w:i/>
          <w:iCs/>
          <w:szCs w:val="22"/>
        </w:rPr>
        <w:t>International Journal of Environmental Research and Public Health</w:t>
      </w:r>
      <w:r w:rsidRPr="003E7685">
        <w:rPr>
          <w:rFonts w:ascii="Arial" w:hAnsi="Arial" w:cs="Arial"/>
          <w:szCs w:val="22"/>
        </w:rPr>
        <w:t>, 21(11), p. 1470. Available at: https://doi.org/10.3390/ijerph21111470.</w:t>
      </w:r>
    </w:p>
    <w:p w14:paraId="1AEE8E11"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Leve, L.D. </w:t>
      </w:r>
      <w:r w:rsidRPr="003E7685">
        <w:rPr>
          <w:rFonts w:ascii="Arial" w:hAnsi="Arial" w:cs="Arial"/>
          <w:i/>
          <w:iCs/>
          <w:szCs w:val="22"/>
        </w:rPr>
        <w:t>et al.</w:t>
      </w:r>
      <w:r w:rsidRPr="003E7685">
        <w:rPr>
          <w:rFonts w:ascii="Arial" w:hAnsi="Arial" w:cs="Arial"/>
          <w:szCs w:val="22"/>
        </w:rPr>
        <w:t xml:space="preserve"> (2012) ‘Practitioner Review: Children in foster care - vulnerabilities and evidence-based interventions that promote resilience processes’, </w:t>
      </w:r>
      <w:r w:rsidRPr="003E7685">
        <w:rPr>
          <w:rFonts w:ascii="Arial" w:hAnsi="Arial" w:cs="Arial"/>
          <w:i/>
          <w:iCs/>
          <w:szCs w:val="22"/>
        </w:rPr>
        <w:t>Journal of Child Psychology and Psychiatry</w:t>
      </w:r>
      <w:r w:rsidRPr="003E7685">
        <w:rPr>
          <w:rFonts w:ascii="Arial" w:hAnsi="Arial" w:cs="Arial"/>
          <w:szCs w:val="22"/>
        </w:rPr>
        <w:t>, 53(12), pp. 1197–1211. Available at: https://doi.org/10.1111/j.1469-7610.2012.02594.x.</w:t>
      </w:r>
    </w:p>
    <w:p w14:paraId="4CCCD9FF"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Li, D., Chng, G.S. and Chu, C.M. (2017) ‘Comparing Long-Term Placement Outcomes of Residential and Family Foster Care: A Meta-Analysis’, </w:t>
      </w:r>
      <w:r w:rsidRPr="003E7685">
        <w:rPr>
          <w:rFonts w:ascii="Arial" w:hAnsi="Arial" w:cs="Arial"/>
          <w:i/>
          <w:iCs/>
          <w:szCs w:val="22"/>
        </w:rPr>
        <w:t>Trauma, Violence, &amp; Abuse</w:t>
      </w:r>
      <w:r w:rsidRPr="003E7685">
        <w:rPr>
          <w:rFonts w:ascii="Arial" w:hAnsi="Arial" w:cs="Arial"/>
          <w:szCs w:val="22"/>
        </w:rPr>
        <w:t>, 20(5), pp. 653–664. Available at: https://doi.org/10.1177/1524838017726427.</w:t>
      </w:r>
    </w:p>
    <w:p w14:paraId="69D3F1D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Lin-Stephens, S. </w:t>
      </w:r>
      <w:r w:rsidRPr="003E7685">
        <w:rPr>
          <w:rFonts w:ascii="Arial" w:hAnsi="Arial" w:cs="Arial"/>
          <w:i/>
          <w:iCs/>
          <w:szCs w:val="22"/>
        </w:rPr>
        <w:t>et al.</w:t>
      </w:r>
      <w:r w:rsidRPr="003E7685">
        <w:rPr>
          <w:rFonts w:ascii="Arial" w:hAnsi="Arial" w:cs="Arial"/>
          <w:szCs w:val="22"/>
        </w:rPr>
        <w:t xml:space="preserve"> (2024) ‘Exploring Factors Contributing to Graduate Outcomes: Using Career Registration Methodology (CRM) to Track Students’ Employability Activities, Career Readiness, and Graduate Outcomes’, </w:t>
      </w:r>
      <w:r w:rsidRPr="003E7685">
        <w:rPr>
          <w:rFonts w:ascii="Arial" w:hAnsi="Arial" w:cs="Arial"/>
          <w:i/>
          <w:iCs/>
          <w:szCs w:val="22"/>
        </w:rPr>
        <w:t>Education Sciences</w:t>
      </w:r>
      <w:r w:rsidRPr="003E7685">
        <w:rPr>
          <w:rFonts w:ascii="Arial" w:hAnsi="Arial" w:cs="Arial"/>
          <w:szCs w:val="22"/>
        </w:rPr>
        <w:t>, 14(12), pp. 1294–1294. Available at: https://doi.org/10.3390/educsci14121294.</w:t>
      </w:r>
    </w:p>
    <w:p w14:paraId="02F195A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Miller, R., Blakeslee, J. and Ison, C. (2020) ‘Exploring college student identity among young people with foster care histories and mental health challenges’, </w:t>
      </w:r>
      <w:r w:rsidRPr="003E7685">
        <w:rPr>
          <w:rFonts w:ascii="Arial" w:hAnsi="Arial" w:cs="Arial"/>
          <w:i/>
          <w:iCs/>
          <w:szCs w:val="22"/>
        </w:rPr>
        <w:t>Children and Youth Services Review</w:t>
      </w:r>
      <w:r w:rsidRPr="003E7685">
        <w:rPr>
          <w:rFonts w:ascii="Arial" w:hAnsi="Arial" w:cs="Arial"/>
          <w:szCs w:val="22"/>
        </w:rPr>
        <w:t>, 114, p. 104992. Available at: https://doi.org/10.1016/j.childyouth.2020.104992.</w:t>
      </w:r>
    </w:p>
    <w:p w14:paraId="09070BA0"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Moreira, J.A. and Oliveira, C.S. (2022) ‘Quantifying for Qualifying: A Framework for Assessing Gender Equality in Higher Education Institutions’, </w:t>
      </w:r>
      <w:r w:rsidRPr="003E7685">
        <w:rPr>
          <w:rFonts w:ascii="Arial" w:hAnsi="Arial" w:cs="Arial"/>
          <w:i/>
          <w:iCs/>
          <w:szCs w:val="22"/>
        </w:rPr>
        <w:t>Social Sciences</w:t>
      </w:r>
      <w:r w:rsidRPr="003E7685">
        <w:rPr>
          <w:rFonts w:ascii="Arial" w:hAnsi="Arial" w:cs="Arial"/>
          <w:szCs w:val="22"/>
        </w:rPr>
        <w:t>, 11(10), p. 478. Available at: https://doi.org/10.3390/socsci11100478.</w:t>
      </w:r>
    </w:p>
    <w:p w14:paraId="6E55B870"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Muis, K.R., Denton, C. and Dubé, A. (2022) ‘Identifying CRAAP on the Internet: a Source Evaluation Intervention’, </w:t>
      </w:r>
      <w:r w:rsidRPr="003E7685">
        <w:rPr>
          <w:rFonts w:ascii="Arial" w:hAnsi="Arial" w:cs="Arial"/>
          <w:i/>
          <w:iCs/>
          <w:szCs w:val="22"/>
        </w:rPr>
        <w:t>Advances in Social Sciences Research Journal</w:t>
      </w:r>
      <w:r w:rsidRPr="003E7685">
        <w:rPr>
          <w:rFonts w:ascii="Arial" w:hAnsi="Arial" w:cs="Arial"/>
          <w:szCs w:val="22"/>
        </w:rPr>
        <w:t>, 9(7), pp. 239–265.</w:t>
      </w:r>
    </w:p>
    <w:p w14:paraId="6991A42D"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Norton, F.C. (2024) ‘“This is counterproductive”: the design of local welfare assistance schemes in England’, </w:t>
      </w:r>
      <w:r w:rsidRPr="003E7685">
        <w:rPr>
          <w:rFonts w:ascii="Arial" w:hAnsi="Arial" w:cs="Arial"/>
          <w:i/>
          <w:iCs/>
          <w:szCs w:val="22"/>
        </w:rPr>
        <w:t>Journal of Social Welfare and Family Law</w:t>
      </w:r>
      <w:r w:rsidRPr="003E7685">
        <w:rPr>
          <w:rFonts w:ascii="Arial" w:hAnsi="Arial" w:cs="Arial"/>
          <w:szCs w:val="22"/>
        </w:rPr>
        <w:t>, 46(3), pp. 413–437. Available at: https://doi.org/10.1080/09649069.2024.2381990.</w:t>
      </w:r>
    </w:p>
    <w:p w14:paraId="13543AE0"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Nurius, P.S., Prince, D.M. and Rocha, A. (2015) ‘Cumulative Disadvantage and Youth Well-Being: A Multi-domain Examination with Life Course Implications’, </w:t>
      </w:r>
      <w:r w:rsidRPr="003E7685">
        <w:rPr>
          <w:rFonts w:ascii="Arial" w:hAnsi="Arial" w:cs="Arial"/>
          <w:i/>
          <w:iCs/>
          <w:szCs w:val="22"/>
        </w:rPr>
        <w:t>Child and Adolescent Social Work Journal</w:t>
      </w:r>
      <w:r w:rsidRPr="003E7685">
        <w:rPr>
          <w:rFonts w:ascii="Arial" w:hAnsi="Arial" w:cs="Arial"/>
          <w:szCs w:val="22"/>
        </w:rPr>
        <w:t>, 32(6), pp. 567–576. Available at: https://doi.org/10.1007/s10560-015-0396-2.</w:t>
      </w:r>
    </w:p>
    <w:p w14:paraId="216365C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Piel, M.H. </w:t>
      </w:r>
      <w:r w:rsidRPr="003E7685">
        <w:rPr>
          <w:rFonts w:ascii="Arial" w:hAnsi="Arial" w:cs="Arial"/>
          <w:i/>
          <w:iCs/>
          <w:szCs w:val="22"/>
        </w:rPr>
        <w:t>et al.</w:t>
      </w:r>
      <w:r w:rsidRPr="003E7685">
        <w:rPr>
          <w:rFonts w:ascii="Arial" w:hAnsi="Arial" w:cs="Arial"/>
          <w:szCs w:val="22"/>
        </w:rPr>
        <w:t xml:space="preserve"> (2016) ‘An ecological systems approach to understanding social support in foster family resilience’, </w:t>
      </w:r>
      <w:r w:rsidRPr="003E7685">
        <w:rPr>
          <w:rFonts w:ascii="Arial" w:hAnsi="Arial" w:cs="Arial"/>
          <w:i/>
          <w:iCs/>
          <w:szCs w:val="22"/>
        </w:rPr>
        <w:t>Child &amp; Family Social Work</w:t>
      </w:r>
      <w:r w:rsidRPr="003E7685">
        <w:rPr>
          <w:rFonts w:ascii="Arial" w:hAnsi="Arial" w:cs="Arial"/>
          <w:szCs w:val="22"/>
        </w:rPr>
        <w:t>, 22(2), pp. 1034–1043. Available at: https://doi.org/10.1111/cfs.12323.</w:t>
      </w:r>
    </w:p>
    <w:p w14:paraId="7D43C121"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Pinkney, S. and Walker, G. (2020) ‘“It was me, but it was them that helped me”: Exploring the issues for care experienced young people within higher education’, </w:t>
      </w:r>
      <w:r w:rsidRPr="003E7685">
        <w:rPr>
          <w:rFonts w:ascii="Arial" w:hAnsi="Arial" w:cs="Arial"/>
          <w:i/>
          <w:iCs/>
          <w:szCs w:val="22"/>
        </w:rPr>
        <w:t>Children and Youth Services Review</w:t>
      </w:r>
      <w:r w:rsidRPr="003E7685">
        <w:rPr>
          <w:rFonts w:ascii="Arial" w:hAnsi="Arial" w:cs="Arial"/>
          <w:szCs w:val="22"/>
        </w:rPr>
        <w:t>, 108, p. 104576. Available at: https://doi.org/10.1016/j.childyouth.2019.104576.</w:t>
      </w:r>
    </w:p>
    <w:p w14:paraId="2B55004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Prizeman, K., McCabe, C. and Weinstein, N. (2024) ‘Stigma and Its Impact on Disclosure and Mental Health Secrecy in Young People with Clinical Depression Symptoms: A Qualitative Analysis’, </w:t>
      </w:r>
      <w:r w:rsidRPr="003E7685">
        <w:rPr>
          <w:rFonts w:ascii="Arial" w:hAnsi="Arial" w:cs="Arial"/>
          <w:i/>
          <w:iCs/>
          <w:szCs w:val="22"/>
        </w:rPr>
        <w:t>PLOS ONE</w:t>
      </w:r>
      <w:r w:rsidRPr="003E7685">
        <w:rPr>
          <w:rFonts w:ascii="Arial" w:hAnsi="Arial" w:cs="Arial"/>
          <w:szCs w:val="22"/>
        </w:rPr>
        <w:t>, 19(1). Available at: https://doi.org/10.1371/journal.pone.0296221.</w:t>
      </w:r>
    </w:p>
    <w:p w14:paraId="76F89635"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Ravulapalli, K.C. </w:t>
      </w:r>
      <w:r w:rsidRPr="003E7685">
        <w:rPr>
          <w:rFonts w:ascii="Arial" w:hAnsi="Arial" w:cs="Arial"/>
          <w:i/>
          <w:iCs/>
          <w:szCs w:val="22"/>
        </w:rPr>
        <w:t>et al.</w:t>
      </w:r>
      <w:r w:rsidRPr="003E7685">
        <w:rPr>
          <w:rFonts w:ascii="Arial" w:hAnsi="Arial" w:cs="Arial"/>
          <w:szCs w:val="22"/>
        </w:rPr>
        <w:t xml:space="preserve"> (2024) ‘Quantitative Analysis of Challenges Encountered by UK Widening Participation Medical Students in Comparison With Their Non-Widening Participation Peers’, </w:t>
      </w:r>
      <w:r w:rsidRPr="003E7685">
        <w:rPr>
          <w:rFonts w:ascii="Arial" w:hAnsi="Arial" w:cs="Arial"/>
          <w:i/>
          <w:iCs/>
          <w:szCs w:val="22"/>
        </w:rPr>
        <w:t>Journal of Medical Education and Curricular Development</w:t>
      </w:r>
      <w:r w:rsidRPr="003E7685">
        <w:rPr>
          <w:rFonts w:ascii="Arial" w:hAnsi="Arial" w:cs="Arial"/>
          <w:szCs w:val="22"/>
        </w:rPr>
        <w:t>, 11, p. 23821205241249012. Available at: https://doi.org/10.1177/23821205241249012.</w:t>
      </w:r>
    </w:p>
    <w:p w14:paraId="39A7571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Ruihua, L. </w:t>
      </w:r>
      <w:r w:rsidRPr="003E7685">
        <w:rPr>
          <w:rFonts w:ascii="Arial" w:hAnsi="Arial" w:cs="Arial"/>
          <w:i/>
          <w:iCs/>
          <w:szCs w:val="22"/>
        </w:rPr>
        <w:t>et al.</w:t>
      </w:r>
      <w:r w:rsidRPr="003E7685">
        <w:rPr>
          <w:rFonts w:ascii="Arial" w:hAnsi="Arial" w:cs="Arial"/>
          <w:szCs w:val="22"/>
        </w:rPr>
        <w:t xml:space="preserve"> (2025) ‘A systematic review on the impact of social support on college students’ wellbeing and mental health’, </w:t>
      </w:r>
      <w:r w:rsidRPr="003E7685">
        <w:rPr>
          <w:rFonts w:ascii="Arial" w:hAnsi="Arial" w:cs="Arial"/>
          <w:i/>
          <w:iCs/>
          <w:szCs w:val="22"/>
        </w:rPr>
        <w:t>PloS one</w:t>
      </w:r>
      <w:r w:rsidRPr="003E7685">
        <w:rPr>
          <w:rFonts w:ascii="Arial" w:hAnsi="Arial" w:cs="Arial"/>
          <w:szCs w:val="22"/>
        </w:rPr>
        <w:t>, 20(7), p. e0325212. Available at: https://doi.org/10.1371/journal.pone.0325212.</w:t>
      </w:r>
    </w:p>
    <w:p w14:paraId="63C57734"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Russell, J. </w:t>
      </w:r>
      <w:r w:rsidRPr="003E7685">
        <w:rPr>
          <w:rFonts w:ascii="Arial" w:hAnsi="Arial" w:cs="Arial"/>
          <w:i/>
          <w:iCs/>
          <w:szCs w:val="22"/>
        </w:rPr>
        <w:t>et al.</w:t>
      </w:r>
      <w:r w:rsidRPr="003E7685">
        <w:rPr>
          <w:rFonts w:ascii="Arial" w:hAnsi="Arial" w:cs="Arial"/>
          <w:szCs w:val="22"/>
        </w:rPr>
        <w:t xml:space="preserve"> (2025) ‘Exploring Financial Challenges and University Support Systems for Student Financial Well-Being: A Scoping Review’, </w:t>
      </w:r>
      <w:r w:rsidRPr="003E7685">
        <w:rPr>
          <w:rFonts w:ascii="Arial" w:hAnsi="Arial" w:cs="Arial"/>
          <w:i/>
          <w:iCs/>
          <w:szCs w:val="22"/>
        </w:rPr>
        <w:t>International Journal of Environmental Research and Public Health</w:t>
      </w:r>
      <w:r w:rsidRPr="003E7685">
        <w:rPr>
          <w:rFonts w:ascii="Arial" w:hAnsi="Arial" w:cs="Arial"/>
          <w:szCs w:val="22"/>
        </w:rPr>
        <w:t>, 22(3), p. 356. Available at: https://doi.org/10.3390/ijerph22030356.</w:t>
      </w:r>
    </w:p>
    <w:p w14:paraId="297B024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Samuel, L.J. </w:t>
      </w:r>
      <w:r w:rsidRPr="003E7685">
        <w:rPr>
          <w:rFonts w:ascii="Arial" w:hAnsi="Arial" w:cs="Arial"/>
          <w:i/>
          <w:iCs/>
          <w:szCs w:val="22"/>
        </w:rPr>
        <w:t>et al.</w:t>
      </w:r>
      <w:r w:rsidRPr="003E7685">
        <w:rPr>
          <w:rFonts w:ascii="Arial" w:hAnsi="Arial" w:cs="Arial"/>
          <w:szCs w:val="22"/>
        </w:rPr>
        <w:t xml:space="preserve"> (2025) ‘Financial strain and child health: Measures and evidence from a systematic literature review’, </w:t>
      </w:r>
      <w:r w:rsidRPr="003E7685">
        <w:rPr>
          <w:rFonts w:ascii="Arial" w:hAnsi="Arial" w:cs="Arial"/>
          <w:i/>
          <w:iCs/>
          <w:szCs w:val="22"/>
        </w:rPr>
        <w:t>AJPM Focus</w:t>
      </w:r>
      <w:r w:rsidRPr="003E7685">
        <w:rPr>
          <w:rFonts w:ascii="Arial" w:hAnsi="Arial" w:cs="Arial"/>
          <w:szCs w:val="22"/>
        </w:rPr>
        <w:t>, 4(4), p. 100337. Available at: https://doi.org/10.1016/j.focus.2025.100337.</w:t>
      </w:r>
    </w:p>
    <w:p w14:paraId="6F12FEF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Saunders, M.N., Lewis, P. and Thornhill, A. (2019) ‘Understanding research philosophy and approaches to theory development’, in </w:t>
      </w:r>
      <w:r w:rsidRPr="003E7685">
        <w:rPr>
          <w:rFonts w:ascii="Arial" w:hAnsi="Arial" w:cs="Arial"/>
          <w:i/>
          <w:iCs/>
          <w:szCs w:val="22"/>
        </w:rPr>
        <w:t>Research Methods for Business Students</w:t>
      </w:r>
      <w:r w:rsidRPr="003E7685">
        <w:rPr>
          <w:rFonts w:ascii="Arial" w:hAnsi="Arial" w:cs="Arial"/>
          <w:szCs w:val="22"/>
        </w:rPr>
        <w:t>. Pearson Education, Limited, pp. 128–171.</w:t>
      </w:r>
    </w:p>
    <w:p w14:paraId="46CCF54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Schneider, D., Harknett, K. and Gailliot, A. (2024) ‘COVID-19 employment shocks and safety net expansion: Health effects on displaced workers’, </w:t>
      </w:r>
      <w:r w:rsidRPr="003E7685">
        <w:rPr>
          <w:rFonts w:ascii="Arial" w:hAnsi="Arial" w:cs="Arial"/>
          <w:i/>
          <w:iCs/>
          <w:szCs w:val="22"/>
        </w:rPr>
        <w:t>Social Science Research</w:t>
      </w:r>
      <w:r w:rsidRPr="003E7685">
        <w:rPr>
          <w:rFonts w:ascii="Arial" w:hAnsi="Arial" w:cs="Arial"/>
          <w:szCs w:val="22"/>
        </w:rPr>
        <w:t>, 124, p. 103059. Available at: https://doi.org/10.1016/j.ssresearch.2024.103059.</w:t>
      </w:r>
    </w:p>
    <w:p w14:paraId="3FEB1FBA"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Shanley, O. (2024) </w:t>
      </w:r>
      <w:r w:rsidRPr="003E7685">
        <w:rPr>
          <w:rFonts w:ascii="Arial" w:hAnsi="Arial" w:cs="Arial"/>
          <w:i/>
          <w:iCs/>
          <w:szCs w:val="22"/>
        </w:rPr>
        <w:t>Independent Review of Greater Manchester Mental Health NHS Foundation Trust</w:t>
      </w:r>
      <w:r w:rsidRPr="003E7685">
        <w:rPr>
          <w:rFonts w:ascii="Arial" w:hAnsi="Arial" w:cs="Arial"/>
          <w:szCs w:val="22"/>
        </w:rPr>
        <w:t>. Available at: https://www.england.nhs.uk/north-west/wp-content/uploads/sites/48/2024/01/Final-Report-Independent-Review-of-GMMH-January-2024.pdf (Accessed: 28 October 2025).</w:t>
      </w:r>
    </w:p>
    <w:p w14:paraId="3A2D0879"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Somers, C.L. </w:t>
      </w:r>
      <w:r w:rsidRPr="003E7685">
        <w:rPr>
          <w:rFonts w:ascii="Arial" w:hAnsi="Arial" w:cs="Arial"/>
          <w:i/>
          <w:iCs/>
          <w:szCs w:val="22"/>
        </w:rPr>
        <w:t>et al.</w:t>
      </w:r>
      <w:r w:rsidRPr="003E7685">
        <w:rPr>
          <w:rFonts w:ascii="Arial" w:hAnsi="Arial" w:cs="Arial"/>
          <w:szCs w:val="22"/>
        </w:rPr>
        <w:t xml:space="preserve"> (2020) ‘Academic Achievement among a Sample of Youth in Foster care: the Role of School Connectedness’, </w:t>
      </w:r>
      <w:r w:rsidRPr="003E7685">
        <w:rPr>
          <w:rFonts w:ascii="Arial" w:hAnsi="Arial" w:cs="Arial"/>
          <w:i/>
          <w:iCs/>
          <w:szCs w:val="22"/>
        </w:rPr>
        <w:t>Psychology in the Schools</w:t>
      </w:r>
      <w:r w:rsidRPr="003E7685">
        <w:rPr>
          <w:rFonts w:ascii="Arial" w:hAnsi="Arial" w:cs="Arial"/>
          <w:szCs w:val="22"/>
        </w:rPr>
        <w:t>, 57(12), p. 23. Available at: https://doi.org/10.1002/pits.22433.</w:t>
      </w:r>
    </w:p>
    <w:p w14:paraId="6CAAE4F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Stevenson, J. </w:t>
      </w:r>
      <w:r w:rsidRPr="003E7685">
        <w:rPr>
          <w:rFonts w:ascii="Arial" w:hAnsi="Arial" w:cs="Arial"/>
          <w:i/>
          <w:iCs/>
          <w:szCs w:val="22"/>
        </w:rPr>
        <w:t>et al.</w:t>
      </w:r>
      <w:r w:rsidRPr="003E7685">
        <w:rPr>
          <w:rFonts w:ascii="Arial" w:hAnsi="Arial" w:cs="Arial"/>
          <w:szCs w:val="22"/>
        </w:rPr>
        <w:t xml:space="preserve"> (2020) </w:t>
      </w:r>
      <w:r w:rsidRPr="003E7685">
        <w:rPr>
          <w:rFonts w:ascii="Arial" w:hAnsi="Arial" w:cs="Arial"/>
          <w:i/>
          <w:iCs/>
          <w:szCs w:val="22"/>
        </w:rPr>
        <w:t>Positive Impact? What factors affect access, retention and graduate outcomes for university students with a background of care or family estrangement?</w:t>
      </w:r>
      <w:r w:rsidRPr="003E7685">
        <w:rPr>
          <w:rFonts w:ascii="Arial" w:hAnsi="Arial" w:cs="Arial"/>
          <w:szCs w:val="22"/>
        </w:rPr>
        <w:t xml:space="preserve"> Available at: https://shura.shu.ac.uk/25839/1/Positive-Impact-Report.pdf (Accessed: 28 October 2025).</w:t>
      </w:r>
    </w:p>
    <w:p w14:paraId="731FD8B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Sting, S. </w:t>
      </w:r>
      <w:r w:rsidRPr="003E7685">
        <w:rPr>
          <w:rFonts w:ascii="Arial" w:hAnsi="Arial" w:cs="Arial"/>
          <w:i/>
          <w:iCs/>
          <w:szCs w:val="22"/>
        </w:rPr>
        <w:t>et al.</w:t>
      </w:r>
      <w:r w:rsidRPr="003E7685">
        <w:rPr>
          <w:rFonts w:ascii="Arial" w:hAnsi="Arial" w:cs="Arial"/>
          <w:szCs w:val="22"/>
        </w:rPr>
        <w:t xml:space="preserve"> (2025) ‘Barriers to the educational progress of care leavers: The neglected role of stigma?’, </w:t>
      </w:r>
      <w:r w:rsidRPr="003E7685">
        <w:rPr>
          <w:rFonts w:ascii="Arial" w:hAnsi="Arial" w:cs="Arial"/>
          <w:i/>
          <w:iCs/>
          <w:szCs w:val="22"/>
        </w:rPr>
        <w:t>Children and Youth Services Review</w:t>
      </w:r>
      <w:r w:rsidRPr="003E7685">
        <w:rPr>
          <w:rFonts w:ascii="Arial" w:hAnsi="Arial" w:cs="Arial"/>
          <w:szCs w:val="22"/>
        </w:rPr>
        <w:t>, 173, p. 108294. Available at: https://doi.org/10.1016/j.childyouth.2025.108294.</w:t>
      </w:r>
    </w:p>
    <w:p w14:paraId="27C9A24C"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Swartz, T.T. </w:t>
      </w:r>
      <w:r w:rsidRPr="003E7685">
        <w:rPr>
          <w:rFonts w:ascii="Arial" w:hAnsi="Arial" w:cs="Arial"/>
          <w:i/>
          <w:iCs/>
          <w:szCs w:val="22"/>
        </w:rPr>
        <w:t>et al.</w:t>
      </w:r>
      <w:r w:rsidRPr="003E7685">
        <w:rPr>
          <w:rFonts w:ascii="Arial" w:hAnsi="Arial" w:cs="Arial"/>
          <w:szCs w:val="22"/>
        </w:rPr>
        <w:t xml:space="preserve"> (2011) ‘Safety Nets and Scaffolds: Parental Support in the Transition to Adulthood’, </w:t>
      </w:r>
      <w:r w:rsidRPr="003E7685">
        <w:rPr>
          <w:rFonts w:ascii="Arial" w:hAnsi="Arial" w:cs="Arial"/>
          <w:i/>
          <w:iCs/>
          <w:szCs w:val="22"/>
        </w:rPr>
        <w:t>Journal of Marriage and Family</w:t>
      </w:r>
      <w:r w:rsidRPr="003E7685">
        <w:rPr>
          <w:rFonts w:ascii="Arial" w:hAnsi="Arial" w:cs="Arial"/>
          <w:szCs w:val="22"/>
        </w:rPr>
        <w:t>, 73(2), pp. 414–429. Available at: https://doi.org/10.1111/j.1741-3737.2010.00815.x.</w:t>
      </w:r>
    </w:p>
    <w:p w14:paraId="7D6411E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Trubey, R. </w:t>
      </w:r>
      <w:r w:rsidRPr="003E7685">
        <w:rPr>
          <w:rFonts w:ascii="Arial" w:hAnsi="Arial" w:cs="Arial"/>
          <w:i/>
          <w:iCs/>
          <w:szCs w:val="22"/>
        </w:rPr>
        <w:t>et al.</w:t>
      </w:r>
      <w:r w:rsidRPr="003E7685">
        <w:rPr>
          <w:rFonts w:ascii="Arial" w:hAnsi="Arial" w:cs="Arial"/>
          <w:szCs w:val="22"/>
        </w:rPr>
        <w:t xml:space="preserve"> (2024) ‘Effectiveness of Mental Health and Wellbeing Interventions for Children and Young People in Foster, Kinship, and Residential Care: Systematic Review and Meta-Analysis’, </w:t>
      </w:r>
      <w:r w:rsidRPr="003E7685">
        <w:rPr>
          <w:rFonts w:ascii="Arial" w:hAnsi="Arial" w:cs="Arial"/>
          <w:i/>
          <w:iCs/>
          <w:szCs w:val="22"/>
        </w:rPr>
        <w:t>Trauma, Violence, &amp; Abuse</w:t>
      </w:r>
      <w:r w:rsidRPr="003E7685">
        <w:rPr>
          <w:rFonts w:ascii="Arial" w:hAnsi="Arial" w:cs="Arial"/>
          <w:szCs w:val="22"/>
        </w:rPr>
        <w:t>, 25(4), pp. 2829–2844. Available at: https://doi.org/10.1177/15248380241227987.</w:t>
      </w:r>
    </w:p>
    <w:p w14:paraId="030FB20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University of Glasgow (2024) </w:t>
      </w:r>
      <w:r w:rsidRPr="003E7685">
        <w:rPr>
          <w:rFonts w:ascii="Arial" w:hAnsi="Arial" w:cs="Arial"/>
          <w:i/>
          <w:iCs/>
          <w:szCs w:val="22"/>
        </w:rPr>
        <w:t>Local growth plans must reach City regions across the UK’s nations</w:t>
      </w:r>
      <w:r w:rsidRPr="003E7685">
        <w:rPr>
          <w:rFonts w:ascii="Arial" w:hAnsi="Arial" w:cs="Arial"/>
          <w:szCs w:val="22"/>
        </w:rPr>
        <w:t xml:space="preserve">, </w:t>
      </w:r>
      <w:r w:rsidRPr="003E7685">
        <w:rPr>
          <w:rFonts w:ascii="Arial" w:hAnsi="Arial" w:cs="Arial"/>
          <w:i/>
          <w:iCs/>
          <w:szCs w:val="22"/>
        </w:rPr>
        <w:t>Gla.ac.uk</w:t>
      </w:r>
      <w:r w:rsidRPr="003E7685">
        <w:rPr>
          <w:rFonts w:ascii="Arial" w:hAnsi="Arial" w:cs="Arial"/>
          <w:szCs w:val="22"/>
        </w:rPr>
        <w:t>. Available at: https://www.gla.ac.uk/research/az/publicpolicy/news/headline_1107833_en.html (Accessed: 28 October 2025).</w:t>
      </w:r>
    </w:p>
    <w:p w14:paraId="0C2D4143"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US Department of State (2023) </w:t>
      </w:r>
      <w:r w:rsidRPr="003E7685">
        <w:rPr>
          <w:rFonts w:ascii="Arial" w:hAnsi="Arial" w:cs="Arial"/>
          <w:i/>
          <w:iCs/>
          <w:szCs w:val="22"/>
        </w:rPr>
        <w:t>United States Strategy on Global Women’s Economic Security - United States Department of State</w:t>
      </w:r>
      <w:r w:rsidRPr="003E7685">
        <w:rPr>
          <w:rFonts w:ascii="Arial" w:hAnsi="Arial" w:cs="Arial"/>
          <w:szCs w:val="22"/>
        </w:rPr>
        <w:t xml:space="preserve">, </w:t>
      </w:r>
      <w:r w:rsidRPr="003E7685">
        <w:rPr>
          <w:rFonts w:ascii="Arial" w:hAnsi="Arial" w:cs="Arial"/>
          <w:i/>
          <w:iCs/>
          <w:szCs w:val="22"/>
        </w:rPr>
        <w:t>United States Department of State</w:t>
      </w:r>
      <w:r w:rsidRPr="003E7685">
        <w:rPr>
          <w:rFonts w:ascii="Arial" w:hAnsi="Arial" w:cs="Arial"/>
          <w:szCs w:val="22"/>
        </w:rPr>
        <w:t>. Available at: https://2021-2025.state.gov/reports/united-states-strategy-on-global-womens-economic-security/ (Accessed: 28 October 2025).</w:t>
      </w:r>
    </w:p>
    <w:p w14:paraId="3F2D59D8"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Vaismoradi, M., Turunen, H. and Bondas, T. (2013) ‘Content analysis and thematic analysis: Implications for conducting a qualitative descriptive study’, </w:t>
      </w:r>
      <w:r w:rsidRPr="003E7685">
        <w:rPr>
          <w:rFonts w:ascii="Arial" w:hAnsi="Arial" w:cs="Arial"/>
          <w:i/>
          <w:iCs/>
          <w:szCs w:val="22"/>
        </w:rPr>
        <w:t>Nursing &amp; Health Sciences</w:t>
      </w:r>
      <w:r w:rsidRPr="003E7685">
        <w:rPr>
          <w:rFonts w:ascii="Arial" w:hAnsi="Arial" w:cs="Arial"/>
          <w:szCs w:val="22"/>
        </w:rPr>
        <w:t>, 15(3), pp. 398–405. Available at: https://doi.org/10.1111/nhs.12048.</w:t>
      </w:r>
    </w:p>
    <w:p w14:paraId="49DC8E46"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Vallejo-Slocker, L. </w:t>
      </w:r>
      <w:r w:rsidRPr="003E7685">
        <w:rPr>
          <w:rFonts w:ascii="Arial" w:hAnsi="Arial" w:cs="Arial"/>
          <w:i/>
          <w:iCs/>
          <w:szCs w:val="22"/>
        </w:rPr>
        <w:t>et al.</w:t>
      </w:r>
      <w:r w:rsidRPr="003E7685">
        <w:rPr>
          <w:rFonts w:ascii="Arial" w:hAnsi="Arial" w:cs="Arial"/>
          <w:szCs w:val="22"/>
        </w:rPr>
        <w:t xml:space="preserve"> (2024) ‘Systematic Review of the Evaluation of Foster Care Programs’, </w:t>
      </w:r>
      <w:r w:rsidRPr="003E7685">
        <w:rPr>
          <w:rFonts w:ascii="Arial" w:hAnsi="Arial" w:cs="Arial"/>
          <w:i/>
          <w:iCs/>
          <w:szCs w:val="22"/>
        </w:rPr>
        <w:t>Psychosocial Intervention</w:t>
      </w:r>
      <w:r w:rsidRPr="003E7685">
        <w:rPr>
          <w:rFonts w:ascii="Arial" w:hAnsi="Arial" w:cs="Arial"/>
          <w:szCs w:val="22"/>
        </w:rPr>
        <w:t>, 33(1), pp. 1–14. Available at: https://doi.org/10.5093/pi2023a14.</w:t>
      </w:r>
    </w:p>
    <w:p w14:paraId="2D4AE3A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Varnish, C. </w:t>
      </w:r>
      <w:r w:rsidRPr="003E7685">
        <w:rPr>
          <w:rFonts w:ascii="Arial" w:hAnsi="Arial" w:cs="Arial"/>
          <w:i/>
          <w:iCs/>
          <w:szCs w:val="22"/>
        </w:rPr>
        <w:t>et al.</w:t>
      </w:r>
      <w:r w:rsidRPr="003E7685">
        <w:rPr>
          <w:rFonts w:ascii="Arial" w:hAnsi="Arial" w:cs="Arial"/>
          <w:szCs w:val="22"/>
        </w:rPr>
        <w:t xml:space="preserve"> (2025) ‘The relationship between placement instability and mental health among care-experienced children and young people: UK systematic review and meta-analysis’, </w:t>
      </w:r>
      <w:r w:rsidRPr="003E7685">
        <w:rPr>
          <w:rFonts w:ascii="Arial" w:hAnsi="Arial" w:cs="Arial"/>
          <w:i/>
          <w:iCs/>
          <w:szCs w:val="22"/>
        </w:rPr>
        <w:t>The British Journal of Psychiatry</w:t>
      </w:r>
      <w:r w:rsidRPr="003E7685">
        <w:rPr>
          <w:rFonts w:ascii="Arial" w:hAnsi="Arial" w:cs="Arial"/>
          <w:szCs w:val="22"/>
        </w:rPr>
        <w:t>, pp. 1–10. Available at: https://doi.org/10.1192/bjp.2025.10375.</w:t>
      </w:r>
    </w:p>
    <w:p w14:paraId="2D0D524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Wade, M., Wright, L. and Finegold, K.E. (2022) ‘The effects of early life adversity on children’s mental health and cognitive functioning’, </w:t>
      </w:r>
      <w:r w:rsidRPr="003E7685">
        <w:rPr>
          <w:rFonts w:ascii="Arial" w:hAnsi="Arial" w:cs="Arial"/>
          <w:i/>
          <w:iCs/>
          <w:szCs w:val="22"/>
        </w:rPr>
        <w:t>Translational Psychiatry</w:t>
      </w:r>
      <w:r w:rsidRPr="003E7685">
        <w:rPr>
          <w:rFonts w:ascii="Arial" w:hAnsi="Arial" w:cs="Arial"/>
          <w:szCs w:val="22"/>
        </w:rPr>
        <w:t>, 12(1). Available at: https://doi.org/10.1038/s41398-022-02001-0.</w:t>
      </w:r>
    </w:p>
    <w:p w14:paraId="731AD70B"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Zhang, W. </w:t>
      </w:r>
      <w:r w:rsidRPr="003E7685">
        <w:rPr>
          <w:rFonts w:ascii="Arial" w:hAnsi="Arial" w:cs="Arial"/>
          <w:i/>
          <w:iCs/>
          <w:szCs w:val="22"/>
        </w:rPr>
        <w:t>et al.</w:t>
      </w:r>
      <w:r w:rsidRPr="003E7685">
        <w:rPr>
          <w:rFonts w:ascii="Arial" w:hAnsi="Arial" w:cs="Arial"/>
          <w:szCs w:val="22"/>
        </w:rPr>
        <w:t xml:space="preserve"> (2024) ‘A scoping review of well-being measures: conceptualisation and scales for overall well-being’, </w:t>
      </w:r>
      <w:r w:rsidRPr="003E7685">
        <w:rPr>
          <w:rFonts w:ascii="Arial" w:hAnsi="Arial" w:cs="Arial"/>
          <w:i/>
          <w:iCs/>
          <w:szCs w:val="22"/>
        </w:rPr>
        <w:t>BMC Psychology</w:t>
      </w:r>
      <w:r w:rsidRPr="003E7685">
        <w:rPr>
          <w:rFonts w:ascii="Arial" w:hAnsi="Arial" w:cs="Arial"/>
          <w:szCs w:val="22"/>
        </w:rPr>
        <w:t>, 12(1). Available at: https://doi.org/10.1186/s40359-024-02074-0.</w:t>
      </w:r>
    </w:p>
    <w:p w14:paraId="67B8ABFE" w14:textId="77777777" w:rsidR="003E7685" w:rsidRPr="003E7685" w:rsidRDefault="003E7685" w:rsidP="00B21D94">
      <w:pPr>
        <w:spacing w:after="240"/>
        <w:jc w:val="both"/>
        <w:rPr>
          <w:rFonts w:ascii="Arial" w:hAnsi="Arial" w:cs="Arial"/>
          <w:szCs w:val="22"/>
        </w:rPr>
      </w:pPr>
      <w:r w:rsidRPr="003E7685">
        <w:rPr>
          <w:rFonts w:ascii="Arial" w:hAnsi="Arial" w:cs="Arial"/>
          <w:szCs w:val="22"/>
        </w:rPr>
        <w:t xml:space="preserve">Zhao, S. </w:t>
      </w:r>
      <w:r w:rsidRPr="003E7685">
        <w:rPr>
          <w:rFonts w:ascii="Arial" w:hAnsi="Arial" w:cs="Arial"/>
          <w:i/>
          <w:iCs/>
          <w:szCs w:val="22"/>
        </w:rPr>
        <w:t>et al.</w:t>
      </w:r>
      <w:r w:rsidRPr="003E7685">
        <w:rPr>
          <w:rFonts w:ascii="Arial" w:hAnsi="Arial" w:cs="Arial"/>
          <w:szCs w:val="22"/>
        </w:rPr>
        <w:t xml:space="preserve"> (2023) ‘Trajectories of Perceived Stress among Students in Transition to College: Mindset Antecedents and Adjustment Outcomes’, </w:t>
      </w:r>
      <w:r w:rsidRPr="003E7685">
        <w:rPr>
          <w:rFonts w:ascii="Arial" w:hAnsi="Arial" w:cs="Arial"/>
          <w:i/>
          <w:iCs/>
          <w:szCs w:val="22"/>
        </w:rPr>
        <w:t>Journal of youth and adolescence</w:t>
      </w:r>
      <w:r w:rsidRPr="003E7685">
        <w:rPr>
          <w:rFonts w:ascii="Arial" w:hAnsi="Arial" w:cs="Arial"/>
          <w:szCs w:val="22"/>
        </w:rPr>
        <w:t>, 52(9), pp. 1873–1886. Available at: https://doi.org/10.1007/s10964-023-01788-5.</w:t>
      </w:r>
    </w:p>
    <w:p w14:paraId="2FF29E15" w14:textId="77777777" w:rsidR="003241FC" w:rsidRDefault="003241FC" w:rsidP="00B21D94">
      <w:pPr>
        <w:jc w:val="both"/>
        <w:rPr>
          <w:lang w:eastAsia="en-US"/>
        </w:rPr>
      </w:pPr>
    </w:p>
    <w:p w14:paraId="1F3D57A3" w14:textId="77777777" w:rsidR="00DA24FA" w:rsidRDefault="00DA24FA" w:rsidP="00B21D94">
      <w:pPr>
        <w:jc w:val="both"/>
        <w:rPr>
          <w:lang w:eastAsia="en-US"/>
        </w:rPr>
      </w:pPr>
    </w:p>
    <w:p w14:paraId="60308C4C" w14:textId="77777777" w:rsidR="00322988" w:rsidRDefault="00322988" w:rsidP="00B21D94">
      <w:pPr>
        <w:jc w:val="both"/>
        <w:rPr>
          <w:lang w:eastAsia="en-US"/>
        </w:rPr>
      </w:pPr>
    </w:p>
    <w:p w14:paraId="60505663" w14:textId="77777777" w:rsidR="00322988" w:rsidRDefault="00322988" w:rsidP="00B21D94">
      <w:pPr>
        <w:jc w:val="both"/>
        <w:rPr>
          <w:lang w:eastAsia="en-US"/>
        </w:rPr>
      </w:pPr>
    </w:p>
    <w:p w14:paraId="28A06B31" w14:textId="77777777" w:rsidR="00322988" w:rsidRDefault="00322988" w:rsidP="00B21D94">
      <w:pPr>
        <w:jc w:val="both"/>
        <w:rPr>
          <w:lang w:eastAsia="en-US"/>
        </w:rPr>
      </w:pPr>
    </w:p>
    <w:p w14:paraId="172ABDFE" w14:textId="77777777" w:rsidR="00322988" w:rsidRDefault="00322988" w:rsidP="00B21D94">
      <w:pPr>
        <w:jc w:val="both"/>
        <w:rPr>
          <w:lang w:eastAsia="en-US"/>
        </w:rPr>
      </w:pPr>
    </w:p>
    <w:p w14:paraId="45A3FEEF" w14:textId="77777777" w:rsidR="00322988" w:rsidRDefault="00322988" w:rsidP="00B21D94">
      <w:pPr>
        <w:jc w:val="both"/>
        <w:rPr>
          <w:lang w:eastAsia="en-US"/>
        </w:rPr>
      </w:pPr>
    </w:p>
    <w:p w14:paraId="74C0794D" w14:textId="77777777" w:rsidR="00322988" w:rsidRDefault="00322988" w:rsidP="00B21D94">
      <w:pPr>
        <w:jc w:val="both"/>
        <w:rPr>
          <w:lang w:eastAsia="en-US"/>
        </w:rPr>
      </w:pPr>
    </w:p>
    <w:p w14:paraId="21CB6015" w14:textId="77777777" w:rsidR="00322988" w:rsidRDefault="00322988" w:rsidP="00B21D94">
      <w:pPr>
        <w:jc w:val="both"/>
        <w:rPr>
          <w:lang w:eastAsia="en-US"/>
        </w:rPr>
      </w:pPr>
    </w:p>
    <w:p w14:paraId="1D683B01" w14:textId="77777777" w:rsidR="00322988" w:rsidRDefault="00322988" w:rsidP="00B21D94">
      <w:pPr>
        <w:jc w:val="both"/>
        <w:rPr>
          <w:lang w:eastAsia="en-US"/>
        </w:rPr>
      </w:pPr>
    </w:p>
    <w:p w14:paraId="65E6581D" w14:textId="77777777" w:rsidR="00322988" w:rsidRDefault="00322988" w:rsidP="00B21D94">
      <w:pPr>
        <w:jc w:val="both"/>
        <w:rPr>
          <w:lang w:eastAsia="en-US"/>
        </w:rPr>
      </w:pPr>
    </w:p>
    <w:p w14:paraId="380C45DD" w14:textId="77777777" w:rsidR="00322988" w:rsidRDefault="00322988" w:rsidP="00B21D94">
      <w:pPr>
        <w:jc w:val="both"/>
        <w:rPr>
          <w:lang w:eastAsia="en-US"/>
        </w:rPr>
      </w:pPr>
    </w:p>
    <w:p w14:paraId="59E879A1" w14:textId="77777777" w:rsidR="00322988" w:rsidRDefault="00322988" w:rsidP="00B21D94">
      <w:pPr>
        <w:jc w:val="both"/>
        <w:rPr>
          <w:lang w:eastAsia="en-US"/>
        </w:rPr>
      </w:pPr>
    </w:p>
    <w:p w14:paraId="790C66CF" w14:textId="77777777" w:rsidR="00322988" w:rsidRDefault="00322988" w:rsidP="00B21D94">
      <w:pPr>
        <w:jc w:val="both"/>
        <w:rPr>
          <w:lang w:eastAsia="en-US"/>
        </w:rPr>
      </w:pPr>
    </w:p>
    <w:p w14:paraId="4BE86A5C" w14:textId="77777777" w:rsidR="00322988" w:rsidRDefault="00322988" w:rsidP="00B21D94">
      <w:pPr>
        <w:jc w:val="both"/>
        <w:rPr>
          <w:lang w:eastAsia="en-US"/>
        </w:rPr>
      </w:pPr>
    </w:p>
    <w:p w14:paraId="3053EEC0" w14:textId="77777777" w:rsidR="00322988" w:rsidRDefault="00322988" w:rsidP="00B21D94">
      <w:pPr>
        <w:jc w:val="both"/>
        <w:rPr>
          <w:lang w:eastAsia="en-US"/>
        </w:rPr>
      </w:pPr>
    </w:p>
    <w:p w14:paraId="209D9D5C" w14:textId="77777777" w:rsidR="00322988" w:rsidRDefault="00322988" w:rsidP="00B21D94">
      <w:pPr>
        <w:jc w:val="both"/>
        <w:rPr>
          <w:lang w:eastAsia="en-US"/>
        </w:rPr>
      </w:pPr>
    </w:p>
    <w:p w14:paraId="7EBFD023" w14:textId="77777777" w:rsidR="00322988" w:rsidRDefault="00322988" w:rsidP="00B21D94">
      <w:pPr>
        <w:jc w:val="both"/>
        <w:rPr>
          <w:lang w:eastAsia="en-US"/>
        </w:rPr>
      </w:pPr>
    </w:p>
    <w:p w14:paraId="74EFF8FB" w14:textId="77777777" w:rsidR="00322988" w:rsidRDefault="00322988" w:rsidP="00B21D94">
      <w:pPr>
        <w:jc w:val="both"/>
        <w:rPr>
          <w:lang w:eastAsia="en-US"/>
        </w:rPr>
      </w:pPr>
    </w:p>
    <w:p w14:paraId="00519F88" w14:textId="77777777" w:rsidR="00322988" w:rsidRDefault="00322988" w:rsidP="00B21D94">
      <w:pPr>
        <w:jc w:val="both"/>
        <w:rPr>
          <w:lang w:eastAsia="en-US"/>
        </w:rPr>
      </w:pPr>
    </w:p>
    <w:p w14:paraId="02A6AAA6" w14:textId="77777777" w:rsidR="00322988" w:rsidRDefault="00322988" w:rsidP="00B21D94">
      <w:pPr>
        <w:jc w:val="both"/>
        <w:rPr>
          <w:lang w:eastAsia="en-US"/>
        </w:rPr>
      </w:pPr>
    </w:p>
    <w:p w14:paraId="03793A65" w14:textId="77777777" w:rsidR="00322988" w:rsidRDefault="00322988" w:rsidP="00B21D94">
      <w:pPr>
        <w:jc w:val="both"/>
        <w:rPr>
          <w:lang w:eastAsia="en-US"/>
        </w:rPr>
      </w:pPr>
    </w:p>
    <w:p w14:paraId="132BAB5E" w14:textId="77777777" w:rsidR="00322988" w:rsidRDefault="00322988" w:rsidP="00B21D94">
      <w:pPr>
        <w:jc w:val="both"/>
        <w:rPr>
          <w:lang w:eastAsia="en-US"/>
        </w:rPr>
      </w:pPr>
    </w:p>
    <w:p w14:paraId="50DBAA27" w14:textId="77777777" w:rsidR="00322988" w:rsidRDefault="00322988" w:rsidP="00B21D94">
      <w:pPr>
        <w:jc w:val="both"/>
        <w:rPr>
          <w:lang w:eastAsia="en-US"/>
        </w:rPr>
      </w:pPr>
    </w:p>
    <w:p w14:paraId="3888A804" w14:textId="77777777" w:rsidR="00322988" w:rsidRDefault="00322988" w:rsidP="00B21D94">
      <w:pPr>
        <w:jc w:val="both"/>
        <w:rPr>
          <w:lang w:eastAsia="en-US"/>
        </w:rPr>
      </w:pPr>
    </w:p>
    <w:p w14:paraId="0DCDF902" w14:textId="77777777" w:rsidR="00322988" w:rsidRDefault="00322988" w:rsidP="00B21D94">
      <w:pPr>
        <w:jc w:val="both"/>
        <w:rPr>
          <w:lang w:eastAsia="en-US"/>
        </w:rPr>
      </w:pPr>
    </w:p>
    <w:p w14:paraId="0AD123C6" w14:textId="77777777" w:rsidR="00322988" w:rsidRDefault="00322988" w:rsidP="00B21D94">
      <w:pPr>
        <w:jc w:val="both"/>
        <w:rPr>
          <w:lang w:eastAsia="en-US"/>
        </w:rPr>
      </w:pPr>
    </w:p>
    <w:p w14:paraId="467B1BE2" w14:textId="77777777" w:rsidR="00322988" w:rsidRDefault="00322988" w:rsidP="00B21D94">
      <w:pPr>
        <w:jc w:val="both"/>
        <w:rPr>
          <w:lang w:eastAsia="en-US"/>
        </w:rPr>
      </w:pPr>
    </w:p>
    <w:p w14:paraId="49241AA3" w14:textId="77777777" w:rsidR="00322988" w:rsidRDefault="00322988" w:rsidP="00B21D94">
      <w:pPr>
        <w:jc w:val="both"/>
        <w:rPr>
          <w:lang w:eastAsia="en-US"/>
        </w:rPr>
      </w:pPr>
    </w:p>
    <w:p w14:paraId="79C26A5C" w14:textId="77777777" w:rsidR="00322988" w:rsidRDefault="00322988" w:rsidP="00B21D94">
      <w:pPr>
        <w:jc w:val="both"/>
        <w:rPr>
          <w:lang w:eastAsia="en-US"/>
        </w:rPr>
      </w:pPr>
    </w:p>
    <w:p w14:paraId="319E1926" w14:textId="77777777" w:rsidR="00322988" w:rsidRDefault="00322988" w:rsidP="00B21D94">
      <w:pPr>
        <w:jc w:val="both"/>
        <w:rPr>
          <w:lang w:eastAsia="en-US"/>
        </w:rPr>
        <w:sectPr w:rsidR="00322988">
          <w:footerReference w:type="even" r:id="rId15"/>
          <w:footerReference w:type="default" r:id="rId16"/>
          <w:pgSz w:w="11906" w:h="16838"/>
          <w:pgMar w:top="1440" w:right="1440" w:bottom="1440" w:left="1440" w:header="708" w:footer="708" w:gutter="0"/>
          <w:cols w:space="708"/>
          <w:docGrid w:linePitch="360"/>
        </w:sectPr>
      </w:pPr>
    </w:p>
    <w:p w14:paraId="5CEB37DD" w14:textId="3F5CCAD2" w:rsidR="00DA24FA" w:rsidRDefault="00DA24FA" w:rsidP="00B21D94">
      <w:pPr>
        <w:pStyle w:val="Heading1"/>
        <w:jc w:val="both"/>
      </w:pPr>
      <w:bookmarkStart w:id="54" w:name="_Toc224307216"/>
      <w:r>
        <w:t>7. Appendices</w:t>
      </w:r>
      <w:bookmarkEnd w:id="54"/>
    </w:p>
    <w:p w14:paraId="5E9F5715" w14:textId="245C282E" w:rsidR="00230EE1" w:rsidRPr="00230EE1" w:rsidRDefault="00DA4CD2" w:rsidP="001E1F70">
      <w:pPr>
        <w:pStyle w:val="Heading2"/>
        <w:jc w:val="both"/>
      </w:pPr>
      <w:bookmarkStart w:id="55" w:name="_Toc224307217"/>
      <w:r w:rsidRPr="00DA4CD2">
        <w:t xml:space="preserve">7.1. </w:t>
      </w:r>
      <w:r w:rsidR="00DA24FA" w:rsidRPr="00DA4CD2">
        <w:t xml:space="preserve">Source </w:t>
      </w:r>
      <w:r w:rsidRPr="00DA4CD2">
        <w:t>Tracking Table</w:t>
      </w:r>
      <w:bookmarkEnd w:id="55"/>
    </w:p>
    <w:p w14:paraId="1332BB16" w14:textId="77777777" w:rsidR="00DA4CD2" w:rsidRPr="00CF23FB" w:rsidRDefault="00DA4CD2" w:rsidP="001E1F70">
      <w:pPr>
        <w:jc w:val="both"/>
        <w:rPr>
          <w:rFonts w:ascii="Arial" w:hAnsi="Arial" w:cs="Arial"/>
          <w:b/>
          <w:bCs/>
          <w:szCs w:val="22"/>
        </w:rPr>
      </w:pPr>
    </w:p>
    <w:tbl>
      <w:tblPr>
        <w:tblStyle w:val="TableGrid"/>
        <w:tblW w:w="5000" w:type="pct"/>
        <w:tblLayout w:type="fixed"/>
        <w:tblLook w:val="04A0" w:firstRow="1" w:lastRow="0" w:firstColumn="1" w:lastColumn="0" w:noHBand="0" w:noVBand="1"/>
      </w:tblPr>
      <w:tblGrid>
        <w:gridCol w:w="1552"/>
        <w:gridCol w:w="1552"/>
        <w:gridCol w:w="2729"/>
        <w:gridCol w:w="3155"/>
        <w:gridCol w:w="2480"/>
        <w:gridCol w:w="2480"/>
      </w:tblGrid>
      <w:tr w:rsidR="008A2EB9" w:rsidRPr="00CF23FB" w14:paraId="07C1931A" w14:textId="77777777" w:rsidTr="008A2EB9">
        <w:tc>
          <w:tcPr>
            <w:tcW w:w="556" w:type="pct"/>
          </w:tcPr>
          <w:p w14:paraId="4DB0BE05" w14:textId="1BEC93BE" w:rsidR="008A2EB9" w:rsidRPr="00CF23FB" w:rsidRDefault="008A2EB9" w:rsidP="00FF5355">
            <w:pPr>
              <w:jc w:val="center"/>
              <w:rPr>
                <w:rFonts w:ascii="Arial" w:hAnsi="Arial" w:cs="Arial"/>
                <w:b/>
                <w:bCs/>
                <w:szCs w:val="22"/>
              </w:rPr>
            </w:pPr>
            <w:r>
              <w:rPr>
                <w:rFonts w:ascii="Arial" w:hAnsi="Arial" w:cs="Arial"/>
                <w:b/>
                <w:bCs/>
                <w:szCs w:val="22"/>
              </w:rPr>
              <w:t>Saved</w:t>
            </w:r>
          </w:p>
        </w:tc>
        <w:tc>
          <w:tcPr>
            <w:tcW w:w="556" w:type="pct"/>
            <w:hideMark/>
          </w:tcPr>
          <w:p w14:paraId="3F561D70" w14:textId="0235314B" w:rsidR="008A2EB9" w:rsidRPr="00CF23FB" w:rsidRDefault="008A2EB9" w:rsidP="008A2EB9">
            <w:pPr>
              <w:jc w:val="both"/>
              <w:rPr>
                <w:rFonts w:ascii="Arial" w:hAnsi="Arial" w:cs="Arial"/>
                <w:b/>
                <w:bCs/>
                <w:szCs w:val="22"/>
              </w:rPr>
            </w:pPr>
            <w:r w:rsidRPr="00CF23FB">
              <w:rPr>
                <w:rFonts w:ascii="Arial" w:hAnsi="Arial" w:cs="Arial"/>
                <w:b/>
                <w:bCs/>
                <w:szCs w:val="22"/>
              </w:rPr>
              <w:t>Author &amp; Year</w:t>
            </w:r>
          </w:p>
        </w:tc>
        <w:tc>
          <w:tcPr>
            <w:tcW w:w="978" w:type="pct"/>
            <w:hideMark/>
          </w:tcPr>
          <w:p w14:paraId="65B435B7" w14:textId="77777777" w:rsidR="008A2EB9" w:rsidRPr="00CF23FB" w:rsidRDefault="008A2EB9" w:rsidP="008A2EB9">
            <w:pPr>
              <w:jc w:val="both"/>
              <w:rPr>
                <w:rFonts w:ascii="Arial" w:hAnsi="Arial" w:cs="Arial"/>
                <w:b/>
                <w:bCs/>
                <w:szCs w:val="22"/>
              </w:rPr>
            </w:pPr>
            <w:r w:rsidRPr="00CF23FB">
              <w:rPr>
                <w:rFonts w:ascii="Arial" w:hAnsi="Arial" w:cs="Arial"/>
                <w:b/>
                <w:bCs/>
                <w:szCs w:val="22"/>
              </w:rPr>
              <w:t>Title</w:t>
            </w:r>
          </w:p>
        </w:tc>
        <w:tc>
          <w:tcPr>
            <w:tcW w:w="1131" w:type="pct"/>
            <w:hideMark/>
          </w:tcPr>
          <w:p w14:paraId="4D7D9A20" w14:textId="15581547" w:rsidR="008A2EB9" w:rsidRPr="00CF23FB" w:rsidRDefault="008A2EB9" w:rsidP="008A2EB9">
            <w:pPr>
              <w:jc w:val="both"/>
              <w:rPr>
                <w:rFonts w:ascii="Arial" w:hAnsi="Arial" w:cs="Arial"/>
                <w:b/>
                <w:bCs/>
                <w:szCs w:val="22"/>
              </w:rPr>
            </w:pPr>
            <w:r w:rsidRPr="00CF23FB">
              <w:rPr>
                <w:rFonts w:ascii="Arial" w:hAnsi="Arial" w:cs="Arial"/>
                <w:b/>
                <w:bCs/>
                <w:szCs w:val="22"/>
              </w:rPr>
              <w:t>Summary</w:t>
            </w:r>
          </w:p>
        </w:tc>
        <w:tc>
          <w:tcPr>
            <w:tcW w:w="889" w:type="pct"/>
            <w:hideMark/>
          </w:tcPr>
          <w:p w14:paraId="668EA600" w14:textId="77777777" w:rsidR="008A2EB9" w:rsidRPr="00CF23FB" w:rsidRDefault="008A2EB9" w:rsidP="008A2EB9">
            <w:pPr>
              <w:jc w:val="both"/>
              <w:rPr>
                <w:rFonts w:ascii="Arial" w:hAnsi="Arial" w:cs="Arial"/>
                <w:b/>
                <w:bCs/>
                <w:szCs w:val="22"/>
              </w:rPr>
            </w:pPr>
            <w:r w:rsidRPr="00CF23FB">
              <w:rPr>
                <w:rFonts w:ascii="Arial" w:hAnsi="Arial" w:cs="Arial"/>
                <w:b/>
                <w:bCs/>
                <w:szCs w:val="22"/>
              </w:rPr>
              <w:t>CRAAP Notes</w:t>
            </w:r>
          </w:p>
        </w:tc>
        <w:tc>
          <w:tcPr>
            <w:tcW w:w="889" w:type="pct"/>
          </w:tcPr>
          <w:p w14:paraId="098328D1" w14:textId="77777777" w:rsidR="008A2EB9" w:rsidRPr="00CF23FB" w:rsidRDefault="008A2EB9" w:rsidP="008A2EB9">
            <w:pPr>
              <w:jc w:val="both"/>
              <w:rPr>
                <w:rFonts w:ascii="Arial" w:hAnsi="Arial" w:cs="Arial"/>
                <w:b/>
                <w:bCs/>
                <w:szCs w:val="22"/>
              </w:rPr>
            </w:pPr>
            <w:r w:rsidRPr="00CF23FB">
              <w:rPr>
                <w:rFonts w:ascii="Arial" w:hAnsi="Arial" w:cs="Arial"/>
                <w:b/>
                <w:bCs/>
                <w:szCs w:val="22"/>
              </w:rPr>
              <w:t>Suggested File Name</w:t>
            </w:r>
          </w:p>
        </w:tc>
      </w:tr>
      <w:tr w:rsidR="008A2EB9" w:rsidRPr="00CF23FB" w14:paraId="329AE616" w14:textId="77777777" w:rsidTr="008A2EB9">
        <w:tc>
          <w:tcPr>
            <w:tcW w:w="556" w:type="pct"/>
          </w:tcPr>
          <w:p w14:paraId="34CBD6B2" w14:textId="7A5CFA1A"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1F20D70" w14:textId="1076B35E" w:rsidR="008A2EB9" w:rsidRPr="00CF23FB" w:rsidRDefault="008A2EB9" w:rsidP="008A2EB9">
            <w:pPr>
              <w:jc w:val="both"/>
              <w:rPr>
                <w:rFonts w:ascii="Arial" w:hAnsi="Arial" w:cs="Arial"/>
                <w:szCs w:val="22"/>
              </w:rPr>
            </w:pPr>
            <w:r w:rsidRPr="00CF23FB">
              <w:rPr>
                <w:rFonts w:ascii="Arial" w:hAnsi="Arial" w:cs="Arial"/>
                <w:szCs w:val="22"/>
              </w:rPr>
              <w:t>Evans et al., 2023</w:t>
            </w:r>
          </w:p>
        </w:tc>
        <w:tc>
          <w:tcPr>
            <w:tcW w:w="978" w:type="pct"/>
            <w:hideMark/>
          </w:tcPr>
          <w:p w14:paraId="0DFA4607" w14:textId="77777777" w:rsidR="008A2EB9" w:rsidRPr="00CF23FB" w:rsidRDefault="008A2EB9" w:rsidP="008A2EB9">
            <w:pPr>
              <w:jc w:val="both"/>
              <w:rPr>
                <w:rFonts w:ascii="Arial" w:hAnsi="Arial" w:cs="Arial"/>
                <w:szCs w:val="22"/>
              </w:rPr>
            </w:pPr>
            <w:r w:rsidRPr="00CF23FB">
              <w:rPr>
                <w:rFonts w:ascii="Arial" w:hAnsi="Arial" w:cs="Arial"/>
                <w:i/>
                <w:iCs/>
                <w:szCs w:val="22"/>
              </w:rPr>
              <w:t>Interventions targeting the mental health and wellbeing of care-experienced children and young people in higher-income countries: Evidence map and systematic review</w:t>
            </w:r>
          </w:p>
        </w:tc>
        <w:tc>
          <w:tcPr>
            <w:tcW w:w="1131" w:type="pct"/>
            <w:hideMark/>
          </w:tcPr>
          <w:p w14:paraId="555D20D5" w14:textId="77777777" w:rsidR="008A2EB9" w:rsidRPr="00CF23FB" w:rsidRDefault="008A2EB9" w:rsidP="008A2EB9">
            <w:pPr>
              <w:jc w:val="both"/>
              <w:rPr>
                <w:rFonts w:ascii="Arial" w:hAnsi="Arial" w:cs="Arial"/>
                <w:szCs w:val="22"/>
              </w:rPr>
            </w:pPr>
            <w:r w:rsidRPr="00CF23FB">
              <w:rPr>
                <w:rFonts w:ascii="Arial" w:hAnsi="Arial" w:cs="Arial"/>
                <w:szCs w:val="22"/>
              </w:rPr>
              <w:t>Evidence map + systematic review of 64 interventions (124 reports) for care-experienced ≤25s; most evidence from the USA and focused on behavioural/mental disorder outcomes, with gaps for wellbeing and suicide outcomes.</w:t>
            </w:r>
          </w:p>
        </w:tc>
        <w:tc>
          <w:tcPr>
            <w:tcW w:w="889" w:type="pct"/>
            <w:hideMark/>
          </w:tcPr>
          <w:p w14:paraId="70C15E3F"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(2023). </w:t>
            </w:r>
            <w:r w:rsidRPr="00CF23FB">
              <w:rPr>
                <w:rFonts w:ascii="Arial" w:hAnsi="Arial" w:cs="Arial"/>
                <w:b/>
                <w:bCs/>
                <w:szCs w:val="22"/>
              </w:rPr>
              <w:t>R:</w:t>
            </w:r>
            <w:r w:rsidRPr="00CF23FB">
              <w:rPr>
                <w:rFonts w:ascii="Arial" w:hAnsi="Arial" w:cs="Arial"/>
                <w:szCs w:val="22"/>
              </w:rPr>
              <w:t xml:space="preserve"> Moderate—care-experienced but not HE-specific. </w:t>
            </w:r>
            <w:r w:rsidRPr="00CF23FB">
              <w:rPr>
                <w:rFonts w:ascii="Arial" w:hAnsi="Arial" w:cs="Arial"/>
                <w:b/>
                <w:bCs/>
                <w:szCs w:val="22"/>
              </w:rPr>
              <w:t>A:</w:t>
            </w:r>
            <w:r w:rsidRPr="00CF23FB">
              <w:rPr>
                <w:rFonts w:ascii="Arial" w:hAnsi="Arial" w:cs="Arial"/>
                <w:szCs w:val="22"/>
              </w:rPr>
              <w:t xml:space="preserve"> Peer-reviewed (BMC). </w:t>
            </w:r>
            <w:r w:rsidRPr="00CF23FB">
              <w:rPr>
                <w:rFonts w:ascii="Arial" w:hAnsi="Arial" w:cs="Arial"/>
                <w:b/>
                <w:bCs/>
                <w:szCs w:val="22"/>
              </w:rPr>
              <w:t>Acc:</w:t>
            </w:r>
            <w:r w:rsidRPr="00CF23FB">
              <w:rPr>
                <w:rFonts w:ascii="Arial" w:hAnsi="Arial" w:cs="Arial"/>
                <w:szCs w:val="22"/>
              </w:rPr>
              <w:t xml:space="preserve"> Strong systematic methods. </w:t>
            </w:r>
            <w:r w:rsidRPr="00CF23FB">
              <w:rPr>
                <w:rFonts w:ascii="Arial" w:hAnsi="Arial" w:cs="Arial"/>
                <w:b/>
                <w:bCs/>
                <w:szCs w:val="22"/>
              </w:rPr>
              <w:t>P:</w:t>
            </w:r>
            <w:r w:rsidRPr="00CF23FB">
              <w:rPr>
                <w:rFonts w:ascii="Arial" w:hAnsi="Arial" w:cs="Arial"/>
                <w:szCs w:val="22"/>
              </w:rPr>
              <w:t xml:space="preserve"> Research synthesis.</w:t>
            </w:r>
          </w:p>
        </w:tc>
        <w:tc>
          <w:tcPr>
            <w:tcW w:w="889" w:type="pct"/>
          </w:tcPr>
          <w:p w14:paraId="4549930B" w14:textId="77777777" w:rsidR="008A2EB9" w:rsidRPr="00CF23FB" w:rsidRDefault="008A2EB9" w:rsidP="008A2EB9">
            <w:pPr>
              <w:jc w:val="both"/>
              <w:rPr>
                <w:rFonts w:ascii="Arial" w:hAnsi="Arial" w:cs="Arial"/>
                <w:b/>
                <w:bCs/>
                <w:szCs w:val="22"/>
              </w:rPr>
            </w:pPr>
            <w:r w:rsidRPr="00CF23FB">
              <w:rPr>
                <w:rFonts w:ascii="Arial" w:hAnsi="Arial" w:cs="Arial"/>
                <w:szCs w:val="22"/>
              </w:rPr>
              <w:t>2023_Evans_InterventionsEvidenceMap_SystematicReview.pdf</w:t>
            </w:r>
          </w:p>
        </w:tc>
      </w:tr>
      <w:tr w:rsidR="008A2EB9" w:rsidRPr="00CF23FB" w14:paraId="189D0950" w14:textId="77777777" w:rsidTr="008A2EB9">
        <w:tc>
          <w:tcPr>
            <w:tcW w:w="556" w:type="pct"/>
          </w:tcPr>
          <w:p w14:paraId="6E88FBA4" w14:textId="5BF3AD28"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06C9A5FF" w14:textId="0AF83153" w:rsidR="008A2EB9" w:rsidRPr="00CF23FB" w:rsidRDefault="008A2EB9" w:rsidP="008A2EB9">
            <w:pPr>
              <w:jc w:val="both"/>
              <w:rPr>
                <w:rFonts w:ascii="Arial" w:hAnsi="Arial" w:cs="Arial"/>
                <w:szCs w:val="22"/>
              </w:rPr>
            </w:pPr>
            <w:r w:rsidRPr="00CF23FB">
              <w:rPr>
                <w:rFonts w:ascii="Arial" w:hAnsi="Arial" w:cs="Arial"/>
                <w:szCs w:val="22"/>
              </w:rPr>
              <w:t>Hambrick et al., 2016</w:t>
            </w:r>
          </w:p>
        </w:tc>
        <w:tc>
          <w:tcPr>
            <w:tcW w:w="978" w:type="pct"/>
            <w:hideMark/>
          </w:tcPr>
          <w:p w14:paraId="00F1CBD5" w14:textId="77777777" w:rsidR="008A2EB9" w:rsidRPr="00CF23FB" w:rsidRDefault="008A2EB9" w:rsidP="008A2EB9">
            <w:pPr>
              <w:jc w:val="both"/>
              <w:rPr>
                <w:rFonts w:ascii="Arial" w:hAnsi="Arial" w:cs="Arial"/>
                <w:szCs w:val="22"/>
              </w:rPr>
            </w:pPr>
            <w:r w:rsidRPr="00CF23FB">
              <w:rPr>
                <w:rFonts w:ascii="Arial" w:hAnsi="Arial" w:cs="Arial"/>
                <w:i/>
                <w:iCs/>
                <w:szCs w:val="22"/>
              </w:rPr>
              <w:t>Mental health interventions for children in foster care: A systematic review</w:t>
            </w:r>
          </w:p>
        </w:tc>
        <w:tc>
          <w:tcPr>
            <w:tcW w:w="1131" w:type="pct"/>
            <w:hideMark/>
          </w:tcPr>
          <w:p w14:paraId="57255397" w14:textId="77777777" w:rsidR="008A2EB9" w:rsidRPr="00CF23FB" w:rsidRDefault="008A2EB9" w:rsidP="008A2EB9">
            <w:pPr>
              <w:jc w:val="both"/>
              <w:rPr>
                <w:rFonts w:ascii="Arial" w:hAnsi="Arial" w:cs="Arial"/>
                <w:szCs w:val="22"/>
              </w:rPr>
            </w:pPr>
            <w:r w:rsidRPr="00CF23FB">
              <w:rPr>
                <w:rFonts w:ascii="Arial" w:hAnsi="Arial" w:cs="Arial"/>
                <w:szCs w:val="22"/>
              </w:rPr>
              <w:t>Reviews “possibly efficacious” interventions (≥1 RCT) for foster children 0–12; finds limited rigorous community evaluation and calls for better adaptation and moderator analysis.</w:t>
            </w:r>
          </w:p>
        </w:tc>
        <w:tc>
          <w:tcPr>
            <w:tcW w:w="889" w:type="pct"/>
            <w:hideMark/>
          </w:tcPr>
          <w:p w14:paraId="4E049DF3"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Older but foundational. </w:t>
            </w:r>
            <w:r w:rsidRPr="00CF23FB">
              <w:rPr>
                <w:rFonts w:ascii="Arial" w:hAnsi="Arial" w:cs="Arial"/>
                <w:b/>
                <w:bCs/>
                <w:szCs w:val="22"/>
              </w:rPr>
              <w:t>R:</w:t>
            </w:r>
            <w:r w:rsidRPr="00CF23FB">
              <w:rPr>
                <w:rFonts w:ascii="Arial" w:hAnsi="Arial" w:cs="Arial"/>
                <w:szCs w:val="22"/>
              </w:rPr>
              <w:t xml:space="preserve"> Indirect—children, not graduates.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Systematic w/ bias assessment. </w:t>
            </w:r>
            <w:r w:rsidRPr="00CF23FB">
              <w:rPr>
                <w:rFonts w:ascii="Arial" w:hAnsi="Arial" w:cs="Arial"/>
                <w:b/>
                <w:bCs/>
                <w:szCs w:val="22"/>
              </w:rPr>
              <w:t>P:</w:t>
            </w:r>
            <w:r w:rsidRPr="00CF23FB">
              <w:rPr>
                <w:rFonts w:ascii="Arial" w:hAnsi="Arial" w:cs="Arial"/>
                <w:szCs w:val="22"/>
              </w:rPr>
              <w:t xml:space="preserve"> Research synthesis.</w:t>
            </w:r>
          </w:p>
        </w:tc>
        <w:tc>
          <w:tcPr>
            <w:tcW w:w="889" w:type="pct"/>
          </w:tcPr>
          <w:p w14:paraId="222C4D45" w14:textId="77777777" w:rsidR="008A2EB9" w:rsidRPr="00CF23FB" w:rsidRDefault="008A2EB9" w:rsidP="008A2EB9">
            <w:pPr>
              <w:jc w:val="both"/>
              <w:rPr>
                <w:rFonts w:ascii="Arial" w:hAnsi="Arial" w:cs="Arial"/>
                <w:b/>
                <w:bCs/>
                <w:szCs w:val="22"/>
              </w:rPr>
            </w:pPr>
            <w:r w:rsidRPr="00CF23FB">
              <w:rPr>
                <w:rFonts w:ascii="Arial" w:hAnsi="Arial" w:cs="Arial"/>
                <w:szCs w:val="22"/>
              </w:rPr>
              <w:t>2016_Hambrick_MHInterventions_FosterCareChildren_SystematicReview.pdf</w:t>
            </w:r>
          </w:p>
        </w:tc>
      </w:tr>
      <w:tr w:rsidR="008A2EB9" w:rsidRPr="00CF23FB" w14:paraId="6F205FE2" w14:textId="77777777" w:rsidTr="008A2EB9">
        <w:tc>
          <w:tcPr>
            <w:tcW w:w="556" w:type="pct"/>
          </w:tcPr>
          <w:p w14:paraId="388E264A" w14:textId="2E46BF29"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B9CCD98" w14:textId="182AAF27" w:rsidR="008A2EB9" w:rsidRPr="00CF23FB" w:rsidRDefault="008A2EB9" w:rsidP="008A2EB9">
            <w:pPr>
              <w:jc w:val="both"/>
              <w:rPr>
                <w:rFonts w:ascii="Arial" w:hAnsi="Arial" w:cs="Arial"/>
                <w:szCs w:val="22"/>
              </w:rPr>
            </w:pPr>
            <w:r w:rsidRPr="00CF23FB">
              <w:rPr>
                <w:rFonts w:ascii="Arial" w:hAnsi="Arial" w:cs="Arial"/>
                <w:szCs w:val="22"/>
              </w:rPr>
              <w:t>Varnish et al., 2025</w:t>
            </w:r>
          </w:p>
        </w:tc>
        <w:tc>
          <w:tcPr>
            <w:tcW w:w="978" w:type="pct"/>
            <w:hideMark/>
          </w:tcPr>
          <w:p w14:paraId="698804ED" w14:textId="77777777" w:rsidR="008A2EB9" w:rsidRPr="00CF23FB" w:rsidRDefault="008A2EB9" w:rsidP="008A2EB9">
            <w:pPr>
              <w:jc w:val="both"/>
              <w:rPr>
                <w:rFonts w:ascii="Arial" w:hAnsi="Arial" w:cs="Arial"/>
                <w:szCs w:val="22"/>
              </w:rPr>
            </w:pPr>
            <w:r w:rsidRPr="00CF23FB">
              <w:rPr>
                <w:rFonts w:ascii="Arial" w:hAnsi="Arial" w:cs="Arial"/>
                <w:i/>
                <w:iCs/>
                <w:szCs w:val="22"/>
              </w:rPr>
              <w:t>Placement instability and mental health among care-experienced children and young people: UK systematic review and meta-analysis</w:t>
            </w:r>
          </w:p>
        </w:tc>
        <w:tc>
          <w:tcPr>
            <w:tcW w:w="1131" w:type="pct"/>
            <w:hideMark/>
          </w:tcPr>
          <w:p w14:paraId="2231E798" w14:textId="77777777" w:rsidR="008A2EB9" w:rsidRPr="00CF23FB" w:rsidRDefault="008A2EB9" w:rsidP="008A2EB9">
            <w:pPr>
              <w:jc w:val="both"/>
              <w:rPr>
                <w:rFonts w:ascii="Arial" w:hAnsi="Arial" w:cs="Arial"/>
                <w:szCs w:val="22"/>
              </w:rPr>
            </w:pPr>
            <w:r w:rsidRPr="00CF23FB">
              <w:rPr>
                <w:rFonts w:ascii="Arial" w:hAnsi="Arial" w:cs="Arial"/>
                <w:szCs w:val="22"/>
              </w:rPr>
              <w:t>UK-only review/meta-analysis (15 studies; N≈6905) finds placement instability associated with ~2x odds of mental health difficulties; causal direction unclear.</w:t>
            </w:r>
          </w:p>
        </w:tc>
        <w:tc>
          <w:tcPr>
            <w:tcW w:w="889" w:type="pct"/>
            <w:hideMark/>
          </w:tcPr>
          <w:p w14:paraId="6F8E707B"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Very high (2025). </w:t>
            </w:r>
            <w:r w:rsidRPr="00CF23FB">
              <w:rPr>
                <w:rFonts w:ascii="Arial" w:hAnsi="Arial" w:cs="Arial"/>
                <w:b/>
                <w:bCs/>
                <w:szCs w:val="22"/>
              </w:rPr>
              <w:t>R:</w:t>
            </w:r>
            <w:r w:rsidRPr="00CF23FB">
              <w:rPr>
                <w:rFonts w:ascii="Arial" w:hAnsi="Arial" w:cs="Arial"/>
                <w:szCs w:val="22"/>
              </w:rPr>
              <w:t xml:space="preserve"> Indirect—care system mechanism relevant, not HE. </w:t>
            </w:r>
            <w:r w:rsidRPr="00CF23FB">
              <w:rPr>
                <w:rFonts w:ascii="Arial" w:hAnsi="Arial" w:cs="Arial"/>
                <w:b/>
                <w:bCs/>
                <w:szCs w:val="22"/>
              </w:rPr>
              <w:t>A:</w:t>
            </w:r>
            <w:r w:rsidRPr="00CF23FB">
              <w:rPr>
                <w:rFonts w:ascii="Arial" w:hAnsi="Arial" w:cs="Arial"/>
                <w:szCs w:val="22"/>
              </w:rPr>
              <w:t xml:space="preserve"> High (BJPsych). </w:t>
            </w:r>
            <w:r w:rsidRPr="00CF23FB">
              <w:rPr>
                <w:rFonts w:ascii="Arial" w:hAnsi="Arial" w:cs="Arial"/>
                <w:b/>
                <w:bCs/>
                <w:szCs w:val="22"/>
              </w:rPr>
              <w:t>Acc:</w:t>
            </w:r>
            <w:r w:rsidRPr="00CF23FB">
              <w:rPr>
                <w:rFonts w:ascii="Arial" w:hAnsi="Arial" w:cs="Arial"/>
                <w:szCs w:val="22"/>
              </w:rPr>
              <w:t xml:space="preserve"> Meta-analysis + quality appraisal. </w:t>
            </w:r>
            <w:r w:rsidRPr="00CF23FB">
              <w:rPr>
                <w:rFonts w:ascii="Arial" w:hAnsi="Arial" w:cs="Arial"/>
                <w:b/>
                <w:bCs/>
                <w:szCs w:val="22"/>
              </w:rPr>
              <w:t>P:</w:t>
            </w:r>
            <w:r w:rsidRPr="00CF23FB">
              <w:rPr>
                <w:rFonts w:ascii="Arial" w:hAnsi="Arial" w:cs="Arial"/>
                <w:szCs w:val="22"/>
              </w:rPr>
              <w:t xml:space="preserve"> Research synthesis.</w:t>
            </w:r>
          </w:p>
        </w:tc>
        <w:tc>
          <w:tcPr>
            <w:tcW w:w="889" w:type="pct"/>
          </w:tcPr>
          <w:p w14:paraId="467E1CB7" w14:textId="77777777" w:rsidR="008A2EB9" w:rsidRPr="00CF23FB" w:rsidRDefault="008A2EB9" w:rsidP="008A2EB9">
            <w:pPr>
              <w:jc w:val="both"/>
              <w:rPr>
                <w:rFonts w:ascii="Arial" w:hAnsi="Arial" w:cs="Arial"/>
                <w:b/>
                <w:bCs/>
                <w:szCs w:val="22"/>
              </w:rPr>
            </w:pPr>
            <w:r w:rsidRPr="00CF23FB">
              <w:rPr>
                <w:rFonts w:ascii="Arial" w:hAnsi="Arial" w:cs="Arial"/>
                <w:szCs w:val="22"/>
              </w:rPr>
              <w:t>2025_Varnish_PlacementInstability_MentalHealth_UK_MetaAnalysis.pdf</w:t>
            </w:r>
          </w:p>
        </w:tc>
      </w:tr>
      <w:tr w:rsidR="008A2EB9" w:rsidRPr="00CF23FB" w14:paraId="24D0B10D" w14:textId="77777777" w:rsidTr="008A2EB9">
        <w:tc>
          <w:tcPr>
            <w:tcW w:w="556" w:type="pct"/>
          </w:tcPr>
          <w:p w14:paraId="30339E46" w14:textId="6B204363"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78391827" w14:textId="405FA46C" w:rsidR="008A2EB9" w:rsidRPr="00CF23FB" w:rsidRDefault="008A2EB9" w:rsidP="008A2EB9">
            <w:pPr>
              <w:jc w:val="both"/>
              <w:rPr>
                <w:rFonts w:ascii="Arial" w:hAnsi="Arial" w:cs="Arial"/>
                <w:szCs w:val="22"/>
              </w:rPr>
            </w:pPr>
            <w:r w:rsidRPr="00CF23FB">
              <w:rPr>
                <w:rFonts w:ascii="Arial" w:hAnsi="Arial" w:cs="Arial"/>
                <w:szCs w:val="22"/>
              </w:rPr>
              <w:t xml:space="preserve">Miller, Blakeslee </w:t>
            </w:r>
            <w:r>
              <w:rPr>
                <w:rFonts w:ascii="Arial" w:hAnsi="Arial" w:cs="Arial"/>
                <w:szCs w:val="22"/>
              </w:rPr>
              <w:t>and</w:t>
            </w:r>
            <w:r w:rsidRPr="00CF23FB">
              <w:rPr>
                <w:rFonts w:ascii="Arial" w:hAnsi="Arial" w:cs="Arial"/>
                <w:szCs w:val="22"/>
              </w:rPr>
              <w:t xml:space="preserve"> Ison, 2020</w:t>
            </w:r>
          </w:p>
        </w:tc>
        <w:tc>
          <w:tcPr>
            <w:tcW w:w="978" w:type="pct"/>
            <w:hideMark/>
          </w:tcPr>
          <w:p w14:paraId="41607552" w14:textId="77777777" w:rsidR="008A2EB9" w:rsidRPr="00CF23FB" w:rsidRDefault="008A2EB9" w:rsidP="008A2EB9">
            <w:pPr>
              <w:jc w:val="both"/>
              <w:rPr>
                <w:rFonts w:ascii="Arial" w:hAnsi="Arial" w:cs="Arial"/>
                <w:szCs w:val="22"/>
              </w:rPr>
            </w:pPr>
            <w:r w:rsidRPr="00CF23FB">
              <w:rPr>
                <w:rFonts w:ascii="Arial" w:hAnsi="Arial" w:cs="Arial"/>
                <w:i/>
                <w:iCs/>
                <w:szCs w:val="22"/>
              </w:rPr>
              <w:t>Exploring college student identity among young people with foster care histories and mental health challenges</w:t>
            </w:r>
          </w:p>
        </w:tc>
        <w:tc>
          <w:tcPr>
            <w:tcW w:w="1131" w:type="pct"/>
            <w:hideMark/>
          </w:tcPr>
          <w:p w14:paraId="2C81ACDF" w14:textId="77777777" w:rsidR="008A2EB9" w:rsidRPr="00CF23FB" w:rsidRDefault="008A2EB9" w:rsidP="008A2EB9">
            <w:pPr>
              <w:jc w:val="both"/>
              <w:rPr>
                <w:rFonts w:ascii="Arial" w:hAnsi="Arial" w:cs="Arial"/>
                <w:szCs w:val="22"/>
              </w:rPr>
            </w:pPr>
            <w:r w:rsidRPr="00CF23FB">
              <w:rPr>
                <w:rFonts w:ascii="Arial" w:hAnsi="Arial" w:cs="Arial"/>
                <w:szCs w:val="22"/>
              </w:rPr>
              <w:t>Qualitative study (N=18) shows how foster-care identity and mental health interact with help-seeking, stress, and “otherness” in college; recommends foster-aware mental health and targeted campus programmes.</w:t>
            </w:r>
          </w:p>
        </w:tc>
        <w:tc>
          <w:tcPr>
            <w:tcW w:w="889" w:type="pct"/>
            <w:hideMark/>
          </w:tcPr>
          <w:p w14:paraId="05D1B7F0"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High—HE + mental health + foster history.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Small sample; strong depth. </w:t>
            </w:r>
            <w:r w:rsidRPr="00CF23FB">
              <w:rPr>
                <w:rFonts w:ascii="Arial" w:hAnsi="Arial" w:cs="Arial"/>
                <w:b/>
                <w:bCs/>
                <w:szCs w:val="22"/>
              </w:rPr>
              <w:t>P:</w:t>
            </w:r>
            <w:r w:rsidRPr="00CF23FB">
              <w:rPr>
                <w:rFonts w:ascii="Arial" w:hAnsi="Arial" w:cs="Arial"/>
                <w:szCs w:val="22"/>
              </w:rPr>
              <w:t xml:space="preserve"> Empirical qualitative.</w:t>
            </w:r>
          </w:p>
        </w:tc>
        <w:tc>
          <w:tcPr>
            <w:tcW w:w="889" w:type="pct"/>
          </w:tcPr>
          <w:p w14:paraId="598A2C41" w14:textId="77777777" w:rsidR="008A2EB9" w:rsidRPr="00CF23FB" w:rsidRDefault="008A2EB9" w:rsidP="008A2EB9">
            <w:pPr>
              <w:jc w:val="both"/>
              <w:rPr>
                <w:rFonts w:ascii="Arial" w:hAnsi="Arial" w:cs="Arial"/>
                <w:b/>
                <w:bCs/>
                <w:szCs w:val="22"/>
              </w:rPr>
            </w:pPr>
            <w:r w:rsidRPr="00CF23FB">
              <w:rPr>
                <w:rFonts w:ascii="Arial" w:hAnsi="Arial" w:cs="Arial"/>
                <w:szCs w:val="22"/>
              </w:rPr>
              <w:t>2020_Miller_FosterCareIdentity_MentalHealth_CollegeStudents.pdf</w:t>
            </w:r>
          </w:p>
        </w:tc>
      </w:tr>
      <w:tr w:rsidR="008A2EB9" w:rsidRPr="00CF23FB" w14:paraId="5BBCE28C" w14:textId="77777777" w:rsidTr="008A2EB9">
        <w:tc>
          <w:tcPr>
            <w:tcW w:w="556" w:type="pct"/>
          </w:tcPr>
          <w:p w14:paraId="3DE5860B" w14:textId="4FC60F58"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28A659C4" w14:textId="474BB181" w:rsidR="008A2EB9" w:rsidRPr="00CF23FB" w:rsidRDefault="008A2EB9" w:rsidP="008A2EB9">
            <w:pPr>
              <w:jc w:val="both"/>
              <w:rPr>
                <w:rFonts w:ascii="Arial" w:hAnsi="Arial" w:cs="Arial"/>
                <w:szCs w:val="22"/>
              </w:rPr>
            </w:pPr>
            <w:r w:rsidRPr="00CF23FB">
              <w:rPr>
                <w:rFonts w:ascii="Arial" w:hAnsi="Arial" w:cs="Arial"/>
                <w:szCs w:val="22"/>
              </w:rPr>
              <w:t>Trubey et al., 2024</w:t>
            </w:r>
          </w:p>
        </w:tc>
        <w:tc>
          <w:tcPr>
            <w:tcW w:w="978" w:type="pct"/>
            <w:hideMark/>
          </w:tcPr>
          <w:p w14:paraId="10CE7CF6" w14:textId="77777777" w:rsidR="008A2EB9" w:rsidRPr="00CF23FB" w:rsidRDefault="008A2EB9" w:rsidP="008A2EB9">
            <w:pPr>
              <w:jc w:val="both"/>
              <w:rPr>
                <w:rFonts w:ascii="Arial" w:hAnsi="Arial" w:cs="Arial"/>
                <w:szCs w:val="22"/>
              </w:rPr>
            </w:pPr>
            <w:r w:rsidRPr="00CF23FB">
              <w:rPr>
                <w:rFonts w:ascii="Arial" w:hAnsi="Arial" w:cs="Arial"/>
                <w:i/>
                <w:iCs/>
                <w:szCs w:val="22"/>
              </w:rPr>
              <w:t>Effectiveness of mental health and wellbeing interventions for children/young people in care: systematic review and meta-analysis</w:t>
            </w:r>
          </w:p>
        </w:tc>
        <w:tc>
          <w:tcPr>
            <w:tcW w:w="1131" w:type="pct"/>
            <w:hideMark/>
          </w:tcPr>
          <w:p w14:paraId="5C9CAB27" w14:textId="77777777" w:rsidR="008A2EB9" w:rsidRPr="00CF23FB" w:rsidRDefault="008A2EB9" w:rsidP="008A2EB9">
            <w:pPr>
              <w:jc w:val="both"/>
              <w:rPr>
                <w:rFonts w:ascii="Arial" w:hAnsi="Arial" w:cs="Arial"/>
                <w:szCs w:val="22"/>
              </w:rPr>
            </w:pPr>
            <w:r w:rsidRPr="00CF23FB">
              <w:rPr>
                <w:rFonts w:ascii="Arial" w:hAnsi="Arial" w:cs="Arial"/>
                <w:szCs w:val="22"/>
              </w:rPr>
              <w:t>CHIMES meta-analysis of 35 interventions (44 RCT evaluations) finds small short-term improvements in several outcomes; little evidence of longer-term effects and limited wellbeing/suicide intervention evidence.</w:t>
            </w:r>
          </w:p>
        </w:tc>
        <w:tc>
          <w:tcPr>
            <w:tcW w:w="889" w:type="pct"/>
            <w:hideMark/>
          </w:tcPr>
          <w:p w14:paraId="015EE372"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(2024). </w:t>
            </w:r>
            <w:r w:rsidRPr="00CF23FB">
              <w:rPr>
                <w:rFonts w:ascii="Arial" w:hAnsi="Arial" w:cs="Arial"/>
                <w:b/>
                <w:bCs/>
                <w:szCs w:val="22"/>
              </w:rPr>
              <w:t>R:</w:t>
            </w:r>
            <w:r w:rsidRPr="00CF23FB">
              <w:rPr>
                <w:rFonts w:ascii="Arial" w:hAnsi="Arial" w:cs="Arial"/>
                <w:szCs w:val="22"/>
              </w:rPr>
              <w:t xml:space="preserve"> Moderate—care-experienced ≤25, not HE-specific. </w:t>
            </w:r>
            <w:r w:rsidRPr="00CF23FB">
              <w:rPr>
                <w:rFonts w:ascii="Arial" w:hAnsi="Arial" w:cs="Arial"/>
                <w:b/>
                <w:bCs/>
                <w:szCs w:val="22"/>
              </w:rPr>
              <w:t>A:</w:t>
            </w:r>
            <w:r w:rsidRPr="00CF23FB">
              <w:rPr>
                <w:rFonts w:ascii="Arial" w:hAnsi="Arial" w:cs="Arial"/>
                <w:szCs w:val="22"/>
              </w:rPr>
              <w:t xml:space="preserve"> High (TVA). </w:t>
            </w:r>
            <w:r w:rsidRPr="00CF23FB">
              <w:rPr>
                <w:rFonts w:ascii="Arial" w:hAnsi="Arial" w:cs="Arial"/>
                <w:b/>
                <w:bCs/>
                <w:szCs w:val="22"/>
              </w:rPr>
              <w:t>Acc:</w:t>
            </w:r>
            <w:r w:rsidRPr="00CF23FB">
              <w:rPr>
                <w:rFonts w:ascii="Arial" w:hAnsi="Arial" w:cs="Arial"/>
                <w:szCs w:val="22"/>
              </w:rPr>
              <w:t xml:space="preserve"> Robust RCT synthesis. </w:t>
            </w:r>
            <w:r w:rsidRPr="00CF23FB">
              <w:rPr>
                <w:rFonts w:ascii="Arial" w:hAnsi="Arial" w:cs="Arial"/>
                <w:b/>
                <w:bCs/>
                <w:szCs w:val="22"/>
              </w:rPr>
              <w:t>P:</w:t>
            </w:r>
            <w:r w:rsidRPr="00CF23FB">
              <w:rPr>
                <w:rFonts w:ascii="Arial" w:hAnsi="Arial" w:cs="Arial"/>
                <w:szCs w:val="22"/>
              </w:rPr>
              <w:t xml:space="preserve"> Research synthesis.</w:t>
            </w:r>
          </w:p>
        </w:tc>
        <w:tc>
          <w:tcPr>
            <w:tcW w:w="889" w:type="pct"/>
          </w:tcPr>
          <w:p w14:paraId="30482B96" w14:textId="77777777" w:rsidR="008A2EB9" w:rsidRPr="00CF23FB" w:rsidRDefault="008A2EB9" w:rsidP="008A2EB9">
            <w:pPr>
              <w:jc w:val="both"/>
              <w:rPr>
                <w:rFonts w:ascii="Arial" w:hAnsi="Arial" w:cs="Arial"/>
                <w:b/>
                <w:bCs/>
                <w:szCs w:val="22"/>
              </w:rPr>
            </w:pPr>
            <w:r w:rsidRPr="00CF23FB">
              <w:rPr>
                <w:rFonts w:ascii="Arial" w:hAnsi="Arial" w:cs="Arial"/>
                <w:szCs w:val="22"/>
              </w:rPr>
              <w:t>2024_Trubey_CHIMES_Interventions_MetaAnalysis.pdf</w:t>
            </w:r>
          </w:p>
        </w:tc>
      </w:tr>
      <w:tr w:rsidR="008A2EB9" w:rsidRPr="00CF23FB" w14:paraId="41154023" w14:textId="77777777" w:rsidTr="008A2EB9">
        <w:tc>
          <w:tcPr>
            <w:tcW w:w="556" w:type="pct"/>
          </w:tcPr>
          <w:p w14:paraId="1C97A61E" w14:textId="7C478FD6"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65CF04B" w14:textId="29542838" w:rsidR="008A2EB9" w:rsidRPr="00CF23FB" w:rsidRDefault="008A2EB9" w:rsidP="008A2EB9">
            <w:pPr>
              <w:jc w:val="both"/>
              <w:rPr>
                <w:rFonts w:ascii="Arial" w:hAnsi="Arial" w:cs="Arial"/>
                <w:szCs w:val="22"/>
              </w:rPr>
            </w:pPr>
            <w:r w:rsidRPr="00CF23FB">
              <w:rPr>
                <w:rFonts w:ascii="Arial" w:hAnsi="Arial" w:cs="Arial"/>
                <w:szCs w:val="22"/>
              </w:rPr>
              <w:t xml:space="preserve">Lehmann, Hysing </w:t>
            </w:r>
            <w:r>
              <w:rPr>
                <w:rFonts w:ascii="Arial" w:hAnsi="Arial" w:cs="Arial"/>
                <w:szCs w:val="22"/>
              </w:rPr>
              <w:t>and</w:t>
            </w:r>
            <w:r w:rsidRPr="00CF23FB">
              <w:rPr>
                <w:rFonts w:ascii="Arial" w:hAnsi="Arial" w:cs="Arial"/>
                <w:szCs w:val="22"/>
              </w:rPr>
              <w:t xml:space="preserve"> Sivertsen, 2024</w:t>
            </w:r>
          </w:p>
        </w:tc>
        <w:tc>
          <w:tcPr>
            <w:tcW w:w="978" w:type="pct"/>
            <w:hideMark/>
          </w:tcPr>
          <w:p w14:paraId="067B2512" w14:textId="77777777" w:rsidR="008A2EB9" w:rsidRPr="00CF23FB" w:rsidRDefault="008A2EB9" w:rsidP="008A2EB9">
            <w:pPr>
              <w:jc w:val="both"/>
              <w:rPr>
                <w:rFonts w:ascii="Arial" w:hAnsi="Arial" w:cs="Arial"/>
                <w:szCs w:val="22"/>
              </w:rPr>
            </w:pPr>
            <w:r w:rsidRPr="00CF23FB">
              <w:rPr>
                <w:rFonts w:ascii="Arial" w:hAnsi="Arial" w:cs="Arial"/>
                <w:i/>
                <w:iCs/>
                <w:szCs w:val="22"/>
              </w:rPr>
              <w:t>Academic performance, health and support needs: comparing foster care alumni and peers in HE in Norway</w:t>
            </w:r>
          </w:p>
        </w:tc>
        <w:tc>
          <w:tcPr>
            <w:tcW w:w="1131" w:type="pct"/>
            <w:hideMark/>
          </w:tcPr>
          <w:p w14:paraId="3D49E361" w14:textId="77777777" w:rsidR="008A2EB9" w:rsidRPr="00CF23FB" w:rsidRDefault="008A2EB9" w:rsidP="008A2EB9">
            <w:pPr>
              <w:jc w:val="both"/>
              <w:rPr>
                <w:rFonts w:ascii="Arial" w:hAnsi="Arial" w:cs="Arial"/>
                <w:szCs w:val="22"/>
              </w:rPr>
            </w:pPr>
            <w:r w:rsidRPr="00CF23FB">
              <w:rPr>
                <w:rFonts w:ascii="Arial" w:hAnsi="Arial" w:cs="Arial"/>
                <w:szCs w:val="22"/>
              </w:rPr>
              <w:t>National student survey (n=508 foster alumni vs 59,036 peers) shows similar grades/progression but markedly poorer health/wellbeing, higher financial burden, loneliness, and greater need for assistance.</w:t>
            </w:r>
          </w:p>
        </w:tc>
        <w:tc>
          <w:tcPr>
            <w:tcW w:w="889" w:type="pct"/>
            <w:hideMark/>
          </w:tcPr>
          <w:p w14:paraId="56A4D0C9"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High—HE comparison + wellbeing.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Large dataset; self-report limits. </w:t>
            </w:r>
            <w:r w:rsidRPr="00CF23FB">
              <w:rPr>
                <w:rFonts w:ascii="Arial" w:hAnsi="Arial" w:cs="Arial"/>
                <w:b/>
                <w:bCs/>
                <w:szCs w:val="22"/>
              </w:rPr>
              <w:t>P:</w:t>
            </w:r>
            <w:r w:rsidRPr="00CF23FB">
              <w:rPr>
                <w:rFonts w:ascii="Arial" w:hAnsi="Arial" w:cs="Arial"/>
                <w:szCs w:val="22"/>
              </w:rPr>
              <w:t xml:space="preserve"> Observational comparative.</w:t>
            </w:r>
          </w:p>
        </w:tc>
        <w:tc>
          <w:tcPr>
            <w:tcW w:w="889" w:type="pct"/>
          </w:tcPr>
          <w:p w14:paraId="0BEA92FA" w14:textId="77777777" w:rsidR="008A2EB9" w:rsidRPr="00CF23FB" w:rsidRDefault="008A2EB9" w:rsidP="008A2EB9">
            <w:pPr>
              <w:jc w:val="both"/>
              <w:rPr>
                <w:rFonts w:ascii="Arial" w:hAnsi="Arial" w:cs="Arial"/>
                <w:b/>
                <w:bCs/>
                <w:szCs w:val="22"/>
              </w:rPr>
            </w:pPr>
            <w:r w:rsidRPr="00CF23FB">
              <w:rPr>
                <w:rFonts w:ascii="Arial" w:hAnsi="Arial" w:cs="Arial"/>
                <w:szCs w:val="22"/>
              </w:rPr>
              <w:t>2024_Lehmann_FosterCareAlumni_Peers_HE_Norway.pdf</w:t>
            </w:r>
          </w:p>
        </w:tc>
      </w:tr>
      <w:tr w:rsidR="008A2EB9" w:rsidRPr="00CF23FB" w14:paraId="617DA57D" w14:textId="77777777" w:rsidTr="008A2EB9">
        <w:tc>
          <w:tcPr>
            <w:tcW w:w="556" w:type="pct"/>
          </w:tcPr>
          <w:p w14:paraId="40A7D193" w14:textId="60660205"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27401346" w14:textId="00CC821A" w:rsidR="008A2EB9" w:rsidRPr="00CF23FB" w:rsidRDefault="008A2EB9" w:rsidP="008A2EB9">
            <w:pPr>
              <w:jc w:val="both"/>
              <w:rPr>
                <w:rFonts w:ascii="Arial" w:hAnsi="Arial" w:cs="Arial"/>
                <w:szCs w:val="22"/>
              </w:rPr>
            </w:pPr>
            <w:r w:rsidRPr="00CF23FB">
              <w:rPr>
                <w:rFonts w:ascii="Arial" w:hAnsi="Arial" w:cs="Arial"/>
                <w:szCs w:val="22"/>
              </w:rPr>
              <w:t xml:space="preserve">Blakeslee, Miller </w:t>
            </w:r>
            <w:r>
              <w:rPr>
                <w:rFonts w:ascii="Arial" w:hAnsi="Arial" w:cs="Arial"/>
                <w:szCs w:val="22"/>
              </w:rPr>
              <w:t>and</w:t>
            </w:r>
            <w:r w:rsidRPr="00CF23FB">
              <w:rPr>
                <w:rFonts w:ascii="Arial" w:hAnsi="Arial" w:cs="Arial"/>
                <w:szCs w:val="22"/>
              </w:rPr>
              <w:t xml:space="preserve"> Uretsky, 2022</w:t>
            </w:r>
          </w:p>
        </w:tc>
        <w:tc>
          <w:tcPr>
            <w:tcW w:w="978" w:type="pct"/>
            <w:hideMark/>
          </w:tcPr>
          <w:p w14:paraId="6030211F" w14:textId="77777777" w:rsidR="008A2EB9" w:rsidRPr="00CF23FB" w:rsidRDefault="008A2EB9" w:rsidP="008A2EB9">
            <w:pPr>
              <w:jc w:val="both"/>
              <w:rPr>
                <w:rFonts w:ascii="Arial" w:hAnsi="Arial" w:cs="Arial"/>
                <w:szCs w:val="22"/>
              </w:rPr>
            </w:pPr>
            <w:r w:rsidRPr="00CF23FB">
              <w:rPr>
                <w:rFonts w:ascii="Arial" w:hAnsi="Arial" w:cs="Arial"/>
                <w:i/>
                <w:iCs/>
                <w:szCs w:val="22"/>
              </w:rPr>
              <w:t>Project Futures coaching model for college students with foster care backgrounds and mental health challenges</w:t>
            </w:r>
          </w:p>
        </w:tc>
        <w:tc>
          <w:tcPr>
            <w:tcW w:w="1131" w:type="pct"/>
            <w:hideMark/>
          </w:tcPr>
          <w:p w14:paraId="3173810C" w14:textId="77777777" w:rsidR="008A2EB9" w:rsidRPr="00CF23FB" w:rsidRDefault="008A2EB9" w:rsidP="008A2EB9">
            <w:pPr>
              <w:jc w:val="both"/>
              <w:rPr>
                <w:rFonts w:ascii="Arial" w:hAnsi="Arial" w:cs="Arial"/>
                <w:szCs w:val="22"/>
              </w:rPr>
            </w:pPr>
            <w:r w:rsidRPr="00CF23FB">
              <w:rPr>
                <w:rFonts w:ascii="Arial" w:hAnsi="Arial" w:cs="Arial"/>
                <w:szCs w:val="22"/>
              </w:rPr>
              <w:t>Pilot RCT (N=35) of near-peer coaching aimed at self-determination/efficacy shows improvements in empowerment outcomes and signals for GPA and continued enrolment at follow-up.</w:t>
            </w:r>
          </w:p>
        </w:tc>
        <w:tc>
          <w:tcPr>
            <w:tcW w:w="889" w:type="pct"/>
            <w:hideMark/>
          </w:tcPr>
          <w:p w14:paraId="372A7A95"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High—HE intervention + mental health.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Small sample; promising experimental design. </w:t>
            </w:r>
            <w:r w:rsidRPr="00CF23FB">
              <w:rPr>
                <w:rFonts w:ascii="Arial" w:hAnsi="Arial" w:cs="Arial"/>
                <w:b/>
                <w:bCs/>
                <w:szCs w:val="22"/>
              </w:rPr>
              <w:t>P:</w:t>
            </w:r>
            <w:r w:rsidRPr="00CF23FB">
              <w:rPr>
                <w:rFonts w:ascii="Arial" w:hAnsi="Arial" w:cs="Arial"/>
                <w:szCs w:val="22"/>
              </w:rPr>
              <w:t xml:space="preserve"> Intervention evaluation.</w:t>
            </w:r>
          </w:p>
        </w:tc>
        <w:tc>
          <w:tcPr>
            <w:tcW w:w="889" w:type="pct"/>
          </w:tcPr>
          <w:p w14:paraId="73AD7C12" w14:textId="77777777" w:rsidR="008A2EB9" w:rsidRPr="00CF23FB" w:rsidRDefault="008A2EB9" w:rsidP="008A2EB9">
            <w:pPr>
              <w:jc w:val="both"/>
              <w:rPr>
                <w:rFonts w:ascii="Arial" w:hAnsi="Arial" w:cs="Arial"/>
                <w:b/>
                <w:bCs/>
                <w:szCs w:val="22"/>
              </w:rPr>
            </w:pPr>
            <w:r w:rsidRPr="00CF23FB">
              <w:rPr>
                <w:rFonts w:ascii="Arial" w:hAnsi="Arial" w:cs="Arial"/>
                <w:szCs w:val="22"/>
              </w:rPr>
              <w:t>2022_Blakeslee_ProjectFutures_Coaching_PilotRCT.pdf</w:t>
            </w:r>
          </w:p>
        </w:tc>
      </w:tr>
      <w:tr w:rsidR="008A2EB9" w:rsidRPr="00CF23FB" w14:paraId="247AD1E8" w14:textId="77777777" w:rsidTr="008A2EB9">
        <w:tc>
          <w:tcPr>
            <w:tcW w:w="556" w:type="pct"/>
          </w:tcPr>
          <w:p w14:paraId="3971FD9B" w14:textId="44686EA1"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27230E7" w14:textId="011FBBBD" w:rsidR="008A2EB9" w:rsidRPr="00CF23FB" w:rsidRDefault="008A2EB9" w:rsidP="008A2EB9">
            <w:pPr>
              <w:jc w:val="both"/>
              <w:rPr>
                <w:rFonts w:ascii="Arial" w:hAnsi="Arial" w:cs="Arial"/>
                <w:szCs w:val="22"/>
              </w:rPr>
            </w:pPr>
            <w:r w:rsidRPr="00CF23FB">
              <w:rPr>
                <w:rFonts w:ascii="Arial" w:hAnsi="Arial" w:cs="Arial"/>
                <w:szCs w:val="22"/>
              </w:rPr>
              <w:t>Harrison et al., 2023</w:t>
            </w:r>
          </w:p>
        </w:tc>
        <w:tc>
          <w:tcPr>
            <w:tcW w:w="978" w:type="pct"/>
            <w:hideMark/>
          </w:tcPr>
          <w:p w14:paraId="41CAD0FB" w14:textId="77777777" w:rsidR="008A2EB9" w:rsidRPr="00CF23FB" w:rsidRDefault="008A2EB9" w:rsidP="008A2EB9">
            <w:pPr>
              <w:jc w:val="both"/>
              <w:rPr>
                <w:rFonts w:ascii="Arial" w:hAnsi="Arial" w:cs="Arial"/>
                <w:szCs w:val="22"/>
              </w:rPr>
            </w:pPr>
            <w:r w:rsidRPr="00CF23FB">
              <w:rPr>
                <w:rFonts w:ascii="Arial" w:hAnsi="Arial" w:cs="Arial"/>
                <w:i/>
                <w:iCs/>
                <w:szCs w:val="22"/>
              </w:rPr>
              <w:t>Supporting care-experienced students to thrive using the capabilities approach</w:t>
            </w:r>
          </w:p>
        </w:tc>
        <w:tc>
          <w:tcPr>
            <w:tcW w:w="1131" w:type="pct"/>
            <w:hideMark/>
          </w:tcPr>
          <w:p w14:paraId="1CBFF677" w14:textId="77777777" w:rsidR="008A2EB9" w:rsidRPr="00CF23FB" w:rsidRDefault="008A2EB9" w:rsidP="008A2EB9">
            <w:pPr>
              <w:jc w:val="both"/>
              <w:rPr>
                <w:rFonts w:ascii="Arial" w:hAnsi="Arial" w:cs="Arial"/>
                <w:szCs w:val="22"/>
              </w:rPr>
            </w:pPr>
            <w:r w:rsidRPr="00CF23FB">
              <w:rPr>
                <w:rFonts w:ascii="Arial" w:hAnsi="Arial" w:cs="Arial"/>
                <w:szCs w:val="22"/>
              </w:rPr>
              <w:t>Synthesises three UK national studies (total N=461) and argues capabilities approach helps identify “unfreedoms” shaping precarious engagement and informs institutional practice.</w:t>
            </w:r>
          </w:p>
        </w:tc>
        <w:tc>
          <w:tcPr>
            <w:tcW w:w="889" w:type="pct"/>
            <w:hideMark/>
          </w:tcPr>
          <w:p w14:paraId="0B5EFF70"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High—UK HE care-experienced.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Secondary synthesis/theory-led; not graduate-only. </w:t>
            </w:r>
            <w:r w:rsidRPr="00CF23FB">
              <w:rPr>
                <w:rFonts w:ascii="Arial" w:hAnsi="Arial" w:cs="Arial"/>
                <w:b/>
                <w:bCs/>
                <w:szCs w:val="22"/>
              </w:rPr>
              <w:t>P:</w:t>
            </w:r>
            <w:r w:rsidRPr="00CF23FB">
              <w:rPr>
                <w:rFonts w:ascii="Arial" w:hAnsi="Arial" w:cs="Arial"/>
                <w:szCs w:val="22"/>
              </w:rPr>
              <w:t xml:space="preserve"> Conceptual/practice-focused.</w:t>
            </w:r>
          </w:p>
        </w:tc>
        <w:tc>
          <w:tcPr>
            <w:tcW w:w="889" w:type="pct"/>
          </w:tcPr>
          <w:p w14:paraId="567A14BF" w14:textId="77777777" w:rsidR="008A2EB9" w:rsidRPr="00CF23FB" w:rsidRDefault="008A2EB9" w:rsidP="008A2EB9">
            <w:pPr>
              <w:jc w:val="both"/>
              <w:rPr>
                <w:rFonts w:ascii="Arial" w:hAnsi="Arial" w:cs="Arial"/>
                <w:b/>
                <w:bCs/>
                <w:szCs w:val="22"/>
              </w:rPr>
            </w:pPr>
            <w:r w:rsidRPr="00CF23FB">
              <w:rPr>
                <w:rFonts w:ascii="Arial" w:hAnsi="Arial" w:cs="Arial"/>
                <w:szCs w:val="22"/>
              </w:rPr>
              <w:t>2023_Harrison_CapabilitiesApproach_CareExperienced_HE_UK.pdf</w:t>
            </w:r>
          </w:p>
        </w:tc>
      </w:tr>
      <w:tr w:rsidR="008A2EB9" w:rsidRPr="00CF23FB" w14:paraId="0C4D07F2" w14:textId="77777777" w:rsidTr="008A2EB9">
        <w:tc>
          <w:tcPr>
            <w:tcW w:w="556" w:type="pct"/>
          </w:tcPr>
          <w:p w14:paraId="537AA576" w14:textId="7568F725"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4C171B3C" w14:textId="651AE2C6" w:rsidR="008A2EB9" w:rsidRPr="00CF23FB" w:rsidRDefault="008A2EB9" w:rsidP="008A2EB9">
            <w:pPr>
              <w:jc w:val="both"/>
              <w:rPr>
                <w:rFonts w:ascii="Arial" w:hAnsi="Arial" w:cs="Arial"/>
                <w:szCs w:val="22"/>
              </w:rPr>
            </w:pPr>
            <w:r w:rsidRPr="00CF23FB">
              <w:rPr>
                <w:rFonts w:ascii="Arial" w:hAnsi="Arial" w:cs="Arial"/>
                <w:szCs w:val="22"/>
              </w:rPr>
              <w:t xml:space="preserve">Ellis </w:t>
            </w:r>
            <w:r>
              <w:rPr>
                <w:rFonts w:ascii="Arial" w:hAnsi="Arial" w:cs="Arial"/>
                <w:szCs w:val="22"/>
              </w:rPr>
              <w:t>and</w:t>
            </w:r>
            <w:r w:rsidRPr="00CF23FB">
              <w:rPr>
                <w:rFonts w:ascii="Arial" w:hAnsi="Arial" w:cs="Arial"/>
                <w:szCs w:val="22"/>
              </w:rPr>
              <w:t xml:space="preserve"> Johnston, 2022</w:t>
            </w:r>
          </w:p>
        </w:tc>
        <w:tc>
          <w:tcPr>
            <w:tcW w:w="978" w:type="pct"/>
            <w:hideMark/>
          </w:tcPr>
          <w:p w14:paraId="2D7CB5B3" w14:textId="77777777" w:rsidR="008A2EB9" w:rsidRPr="00CF23FB" w:rsidRDefault="008A2EB9" w:rsidP="008A2EB9">
            <w:pPr>
              <w:jc w:val="both"/>
              <w:rPr>
                <w:rFonts w:ascii="Arial" w:hAnsi="Arial" w:cs="Arial"/>
                <w:szCs w:val="22"/>
              </w:rPr>
            </w:pPr>
            <w:r w:rsidRPr="00CF23FB">
              <w:rPr>
                <w:rFonts w:ascii="Arial" w:hAnsi="Arial" w:cs="Arial"/>
                <w:i/>
                <w:iCs/>
                <w:szCs w:val="22"/>
              </w:rPr>
              <w:t>Resilience, higher education and widening participation: generating change for care experienced students</w:t>
            </w:r>
          </w:p>
        </w:tc>
        <w:tc>
          <w:tcPr>
            <w:tcW w:w="1131" w:type="pct"/>
            <w:hideMark/>
          </w:tcPr>
          <w:p w14:paraId="245352E5" w14:textId="77777777" w:rsidR="008A2EB9" w:rsidRPr="00CF23FB" w:rsidRDefault="008A2EB9" w:rsidP="008A2EB9">
            <w:pPr>
              <w:jc w:val="both"/>
              <w:rPr>
                <w:rFonts w:ascii="Arial" w:hAnsi="Arial" w:cs="Arial"/>
                <w:szCs w:val="22"/>
              </w:rPr>
            </w:pPr>
            <w:r w:rsidRPr="00CF23FB">
              <w:rPr>
                <w:rFonts w:ascii="Arial" w:hAnsi="Arial" w:cs="Arial"/>
                <w:szCs w:val="22"/>
              </w:rPr>
              <w:t>Mixed methods (interviews n=42; survey n=192) finds high challenge load, isolation, financial/pastoral gaps; many consider dropout; argues universities should address environmental factors shaping transitions.</w:t>
            </w:r>
          </w:p>
        </w:tc>
        <w:tc>
          <w:tcPr>
            <w:tcW w:w="889" w:type="pct"/>
            <w:hideMark/>
          </w:tcPr>
          <w:p w14:paraId="2B9FDDE1"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High—UK HE transitions.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Good sample; self-report; strong qualitative insight. </w:t>
            </w:r>
            <w:r w:rsidRPr="00CF23FB">
              <w:rPr>
                <w:rFonts w:ascii="Arial" w:hAnsi="Arial" w:cs="Arial"/>
                <w:b/>
                <w:bCs/>
                <w:szCs w:val="22"/>
              </w:rPr>
              <w:t>P:</w:t>
            </w:r>
            <w:r w:rsidRPr="00CF23FB">
              <w:rPr>
                <w:rFonts w:ascii="Arial" w:hAnsi="Arial" w:cs="Arial"/>
                <w:szCs w:val="22"/>
              </w:rPr>
              <w:t xml:space="preserve"> Empirical + practice implications.</w:t>
            </w:r>
          </w:p>
        </w:tc>
        <w:tc>
          <w:tcPr>
            <w:tcW w:w="889" w:type="pct"/>
          </w:tcPr>
          <w:p w14:paraId="2F0FCD8B" w14:textId="77777777" w:rsidR="008A2EB9" w:rsidRPr="00CF23FB" w:rsidRDefault="008A2EB9" w:rsidP="008A2EB9">
            <w:pPr>
              <w:jc w:val="both"/>
              <w:rPr>
                <w:rFonts w:ascii="Arial" w:hAnsi="Arial" w:cs="Arial"/>
                <w:b/>
                <w:bCs/>
                <w:szCs w:val="22"/>
              </w:rPr>
            </w:pPr>
            <w:r w:rsidRPr="00CF23FB">
              <w:rPr>
                <w:rFonts w:ascii="Arial" w:hAnsi="Arial" w:cs="Arial"/>
                <w:szCs w:val="22"/>
              </w:rPr>
              <w:t>2022_EllisJohnston_Resilience_WideningParticipation_CareExperienced.pdf</w:t>
            </w:r>
          </w:p>
        </w:tc>
      </w:tr>
      <w:tr w:rsidR="008A2EB9" w:rsidRPr="00CF23FB" w14:paraId="36442FEE" w14:textId="77777777" w:rsidTr="008A2EB9">
        <w:tc>
          <w:tcPr>
            <w:tcW w:w="556" w:type="pct"/>
          </w:tcPr>
          <w:p w14:paraId="32F2DF3E" w14:textId="56DE2C6B"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7E5D9D35" w14:textId="232A9069" w:rsidR="008A2EB9" w:rsidRPr="00CF23FB" w:rsidRDefault="008A2EB9" w:rsidP="008A2EB9">
            <w:pPr>
              <w:jc w:val="both"/>
              <w:rPr>
                <w:rFonts w:ascii="Arial" w:hAnsi="Arial" w:cs="Arial"/>
                <w:szCs w:val="22"/>
              </w:rPr>
            </w:pPr>
            <w:r w:rsidRPr="00CF23FB">
              <w:rPr>
                <w:rFonts w:ascii="Arial" w:hAnsi="Arial" w:cs="Arial"/>
                <w:szCs w:val="22"/>
              </w:rPr>
              <w:t xml:space="preserve">Pinkney </w:t>
            </w:r>
            <w:r>
              <w:rPr>
                <w:rFonts w:ascii="Arial" w:hAnsi="Arial" w:cs="Arial"/>
                <w:szCs w:val="22"/>
              </w:rPr>
              <w:t>and</w:t>
            </w:r>
            <w:r w:rsidRPr="00CF23FB">
              <w:rPr>
                <w:rFonts w:ascii="Arial" w:hAnsi="Arial" w:cs="Arial"/>
                <w:szCs w:val="22"/>
              </w:rPr>
              <w:t xml:space="preserve"> Walker, 2020</w:t>
            </w:r>
          </w:p>
        </w:tc>
        <w:tc>
          <w:tcPr>
            <w:tcW w:w="978" w:type="pct"/>
            <w:hideMark/>
          </w:tcPr>
          <w:p w14:paraId="6864EB52" w14:textId="77777777" w:rsidR="008A2EB9" w:rsidRPr="00CF23FB" w:rsidRDefault="008A2EB9" w:rsidP="008A2EB9">
            <w:pPr>
              <w:jc w:val="both"/>
              <w:rPr>
                <w:rFonts w:ascii="Arial" w:hAnsi="Arial" w:cs="Arial"/>
                <w:szCs w:val="22"/>
              </w:rPr>
            </w:pPr>
            <w:r w:rsidRPr="00CF23FB">
              <w:rPr>
                <w:rFonts w:ascii="Arial" w:hAnsi="Arial" w:cs="Arial"/>
                <w:i/>
                <w:iCs/>
                <w:szCs w:val="22"/>
              </w:rPr>
              <w:t>“It was me, but it was them that helped me”: issues for care experienced young people in HE</w:t>
            </w:r>
          </w:p>
        </w:tc>
        <w:tc>
          <w:tcPr>
            <w:tcW w:w="1131" w:type="pct"/>
            <w:hideMark/>
          </w:tcPr>
          <w:p w14:paraId="02A49D4E" w14:textId="77777777" w:rsidR="008A2EB9" w:rsidRPr="00CF23FB" w:rsidRDefault="008A2EB9" w:rsidP="008A2EB9">
            <w:pPr>
              <w:jc w:val="both"/>
              <w:rPr>
                <w:rFonts w:ascii="Arial" w:hAnsi="Arial" w:cs="Arial"/>
                <w:szCs w:val="22"/>
              </w:rPr>
            </w:pPr>
            <w:r w:rsidRPr="00CF23FB">
              <w:rPr>
                <w:rFonts w:ascii="Arial" w:hAnsi="Arial" w:cs="Arial"/>
                <w:szCs w:val="22"/>
              </w:rPr>
              <w:t>Small England study combining literature review + interviews + focus groups; highlights relational, consistent, non-judgemental support and financial help as key to success.</w:t>
            </w:r>
          </w:p>
        </w:tc>
        <w:tc>
          <w:tcPr>
            <w:tcW w:w="889" w:type="pct"/>
            <w:hideMark/>
          </w:tcPr>
          <w:p w14:paraId="00337E20"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High—UK HE support mechanisms.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Small/local sample; rich triangulation. </w:t>
            </w:r>
            <w:r w:rsidRPr="00CF23FB">
              <w:rPr>
                <w:rFonts w:ascii="Arial" w:hAnsi="Arial" w:cs="Arial"/>
                <w:b/>
                <w:bCs/>
                <w:szCs w:val="22"/>
              </w:rPr>
              <w:t>P:</w:t>
            </w:r>
            <w:r w:rsidRPr="00CF23FB">
              <w:rPr>
                <w:rFonts w:ascii="Arial" w:hAnsi="Arial" w:cs="Arial"/>
                <w:szCs w:val="22"/>
              </w:rPr>
              <w:t xml:space="preserve"> Applied qualitative.</w:t>
            </w:r>
          </w:p>
        </w:tc>
        <w:tc>
          <w:tcPr>
            <w:tcW w:w="889" w:type="pct"/>
          </w:tcPr>
          <w:p w14:paraId="527A3B5D" w14:textId="77777777" w:rsidR="008A2EB9" w:rsidRPr="00CF23FB" w:rsidRDefault="008A2EB9" w:rsidP="008A2EB9">
            <w:pPr>
              <w:jc w:val="both"/>
              <w:rPr>
                <w:rFonts w:ascii="Arial" w:hAnsi="Arial" w:cs="Arial"/>
                <w:b/>
                <w:bCs/>
                <w:szCs w:val="22"/>
              </w:rPr>
            </w:pPr>
            <w:r w:rsidRPr="00CF23FB">
              <w:rPr>
                <w:rFonts w:ascii="Arial" w:hAnsi="Arial" w:cs="Arial"/>
                <w:szCs w:val="22"/>
              </w:rPr>
              <w:t>2020_PinkneyWalker_CareExperienced_HE_SupportFactors.pdf</w:t>
            </w:r>
          </w:p>
        </w:tc>
      </w:tr>
      <w:tr w:rsidR="008A2EB9" w:rsidRPr="00CF23FB" w14:paraId="49D0A6DA" w14:textId="77777777" w:rsidTr="008A2EB9">
        <w:tc>
          <w:tcPr>
            <w:tcW w:w="556" w:type="pct"/>
          </w:tcPr>
          <w:p w14:paraId="6898F192" w14:textId="245AE6F4"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2E7BA576" w14:textId="2A6B11DC" w:rsidR="008A2EB9" w:rsidRPr="00CF23FB" w:rsidRDefault="008A2EB9" w:rsidP="008A2EB9">
            <w:pPr>
              <w:jc w:val="both"/>
              <w:rPr>
                <w:rFonts w:ascii="Arial" w:hAnsi="Arial" w:cs="Arial"/>
                <w:szCs w:val="22"/>
              </w:rPr>
            </w:pPr>
            <w:r w:rsidRPr="00CF23FB">
              <w:rPr>
                <w:rFonts w:ascii="Arial" w:hAnsi="Arial" w:cs="Arial"/>
                <w:szCs w:val="22"/>
              </w:rPr>
              <w:t xml:space="preserve">Bayfield </w:t>
            </w:r>
            <w:r>
              <w:rPr>
                <w:rFonts w:ascii="Arial" w:hAnsi="Arial" w:cs="Arial"/>
                <w:szCs w:val="22"/>
              </w:rPr>
              <w:t>and</w:t>
            </w:r>
            <w:r w:rsidRPr="00CF23FB">
              <w:rPr>
                <w:rFonts w:ascii="Arial" w:hAnsi="Arial" w:cs="Arial"/>
                <w:szCs w:val="22"/>
              </w:rPr>
              <w:t xml:space="preserve"> Smith, 2024</w:t>
            </w:r>
          </w:p>
        </w:tc>
        <w:tc>
          <w:tcPr>
            <w:tcW w:w="978" w:type="pct"/>
            <w:hideMark/>
          </w:tcPr>
          <w:p w14:paraId="588774E9" w14:textId="70F40E9E" w:rsidR="008A2EB9" w:rsidRPr="00CF23FB" w:rsidRDefault="008A2EB9" w:rsidP="008A2EB9">
            <w:pPr>
              <w:jc w:val="both"/>
              <w:rPr>
                <w:rFonts w:ascii="Arial" w:hAnsi="Arial" w:cs="Arial"/>
                <w:szCs w:val="22"/>
              </w:rPr>
            </w:pPr>
            <w:r w:rsidRPr="00DA4CD2">
              <w:rPr>
                <w:rFonts w:ascii="Arial" w:hAnsi="Arial" w:cs="Arial"/>
                <w:i/>
                <w:iCs/>
                <w:szCs w:val="22"/>
              </w:rPr>
              <w:t>"The bridge between school and uni, that's the bit that's missing": improving access to higher education for care-experienced students</w:t>
            </w:r>
          </w:p>
        </w:tc>
        <w:tc>
          <w:tcPr>
            <w:tcW w:w="1131" w:type="pct"/>
            <w:hideMark/>
          </w:tcPr>
          <w:p w14:paraId="5F9CEEB3" w14:textId="77777777" w:rsidR="008A2EB9" w:rsidRPr="00CF23FB" w:rsidRDefault="008A2EB9" w:rsidP="008A2EB9">
            <w:pPr>
              <w:jc w:val="both"/>
              <w:rPr>
                <w:rFonts w:ascii="Arial" w:hAnsi="Arial" w:cs="Arial"/>
                <w:szCs w:val="22"/>
              </w:rPr>
            </w:pPr>
            <w:r w:rsidRPr="00CF23FB">
              <w:rPr>
                <w:rFonts w:ascii="Arial" w:hAnsi="Arial" w:cs="Arial"/>
                <w:szCs w:val="22"/>
              </w:rPr>
              <w:t>Describes Welsh CLASS Cymru information/advice website developed via consultation; emphasises accessible info, named contacts, consistent outreach, flexible personalised support and partnership working.</w:t>
            </w:r>
          </w:p>
        </w:tc>
        <w:tc>
          <w:tcPr>
            <w:tcW w:w="889" w:type="pct"/>
            <w:hideMark/>
          </w:tcPr>
          <w:p w14:paraId="227E43FD"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High—UK/Wales access + transition support. </w:t>
            </w:r>
            <w:r w:rsidRPr="00CF23FB">
              <w:rPr>
                <w:rFonts w:ascii="Arial" w:hAnsi="Arial" w:cs="Arial"/>
                <w:b/>
                <w:bCs/>
                <w:szCs w:val="22"/>
              </w:rPr>
              <w:t>A:</w:t>
            </w:r>
            <w:r w:rsidRPr="00CF23FB">
              <w:rPr>
                <w:rFonts w:ascii="Arial" w:hAnsi="Arial" w:cs="Arial"/>
                <w:szCs w:val="22"/>
              </w:rPr>
              <w:t xml:space="preserve"> Peer-reviewed journal article. </w:t>
            </w:r>
            <w:r w:rsidRPr="00CF23FB">
              <w:rPr>
                <w:rFonts w:ascii="Arial" w:hAnsi="Arial" w:cs="Arial"/>
                <w:b/>
                <w:bCs/>
                <w:szCs w:val="22"/>
              </w:rPr>
              <w:t>Acc:</w:t>
            </w:r>
            <w:r w:rsidRPr="00CF23FB">
              <w:rPr>
                <w:rFonts w:ascii="Arial" w:hAnsi="Arial" w:cs="Arial"/>
                <w:szCs w:val="22"/>
              </w:rPr>
              <w:t xml:space="preserve"> Impact-project design; limited evaluation evidence. </w:t>
            </w:r>
            <w:r w:rsidRPr="00CF23FB">
              <w:rPr>
                <w:rFonts w:ascii="Arial" w:hAnsi="Arial" w:cs="Arial"/>
                <w:b/>
                <w:bCs/>
                <w:szCs w:val="22"/>
              </w:rPr>
              <w:t>P:</w:t>
            </w:r>
            <w:r w:rsidRPr="00CF23FB">
              <w:rPr>
                <w:rFonts w:ascii="Arial" w:hAnsi="Arial" w:cs="Arial"/>
                <w:szCs w:val="22"/>
              </w:rPr>
              <w:t xml:space="preserve"> Practice/impact dissemination.</w:t>
            </w:r>
          </w:p>
        </w:tc>
        <w:tc>
          <w:tcPr>
            <w:tcW w:w="889" w:type="pct"/>
          </w:tcPr>
          <w:p w14:paraId="6102F728" w14:textId="77777777" w:rsidR="008A2EB9" w:rsidRPr="00CF23FB" w:rsidRDefault="008A2EB9" w:rsidP="008A2EB9">
            <w:pPr>
              <w:jc w:val="both"/>
              <w:rPr>
                <w:rFonts w:ascii="Arial" w:hAnsi="Arial" w:cs="Arial"/>
                <w:b/>
                <w:bCs/>
                <w:szCs w:val="22"/>
              </w:rPr>
            </w:pPr>
            <w:r w:rsidRPr="00CF23FB">
              <w:rPr>
                <w:rFonts w:ascii="Arial" w:hAnsi="Arial" w:cs="Arial"/>
                <w:szCs w:val="22"/>
              </w:rPr>
              <w:t>2024_BayfieldSmith_CLASSCymru_AccessToHE_CareExperienced.pdf</w:t>
            </w:r>
          </w:p>
        </w:tc>
      </w:tr>
      <w:tr w:rsidR="008A2EB9" w:rsidRPr="00CF23FB" w14:paraId="56389F18" w14:textId="77777777" w:rsidTr="008A2EB9">
        <w:tc>
          <w:tcPr>
            <w:tcW w:w="556" w:type="pct"/>
          </w:tcPr>
          <w:p w14:paraId="7C1EBE38" w14:textId="4E5AEF90"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5C9F10A" w14:textId="4E786746" w:rsidR="008A2EB9" w:rsidRPr="00CF23FB" w:rsidRDefault="008A2EB9" w:rsidP="008A2EB9">
            <w:pPr>
              <w:jc w:val="both"/>
              <w:rPr>
                <w:rFonts w:ascii="Arial" w:hAnsi="Arial" w:cs="Arial"/>
                <w:szCs w:val="22"/>
              </w:rPr>
            </w:pPr>
            <w:r w:rsidRPr="00CF23FB">
              <w:rPr>
                <w:rFonts w:ascii="Arial" w:hAnsi="Arial" w:cs="Arial"/>
                <w:szCs w:val="22"/>
              </w:rPr>
              <w:t xml:space="preserve">Gazeley </w:t>
            </w:r>
            <w:r>
              <w:rPr>
                <w:rFonts w:ascii="Arial" w:hAnsi="Arial" w:cs="Arial"/>
                <w:szCs w:val="22"/>
              </w:rPr>
              <w:t>and</w:t>
            </w:r>
            <w:r w:rsidRPr="00CF23FB">
              <w:rPr>
                <w:rFonts w:ascii="Arial" w:hAnsi="Arial" w:cs="Arial"/>
                <w:szCs w:val="22"/>
              </w:rPr>
              <w:t xml:space="preserve"> Hinton-Smith, 2018</w:t>
            </w:r>
          </w:p>
        </w:tc>
        <w:tc>
          <w:tcPr>
            <w:tcW w:w="978" w:type="pct"/>
            <w:hideMark/>
          </w:tcPr>
          <w:p w14:paraId="7F30C92C" w14:textId="77777777" w:rsidR="008A2EB9" w:rsidRPr="00CF23FB" w:rsidRDefault="008A2EB9" w:rsidP="008A2EB9">
            <w:pPr>
              <w:jc w:val="both"/>
              <w:rPr>
                <w:rFonts w:ascii="Arial" w:hAnsi="Arial" w:cs="Arial"/>
                <w:szCs w:val="22"/>
              </w:rPr>
            </w:pPr>
            <w:r w:rsidRPr="00CF23FB">
              <w:rPr>
                <w:rFonts w:ascii="Arial" w:hAnsi="Arial" w:cs="Arial"/>
                <w:i/>
                <w:iCs/>
                <w:szCs w:val="22"/>
              </w:rPr>
              <w:t>Success of looked-after children in HE: near peer coaching, “small steps”, future thinking</w:t>
            </w:r>
          </w:p>
        </w:tc>
        <w:tc>
          <w:tcPr>
            <w:tcW w:w="1131" w:type="pct"/>
            <w:hideMark/>
          </w:tcPr>
          <w:p w14:paraId="0DA29433" w14:textId="77777777" w:rsidR="008A2EB9" w:rsidRPr="00CF23FB" w:rsidRDefault="008A2EB9" w:rsidP="008A2EB9">
            <w:pPr>
              <w:jc w:val="both"/>
              <w:rPr>
                <w:rFonts w:ascii="Arial" w:hAnsi="Arial" w:cs="Arial"/>
                <w:szCs w:val="22"/>
              </w:rPr>
            </w:pPr>
            <w:r w:rsidRPr="00CF23FB">
              <w:rPr>
                <w:rFonts w:ascii="Arial" w:hAnsi="Arial" w:cs="Arial"/>
                <w:szCs w:val="22"/>
              </w:rPr>
              <w:t>Evaluates a UK pre-entry near-peer coaching model (HE Champions); suggests “success” as small steps and highlights relational, human-scale support and recruitment challenges.</w:t>
            </w:r>
          </w:p>
        </w:tc>
        <w:tc>
          <w:tcPr>
            <w:tcW w:w="889" w:type="pct"/>
            <w:hideMark/>
          </w:tcPr>
          <w:p w14:paraId="311C1BB4"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Moderate (2018) but relevant. </w:t>
            </w:r>
            <w:r w:rsidRPr="00CF23FB">
              <w:rPr>
                <w:rFonts w:ascii="Arial" w:hAnsi="Arial" w:cs="Arial"/>
                <w:b/>
                <w:bCs/>
                <w:szCs w:val="22"/>
              </w:rPr>
              <w:t>R:</w:t>
            </w:r>
            <w:r w:rsidRPr="00CF23FB">
              <w:rPr>
                <w:rFonts w:ascii="Arial" w:hAnsi="Arial" w:cs="Arial"/>
                <w:szCs w:val="22"/>
              </w:rPr>
              <w:t xml:space="preserve"> High—UK HE intervention/transition.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Useful practice insights; outcome measurement limited. </w:t>
            </w:r>
            <w:r w:rsidRPr="00CF23FB">
              <w:rPr>
                <w:rFonts w:ascii="Arial" w:hAnsi="Arial" w:cs="Arial"/>
                <w:b/>
                <w:bCs/>
                <w:szCs w:val="22"/>
              </w:rPr>
              <w:t>P:</w:t>
            </w:r>
            <w:r w:rsidRPr="00CF23FB">
              <w:rPr>
                <w:rFonts w:ascii="Arial" w:hAnsi="Arial" w:cs="Arial"/>
                <w:szCs w:val="22"/>
              </w:rPr>
              <w:t xml:space="preserve"> Evaluation/discussion.</w:t>
            </w:r>
          </w:p>
        </w:tc>
        <w:tc>
          <w:tcPr>
            <w:tcW w:w="889" w:type="pct"/>
          </w:tcPr>
          <w:p w14:paraId="1E5FA48E" w14:textId="77777777" w:rsidR="008A2EB9" w:rsidRPr="00CF23FB" w:rsidRDefault="008A2EB9" w:rsidP="008A2EB9">
            <w:pPr>
              <w:jc w:val="both"/>
              <w:rPr>
                <w:rFonts w:ascii="Arial" w:hAnsi="Arial" w:cs="Arial"/>
                <w:b/>
                <w:bCs/>
                <w:szCs w:val="22"/>
              </w:rPr>
            </w:pPr>
            <w:r w:rsidRPr="00CF23FB">
              <w:rPr>
                <w:rFonts w:ascii="Arial" w:hAnsi="Arial" w:cs="Arial"/>
                <w:szCs w:val="22"/>
              </w:rPr>
              <w:t>2018_GazeleyHintonSmith_NearPeerCoaching_HEChampions.pdf</w:t>
            </w:r>
          </w:p>
        </w:tc>
      </w:tr>
      <w:tr w:rsidR="008A2EB9" w:rsidRPr="00CF23FB" w14:paraId="37D46743" w14:textId="77777777" w:rsidTr="008A2EB9">
        <w:tc>
          <w:tcPr>
            <w:tcW w:w="556" w:type="pct"/>
          </w:tcPr>
          <w:p w14:paraId="0708AFF5" w14:textId="11A547C0"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05A8350B" w14:textId="427469B9" w:rsidR="008A2EB9" w:rsidRPr="00CF23FB" w:rsidRDefault="008A2EB9" w:rsidP="008A2EB9">
            <w:pPr>
              <w:jc w:val="both"/>
              <w:rPr>
                <w:rFonts w:ascii="Arial" w:hAnsi="Arial" w:cs="Arial"/>
                <w:szCs w:val="22"/>
              </w:rPr>
            </w:pPr>
            <w:r w:rsidRPr="00CF23FB">
              <w:rPr>
                <w:rFonts w:ascii="Arial" w:hAnsi="Arial" w:cs="Arial"/>
                <w:szCs w:val="22"/>
              </w:rPr>
              <w:t xml:space="preserve">Ellis </w:t>
            </w:r>
            <w:r>
              <w:rPr>
                <w:rFonts w:ascii="Arial" w:hAnsi="Arial" w:cs="Arial"/>
                <w:szCs w:val="22"/>
              </w:rPr>
              <w:t>and</w:t>
            </w:r>
            <w:r w:rsidRPr="00CF23FB">
              <w:rPr>
                <w:rFonts w:ascii="Arial" w:hAnsi="Arial" w:cs="Arial"/>
                <w:szCs w:val="22"/>
              </w:rPr>
              <w:t xml:space="preserve"> Johnston, 2024</w:t>
            </w:r>
          </w:p>
        </w:tc>
        <w:tc>
          <w:tcPr>
            <w:tcW w:w="978" w:type="pct"/>
            <w:hideMark/>
          </w:tcPr>
          <w:p w14:paraId="2107924F" w14:textId="77777777" w:rsidR="008A2EB9" w:rsidRPr="00CF23FB" w:rsidRDefault="008A2EB9" w:rsidP="008A2EB9">
            <w:pPr>
              <w:jc w:val="both"/>
              <w:rPr>
                <w:rFonts w:ascii="Arial" w:hAnsi="Arial" w:cs="Arial"/>
                <w:szCs w:val="22"/>
              </w:rPr>
            </w:pPr>
            <w:r w:rsidRPr="00CF23FB">
              <w:rPr>
                <w:rFonts w:ascii="Arial" w:hAnsi="Arial" w:cs="Arial"/>
                <w:i/>
                <w:iCs/>
                <w:szCs w:val="22"/>
              </w:rPr>
              <w:t>Care and education: instability, stigma and responsibilisation of educational achievement</w:t>
            </w:r>
          </w:p>
        </w:tc>
        <w:tc>
          <w:tcPr>
            <w:tcW w:w="1131" w:type="pct"/>
            <w:hideMark/>
          </w:tcPr>
          <w:p w14:paraId="3A8493BA" w14:textId="77777777" w:rsidR="008A2EB9" w:rsidRPr="00CF23FB" w:rsidRDefault="008A2EB9" w:rsidP="008A2EB9">
            <w:pPr>
              <w:jc w:val="both"/>
              <w:rPr>
                <w:rFonts w:ascii="Arial" w:hAnsi="Arial" w:cs="Arial"/>
                <w:szCs w:val="22"/>
              </w:rPr>
            </w:pPr>
            <w:r w:rsidRPr="00CF23FB">
              <w:rPr>
                <w:rFonts w:ascii="Arial" w:hAnsi="Arial" w:cs="Arial"/>
                <w:szCs w:val="22"/>
              </w:rPr>
              <w:t>Survey-based evidence (n=234 care-experienced in England/Wales) shows even “high achievers” face instability, stigma and weak institutional support; critiques meritocracy/resilience narratives.</w:t>
            </w:r>
          </w:p>
        </w:tc>
        <w:tc>
          <w:tcPr>
            <w:tcW w:w="889" w:type="pct"/>
            <w:hideMark/>
          </w:tcPr>
          <w:p w14:paraId="0B2414CD"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High—UK HE pathways + structural critique.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Strong framing; self-report limitations. </w:t>
            </w:r>
            <w:r w:rsidRPr="00CF23FB">
              <w:rPr>
                <w:rFonts w:ascii="Arial" w:hAnsi="Arial" w:cs="Arial"/>
                <w:b/>
                <w:bCs/>
                <w:szCs w:val="22"/>
              </w:rPr>
              <w:t>P:</w:t>
            </w:r>
            <w:r w:rsidRPr="00CF23FB">
              <w:rPr>
                <w:rFonts w:ascii="Arial" w:hAnsi="Arial" w:cs="Arial"/>
                <w:szCs w:val="22"/>
              </w:rPr>
              <w:t xml:space="preserve"> Empirical + critical analysis.</w:t>
            </w:r>
          </w:p>
        </w:tc>
        <w:tc>
          <w:tcPr>
            <w:tcW w:w="889" w:type="pct"/>
          </w:tcPr>
          <w:p w14:paraId="023EA1DE" w14:textId="77777777" w:rsidR="008A2EB9" w:rsidRPr="00CF23FB" w:rsidRDefault="008A2EB9" w:rsidP="008A2EB9">
            <w:pPr>
              <w:jc w:val="both"/>
              <w:rPr>
                <w:rFonts w:ascii="Arial" w:hAnsi="Arial" w:cs="Arial"/>
                <w:b/>
                <w:bCs/>
                <w:szCs w:val="22"/>
              </w:rPr>
            </w:pPr>
            <w:r w:rsidRPr="00CF23FB">
              <w:rPr>
                <w:rFonts w:ascii="Arial" w:hAnsi="Arial" w:cs="Arial"/>
                <w:szCs w:val="22"/>
              </w:rPr>
              <w:t>2024_EllisJohnston_InstabilityStigma_Responsibilisation_Education.pdf</w:t>
            </w:r>
          </w:p>
        </w:tc>
      </w:tr>
      <w:tr w:rsidR="008A2EB9" w:rsidRPr="00CF23FB" w14:paraId="42D0EE9C" w14:textId="77777777" w:rsidTr="008A2EB9">
        <w:tc>
          <w:tcPr>
            <w:tcW w:w="556" w:type="pct"/>
          </w:tcPr>
          <w:p w14:paraId="52CD3E1A" w14:textId="0CBE3B76"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581AB43A" w14:textId="735303FF" w:rsidR="008A2EB9" w:rsidRPr="00CF23FB" w:rsidRDefault="008A2EB9" w:rsidP="008A2EB9">
            <w:pPr>
              <w:jc w:val="both"/>
              <w:rPr>
                <w:rFonts w:ascii="Arial" w:hAnsi="Arial" w:cs="Arial"/>
                <w:szCs w:val="22"/>
              </w:rPr>
            </w:pPr>
            <w:r w:rsidRPr="00CF23FB">
              <w:rPr>
                <w:rFonts w:ascii="Arial" w:hAnsi="Arial" w:cs="Arial"/>
                <w:szCs w:val="22"/>
              </w:rPr>
              <w:t xml:space="preserve">Cotton, Nash </w:t>
            </w:r>
            <w:r>
              <w:rPr>
                <w:rFonts w:ascii="Arial" w:hAnsi="Arial" w:cs="Arial"/>
                <w:szCs w:val="22"/>
              </w:rPr>
              <w:t>and</w:t>
            </w:r>
            <w:r w:rsidRPr="00CF23FB">
              <w:rPr>
                <w:rFonts w:ascii="Arial" w:hAnsi="Arial" w:cs="Arial"/>
                <w:szCs w:val="22"/>
              </w:rPr>
              <w:t xml:space="preserve"> Kneale, 2017</w:t>
            </w:r>
          </w:p>
        </w:tc>
        <w:tc>
          <w:tcPr>
            <w:tcW w:w="978" w:type="pct"/>
            <w:hideMark/>
          </w:tcPr>
          <w:p w14:paraId="13810803" w14:textId="77777777" w:rsidR="008A2EB9" w:rsidRPr="00CF23FB" w:rsidRDefault="008A2EB9" w:rsidP="008A2EB9">
            <w:pPr>
              <w:jc w:val="both"/>
              <w:rPr>
                <w:rFonts w:ascii="Arial" w:hAnsi="Arial" w:cs="Arial"/>
                <w:szCs w:val="22"/>
              </w:rPr>
            </w:pPr>
            <w:r w:rsidRPr="00CF23FB">
              <w:rPr>
                <w:rFonts w:ascii="Arial" w:hAnsi="Arial" w:cs="Arial"/>
                <w:i/>
                <w:iCs/>
                <w:szCs w:val="22"/>
              </w:rPr>
              <w:t>Supporting retention of non-traditional students using a resilience framework</w:t>
            </w:r>
          </w:p>
        </w:tc>
        <w:tc>
          <w:tcPr>
            <w:tcW w:w="1131" w:type="pct"/>
            <w:hideMark/>
          </w:tcPr>
          <w:p w14:paraId="581D26FE" w14:textId="77777777" w:rsidR="008A2EB9" w:rsidRPr="00CF23FB" w:rsidRDefault="008A2EB9" w:rsidP="008A2EB9">
            <w:pPr>
              <w:jc w:val="both"/>
              <w:rPr>
                <w:rFonts w:ascii="Arial" w:hAnsi="Arial" w:cs="Arial"/>
                <w:szCs w:val="22"/>
              </w:rPr>
            </w:pPr>
            <w:r w:rsidRPr="00CF23FB">
              <w:rPr>
                <w:rFonts w:ascii="Arial" w:hAnsi="Arial" w:cs="Arial"/>
                <w:szCs w:val="22"/>
              </w:rPr>
              <w:t>UK/Europe-focused discussion of retention for non-traditional students using resilience to identify risk/protective factors; proposes support measures like bursaries, monitoring, specialist staff/peer mentors.</w:t>
            </w:r>
          </w:p>
        </w:tc>
        <w:tc>
          <w:tcPr>
            <w:tcW w:w="889" w:type="pct"/>
            <w:hideMark/>
          </w:tcPr>
          <w:p w14:paraId="716DB82F"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Moderate (2017). </w:t>
            </w:r>
            <w:r w:rsidRPr="00CF23FB">
              <w:rPr>
                <w:rFonts w:ascii="Arial" w:hAnsi="Arial" w:cs="Arial"/>
                <w:b/>
                <w:bCs/>
                <w:szCs w:val="22"/>
              </w:rPr>
              <w:t>R:</w:t>
            </w:r>
            <w:r w:rsidRPr="00CF23FB">
              <w:rPr>
                <w:rFonts w:ascii="Arial" w:hAnsi="Arial" w:cs="Arial"/>
                <w:szCs w:val="22"/>
              </w:rPr>
              <w:t xml:space="preserve"> Medium—non-traditional, not foster-specific.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Conceptual with applied insights. </w:t>
            </w:r>
            <w:r w:rsidRPr="00CF23FB">
              <w:rPr>
                <w:rFonts w:ascii="Arial" w:hAnsi="Arial" w:cs="Arial"/>
                <w:b/>
                <w:bCs/>
                <w:szCs w:val="22"/>
              </w:rPr>
              <w:t>P:</w:t>
            </w:r>
            <w:r w:rsidRPr="00CF23FB">
              <w:rPr>
                <w:rFonts w:ascii="Arial" w:hAnsi="Arial" w:cs="Arial"/>
                <w:szCs w:val="22"/>
              </w:rPr>
              <w:t xml:space="preserve"> Framework-building.</w:t>
            </w:r>
          </w:p>
        </w:tc>
        <w:tc>
          <w:tcPr>
            <w:tcW w:w="889" w:type="pct"/>
          </w:tcPr>
          <w:p w14:paraId="193FE215" w14:textId="77777777" w:rsidR="008A2EB9" w:rsidRPr="00CF23FB" w:rsidRDefault="008A2EB9" w:rsidP="008A2EB9">
            <w:pPr>
              <w:jc w:val="both"/>
              <w:rPr>
                <w:rFonts w:ascii="Arial" w:hAnsi="Arial" w:cs="Arial"/>
                <w:b/>
                <w:bCs/>
                <w:szCs w:val="22"/>
              </w:rPr>
            </w:pPr>
            <w:r w:rsidRPr="00CF23FB">
              <w:rPr>
                <w:rFonts w:ascii="Arial" w:hAnsi="Arial" w:cs="Arial"/>
                <w:szCs w:val="22"/>
              </w:rPr>
              <w:t>2017_CottonNashKneale_Retention_ResilienceFramework_NonTraditional.pdf</w:t>
            </w:r>
          </w:p>
        </w:tc>
      </w:tr>
      <w:tr w:rsidR="008A2EB9" w:rsidRPr="00CF23FB" w14:paraId="18ECEC3D" w14:textId="77777777" w:rsidTr="008A2EB9">
        <w:tc>
          <w:tcPr>
            <w:tcW w:w="556" w:type="pct"/>
          </w:tcPr>
          <w:p w14:paraId="3C276884" w14:textId="78FBE5DF" w:rsidR="008A2EB9" w:rsidRPr="00CF23FB" w:rsidRDefault="008A2EB9" w:rsidP="00FF5355">
            <w:pPr>
              <w:jc w:val="center"/>
              <w:rPr>
                <w:rFonts w:ascii="Arial" w:hAnsi="Arial" w:cs="Arial"/>
                <w:szCs w:val="22"/>
              </w:rPr>
            </w:pPr>
            <w:r w:rsidRPr="00D4536B">
              <w:rPr>
                <w:rFonts w:ascii="Segoe UI Symbol" w:hAnsi="Segoe UI Symbol" w:cs="Segoe UI Symbol"/>
                <w:color w:val="001D35"/>
                <w:shd w:val="clear" w:color="auto" w:fill="FFFFFF"/>
              </w:rPr>
              <w:t>✓</w:t>
            </w:r>
          </w:p>
        </w:tc>
        <w:tc>
          <w:tcPr>
            <w:tcW w:w="556" w:type="pct"/>
            <w:hideMark/>
          </w:tcPr>
          <w:p w14:paraId="1F028AA3" w14:textId="26D45E03" w:rsidR="008A2EB9" w:rsidRPr="00CF23FB" w:rsidRDefault="008A2EB9" w:rsidP="008A2EB9">
            <w:pPr>
              <w:jc w:val="both"/>
              <w:rPr>
                <w:rFonts w:ascii="Arial" w:hAnsi="Arial" w:cs="Arial"/>
                <w:szCs w:val="22"/>
              </w:rPr>
            </w:pPr>
            <w:r w:rsidRPr="00CF23FB">
              <w:rPr>
                <w:rFonts w:ascii="Arial" w:hAnsi="Arial" w:cs="Arial"/>
                <w:szCs w:val="22"/>
              </w:rPr>
              <w:t>Campbell et al., 2022</w:t>
            </w:r>
          </w:p>
        </w:tc>
        <w:tc>
          <w:tcPr>
            <w:tcW w:w="978" w:type="pct"/>
            <w:hideMark/>
          </w:tcPr>
          <w:p w14:paraId="3F8D46F6" w14:textId="77777777" w:rsidR="008A2EB9" w:rsidRPr="00CF23FB" w:rsidRDefault="008A2EB9" w:rsidP="008A2EB9">
            <w:pPr>
              <w:jc w:val="both"/>
              <w:rPr>
                <w:rFonts w:ascii="Arial" w:hAnsi="Arial" w:cs="Arial"/>
                <w:szCs w:val="22"/>
              </w:rPr>
            </w:pPr>
            <w:r w:rsidRPr="00CF23FB">
              <w:rPr>
                <w:rFonts w:ascii="Arial" w:hAnsi="Arial" w:cs="Arial"/>
                <w:i/>
                <w:iCs/>
                <w:szCs w:val="22"/>
              </w:rPr>
              <w:t>Factors influencing mental health of UK university/college students: systematic review</w:t>
            </w:r>
          </w:p>
        </w:tc>
        <w:tc>
          <w:tcPr>
            <w:tcW w:w="1131" w:type="pct"/>
            <w:hideMark/>
          </w:tcPr>
          <w:p w14:paraId="29E82A9A" w14:textId="77777777" w:rsidR="008A2EB9" w:rsidRPr="00CF23FB" w:rsidRDefault="008A2EB9" w:rsidP="008A2EB9">
            <w:pPr>
              <w:jc w:val="both"/>
              <w:rPr>
                <w:rFonts w:ascii="Arial" w:hAnsi="Arial" w:cs="Arial"/>
                <w:szCs w:val="22"/>
              </w:rPr>
            </w:pPr>
            <w:r w:rsidRPr="00CF23FB">
              <w:rPr>
                <w:rFonts w:ascii="Arial" w:hAnsi="Arial" w:cs="Arial"/>
                <w:szCs w:val="22"/>
              </w:rPr>
              <w:t>UK systematic review (31 observational studies) identifies factors linked to student mental health; highlights trauma history and protective role of supportive social networks.</w:t>
            </w:r>
          </w:p>
        </w:tc>
        <w:tc>
          <w:tcPr>
            <w:tcW w:w="889" w:type="pct"/>
            <w:hideMark/>
          </w:tcPr>
          <w:p w14:paraId="4AB72A9D" w14:textId="77777777" w:rsidR="008A2EB9" w:rsidRPr="00CF23FB" w:rsidRDefault="008A2EB9" w:rsidP="008A2EB9">
            <w:pPr>
              <w:jc w:val="both"/>
              <w:rPr>
                <w:rFonts w:ascii="Arial" w:hAnsi="Arial" w:cs="Arial"/>
                <w:szCs w:val="22"/>
              </w:rPr>
            </w:pPr>
            <w:r w:rsidRPr="00CF23FB">
              <w:rPr>
                <w:rFonts w:ascii="Arial" w:hAnsi="Arial" w:cs="Arial"/>
                <w:b/>
                <w:bCs/>
                <w:szCs w:val="22"/>
              </w:rPr>
              <w:t>C:</w:t>
            </w:r>
            <w:r w:rsidRPr="00CF23FB">
              <w:rPr>
                <w:rFonts w:ascii="Arial" w:hAnsi="Arial" w:cs="Arial"/>
                <w:szCs w:val="22"/>
              </w:rPr>
              <w:t xml:space="preserve"> High. </w:t>
            </w:r>
            <w:r w:rsidRPr="00CF23FB">
              <w:rPr>
                <w:rFonts w:ascii="Arial" w:hAnsi="Arial" w:cs="Arial"/>
                <w:b/>
                <w:bCs/>
                <w:szCs w:val="22"/>
              </w:rPr>
              <w:t>R:</w:t>
            </w:r>
            <w:r w:rsidRPr="00CF23FB">
              <w:rPr>
                <w:rFonts w:ascii="Arial" w:hAnsi="Arial" w:cs="Arial"/>
                <w:szCs w:val="22"/>
              </w:rPr>
              <w:t xml:space="preserve"> Medium—UK HE mental health, not foster-specific. </w:t>
            </w:r>
            <w:r w:rsidRPr="00CF23FB">
              <w:rPr>
                <w:rFonts w:ascii="Arial" w:hAnsi="Arial" w:cs="Arial"/>
                <w:b/>
                <w:bCs/>
                <w:szCs w:val="22"/>
              </w:rPr>
              <w:t>A:</w:t>
            </w:r>
            <w:r w:rsidRPr="00CF23FB">
              <w:rPr>
                <w:rFonts w:ascii="Arial" w:hAnsi="Arial" w:cs="Arial"/>
                <w:szCs w:val="22"/>
              </w:rPr>
              <w:t xml:space="preserve"> Peer-reviewed. </w:t>
            </w:r>
            <w:r w:rsidRPr="00CF23FB">
              <w:rPr>
                <w:rFonts w:ascii="Arial" w:hAnsi="Arial" w:cs="Arial"/>
                <w:b/>
                <w:bCs/>
                <w:szCs w:val="22"/>
              </w:rPr>
              <w:t>Acc:</w:t>
            </w:r>
            <w:r w:rsidRPr="00CF23FB">
              <w:rPr>
                <w:rFonts w:ascii="Arial" w:hAnsi="Arial" w:cs="Arial"/>
                <w:szCs w:val="22"/>
              </w:rPr>
              <w:t xml:space="preserve"> Systematic; heterogeneity acknowledged. </w:t>
            </w:r>
            <w:r w:rsidRPr="00CF23FB">
              <w:rPr>
                <w:rFonts w:ascii="Arial" w:hAnsi="Arial" w:cs="Arial"/>
                <w:b/>
                <w:bCs/>
                <w:szCs w:val="22"/>
              </w:rPr>
              <w:t>P:</w:t>
            </w:r>
            <w:r w:rsidRPr="00CF23FB">
              <w:rPr>
                <w:rFonts w:ascii="Arial" w:hAnsi="Arial" w:cs="Arial"/>
                <w:szCs w:val="22"/>
              </w:rPr>
              <w:t xml:space="preserve"> Evidence synthesis.</w:t>
            </w:r>
          </w:p>
        </w:tc>
        <w:tc>
          <w:tcPr>
            <w:tcW w:w="889" w:type="pct"/>
          </w:tcPr>
          <w:p w14:paraId="6FEAAC9D" w14:textId="77777777" w:rsidR="008A2EB9" w:rsidRPr="00CF23FB" w:rsidRDefault="008A2EB9" w:rsidP="008A2EB9">
            <w:pPr>
              <w:jc w:val="both"/>
              <w:rPr>
                <w:rFonts w:ascii="Arial" w:hAnsi="Arial" w:cs="Arial"/>
                <w:b/>
                <w:bCs/>
                <w:szCs w:val="22"/>
              </w:rPr>
            </w:pPr>
            <w:r w:rsidRPr="00CF23FB">
              <w:rPr>
                <w:rFonts w:ascii="Arial" w:hAnsi="Arial" w:cs="Arial"/>
                <w:szCs w:val="22"/>
              </w:rPr>
              <w:t>2022_Campbell_UKStudentMentalHealth_Factors_SystematicReview.pdf</w:t>
            </w:r>
          </w:p>
        </w:tc>
      </w:tr>
    </w:tbl>
    <w:p w14:paraId="542F9489" w14:textId="77777777" w:rsidR="00DA24FA" w:rsidRPr="00CF23FB" w:rsidRDefault="00DA24FA" w:rsidP="001E1F70">
      <w:pPr>
        <w:jc w:val="both"/>
        <w:rPr>
          <w:rFonts w:ascii="Arial" w:hAnsi="Arial" w:cs="Arial"/>
          <w:szCs w:val="22"/>
        </w:rPr>
      </w:pPr>
    </w:p>
    <w:p w14:paraId="40622456" w14:textId="77777777" w:rsidR="00DA24FA" w:rsidRDefault="00DA24FA" w:rsidP="001E1F70">
      <w:pPr>
        <w:jc w:val="both"/>
        <w:rPr>
          <w:rFonts w:ascii="Arial" w:hAnsi="Arial" w:cs="Arial"/>
          <w:szCs w:val="22"/>
        </w:rPr>
      </w:pPr>
    </w:p>
    <w:p w14:paraId="389CC10D" w14:textId="77777777" w:rsidR="007F0492" w:rsidRDefault="007F0492" w:rsidP="001E1F70">
      <w:pPr>
        <w:jc w:val="both"/>
        <w:rPr>
          <w:rFonts w:ascii="Arial" w:hAnsi="Arial" w:cs="Arial"/>
          <w:szCs w:val="22"/>
        </w:rPr>
      </w:pPr>
    </w:p>
    <w:p w14:paraId="4FF8F85C" w14:textId="5C2E0619" w:rsidR="007F0492" w:rsidRDefault="005B68BC" w:rsidP="001E1F70">
      <w:pPr>
        <w:pStyle w:val="Heading2"/>
        <w:jc w:val="both"/>
      </w:pPr>
      <w:bookmarkStart w:id="56" w:name="_Toc224307218"/>
      <w:r>
        <w:t>7.2. Project Results Summary Table</w:t>
      </w:r>
      <w:bookmarkEnd w:id="56"/>
    </w:p>
    <w:tbl>
      <w:tblPr>
        <w:tblStyle w:val="TableGrid"/>
        <w:tblW w:w="0" w:type="auto"/>
        <w:tblLook w:val="04A0" w:firstRow="1" w:lastRow="0" w:firstColumn="1" w:lastColumn="0" w:noHBand="0" w:noVBand="1"/>
      </w:tblPr>
      <w:tblGrid>
        <w:gridCol w:w="1281"/>
        <w:gridCol w:w="1823"/>
        <w:gridCol w:w="1522"/>
        <w:gridCol w:w="1776"/>
        <w:gridCol w:w="2061"/>
        <w:gridCol w:w="1961"/>
        <w:gridCol w:w="1752"/>
        <w:gridCol w:w="1772"/>
      </w:tblGrid>
      <w:tr w:rsidR="00BA3B52" w:rsidRPr="00BA3B52" w14:paraId="757202B7" w14:textId="77777777" w:rsidTr="00BA3B52">
        <w:tc>
          <w:tcPr>
            <w:tcW w:w="0" w:type="auto"/>
            <w:hideMark/>
          </w:tcPr>
          <w:p w14:paraId="6DA23B3D" w14:textId="77777777" w:rsidR="00BA3B52" w:rsidRPr="00BA3B52" w:rsidRDefault="00BA3B52" w:rsidP="001E1F70">
            <w:pPr>
              <w:jc w:val="both"/>
              <w:rPr>
                <w:rFonts w:ascii="Arial" w:hAnsi="Arial" w:cs="Arial"/>
                <w:b/>
                <w:bCs/>
                <w:szCs w:val="22"/>
              </w:rPr>
            </w:pPr>
            <w:r w:rsidRPr="00BA3B52">
              <w:rPr>
                <w:rFonts w:ascii="Arial" w:hAnsi="Arial" w:cs="Arial"/>
                <w:b/>
                <w:bCs/>
                <w:szCs w:val="22"/>
              </w:rPr>
              <w:t>Author &amp; Year</w:t>
            </w:r>
          </w:p>
        </w:tc>
        <w:tc>
          <w:tcPr>
            <w:tcW w:w="0" w:type="auto"/>
            <w:hideMark/>
          </w:tcPr>
          <w:p w14:paraId="03C7776B" w14:textId="77777777" w:rsidR="00BA3B52" w:rsidRPr="00BA3B52" w:rsidRDefault="00BA3B52" w:rsidP="001E1F70">
            <w:pPr>
              <w:jc w:val="both"/>
              <w:rPr>
                <w:rFonts w:ascii="Arial" w:hAnsi="Arial" w:cs="Arial"/>
                <w:b/>
                <w:bCs/>
                <w:szCs w:val="22"/>
              </w:rPr>
            </w:pPr>
            <w:r w:rsidRPr="00BA3B52">
              <w:rPr>
                <w:rFonts w:ascii="Arial" w:hAnsi="Arial" w:cs="Arial"/>
                <w:b/>
                <w:bCs/>
                <w:szCs w:val="22"/>
              </w:rPr>
              <w:t>Article Title</w:t>
            </w:r>
          </w:p>
        </w:tc>
        <w:tc>
          <w:tcPr>
            <w:tcW w:w="0" w:type="auto"/>
            <w:hideMark/>
          </w:tcPr>
          <w:p w14:paraId="163CF8B3" w14:textId="77777777" w:rsidR="00BA3B52" w:rsidRPr="00BA3B52" w:rsidRDefault="00BA3B52" w:rsidP="001E1F70">
            <w:pPr>
              <w:jc w:val="both"/>
              <w:rPr>
                <w:rFonts w:ascii="Arial" w:hAnsi="Arial" w:cs="Arial"/>
                <w:b/>
                <w:bCs/>
                <w:szCs w:val="22"/>
              </w:rPr>
            </w:pPr>
            <w:r w:rsidRPr="00BA3B52">
              <w:rPr>
                <w:rFonts w:ascii="Arial" w:hAnsi="Arial" w:cs="Arial"/>
                <w:b/>
                <w:bCs/>
                <w:szCs w:val="22"/>
              </w:rPr>
              <w:t>Type of Study</w:t>
            </w:r>
          </w:p>
        </w:tc>
        <w:tc>
          <w:tcPr>
            <w:tcW w:w="0" w:type="auto"/>
            <w:hideMark/>
          </w:tcPr>
          <w:p w14:paraId="3C1DA0AD" w14:textId="77777777" w:rsidR="00BA3B52" w:rsidRPr="00BA3B52" w:rsidRDefault="00BA3B52" w:rsidP="001E1F70">
            <w:pPr>
              <w:jc w:val="both"/>
              <w:rPr>
                <w:rFonts w:ascii="Arial" w:hAnsi="Arial" w:cs="Arial"/>
                <w:b/>
                <w:bCs/>
                <w:szCs w:val="22"/>
              </w:rPr>
            </w:pPr>
            <w:r w:rsidRPr="00BA3B52">
              <w:rPr>
                <w:rFonts w:ascii="Arial" w:hAnsi="Arial" w:cs="Arial"/>
                <w:b/>
                <w:bCs/>
                <w:szCs w:val="22"/>
              </w:rPr>
              <w:t>Research Method &amp; Sample Size</w:t>
            </w:r>
          </w:p>
        </w:tc>
        <w:tc>
          <w:tcPr>
            <w:tcW w:w="0" w:type="auto"/>
            <w:hideMark/>
          </w:tcPr>
          <w:p w14:paraId="57A9E8C9" w14:textId="77777777" w:rsidR="00BA3B52" w:rsidRPr="00BA3B52" w:rsidRDefault="00BA3B52" w:rsidP="001E1F70">
            <w:pPr>
              <w:jc w:val="both"/>
              <w:rPr>
                <w:rFonts w:ascii="Arial" w:hAnsi="Arial" w:cs="Arial"/>
                <w:b/>
                <w:bCs/>
                <w:szCs w:val="22"/>
              </w:rPr>
            </w:pPr>
            <w:r w:rsidRPr="00BA3B52">
              <w:rPr>
                <w:rFonts w:ascii="Arial" w:hAnsi="Arial" w:cs="Arial"/>
                <w:b/>
                <w:bCs/>
                <w:szCs w:val="22"/>
              </w:rPr>
              <w:t>Strengths &amp; Limitations</w:t>
            </w:r>
          </w:p>
        </w:tc>
        <w:tc>
          <w:tcPr>
            <w:tcW w:w="0" w:type="auto"/>
            <w:hideMark/>
          </w:tcPr>
          <w:p w14:paraId="2C543BFD" w14:textId="77777777" w:rsidR="00BA3B52" w:rsidRPr="00BA3B52" w:rsidRDefault="00BA3B52" w:rsidP="001E1F70">
            <w:pPr>
              <w:jc w:val="both"/>
              <w:rPr>
                <w:rFonts w:ascii="Arial" w:hAnsi="Arial" w:cs="Arial"/>
                <w:b/>
                <w:bCs/>
                <w:szCs w:val="22"/>
              </w:rPr>
            </w:pPr>
            <w:r w:rsidRPr="00BA3B52">
              <w:rPr>
                <w:rFonts w:ascii="Arial" w:hAnsi="Arial" w:cs="Arial"/>
                <w:b/>
                <w:bCs/>
                <w:szCs w:val="22"/>
              </w:rPr>
              <w:t>Main Findings</w:t>
            </w:r>
          </w:p>
        </w:tc>
        <w:tc>
          <w:tcPr>
            <w:tcW w:w="0" w:type="auto"/>
            <w:hideMark/>
          </w:tcPr>
          <w:p w14:paraId="368E3200" w14:textId="77777777" w:rsidR="00BA3B52" w:rsidRPr="00BA3B52" w:rsidRDefault="00BA3B52" w:rsidP="001E1F70">
            <w:pPr>
              <w:jc w:val="both"/>
              <w:rPr>
                <w:rFonts w:ascii="Arial" w:hAnsi="Arial" w:cs="Arial"/>
                <w:b/>
                <w:bCs/>
                <w:szCs w:val="22"/>
              </w:rPr>
            </w:pPr>
            <w:r w:rsidRPr="00BA3B52">
              <w:rPr>
                <w:rFonts w:ascii="Arial" w:hAnsi="Arial" w:cs="Arial"/>
                <w:b/>
                <w:bCs/>
                <w:szCs w:val="22"/>
              </w:rPr>
              <w:t>Keywords &amp; Codes</w:t>
            </w:r>
          </w:p>
        </w:tc>
        <w:tc>
          <w:tcPr>
            <w:tcW w:w="0" w:type="auto"/>
            <w:hideMark/>
          </w:tcPr>
          <w:p w14:paraId="082102B8" w14:textId="77777777" w:rsidR="00BA3B52" w:rsidRPr="00BA3B52" w:rsidRDefault="00BA3B52" w:rsidP="001E1F70">
            <w:pPr>
              <w:jc w:val="both"/>
              <w:rPr>
                <w:rFonts w:ascii="Arial" w:hAnsi="Arial" w:cs="Arial"/>
                <w:b/>
                <w:bCs/>
                <w:szCs w:val="22"/>
              </w:rPr>
            </w:pPr>
            <w:r w:rsidRPr="00BA3B52">
              <w:rPr>
                <w:rFonts w:ascii="Arial" w:hAnsi="Arial" w:cs="Arial"/>
                <w:b/>
                <w:bCs/>
                <w:szCs w:val="22"/>
              </w:rPr>
              <w:t>Notes &amp; Comments</w:t>
            </w:r>
          </w:p>
        </w:tc>
      </w:tr>
      <w:tr w:rsidR="00BA3B52" w:rsidRPr="00BA3B52" w14:paraId="3578BBEE" w14:textId="77777777" w:rsidTr="00BA3B52">
        <w:tc>
          <w:tcPr>
            <w:tcW w:w="0" w:type="auto"/>
            <w:hideMark/>
          </w:tcPr>
          <w:p w14:paraId="31DF1753" w14:textId="77777777" w:rsidR="00BA3B52" w:rsidRPr="00BA3B52" w:rsidRDefault="00BA3B52" w:rsidP="001E1F70">
            <w:pPr>
              <w:jc w:val="both"/>
              <w:rPr>
                <w:rFonts w:ascii="Arial" w:hAnsi="Arial" w:cs="Arial"/>
                <w:szCs w:val="22"/>
              </w:rPr>
            </w:pPr>
            <w:r w:rsidRPr="00BA3B52">
              <w:rPr>
                <w:rFonts w:ascii="Arial" w:hAnsi="Arial" w:cs="Arial"/>
                <w:szCs w:val="22"/>
              </w:rPr>
              <w:t>Evans et al. (2023)</w:t>
            </w:r>
          </w:p>
        </w:tc>
        <w:tc>
          <w:tcPr>
            <w:tcW w:w="0" w:type="auto"/>
            <w:hideMark/>
          </w:tcPr>
          <w:p w14:paraId="568E93C2" w14:textId="77777777" w:rsidR="00BA3B52" w:rsidRPr="00BA3B52" w:rsidRDefault="00BA3B52" w:rsidP="001E1F70">
            <w:pPr>
              <w:jc w:val="both"/>
              <w:rPr>
                <w:rFonts w:ascii="Arial" w:hAnsi="Arial" w:cs="Arial"/>
                <w:szCs w:val="22"/>
              </w:rPr>
            </w:pPr>
            <w:r w:rsidRPr="00BA3B52">
              <w:rPr>
                <w:rFonts w:ascii="Arial" w:hAnsi="Arial" w:cs="Arial"/>
                <w:szCs w:val="22"/>
              </w:rPr>
              <w:t>Interventions targeting mental health and wellbeing of care-experienced CYP</w:t>
            </w:r>
          </w:p>
        </w:tc>
        <w:tc>
          <w:tcPr>
            <w:tcW w:w="0" w:type="auto"/>
            <w:hideMark/>
          </w:tcPr>
          <w:p w14:paraId="36C753B1" w14:textId="77777777" w:rsidR="00BA3B52" w:rsidRPr="00BA3B52" w:rsidRDefault="00BA3B52" w:rsidP="001E1F70">
            <w:pPr>
              <w:jc w:val="both"/>
              <w:rPr>
                <w:rFonts w:ascii="Arial" w:hAnsi="Arial" w:cs="Arial"/>
                <w:szCs w:val="22"/>
              </w:rPr>
            </w:pPr>
            <w:r w:rsidRPr="00BA3B52">
              <w:rPr>
                <w:rFonts w:ascii="Arial" w:hAnsi="Arial" w:cs="Arial"/>
                <w:szCs w:val="22"/>
              </w:rPr>
              <w:t>Systematic review &amp; evidence map</w:t>
            </w:r>
          </w:p>
        </w:tc>
        <w:tc>
          <w:tcPr>
            <w:tcW w:w="0" w:type="auto"/>
            <w:hideMark/>
          </w:tcPr>
          <w:p w14:paraId="17E27B74" w14:textId="77777777" w:rsidR="00BA3B52" w:rsidRPr="00BA3B52" w:rsidRDefault="00BA3B52" w:rsidP="001E1F70">
            <w:pPr>
              <w:jc w:val="both"/>
              <w:rPr>
                <w:rFonts w:ascii="Arial" w:hAnsi="Arial" w:cs="Arial"/>
                <w:szCs w:val="22"/>
              </w:rPr>
            </w:pPr>
            <w:r w:rsidRPr="00BA3B52">
              <w:rPr>
                <w:rFonts w:ascii="Arial" w:hAnsi="Arial" w:cs="Arial"/>
                <w:szCs w:val="22"/>
              </w:rPr>
              <w:t>124 study reports; ≤25 yrs; high-income countries</w:t>
            </w:r>
          </w:p>
        </w:tc>
        <w:tc>
          <w:tcPr>
            <w:tcW w:w="0" w:type="auto"/>
            <w:hideMark/>
          </w:tcPr>
          <w:p w14:paraId="66A6D5EC"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Broad scope, theory mapping; </w:t>
            </w:r>
            <w:r w:rsidRPr="00BA3B52">
              <w:rPr>
                <w:rFonts w:ascii="Arial" w:hAnsi="Arial" w:cs="Arial"/>
                <w:b/>
                <w:bCs/>
                <w:szCs w:val="22"/>
              </w:rPr>
              <w:t>–</w:t>
            </w:r>
            <w:r w:rsidRPr="00BA3B52">
              <w:rPr>
                <w:rFonts w:ascii="Arial" w:hAnsi="Arial" w:cs="Arial"/>
                <w:szCs w:val="22"/>
              </w:rPr>
              <w:t xml:space="preserve"> Limited economic/theory depth</w:t>
            </w:r>
          </w:p>
        </w:tc>
        <w:tc>
          <w:tcPr>
            <w:tcW w:w="0" w:type="auto"/>
            <w:hideMark/>
          </w:tcPr>
          <w:p w14:paraId="2969B533" w14:textId="77777777" w:rsidR="00BA3B52" w:rsidRPr="00BA3B52" w:rsidRDefault="00BA3B52" w:rsidP="001E1F70">
            <w:pPr>
              <w:jc w:val="both"/>
              <w:rPr>
                <w:rFonts w:ascii="Arial" w:hAnsi="Arial" w:cs="Arial"/>
                <w:szCs w:val="22"/>
              </w:rPr>
            </w:pPr>
            <w:r w:rsidRPr="00BA3B52">
              <w:rPr>
                <w:rFonts w:ascii="Arial" w:hAnsi="Arial" w:cs="Arial"/>
                <w:szCs w:val="22"/>
              </w:rPr>
              <w:t>Interventions show short-term mental health benefits; gaps in wellbeing &amp; suicide outcomes</w:t>
            </w:r>
          </w:p>
        </w:tc>
        <w:tc>
          <w:tcPr>
            <w:tcW w:w="0" w:type="auto"/>
            <w:hideMark/>
          </w:tcPr>
          <w:p w14:paraId="57591FAC" w14:textId="77777777" w:rsidR="00BA3B52" w:rsidRPr="00BA3B52" w:rsidRDefault="00BA3B52" w:rsidP="001E1F70">
            <w:pPr>
              <w:jc w:val="both"/>
              <w:rPr>
                <w:rFonts w:ascii="Arial" w:hAnsi="Arial" w:cs="Arial"/>
                <w:szCs w:val="22"/>
              </w:rPr>
            </w:pPr>
            <w:r w:rsidRPr="00BA3B52">
              <w:rPr>
                <w:rFonts w:ascii="Arial" w:hAnsi="Arial" w:cs="Arial"/>
                <w:szCs w:val="22"/>
              </w:rPr>
              <w:t>Care-experienced; mental health; interventions</w:t>
            </w:r>
          </w:p>
        </w:tc>
        <w:tc>
          <w:tcPr>
            <w:tcW w:w="0" w:type="auto"/>
            <w:hideMark/>
          </w:tcPr>
          <w:p w14:paraId="1120E187" w14:textId="77777777" w:rsidR="00BA3B52" w:rsidRPr="00BA3B52" w:rsidRDefault="00BA3B52" w:rsidP="001E1F70">
            <w:pPr>
              <w:jc w:val="both"/>
              <w:rPr>
                <w:rFonts w:ascii="Arial" w:hAnsi="Arial" w:cs="Arial"/>
                <w:szCs w:val="22"/>
              </w:rPr>
            </w:pPr>
            <w:r w:rsidRPr="00BA3B52">
              <w:rPr>
                <w:rFonts w:ascii="Arial" w:hAnsi="Arial" w:cs="Arial"/>
                <w:szCs w:val="22"/>
              </w:rPr>
              <w:t>Highlights need for theory-led, structural interventions</w:t>
            </w:r>
          </w:p>
        </w:tc>
      </w:tr>
      <w:tr w:rsidR="00BA3B52" w:rsidRPr="00BA3B52" w14:paraId="3C5FF8BC" w14:textId="77777777" w:rsidTr="00BA3B52">
        <w:tc>
          <w:tcPr>
            <w:tcW w:w="0" w:type="auto"/>
            <w:hideMark/>
          </w:tcPr>
          <w:p w14:paraId="73CE62AA" w14:textId="77777777" w:rsidR="00BA3B52" w:rsidRPr="00BA3B52" w:rsidRDefault="00BA3B52" w:rsidP="001E1F70">
            <w:pPr>
              <w:jc w:val="both"/>
              <w:rPr>
                <w:rFonts w:ascii="Arial" w:hAnsi="Arial" w:cs="Arial"/>
                <w:szCs w:val="22"/>
              </w:rPr>
            </w:pPr>
            <w:r w:rsidRPr="00BA3B52">
              <w:rPr>
                <w:rFonts w:ascii="Arial" w:hAnsi="Arial" w:cs="Arial"/>
                <w:szCs w:val="22"/>
              </w:rPr>
              <w:t>Hambrick et al. (2016)</w:t>
            </w:r>
          </w:p>
        </w:tc>
        <w:tc>
          <w:tcPr>
            <w:tcW w:w="0" w:type="auto"/>
            <w:hideMark/>
          </w:tcPr>
          <w:p w14:paraId="4FABFF5B" w14:textId="77777777" w:rsidR="00BA3B52" w:rsidRPr="00BA3B52" w:rsidRDefault="00BA3B52" w:rsidP="001E1F70">
            <w:pPr>
              <w:jc w:val="both"/>
              <w:rPr>
                <w:rFonts w:ascii="Arial" w:hAnsi="Arial" w:cs="Arial"/>
                <w:szCs w:val="22"/>
              </w:rPr>
            </w:pPr>
            <w:r w:rsidRPr="00BA3B52">
              <w:rPr>
                <w:rFonts w:ascii="Arial" w:hAnsi="Arial" w:cs="Arial"/>
                <w:szCs w:val="22"/>
              </w:rPr>
              <w:t>Mental health interventions for children in foster care</w:t>
            </w:r>
          </w:p>
        </w:tc>
        <w:tc>
          <w:tcPr>
            <w:tcW w:w="0" w:type="auto"/>
            <w:hideMark/>
          </w:tcPr>
          <w:p w14:paraId="1470199B" w14:textId="77777777" w:rsidR="00BA3B52" w:rsidRPr="00BA3B52" w:rsidRDefault="00BA3B52" w:rsidP="001E1F70">
            <w:pPr>
              <w:jc w:val="both"/>
              <w:rPr>
                <w:rFonts w:ascii="Arial" w:hAnsi="Arial" w:cs="Arial"/>
                <w:szCs w:val="22"/>
              </w:rPr>
            </w:pPr>
            <w:r w:rsidRPr="00BA3B52">
              <w:rPr>
                <w:rFonts w:ascii="Arial" w:hAnsi="Arial" w:cs="Arial"/>
                <w:szCs w:val="22"/>
              </w:rPr>
              <w:t>Systematic review</w:t>
            </w:r>
          </w:p>
        </w:tc>
        <w:tc>
          <w:tcPr>
            <w:tcW w:w="0" w:type="auto"/>
            <w:hideMark/>
          </w:tcPr>
          <w:p w14:paraId="2B931717" w14:textId="77777777" w:rsidR="00BA3B52" w:rsidRPr="00BA3B52" w:rsidRDefault="00BA3B52" w:rsidP="001E1F70">
            <w:pPr>
              <w:jc w:val="both"/>
              <w:rPr>
                <w:rFonts w:ascii="Arial" w:hAnsi="Arial" w:cs="Arial"/>
                <w:szCs w:val="22"/>
              </w:rPr>
            </w:pPr>
            <w:r w:rsidRPr="00BA3B52">
              <w:rPr>
                <w:rFonts w:ascii="Arial" w:hAnsi="Arial" w:cs="Arial"/>
                <w:szCs w:val="22"/>
              </w:rPr>
              <w:t>10 RCT-supported interventions; ages 0–12</w:t>
            </w:r>
          </w:p>
        </w:tc>
        <w:tc>
          <w:tcPr>
            <w:tcW w:w="0" w:type="auto"/>
            <w:hideMark/>
          </w:tcPr>
          <w:p w14:paraId="44E9A7A5"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Rigorous inclusion; </w:t>
            </w:r>
            <w:r w:rsidRPr="00BA3B52">
              <w:rPr>
                <w:rFonts w:ascii="Arial" w:hAnsi="Arial" w:cs="Arial"/>
                <w:b/>
                <w:bCs/>
                <w:szCs w:val="22"/>
              </w:rPr>
              <w:t>–</w:t>
            </w:r>
            <w:r w:rsidRPr="00BA3B52">
              <w:rPr>
                <w:rFonts w:ascii="Arial" w:hAnsi="Arial" w:cs="Arial"/>
                <w:szCs w:val="22"/>
              </w:rPr>
              <w:t xml:space="preserve"> Limited community evaluation</w:t>
            </w:r>
          </w:p>
        </w:tc>
        <w:tc>
          <w:tcPr>
            <w:tcW w:w="0" w:type="auto"/>
            <w:hideMark/>
          </w:tcPr>
          <w:p w14:paraId="52D13A0F" w14:textId="77777777" w:rsidR="00BA3B52" w:rsidRPr="00BA3B52" w:rsidRDefault="00BA3B52" w:rsidP="001E1F70">
            <w:pPr>
              <w:jc w:val="both"/>
              <w:rPr>
                <w:rFonts w:ascii="Arial" w:hAnsi="Arial" w:cs="Arial"/>
                <w:szCs w:val="22"/>
              </w:rPr>
            </w:pPr>
            <w:r w:rsidRPr="00BA3B52">
              <w:rPr>
                <w:rFonts w:ascii="Arial" w:hAnsi="Arial" w:cs="Arial"/>
                <w:szCs w:val="22"/>
              </w:rPr>
              <w:t>Some efficacious interventions; adaptation challenges remain</w:t>
            </w:r>
          </w:p>
        </w:tc>
        <w:tc>
          <w:tcPr>
            <w:tcW w:w="0" w:type="auto"/>
            <w:hideMark/>
          </w:tcPr>
          <w:p w14:paraId="3FAD387A" w14:textId="77777777" w:rsidR="00BA3B52" w:rsidRPr="00BA3B52" w:rsidRDefault="00BA3B52" w:rsidP="001E1F70">
            <w:pPr>
              <w:jc w:val="both"/>
              <w:rPr>
                <w:rFonts w:ascii="Arial" w:hAnsi="Arial" w:cs="Arial"/>
                <w:szCs w:val="22"/>
              </w:rPr>
            </w:pPr>
            <w:r w:rsidRPr="00BA3B52">
              <w:rPr>
                <w:rFonts w:ascii="Arial" w:hAnsi="Arial" w:cs="Arial"/>
                <w:szCs w:val="22"/>
              </w:rPr>
              <w:t>Foster care; RCT; child MH</w:t>
            </w:r>
          </w:p>
        </w:tc>
        <w:tc>
          <w:tcPr>
            <w:tcW w:w="0" w:type="auto"/>
            <w:hideMark/>
          </w:tcPr>
          <w:p w14:paraId="735C70CA" w14:textId="77777777" w:rsidR="00BA3B52" w:rsidRPr="00BA3B52" w:rsidRDefault="00BA3B52" w:rsidP="001E1F70">
            <w:pPr>
              <w:jc w:val="both"/>
              <w:rPr>
                <w:rFonts w:ascii="Arial" w:hAnsi="Arial" w:cs="Arial"/>
                <w:szCs w:val="22"/>
              </w:rPr>
            </w:pPr>
            <w:r w:rsidRPr="00BA3B52">
              <w:rPr>
                <w:rFonts w:ascii="Arial" w:hAnsi="Arial" w:cs="Arial"/>
                <w:szCs w:val="22"/>
              </w:rPr>
              <w:t>Emphasises engagement and moderators</w:t>
            </w:r>
          </w:p>
        </w:tc>
      </w:tr>
      <w:tr w:rsidR="00BA3B52" w:rsidRPr="00BA3B52" w14:paraId="4128C0AF" w14:textId="77777777" w:rsidTr="00BA3B52">
        <w:tc>
          <w:tcPr>
            <w:tcW w:w="0" w:type="auto"/>
            <w:hideMark/>
          </w:tcPr>
          <w:p w14:paraId="48D607CF" w14:textId="77777777" w:rsidR="00BA3B52" w:rsidRPr="00BA3B52" w:rsidRDefault="00BA3B52" w:rsidP="001E1F70">
            <w:pPr>
              <w:jc w:val="both"/>
              <w:rPr>
                <w:rFonts w:ascii="Arial" w:hAnsi="Arial" w:cs="Arial"/>
                <w:szCs w:val="22"/>
              </w:rPr>
            </w:pPr>
            <w:r w:rsidRPr="00BA3B52">
              <w:rPr>
                <w:rFonts w:ascii="Arial" w:hAnsi="Arial" w:cs="Arial"/>
                <w:szCs w:val="22"/>
              </w:rPr>
              <w:t>Varnish et al. (2025)</w:t>
            </w:r>
          </w:p>
        </w:tc>
        <w:tc>
          <w:tcPr>
            <w:tcW w:w="0" w:type="auto"/>
            <w:hideMark/>
          </w:tcPr>
          <w:p w14:paraId="55F65CED" w14:textId="77777777" w:rsidR="00BA3B52" w:rsidRPr="00BA3B52" w:rsidRDefault="00BA3B52" w:rsidP="001E1F70">
            <w:pPr>
              <w:jc w:val="both"/>
              <w:rPr>
                <w:rFonts w:ascii="Arial" w:hAnsi="Arial" w:cs="Arial"/>
                <w:szCs w:val="22"/>
              </w:rPr>
            </w:pPr>
            <w:r w:rsidRPr="00BA3B52">
              <w:rPr>
                <w:rFonts w:ascii="Arial" w:hAnsi="Arial" w:cs="Arial"/>
                <w:szCs w:val="22"/>
              </w:rPr>
              <w:t>Placement instability &amp; mental health (UK)</w:t>
            </w:r>
          </w:p>
        </w:tc>
        <w:tc>
          <w:tcPr>
            <w:tcW w:w="0" w:type="auto"/>
            <w:hideMark/>
          </w:tcPr>
          <w:p w14:paraId="6757C9EF" w14:textId="77777777" w:rsidR="00BA3B52" w:rsidRPr="00BA3B52" w:rsidRDefault="00BA3B52" w:rsidP="001E1F70">
            <w:pPr>
              <w:jc w:val="both"/>
              <w:rPr>
                <w:rFonts w:ascii="Arial" w:hAnsi="Arial" w:cs="Arial"/>
                <w:szCs w:val="22"/>
              </w:rPr>
            </w:pPr>
            <w:r w:rsidRPr="00BA3B52">
              <w:rPr>
                <w:rFonts w:ascii="Arial" w:hAnsi="Arial" w:cs="Arial"/>
                <w:szCs w:val="22"/>
              </w:rPr>
              <w:t>Systematic review &amp; meta-analysis</w:t>
            </w:r>
          </w:p>
        </w:tc>
        <w:tc>
          <w:tcPr>
            <w:tcW w:w="0" w:type="auto"/>
            <w:hideMark/>
          </w:tcPr>
          <w:p w14:paraId="2DEACDDC" w14:textId="77777777" w:rsidR="00BA3B52" w:rsidRPr="00BA3B52" w:rsidRDefault="00BA3B52" w:rsidP="001E1F70">
            <w:pPr>
              <w:jc w:val="both"/>
              <w:rPr>
                <w:rFonts w:ascii="Arial" w:hAnsi="Arial" w:cs="Arial"/>
                <w:szCs w:val="22"/>
              </w:rPr>
            </w:pPr>
            <w:r w:rsidRPr="00BA3B52">
              <w:rPr>
                <w:rFonts w:ascii="Arial" w:hAnsi="Arial" w:cs="Arial"/>
                <w:szCs w:val="22"/>
              </w:rPr>
              <w:t>15 studies; N=6,905</w:t>
            </w:r>
          </w:p>
        </w:tc>
        <w:tc>
          <w:tcPr>
            <w:tcW w:w="0" w:type="auto"/>
            <w:hideMark/>
          </w:tcPr>
          <w:p w14:paraId="23E84A50"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UK-focused meta-analysis; </w:t>
            </w:r>
            <w:r w:rsidRPr="00BA3B52">
              <w:rPr>
                <w:rFonts w:ascii="Arial" w:hAnsi="Arial" w:cs="Arial"/>
                <w:b/>
                <w:bCs/>
                <w:szCs w:val="22"/>
              </w:rPr>
              <w:t>–</w:t>
            </w:r>
            <w:r w:rsidRPr="00BA3B52">
              <w:rPr>
                <w:rFonts w:ascii="Arial" w:hAnsi="Arial" w:cs="Arial"/>
                <w:szCs w:val="22"/>
              </w:rPr>
              <w:t xml:space="preserve"> Limited causal evidence</w:t>
            </w:r>
          </w:p>
        </w:tc>
        <w:tc>
          <w:tcPr>
            <w:tcW w:w="0" w:type="auto"/>
            <w:hideMark/>
          </w:tcPr>
          <w:p w14:paraId="2177AD4A" w14:textId="77777777" w:rsidR="00BA3B52" w:rsidRPr="00BA3B52" w:rsidRDefault="00BA3B52" w:rsidP="001E1F70">
            <w:pPr>
              <w:jc w:val="both"/>
              <w:rPr>
                <w:rFonts w:ascii="Arial" w:hAnsi="Arial" w:cs="Arial"/>
                <w:szCs w:val="22"/>
              </w:rPr>
            </w:pPr>
            <w:r w:rsidRPr="00BA3B52">
              <w:rPr>
                <w:rFonts w:ascii="Arial" w:hAnsi="Arial" w:cs="Arial"/>
                <w:szCs w:val="22"/>
              </w:rPr>
              <w:t>Placement instability doubles MH risk</w:t>
            </w:r>
          </w:p>
        </w:tc>
        <w:tc>
          <w:tcPr>
            <w:tcW w:w="0" w:type="auto"/>
            <w:hideMark/>
          </w:tcPr>
          <w:p w14:paraId="073FBBA4" w14:textId="77777777" w:rsidR="00BA3B52" w:rsidRPr="00BA3B52" w:rsidRDefault="00BA3B52" w:rsidP="001E1F70">
            <w:pPr>
              <w:jc w:val="both"/>
              <w:rPr>
                <w:rFonts w:ascii="Arial" w:hAnsi="Arial" w:cs="Arial"/>
                <w:szCs w:val="22"/>
              </w:rPr>
            </w:pPr>
            <w:r w:rsidRPr="00BA3B52">
              <w:rPr>
                <w:rFonts w:ascii="Arial" w:hAnsi="Arial" w:cs="Arial"/>
                <w:szCs w:val="22"/>
              </w:rPr>
              <w:t>Placement instability; MH</w:t>
            </w:r>
          </w:p>
        </w:tc>
        <w:tc>
          <w:tcPr>
            <w:tcW w:w="0" w:type="auto"/>
            <w:hideMark/>
          </w:tcPr>
          <w:p w14:paraId="330E2831" w14:textId="77777777" w:rsidR="00BA3B52" w:rsidRPr="00BA3B52" w:rsidRDefault="00BA3B52" w:rsidP="001E1F70">
            <w:pPr>
              <w:jc w:val="both"/>
              <w:rPr>
                <w:rFonts w:ascii="Arial" w:hAnsi="Arial" w:cs="Arial"/>
                <w:szCs w:val="22"/>
              </w:rPr>
            </w:pPr>
            <w:r w:rsidRPr="00BA3B52">
              <w:rPr>
                <w:rFonts w:ascii="Arial" w:hAnsi="Arial" w:cs="Arial"/>
                <w:szCs w:val="22"/>
              </w:rPr>
              <w:t>Strong policy relevance</w:t>
            </w:r>
          </w:p>
        </w:tc>
      </w:tr>
      <w:tr w:rsidR="00BA3B52" w:rsidRPr="00BA3B52" w14:paraId="7F44B833" w14:textId="77777777" w:rsidTr="00BA3B52">
        <w:tc>
          <w:tcPr>
            <w:tcW w:w="0" w:type="auto"/>
            <w:hideMark/>
          </w:tcPr>
          <w:p w14:paraId="5374CE18" w14:textId="77777777" w:rsidR="00BA3B52" w:rsidRPr="00BA3B52" w:rsidRDefault="00BA3B52" w:rsidP="001E1F70">
            <w:pPr>
              <w:jc w:val="both"/>
              <w:rPr>
                <w:rFonts w:ascii="Arial" w:hAnsi="Arial" w:cs="Arial"/>
                <w:szCs w:val="22"/>
              </w:rPr>
            </w:pPr>
            <w:r w:rsidRPr="00BA3B52">
              <w:rPr>
                <w:rFonts w:ascii="Arial" w:hAnsi="Arial" w:cs="Arial"/>
                <w:szCs w:val="22"/>
              </w:rPr>
              <w:t>Miller et al. (2020)</w:t>
            </w:r>
          </w:p>
        </w:tc>
        <w:tc>
          <w:tcPr>
            <w:tcW w:w="0" w:type="auto"/>
            <w:hideMark/>
          </w:tcPr>
          <w:p w14:paraId="4313445D" w14:textId="77777777" w:rsidR="00BA3B52" w:rsidRPr="00BA3B52" w:rsidRDefault="00BA3B52" w:rsidP="001E1F70">
            <w:pPr>
              <w:jc w:val="both"/>
              <w:rPr>
                <w:rFonts w:ascii="Arial" w:hAnsi="Arial" w:cs="Arial"/>
                <w:szCs w:val="22"/>
              </w:rPr>
            </w:pPr>
            <w:r w:rsidRPr="00BA3B52">
              <w:rPr>
                <w:rFonts w:ascii="Arial" w:hAnsi="Arial" w:cs="Arial"/>
                <w:szCs w:val="22"/>
              </w:rPr>
              <w:t>College identity, foster care &amp; mental health</w:t>
            </w:r>
          </w:p>
        </w:tc>
        <w:tc>
          <w:tcPr>
            <w:tcW w:w="0" w:type="auto"/>
            <w:hideMark/>
          </w:tcPr>
          <w:p w14:paraId="55326EDD" w14:textId="77777777" w:rsidR="00BA3B52" w:rsidRPr="00BA3B52" w:rsidRDefault="00BA3B52" w:rsidP="001E1F70">
            <w:pPr>
              <w:jc w:val="both"/>
              <w:rPr>
                <w:rFonts w:ascii="Arial" w:hAnsi="Arial" w:cs="Arial"/>
                <w:szCs w:val="22"/>
              </w:rPr>
            </w:pPr>
            <w:r w:rsidRPr="00BA3B52">
              <w:rPr>
                <w:rFonts w:ascii="Arial" w:hAnsi="Arial" w:cs="Arial"/>
                <w:szCs w:val="22"/>
              </w:rPr>
              <w:t>Qualitative study</w:t>
            </w:r>
          </w:p>
        </w:tc>
        <w:tc>
          <w:tcPr>
            <w:tcW w:w="0" w:type="auto"/>
            <w:hideMark/>
          </w:tcPr>
          <w:p w14:paraId="0AD3EE47" w14:textId="77777777" w:rsidR="00BA3B52" w:rsidRPr="00BA3B52" w:rsidRDefault="00BA3B52" w:rsidP="001E1F70">
            <w:pPr>
              <w:jc w:val="both"/>
              <w:rPr>
                <w:rFonts w:ascii="Arial" w:hAnsi="Arial" w:cs="Arial"/>
                <w:szCs w:val="22"/>
              </w:rPr>
            </w:pPr>
            <w:r w:rsidRPr="00BA3B52">
              <w:rPr>
                <w:rFonts w:ascii="Arial" w:hAnsi="Arial" w:cs="Arial"/>
                <w:szCs w:val="22"/>
              </w:rPr>
              <w:t>Interviews; N=18</w:t>
            </w:r>
          </w:p>
        </w:tc>
        <w:tc>
          <w:tcPr>
            <w:tcW w:w="0" w:type="auto"/>
            <w:hideMark/>
          </w:tcPr>
          <w:p w14:paraId="7F68D309"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Rich lived experience; </w:t>
            </w:r>
            <w:r w:rsidRPr="00BA3B52">
              <w:rPr>
                <w:rFonts w:ascii="Arial" w:hAnsi="Arial" w:cs="Arial"/>
                <w:b/>
                <w:bCs/>
                <w:szCs w:val="22"/>
              </w:rPr>
              <w:t>–</w:t>
            </w:r>
            <w:r w:rsidRPr="00BA3B52">
              <w:rPr>
                <w:rFonts w:ascii="Arial" w:hAnsi="Arial" w:cs="Arial"/>
                <w:szCs w:val="22"/>
              </w:rPr>
              <w:t xml:space="preserve"> Small sample</w:t>
            </w:r>
          </w:p>
        </w:tc>
        <w:tc>
          <w:tcPr>
            <w:tcW w:w="0" w:type="auto"/>
            <w:hideMark/>
          </w:tcPr>
          <w:p w14:paraId="7374F7C7" w14:textId="77777777" w:rsidR="00BA3B52" w:rsidRPr="00BA3B52" w:rsidRDefault="00BA3B52" w:rsidP="001E1F70">
            <w:pPr>
              <w:jc w:val="both"/>
              <w:rPr>
                <w:rFonts w:ascii="Arial" w:hAnsi="Arial" w:cs="Arial"/>
                <w:szCs w:val="22"/>
              </w:rPr>
            </w:pPr>
            <w:r w:rsidRPr="00BA3B52">
              <w:rPr>
                <w:rFonts w:ascii="Arial" w:hAnsi="Arial" w:cs="Arial"/>
                <w:szCs w:val="22"/>
              </w:rPr>
              <w:t>Identity recognition &amp; tailored support are critical</w:t>
            </w:r>
          </w:p>
        </w:tc>
        <w:tc>
          <w:tcPr>
            <w:tcW w:w="0" w:type="auto"/>
            <w:hideMark/>
          </w:tcPr>
          <w:p w14:paraId="695282B4" w14:textId="77777777" w:rsidR="00BA3B52" w:rsidRPr="00BA3B52" w:rsidRDefault="00BA3B52" w:rsidP="001E1F70">
            <w:pPr>
              <w:jc w:val="both"/>
              <w:rPr>
                <w:rFonts w:ascii="Arial" w:hAnsi="Arial" w:cs="Arial"/>
                <w:szCs w:val="22"/>
              </w:rPr>
            </w:pPr>
            <w:r w:rsidRPr="00BA3B52">
              <w:rPr>
                <w:rFonts w:ascii="Arial" w:hAnsi="Arial" w:cs="Arial"/>
                <w:szCs w:val="22"/>
              </w:rPr>
              <w:t>Identity; HE; MH</w:t>
            </w:r>
          </w:p>
        </w:tc>
        <w:tc>
          <w:tcPr>
            <w:tcW w:w="0" w:type="auto"/>
            <w:hideMark/>
          </w:tcPr>
          <w:p w14:paraId="1D6D2582" w14:textId="77777777" w:rsidR="00BA3B52" w:rsidRPr="00BA3B52" w:rsidRDefault="00BA3B52" w:rsidP="001E1F70">
            <w:pPr>
              <w:jc w:val="both"/>
              <w:rPr>
                <w:rFonts w:ascii="Arial" w:hAnsi="Arial" w:cs="Arial"/>
                <w:szCs w:val="22"/>
              </w:rPr>
            </w:pPr>
            <w:r w:rsidRPr="00BA3B52">
              <w:rPr>
                <w:rFonts w:ascii="Arial" w:hAnsi="Arial" w:cs="Arial"/>
                <w:szCs w:val="22"/>
              </w:rPr>
              <w:t>Highlights intersection of identity &amp; support</w:t>
            </w:r>
          </w:p>
        </w:tc>
      </w:tr>
      <w:tr w:rsidR="00BA3B52" w:rsidRPr="00BA3B52" w14:paraId="620122F3" w14:textId="77777777" w:rsidTr="00BA3B52">
        <w:tc>
          <w:tcPr>
            <w:tcW w:w="0" w:type="auto"/>
            <w:hideMark/>
          </w:tcPr>
          <w:p w14:paraId="0A5B83C7" w14:textId="77777777" w:rsidR="00BA3B52" w:rsidRPr="00BA3B52" w:rsidRDefault="00BA3B52" w:rsidP="001E1F70">
            <w:pPr>
              <w:jc w:val="both"/>
              <w:rPr>
                <w:rFonts w:ascii="Arial" w:hAnsi="Arial" w:cs="Arial"/>
                <w:szCs w:val="22"/>
              </w:rPr>
            </w:pPr>
            <w:r w:rsidRPr="00BA3B52">
              <w:rPr>
                <w:rFonts w:ascii="Arial" w:hAnsi="Arial" w:cs="Arial"/>
                <w:szCs w:val="22"/>
              </w:rPr>
              <w:t>Trubey et al. (2024)</w:t>
            </w:r>
          </w:p>
        </w:tc>
        <w:tc>
          <w:tcPr>
            <w:tcW w:w="0" w:type="auto"/>
            <w:hideMark/>
          </w:tcPr>
          <w:p w14:paraId="73DB1785" w14:textId="77777777" w:rsidR="00BA3B52" w:rsidRPr="00BA3B52" w:rsidRDefault="00BA3B52" w:rsidP="001E1F70">
            <w:pPr>
              <w:jc w:val="both"/>
              <w:rPr>
                <w:rFonts w:ascii="Arial" w:hAnsi="Arial" w:cs="Arial"/>
                <w:szCs w:val="22"/>
              </w:rPr>
            </w:pPr>
            <w:r w:rsidRPr="00BA3B52">
              <w:rPr>
                <w:rFonts w:ascii="Arial" w:hAnsi="Arial" w:cs="Arial"/>
                <w:szCs w:val="22"/>
              </w:rPr>
              <w:t>Effectiveness of MH interventions in care</w:t>
            </w:r>
          </w:p>
        </w:tc>
        <w:tc>
          <w:tcPr>
            <w:tcW w:w="0" w:type="auto"/>
            <w:hideMark/>
          </w:tcPr>
          <w:p w14:paraId="37224C4B" w14:textId="77777777" w:rsidR="00BA3B52" w:rsidRPr="00BA3B52" w:rsidRDefault="00BA3B52" w:rsidP="001E1F70">
            <w:pPr>
              <w:jc w:val="both"/>
              <w:rPr>
                <w:rFonts w:ascii="Arial" w:hAnsi="Arial" w:cs="Arial"/>
                <w:szCs w:val="22"/>
              </w:rPr>
            </w:pPr>
            <w:r w:rsidRPr="00BA3B52">
              <w:rPr>
                <w:rFonts w:ascii="Arial" w:hAnsi="Arial" w:cs="Arial"/>
                <w:szCs w:val="22"/>
              </w:rPr>
              <w:t>Systematic review &amp; meta-analysis</w:t>
            </w:r>
          </w:p>
        </w:tc>
        <w:tc>
          <w:tcPr>
            <w:tcW w:w="0" w:type="auto"/>
            <w:hideMark/>
          </w:tcPr>
          <w:p w14:paraId="39D5A034" w14:textId="77777777" w:rsidR="00BA3B52" w:rsidRPr="00BA3B52" w:rsidRDefault="00BA3B52" w:rsidP="001E1F70">
            <w:pPr>
              <w:jc w:val="both"/>
              <w:rPr>
                <w:rFonts w:ascii="Arial" w:hAnsi="Arial" w:cs="Arial"/>
                <w:szCs w:val="22"/>
              </w:rPr>
            </w:pPr>
            <w:r w:rsidRPr="00BA3B52">
              <w:rPr>
                <w:rFonts w:ascii="Arial" w:hAnsi="Arial" w:cs="Arial"/>
                <w:szCs w:val="22"/>
              </w:rPr>
              <w:t>35 interventions; 44 RCTs</w:t>
            </w:r>
          </w:p>
        </w:tc>
        <w:tc>
          <w:tcPr>
            <w:tcW w:w="0" w:type="auto"/>
            <w:hideMark/>
          </w:tcPr>
          <w:p w14:paraId="536FC541"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Quantitative synthesis; </w:t>
            </w:r>
            <w:r w:rsidRPr="00BA3B52">
              <w:rPr>
                <w:rFonts w:ascii="Arial" w:hAnsi="Arial" w:cs="Arial"/>
                <w:b/>
                <w:bCs/>
                <w:szCs w:val="22"/>
              </w:rPr>
              <w:t>–</w:t>
            </w:r>
            <w:r w:rsidRPr="00BA3B52">
              <w:rPr>
                <w:rFonts w:ascii="Arial" w:hAnsi="Arial" w:cs="Arial"/>
                <w:szCs w:val="22"/>
              </w:rPr>
              <w:t xml:space="preserve"> Weak long-term effects</w:t>
            </w:r>
          </w:p>
        </w:tc>
        <w:tc>
          <w:tcPr>
            <w:tcW w:w="0" w:type="auto"/>
            <w:hideMark/>
          </w:tcPr>
          <w:p w14:paraId="01EF2AB4" w14:textId="77777777" w:rsidR="00BA3B52" w:rsidRPr="00BA3B52" w:rsidRDefault="00BA3B52" w:rsidP="001E1F70">
            <w:pPr>
              <w:jc w:val="both"/>
              <w:rPr>
                <w:rFonts w:ascii="Arial" w:hAnsi="Arial" w:cs="Arial"/>
                <w:szCs w:val="22"/>
              </w:rPr>
            </w:pPr>
            <w:r w:rsidRPr="00BA3B52">
              <w:rPr>
                <w:rFonts w:ascii="Arial" w:hAnsi="Arial" w:cs="Arial"/>
                <w:szCs w:val="22"/>
              </w:rPr>
              <w:t>Small short-term MH improvements only</w:t>
            </w:r>
          </w:p>
        </w:tc>
        <w:tc>
          <w:tcPr>
            <w:tcW w:w="0" w:type="auto"/>
            <w:hideMark/>
          </w:tcPr>
          <w:p w14:paraId="4F45F7EF" w14:textId="77777777" w:rsidR="00BA3B52" w:rsidRPr="00BA3B52" w:rsidRDefault="00BA3B52" w:rsidP="001E1F70">
            <w:pPr>
              <w:jc w:val="both"/>
              <w:rPr>
                <w:rFonts w:ascii="Arial" w:hAnsi="Arial" w:cs="Arial"/>
                <w:szCs w:val="22"/>
              </w:rPr>
            </w:pPr>
            <w:r w:rsidRPr="00BA3B52">
              <w:rPr>
                <w:rFonts w:ascii="Arial" w:hAnsi="Arial" w:cs="Arial"/>
                <w:szCs w:val="22"/>
              </w:rPr>
              <w:t>MH outcomes; RCT</w:t>
            </w:r>
          </w:p>
        </w:tc>
        <w:tc>
          <w:tcPr>
            <w:tcW w:w="0" w:type="auto"/>
            <w:hideMark/>
          </w:tcPr>
          <w:p w14:paraId="4A455CAD" w14:textId="77777777" w:rsidR="00BA3B52" w:rsidRPr="00BA3B52" w:rsidRDefault="00BA3B52" w:rsidP="001E1F70">
            <w:pPr>
              <w:jc w:val="both"/>
              <w:rPr>
                <w:rFonts w:ascii="Arial" w:hAnsi="Arial" w:cs="Arial"/>
                <w:szCs w:val="22"/>
              </w:rPr>
            </w:pPr>
            <w:r w:rsidRPr="00BA3B52">
              <w:rPr>
                <w:rFonts w:ascii="Arial" w:hAnsi="Arial" w:cs="Arial"/>
                <w:szCs w:val="22"/>
              </w:rPr>
              <w:t>Confirms limited durability of effects</w:t>
            </w:r>
          </w:p>
        </w:tc>
      </w:tr>
      <w:tr w:rsidR="00BA3B52" w:rsidRPr="00BA3B52" w14:paraId="2A930707" w14:textId="77777777" w:rsidTr="00BA3B52">
        <w:tc>
          <w:tcPr>
            <w:tcW w:w="0" w:type="auto"/>
            <w:hideMark/>
          </w:tcPr>
          <w:p w14:paraId="60A6B6C4" w14:textId="77777777" w:rsidR="00BA3B52" w:rsidRPr="00BA3B52" w:rsidRDefault="00BA3B52" w:rsidP="001E1F70">
            <w:pPr>
              <w:jc w:val="both"/>
              <w:rPr>
                <w:rFonts w:ascii="Arial" w:hAnsi="Arial" w:cs="Arial"/>
                <w:szCs w:val="22"/>
              </w:rPr>
            </w:pPr>
            <w:r w:rsidRPr="00BA3B52">
              <w:rPr>
                <w:rFonts w:ascii="Arial" w:hAnsi="Arial" w:cs="Arial"/>
                <w:szCs w:val="22"/>
              </w:rPr>
              <w:t>Lehmann et al. (2024)</w:t>
            </w:r>
          </w:p>
        </w:tc>
        <w:tc>
          <w:tcPr>
            <w:tcW w:w="0" w:type="auto"/>
            <w:hideMark/>
          </w:tcPr>
          <w:p w14:paraId="76BE6C05" w14:textId="77777777" w:rsidR="00BA3B52" w:rsidRPr="00BA3B52" w:rsidRDefault="00BA3B52" w:rsidP="001E1F70">
            <w:pPr>
              <w:jc w:val="both"/>
              <w:rPr>
                <w:rFonts w:ascii="Arial" w:hAnsi="Arial" w:cs="Arial"/>
                <w:szCs w:val="22"/>
              </w:rPr>
            </w:pPr>
            <w:r w:rsidRPr="00BA3B52">
              <w:rPr>
                <w:rFonts w:ascii="Arial" w:hAnsi="Arial" w:cs="Arial"/>
                <w:szCs w:val="22"/>
              </w:rPr>
              <w:t>Foster care alumni in HE (Norway)</w:t>
            </w:r>
          </w:p>
        </w:tc>
        <w:tc>
          <w:tcPr>
            <w:tcW w:w="0" w:type="auto"/>
            <w:hideMark/>
          </w:tcPr>
          <w:p w14:paraId="0242EE76" w14:textId="77777777" w:rsidR="00BA3B52" w:rsidRPr="00BA3B52" w:rsidRDefault="00BA3B52" w:rsidP="001E1F70">
            <w:pPr>
              <w:jc w:val="both"/>
              <w:rPr>
                <w:rFonts w:ascii="Arial" w:hAnsi="Arial" w:cs="Arial"/>
                <w:szCs w:val="22"/>
              </w:rPr>
            </w:pPr>
            <w:r w:rsidRPr="00BA3B52">
              <w:rPr>
                <w:rFonts w:ascii="Arial" w:hAnsi="Arial" w:cs="Arial"/>
                <w:szCs w:val="22"/>
              </w:rPr>
              <w:t>Quantitative comparative study</w:t>
            </w:r>
          </w:p>
        </w:tc>
        <w:tc>
          <w:tcPr>
            <w:tcW w:w="0" w:type="auto"/>
            <w:hideMark/>
          </w:tcPr>
          <w:p w14:paraId="5CC2D4E5" w14:textId="77777777" w:rsidR="00BA3B52" w:rsidRPr="00BA3B52" w:rsidRDefault="00BA3B52" w:rsidP="001E1F70">
            <w:pPr>
              <w:jc w:val="both"/>
              <w:rPr>
                <w:rFonts w:ascii="Arial" w:hAnsi="Arial" w:cs="Arial"/>
                <w:szCs w:val="22"/>
              </w:rPr>
            </w:pPr>
            <w:r w:rsidRPr="00BA3B52">
              <w:rPr>
                <w:rFonts w:ascii="Arial" w:hAnsi="Arial" w:cs="Arial"/>
                <w:szCs w:val="22"/>
              </w:rPr>
              <w:t>Survey; N=508 vs 59,036</w:t>
            </w:r>
          </w:p>
        </w:tc>
        <w:tc>
          <w:tcPr>
            <w:tcW w:w="0" w:type="auto"/>
            <w:hideMark/>
          </w:tcPr>
          <w:p w14:paraId="396E3F98"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Large national data; </w:t>
            </w:r>
            <w:r w:rsidRPr="00BA3B52">
              <w:rPr>
                <w:rFonts w:ascii="Arial" w:hAnsi="Arial" w:cs="Arial"/>
                <w:b/>
                <w:bCs/>
                <w:szCs w:val="22"/>
              </w:rPr>
              <w:t>–</w:t>
            </w:r>
            <w:r w:rsidRPr="00BA3B52">
              <w:rPr>
                <w:rFonts w:ascii="Arial" w:hAnsi="Arial" w:cs="Arial"/>
                <w:szCs w:val="22"/>
              </w:rPr>
              <w:t xml:space="preserve"> Self-report bias</w:t>
            </w:r>
          </w:p>
        </w:tc>
        <w:tc>
          <w:tcPr>
            <w:tcW w:w="0" w:type="auto"/>
            <w:hideMark/>
          </w:tcPr>
          <w:p w14:paraId="558A7200" w14:textId="77777777" w:rsidR="00BA3B52" w:rsidRPr="00BA3B52" w:rsidRDefault="00BA3B52" w:rsidP="001E1F70">
            <w:pPr>
              <w:jc w:val="both"/>
              <w:rPr>
                <w:rFonts w:ascii="Arial" w:hAnsi="Arial" w:cs="Arial"/>
                <w:szCs w:val="22"/>
              </w:rPr>
            </w:pPr>
            <w:r w:rsidRPr="00BA3B52">
              <w:rPr>
                <w:rFonts w:ascii="Arial" w:hAnsi="Arial" w:cs="Arial"/>
                <w:szCs w:val="22"/>
              </w:rPr>
              <w:t>Comparable grades despite poorer MH &amp; finances</w:t>
            </w:r>
          </w:p>
        </w:tc>
        <w:tc>
          <w:tcPr>
            <w:tcW w:w="0" w:type="auto"/>
            <w:hideMark/>
          </w:tcPr>
          <w:p w14:paraId="3B44444A" w14:textId="77777777" w:rsidR="00BA3B52" w:rsidRPr="00BA3B52" w:rsidRDefault="00BA3B52" w:rsidP="001E1F70">
            <w:pPr>
              <w:jc w:val="both"/>
              <w:rPr>
                <w:rFonts w:ascii="Arial" w:hAnsi="Arial" w:cs="Arial"/>
                <w:szCs w:val="22"/>
              </w:rPr>
            </w:pPr>
            <w:r w:rsidRPr="00BA3B52">
              <w:rPr>
                <w:rFonts w:ascii="Arial" w:hAnsi="Arial" w:cs="Arial"/>
                <w:szCs w:val="22"/>
              </w:rPr>
              <w:t>HE; wellbeing; foster alumni</w:t>
            </w:r>
          </w:p>
        </w:tc>
        <w:tc>
          <w:tcPr>
            <w:tcW w:w="0" w:type="auto"/>
            <w:hideMark/>
          </w:tcPr>
          <w:p w14:paraId="44FCA000" w14:textId="77777777" w:rsidR="00BA3B52" w:rsidRPr="00BA3B52" w:rsidRDefault="00BA3B52" w:rsidP="001E1F70">
            <w:pPr>
              <w:jc w:val="both"/>
              <w:rPr>
                <w:rFonts w:ascii="Arial" w:hAnsi="Arial" w:cs="Arial"/>
                <w:szCs w:val="22"/>
              </w:rPr>
            </w:pPr>
            <w:r w:rsidRPr="00BA3B52">
              <w:rPr>
                <w:rFonts w:ascii="Arial" w:hAnsi="Arial" w:cs="Arial"/>
                <w:szCs w:val="22"/>
              </w:rPr>
              <w:t>Shows resilience amid disadvantage</w:t>
            </w:r>
          </w:p>
        </w:tc>
      </w:tr>
      <w:tr w:rsidR="00BA3B52" w:rsidRPr="00BA3B52" w14:paraId="5FD38E54" w14:textId="77777777" w:rsidTr="00BA3B52">
        <w:tc>
          <w:tcPr>
            <w:tcW w:w="0" w:type="auto"/>
            <w:hideMark/>
          </w:tcPr>
          <w:p w14:paraId="65816804" w14:textId="77777777" w:rsidR="00BA3B52" w:rsidRPr="00BA3B52" w:rsidRDefault="00BA3B52" w:rsidP="001E1F70">
            <w:pPr>
              <w:jc w:val="both"/>
              <w:rPr>
                <w:rFonts w:ascii="Arial" w:hAnsi="Arial" w:cs="Arial"/>
                <w:szCs w:val="22"/>
              </w:rPr>
            </w:pPr>
            <w:r w:rsidRPr="00BA3B52">
              <w:rPr>
                <w:rFonts w:ascii="Arial" w:hAnsi="Arial" w:cs="Arial"/>
                <w:szCs w:val="22"/>
              </w:rPr>
              <w:t>Blakeslee et al. (2022)</w:t>
            </w:r>
          </w:p>
        </w:tc>
        <w:tc>
          <w:tcPr>
            <w:tcW w:w="0" w:type="auto"/>
            <w:hideMark/>
          </w:tcPr>
          <w:p w14:paraId="30803E71" w14:textId="77777777" w:rsidR="00BA3B52" w:rsidRPr="00BA3B52" w:rsidRDefault="00BA3B52" w:rsidP="001E1F70">
            <w:pPr>
              <w:jc w:val="both"/>
              <w:rPr>
                <w:rFonts w:ascii="Arial" w:hAnsi="Arial" w:cs="Arial"/>
                <w:szCs w:val="22"/>
              </w:rPr>
            </w:pPr>
            <w:r w:rsidRPr="00BA3B52">
              <w:rPr>
                <w:rFonts w:ascii="Arial" w:hAnsi="Arial" w:cs="Arial"/>
                <w:szCs w:val="22"/>
              </w:rPr>
              <w:t>Project Futures coaching model</w:t>
            </w:r>
          </w:p>
        </w:tc>
        <w:tc>
          <w:tcPr>
            <w:tcW w:w="0" w:type="auto"/>
            <w:hideMark/>
          </w:tcPr>
          <w:p w14:paraId="42E8387D" w14:textId="77777777" w:rsidR="00BA3B52" w:rsidRPr="00BA3B52" w:rsidRDefault="00BA3B52" w:rsidP="001E1F70">
            <w:pPr>
              <w:jc w:val="both"/>
              <w:rPr>
                <w:rFonts w:ascii="Arial" w:hAnsi="Arial" w:cs="Arial"/>
                <w:szCs w:val="22"/>
              </w:rPr>
            </w:pPr>
            <w:r w:rsidRPr="00BA3B52">
              <w:rPr>
                <w:rFonts w:ascii="Arial" w:hAnsi="Arial" w:cs="Arial"/>
                <w:szCs w:val="22"/>
              </w:rPr>
              <w:t>Pilot RCT</w:t>
            </w:r>
          </w:p>
        </w:tc>
        <w:tc>
          <w:tcPr>
            <w:tcW w:w="0" w:type="auto"/>
            <w:hideMark/>
          </w:tcPr>
          <w:p w14:paraId="61CBD92B" w14:textId="77777777" w:rsidR="00BA3B52" w:rsidRPr="00BA3B52" w:rsidRDefault="00BA3B52" w:rsidP="001E1F70">
            <w:pPr>
              <w:jc w:val="both"/>
              <w:rPr>
                <w:rFonts w:ascii="Arial" w:hAnsi="Arial" w:cs="Arial"/>
                <w:szCs w:val="22"/>
              </w:rPr>
            </w:pPr>
            <w:r w:rsidRPr="00BA3B52">
              <w:rPr>
                <w:rFonts w:ascii="Arial" w:hAnsi="Arial" w:cs="Arial"/>
                <w:szCs w:val="22"/>
              </w:rPr>
              <w:t>N=35; coaching vs control</w:t>
            </w:r>
          </w:p>
        </w:tc>
        <w:tc>
          <w:tcPr>
            <w:tcW w:w="0" w:type="auto"/>
            <w:hideMark/>
          </w:tcPr>
          <w:p w14:paraId="64572494"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Experimental design; </w:t>
            </w:r>
            <w:r w:rsidRPr="00BA3B52">
              <w:rPr>
                <w:rFonts w:ascii="Arial" w:hAnsi="Arial" w:cs="Arial"/>
                <w:b/>
                <w:bCs/>
                <w:szCs w:val="22"/>
              </w:rPr>
              <w:t>–</w:t>
            </w:r>
            <w:r w:rsidRPr="00BA3B52">
              <w:rPr>
                <w:rFonts w:ascii="Arial" w:hAnsi="Arial" w:cs="Arial"/>
                <w:szCs w:val="22"/>
              </w:rPr>
              <w:t xml:space="preserve"> Small sample</w:t>
            </w:r>
          </w:p>
        </w:tc>
        <w:tc>
          <w:tcPr>
            <w:tcW w:w="0" w:type="auto"/>
            <w:hideMark/>
          </w:tcPr>
          <w:p w14:paraId="7E23396C" w14:textId="77777777" w:rsidR="00BA3B52" w:rsidRPr="00BA3B52" w:rsidRDefault="00BA3B52" w:rsidP="001E1F70">
            <w:pPr>
              <w:jc w:val="both"/>
              <w:rPr>
                <w:rFonts w:ascii="Arial" w:hAnsi="Arial" w:cs="Arial"/>
                <w:szCs w:val="22"/>
              </w:rPr>
            </w:pPr>
            <w:r w:rsidRPr="00BA3B52">
              <w:rPr>
                <w:rFonts w:ascii="Arial" w:hAnsi="Arial" w:cs="Arial"/>
                <w:szCs w:val="22"/>
              </w:rPr>
              <w:t>Improved self-efficacy, GPA &amp; retention</w:t>
            </w:r>
          </w:p>
        </w:tc>
        <w:tc>
          <w:tcPr>
            <w:tcW w:w="0" w:type="auto"/>
            <w:hideMark/>
          </w:tcPr>
          <w:p w14:paraId="285EE783" w14:textId="77777777" w:rsidR="00BA3B52" w:rsidRPr="00BA3B52" w:rsidRDefault="00BA3B52" w:rsidP="001E1F70">
            <w:pPr>
              <w:jc w:val="both"/>
              <w:rPr>
                <w:rFonts w:ascii="Arial" w:hAnsi="Arial" w:cs="Arial"/>
                <w:szCs w:val="22"/>
              </w:rPr>
            </w:pPr>
            <w:r w:rsidRPr="00BA3B52">
              <w:rPr>
                <w:rFonts w:ascii="Arial" w:hAnsi="Arial" w:cs="Arial"/>
                <w:szCs w:val="22"/>
              </w:rPr>
              <w:t>Coaching; self-determination</w:t>
            </w:r>
          </w:p>
        </w:tc>
        <w:tc>
          <w:tcPr>
            <w:tcW w:w="0" w:type="auto"/>
            <w:hideMark/>
          </w:tcPr>
          <w:p w14:paraId="5BE4490E" w14:textId="77777777" w:rsidR="00BA3B52" w:rsidRPr="00BA3B52" w:rsidRDefault="00BA3B52" w:rsidP="001E1F70">
            <w:pPr>
              <w:jc w:val="both"/>
              <w:rPr>
                <w:rFonts w:ascii="Arial" w:hAnsi="Arial" w:cs="Arial"/>
                <w:szCs w:val="22"/>
              </w:rPr>
            </w:pPr>
            <w:r w:rsidRPr="00BA3B52">
              <w:rPr>
                <w:rFonts w:ascii="Arial" w:hAnsi="Arial" w:cs="Arial"/>
                <w:szCs w:val="22"/>
              </w:rPr>
              <w:t>Promising but needs scale-up</w:t>
            </w:r>
          </w:p>
        </w:tc>
      </w:tr>
      <w:tr w:rsidR="00BA3B52" w:rsidRPr="00BA3B52" w14:paraId="473B6D8C" w14:textId="77777777" w:rsidTr="00BA3B52">
        <w:tc>
          <w:tcPr>
            <w:tcW w:w="0" w:type="auto"/>
            <w:hideMark/>
          </w:tcPr>
          <w:p w14:paraId="52080A1A" w14:textId="77777777" w:rsidR="00BA3B52" w:rsidRPr="00BA3B52" w:rsidRDefault="00BA3B52" w:rsidP="001E1F70">
            <w:pPr>
              <w:jc w:val="both"/>
              <w:rPr>
                <w:rFonts w:ascii="Arial" w:hAnsi="Arial" w:cs="Arial"/>
                <w:szCs w:val="22"/>
              </w:rPr>
            </w:pPr>
            <w:r w:rsidRPr="00BA3B52">
              <w:rPr>
                <w:rFonts w:ascii="Arial" w:hAnsi="Arial" w:cs="Arial"/>
                <w:szCs w:val="22"/>
              </w:rPr>
              <w:t>Harrison et al. (2023)</w:t>
            </w:r>
          </w:p>
        </w:tc>
        <w:tc>
          <w:tcPr>
            <w:tcW w:w="0" w:type="auto"/>
            <w:hideMark/>
          </w:tcPr>
          <w:p w14:paraId="19785C44" w14:textId="77777777" w:rsidR="00BA3B52" w:rsidRPr="00BA3B52" w:rsidRDefault="00BA3B52" w:rsidP="001E1F70">
            <w:pPr>
              <w:jc w:val="both"/>
              <w:rPr>
                <w:rFonts w:ascii="Arial" w:hAnsi="Arial" w:cs="Arial"/>
                <w:szCs w:val="22"/>
              </w:rPr>
            </w:pPr>
            <w:r w:rsidRPr="00BA3B52">
              <w:rPr>
                <w:rFonts w:ascii="Arial" w:hAnsi="Arial" w:cs="Arial"/>
                <w:szCs w:val="22"/>
              </w:rPr>
              <w:t>Capabilities approach &amp; care-experienced students</w:t>
            </w:r>
          </w:p>
        </w:tc>
        <w:tc>
          <w:tcPr>
            <w:tcW w:w="0" w:type="auto"/>
            <w:hideMark/>
          </w:tcPr>
          <w:p w14:paraId="397867DB" w14:textId="77777777" w:rsidR="00BA3B52" w:rsidRPr="00BA3B52" w:rsidRDefault="00BA3B52" w:rsidP="001E1F70">
            <w:pPr>
              <w:jc w:val="both"/>
              <w:rPr>
                <w:rFonts w:ascii="Arial" w:hAnsi="Arial" w:cs="Arial"/>
                <w:szCs w:val="22"/>
              </w:rPr>
            </w:pPr>
            <w:r w:rsidRPr="00BA3B52">
              <w:rPr>
                <w:rFonts w:ascii="Arial" w:hAnsi="Arial" w:cs="Arial"/>
                <w:szCs w:val="22"/>
              </w:rPr>
              <w:t>Secondary qualitative synthesis</w:t>
            </w:r>
          </w:p>
        </w:tc>
        <w:tc>
          <w:tcPr>
            <w:tcW w:w="0" w:type="auto"/>
            <w:hideMark/>
          </w:tcPr>
          <w:p w14:paraId="5B351D84" w14:textId="77777777" w:rsidR="00BA3B52" w:rsidRPr="00BA3B52" w:rsidRDefault="00BA3B52" w:rsidP="001E1F70">
            <w:pPr>
              <w:jc w:val="both"/>
              <w:rPr>
                <w:rFonts w:ascii="Arial" w:hAnsi="Arial" w:cs="Arial"/>
                <w:szCs w:val="22"/>
              </w:rPr>
            </w:pPr>
            <w:r w:rsidRPr="00BA3B52">
              <w:rPr>
                <w:rFonts w:ascii="Arial" w:hAnsi="Arial" w:cs="Arial"/>
                <w:szCs w:val="22"/>
              </w:rPr>
              <w:t>3 UK studies; N=461</w:t>
            </w:r>
          </w:p>
        </w:tc>
        <w:tc>
          <w:tcPr>
            <w:tcW w:w="0" w:type="auto"/>
            <w:hideMark/>
          </w:tcPr>
          <w:p w14:paraId="1FBA2C71"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Strong theory; </w:t>
            </w:r>
            <w:r w:rsidRPr="00BA3B52">
              <w:rPr>
                <w:rFonts w:ascii="Arial" w:hAnsi="Arial" w:cs="Arial"/>
                <w:b/>
                <w:bCs/>
                <w:szCs w:val="22"/>
              </w:rPr>
              <w:t>–</w:t>
            </w:r>
            <w:r w:rsidRPr="00BA3B52">
              <w:rPr>
                <w:rFonts w:ascii="Arial" w:hAnsi="Arial" w:cs="Arial"/>
                <w:szCs w:val="22"/>
              </w:rPr>
              <w:t xml:space="preserve"> Not intervention-tested</w:t>
            </w:r>
          </w:p>
        </w:tc>
        <w:tc>
          <w:tcPr>
            <w:tcW w:w="0" w:type="auto"/>
            <w:hideMark/>
          </w:tcPr>
          <w:p w14:paraId="4447BC93" w14:textId="77777777" w:rsidR="00BA3B52" w:rsidRPr="00BA3B52" w:rsidRDefault="00BA3B52" w:rsidP="001E1F70">
            <w:pPr>
              <w:jc w:val="both"/>
              <w:rPr>
                <w:rFonts w:ascii="Arial" w:hAnsi="Arial" w:cs="Arial"/>
                <w:szCs w:val="22"/>
              </w:rPr>
            </w:pPr>
            <w:r w:rsidRPr="00BA3B52">
              <w:rPr>
                <w:rFonts w:ascii="Arial" w:hAnsi="Arial" w:cs="Arial"/>
                <w:szCs w:val="22"/>
              </w:rPr>
              <w:t>Capabilities lens explains HE precarity</w:t>
            </w:r>
          </w:p>
        </w:tc>
        <w:tc>
          <w:tcPr>
            <w:tcW w:w="0" w:type="auto"/>
            <w:hideMark/>
          </w:tcPr>
          <w:p w14:paraId="0F1A1EDC" w14:textId="77777777" w:rsidR="00BA3B52" w:rsidRPr="00BA3B52" w:rsidRDefault="00BA3B52" w:rsidP="001E1F70">
            <w:pPr>
              <w:jc w:val="both"/>
              <w:rPr>
                <w:rFonts w:ascii="Arial" w:hAnsi="Arial" w:cs="Arial"/>
                <w:szCs w:val="22"/>
              </w:rPr>
            </w:pPr>
            <w:r w:rsidRPr="00BA3B52">
              <w:rPr>
                <w:rFonts w:ascii="Arial" w:hAnsi="Arial" w:cs="Arial"/>
                <w:szCs w:val="22"/>
              </w:rPr>
              <w:t>Capabilities; social justice</w:t>
            </w:r>
          </w:p>
        </w:tc>
        <w:tc>
          <w:tcPr>
            <w:tcW w:w="0" w:type="auto"/>
            <w:hideMark/>
          </w:tcPr>
          <w:p w14:paraId="781E8E06" w14:textId="77777777" w:rsidR="00BA3B52" w:rsidRPr="00BA3B52" w:rsidRDefault="00BA3B52" w:rsidP="001E1F70">
            <w:pPr>
              <w:jc w:val="both"/>
              <w:rPr>
                <w:rFonts w:ascii="Arial" w:hAnsi="Arial" w:cs="Arial"/>
                <w:szCs w:val="22"/>
              </w:rPr>
            </w:pPr>
            <w:r w:rsidRPr="00BA3B52">
              <w:rPr>
                <w:rFonts w:ascii="Arial" w:hAnsi="Arial" w:cs="Arial"/>
                <w:szCs w:val="22"/>
              </w:rPr>
              <w:t>Useful conceptual framework</w:t>
            </w:r>
          </w:p>
        </w:tc>
      </w:tr>
      <w:tr w:rsidR="00BA3B52" w:rsidRPr="00BA3B52" w14:paraId="18170032" w14:textId="77777777" w:rsidTr="00BA3B52">
        <w:tc>
          <w:tcPr>
            <w:tcW w:w="0" w:type="auto"/>
            <w:hideMark/>
          </w:tcPr>
          <w:p w14:paraId="4DE666F4" w14:textId="38351345" w:rsidR="00BA3B52" w:rsidRPr="00BA3B52" w:rsidRDefault="00BA3B52" w:rsidP="001E1F70">
            <w:pPr>
              <w:jc w:val="both"/>
              <w:rPr>
                <w:rFonts w:ascii="Arial" w:hAnsi="Arial" w:cs="Arial"/>
                <w:szCs w:val="22"/>
              </w:rPr>
            </w:pPr>
            <w:r w:rsidRPr="00BA3B52">
              <w:rPr>
                <w:rFonts w:ascii="Arial" w:hAnsi="Arial" w:cs="Arial"/>
                <w:szCs w:val="22"/>
              </w:rPr>
              <w:t xml:space="preserve">Ellis </w:t>
            </w:r>
            <w:r>
              <w:rPr>
                <w:rFonts w:ascii="Arial" w:hAnsi="Arial" w:cs="Arial"/>
                <w:szCs w:val="22"/>
              </w:rPr>
              <w:t>and</w:t>
            </w:r>
            <w:r w:rsidRPr="00BA3B52">
              <w:rPr>
                <w:rFonts w:ascii="Arial" w:hAnsi="Arial" w:cs="Arial"/>
                <w:szCs w:val="22"/>
              </w:rPr>
              <w:t xml:space="preserve"> Johnston (2022)</w:t>
            </w:r>
          </w:p>
        </w:tc>
        <w:tc>
          <w:tcPr>
            <w:tcW w:w="0" w:type="auto"/>
            <w:hideMark/>
          </w:tcPr>
          <w:p w14:paraId="1B088957" w14:textId="77777777" w:rsidR="00BA3B52" w:rsidRPr="00BA3B52" w:rsidRDefault="00BA3B52" w:rsidP="001E1F70">
            <w:pPr>
              <w:jc w:val="both"/>
              <w:rPr>
                <w:rFonts w:ascii="Arial" w:hAnsi="Arial" w:cs="Arial"/>
                <w:szCs w:val="22"/>
              </w:rPr>
            </w:pPr>
            <w:r w:rsidRPr="00BA3B52">
              <w:rPr>
                <w:rFonts w:ascii="Arial" w:hAnsi="Arial" w:cs="Arial"/>
                <w:szCs w:val="22"/>
              </w:rPr>
              <w:t>Resilience &amp; widening participation</w:t>
            </w:r>
          </w:p>
        </w:tc>
        <w:tc>
          <w:tcPr>
            <w:tcW w:w="0" w:type="auto"/>
            <w:hideMark/>
          </w:tcPr>
          <w:p w14:paraId="31899B42" w14:textId="77777777" w:rsidR="00BA3B52" w:rsidRPr="00BA3B52" w:rsidRDefault="00BA3B52" w:rsidP="001E1F70">
            <w:pPr>
              <w:jc w:val="both"/>
              <w:rPr>
                <w:rFonts w:ascii="Arial" w:hAnsi="Arial" w:cs="Arial"/>
                <w:szCs w:val="22"/>
              </w:rPr>
            </w:pPr>
            <w:r w:rsidRPr="00BA3B52">
              <w:rPr>
                <w:rFonts w:ascii="Arial" w:hAnsi="Arial" w:cs="Arial"/>
                <w:szCs w:val="22"/>
              </w:rPr>
              <w:t>Mixed methods</w:t>
            </w:r>
          </w:p>
        </w:tc>
        <w:tc>
          <w:tcPr>
            <w:tcW w:w="0" w:type="auto"/>
            <w:hideMark/>
          </w:tcPr>
          <w:p w14:paraId="071605DA" w14:textId="77777777" w:rsidR="00BA3B52" w:rsidRPr="00BA3B52" w:rsidRDefault="00BA3B52" w:rsidP="001E1F70">
            <w:pPr>
              <w:jc w:val="both"/>
              <w:rPr>
                <w:rFonts w:ascii="Arial" w:hAnsi="Arial" w:cs="Arial"/>
                <w:szCs w:val="22"/>
              </w:rPr>
            </w:pPr>
            <w:r w:rsidRPr="00BA3B52">
              <w:rPr>
                <w:rFonts w:ascii="Arial" w:hAnsi="Arial" w:cs="Arial"/>
                <w:szCs w:val="22"/>
              </w:rPr>
              <w:t>Interviews (42); survey (192)</w:t>
            </w:r>
          </w:p>
        </w:tc>
        <w:tc>
          <w:tcPr>
            <w:tcW w:w="0" w:type="auto"/>
            <w:hideMark/>
          </w:tcPr>
          <w:p w14:paraId="72EB2B9F"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Large qualitative reach; </w:t>
            </w:r>
            <w:r w:rsidRPr="00BA3B52">
              <w:rPr>
                <w:rFonts w:ascii="Arial" w:hAnsi="Arial" w:cs="Arial"/>
                <w:b/>
                <w:bCs/>
                <w:szCs w:val="22"/>
              </w:rPr>
              <w:t>–</w:t>
            </w:r>
            <w:r w:rsidRPr="00BA3B52">
              <w:rPr>
                <w:rFonts w:ascii="Arial" w:hAnsi="Arial" w:cs="Arial"/>
                <w:szCs w:val="22"/>
              </w:rPr>
              <w:t xml:space="preserve"> England/Wales only</w:t>
            </w:r>
          </w:p>
        </w:tc>
        <w:tc>
          <w:tcPr>
            <w:tcW w:w="0" w:type="auto"/>
            <w:hideMark/>
          </w:tcPr>
          <w:p w14:paraId="42F57224" w14:textId="77777777" w:rsidR="00BA3B52" w:rsidRPr="00BA3B52" w:rsidRDefault="00BA3B52" w:rsidP="001E1F70">
            <w:pPr>
              <w:jc w:val="both"/>
              <w:rPr>
                <w:rFonts w:ascii="Arial" w:hAnsi="Arial" w:cs="Arial"/>
                <w:szCs w:val="22"/>
              </w:rPr>
            </w:pPr>
            <w:r w:rsidRPr="00BA3B52">
              <w:rPr>
                <w:rFonts w:ascii="Arial" w:hAnsi="Arial" w:cs="Arial"/>
                <w:szCs w:val="22"/>
              </w:rPr>
              <w:t>Isolation, financial stress, weak support</w:t>
            </w:r>
          </w:p>
        </w:tc>
        <w:tc>
          <w:tcPr>
            <w:tcW w:w="0" w:type="auto"/>
            <w:hideMark/>
          </w:tcPr>
          <w:p w14:paraId="5D28A0D3" w14:textId="77777777" w:rsidR="00BA3B52" w:rsidRPr="00BA3B52" w:rsidRDefault="00BA3B52" w:rsidP="001E1F70">
            <w:pPr>
              <w:jc w:val="both"/>
              <w:rPr>
                <w:rFonts w:ascii="Arial" w:hAnsi="Arial" w:cs="Arial"/>
                <w:szCs w:val="22"/>
              </w:rPr>
            </w:pPr>
            <w:r w:rsidRPr="00BA3B52">
              <w:rPr>
                <w:rFonts w:ascii="Arial" w:hAnsi="Arial" w:cs="Arial"/>
                <w:szCs w:val="22"/>
              </w:rPr>
              <w:t>Resilience; WP</w:t>
            </w:r>
          </w:p>
        </w:tc>
        <w:tc>
          <w:tcPr>
            <w:tcW w:w="0" w:type="auto"/>
            <w:hideMark/>
          </w:tcPr>
          <w:p w14:paraId="7AAE9F02" w14:textId="77777777" w:rsidR="00BA3B52" w:rsidRPr="00BA3B52" w:rsidRDefault="00BA3B52" w:rsidP="001E1F70">
            <w:pPr>
              <w:jc w:val="both"/>
              <w:rPr>
                <w:rFonts w:ascii="Arial" w:hAnsi="Arial" w:cs="Arial"/>
                <w:szCs w:val="22"/>
              </w:rPr>
            </w:pPr>
            <w:r w:rsidRPr="00BA3B52">
              <w:rPr>
                <w:rFonts w:ascii="Arial" w:hAnsi="Arial" w:cs="Arial"/>
                <w:szCs w:val="22"/>
              </w:rPr>
              <w:t>Challenges deficit narratives</w:t>
            </w:r>
          </w:p>
        </w:tc>
      </w:tr>
      <w:tr w:rsidR="00BA3B52" w:rsidRPr="00BA3B52" w14:paraId="709FACC6" w14:textId="77777777" w:rsidTr="00BA3B52">
        <w:tc>
          <w:tcPr>
            <w:tcW w:w="0" w:type="auto"/>
            <w:hideMark/>
          </w:tcPr>
          <w:p w14:paraId="456F4A5E" w14:textId="70C143FC" w:rsidR="00BA3B52" w:rsidRPr="00BA3B52" w:rsidRDefault="00BA3B52" w:rsidP="001E1F70">
            <w:pPr>
              <w:jc w:val="both"/>
              <w:rPr>
                <w:rFonts w:ascii="Arial" w:hAnsi="Arial" w:cs="Arial"/>
                <w:szCs w:val="22"/>
              </w:rPr>
            </w:pPr>
            <w:r w:rsidRPr="00BA3B52">
              <w:rPr>
                <w:rFonts w:ascii="Arial" w:hAnsi="Arial" w:cs="Arial"/>
                <w:szCs w:val="22"/>
              </w:rPr>
              <w:t xml:space="preserve">Pinkney </w:t>
            </w:r>
            <w:r>
              <w:rPr>
                <w:rFonts w:ascii="Arial" w:hAnsi="Arial" w:cs="Arial"/>
                <w:szCs w:val="22"/>
              </w:rPr>
              <w:t>and</w:t>
            </w:r>
            <w:r w:rsidRPr="00BA3B52">
              <w:rPr>
                <w:rFonts w:ascii="Arial" w:hAnsi="Arial" w:cs="Arial"/>
                <w:szCs w:val="22"/>
              </w:rPr>
              <w:t xml:space="preserve"> Walker (2020)</w:t>
            </w:r>
          </w:p>
        </w:tc>
        <w:tc>
          <w:tcPr>
            <w:tcW w:w="0" w:type="auto"/>
            <w:hideMark/>
          </w:tcPr>
          <w:p w14:paraId="5984C792" w14:textId="77777777" w:rsidR="00BA3B52" w:rsidRPr="00BA3B52" w:rsidRDefault="00BA3B52" w:rsidP="001E1F70">
            <w:pPr>
              <w:jc w:val="both"/>
              <w:rPr>
                <w:rFonts w:ascii="Arial" w:hAnsi="Arial" w:cs="Arial"/>
                <w:szCs w:val="22"/>
              </w:rPr>
            </w:pPr>
            <w:r w:rsidRPr="00BA3B52">
              <w:rPr>
                <w:rFonts w:ascii="Arial" w:hAnsi="Arial" w:cs="Arial"/>
                <w:szCs w:val="22"/>
              </w:rPr>
              <w:t>Care-experienced students in HE</w:t>
            </w:r>
          </w:p>
        </w:tc>
        <w:tc>
          <w:tcPr>
            <w:tcW w:w="0" w:type="auto"/>
            <w:hideMark/>
          </w:tcPr>
          <w:p w14:paraId="55E91A8F" w14:textId="77777777" w:rsidR="00BA3B52" w:rsidRPr="00BA3B52" w:rsidRDefault="00BA3B52" w:rsidP="001E1F70">
            <w:pPr>
              <w:jc w:val="both"/>
              <w:rPr>
                <w:rFonts w:ascii="Arial" w:hAnsi="Arial" w:cs="Arial"/>
                <w:szCs w:val="22"/>
              </w:rPr>
            </w:pPr>
            <w:r w:rsidRPr="00BA3B52">
              <w:rPr>
                <w:rFonts w:ascii="Arial" w:hAnsi="Arial" w:cs="Arial"/>
                <w:szCs w:val="22"/>
              </w:rPr>
              <w:t>Qualitative case study</w:t>
            </w:r>
          </w:p>
        </w:tc>
        <w:tc>
          <w:tcPr>
            <w:tcW w:w="0" w:type="auto"/>
            <w:hideMark/>
          </w:tcPr>
          <w:p w14:paraId="6AACB6B7" w14:textId="77777777" w:rsidR="00BA3B52" w:rsidRPr="00BA3B52" w:rsidRDefault="00BA3B52" w:rsidP="001E1F70">
            <w:pPr>
              <w:jc w:val="both"/>
              <w:rPr>
                <w:rFonts w:ascii="Arial" w:hAnsi="Arial" w:cs="Arial"/>
                <w:szCs w:val="22"/>
              </w:rPr>
            </w:pPr>
            <w:r w:rsidRPr="00BA3B52">
              <w:rPr>
                <w:rFonts w:ascii="Arial" w:hAnsi="Arial" w:cs="Arial"/>
                <w:szCs w:val="22"/>
              </w:rPr>
              <w:t>Interviews &amp; focus groups</w:t>
            </w:r>
          </w:p>
        </w:tc>
        <w:tc>
          <w:tcPr>
            <w:tcW w:w="0" w:type="auto"/>
            <w:hideMark/>
          </w:tcPr>
          <w:p w14:paraId="7EEA715A"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Depth; </w:t>
            </w:r>
            <w:r w:rsidRPr="00BA3B52">
              <w:rPr>
                <w:rFonts w:ascii="Arial" w:hAnsi="Arial" w:cs="Arial"/>
                <w:b/>
                <w:bCs/>
                <w:szCs w:val="22"/>
              </w:rPr>
              <w:t>–</w:t>
            </w:r>
            <w:r w:rsidRPr="00BA3B52">
              <w:rPr>
                <w:rFonts w:ascii="Arial" w:hAnsi="Arial" w:cs="Arial"/>
                <w:szCs w:val="22"/>
              </w:rPr>
              <w:t xml:space="preserve"> Small, single institution</w:t>
            </w:r>
          </w:p>
        </w:tc>
        <w:tc>
          <w:tcPr>
            <w:tcW w:w="0" w:type="auto"/>
            <w:hideMark/>
          </w:tcPr>
          <w:p w14:paraId="030B98F6" w14:textId="77777777" w:rsidR="00BA3B52" w:rsidRPr="00BA3B52" w:rsidRDefault="00BA3B52" w:rsidP="001E1F70">
            <w:pPr>
              <w:jc w:val="both"/>
              <w:rPr>
                <w:rFonts w:ascii="Arial" w:hAnsi="Arial" w:cs="Arial"/>
                <w:szCs w:val="22"/>
              </w:rPr>
            </w:pPr>
            <w:r w:rsidRPr="00BA3B52">
              <w:rPr>
                <w:rFonts w:ascii="Arial" w:hAnsi="Arial" w:cs="Arial"/>
                <w:szCs w:val="22"/>
              </w:rPr>
              <w:t>Relational, consistent support drives success</w:t>
            </w:r>
          </w:p>
        </w:tc>
        <w:tc>
          <w:tcPr>
            <w:tcW w:w="0" w:type="auto"/>
            <w:hideMark/>
          </w:tcPr>
          <w:p w14:paraId="6EF7D43B" w14:textId="77777777" w:rsidR="00BA3B52" w:rsidRPr="00BA3B52" w:rsidRDefault="00BA3B52" w:rsidP="001E1F70">
            <w:pPr>
              <w:jc w:val="both"/>
              <w:rPr>
                <w:rFonts w:ascii="Arial" w:hAnsi="Arial" w:cs="Arial"/>
                <w:szCs w:val="22"/>
              </w:rPr>
            </w:pPr>
            <w:r w:rsidRPr="00BA3B52">
              <w:rPr>
                <w:rFonts w:ascii="Arial" w:hAnsi="Arial" w:cs="Arial"/>
                <w:szCs w:val="22"/>
              </w:rPr>
              <w:t>Relationships; support</w:t>
            </w:r>
          </w:p>
        </w:tc>
        <w:tc>
          <w:tcPr>
            <w:tcW w:w="0" w:type="auto"/>
            <w:hideMark/>
          </w:tcPr>
          <w:p w14:paraId="3495C47D" w14:textId="77777777" w:rsidR="00BA3B52" w:rsidRPr="00BA3B52" w:rsidRDefault="00BA3B52" w:rsidP="001E1F70">
            <w:pPr>
              <w:jc w:val="both"/>
              <w:rPr>
                <w:rFonts w:ascii="Arial" w:hAnsi="Arial" w:cs="Arial"/>
                <w:szCs w:val="22"/>
              </w:rPr>
            </w:pPr>
            <w:r w:rsidRPr="00BA3B52">
              <w:rPr>
                <w:rFonts w:ascii="Arial" w:hAnsi="Arial" w:cs="Arial"/>
                <w:szCs w:val="22"/>
              </w:rPr>
              <w:t>Emphasises “human warmth”</w:t>
            </w:r>
          </w:p>
        </w:tc>
      </w:tr>
      <w:tr w:rsidR="00BA3B52" w:rsidRPr="00BA3B52" w14:paraId="271E1446" w14:textId="77777777" w:rsidTr="00BA3B52">
        <w:tc>
          <w:tcPr>
            <w:tcW w:w="0" w:type="auto"/>
            <w:hideMark/>
          </w:tcPr>
          <w:p w14:paraId="38B41F11" w14:textId="38E0A800" w:rsidR="00BA3B52" w:rsidRPr="00BA3B52" w:rsidRDefault="00BA3B52" w:rsidP="001E1F70">
            <w:pPr>
              <w:jc w:val="both"/>
              <w:rPr>
                <w:rFonts w:ascii="Arial" w:hAnsi="Arial" w:cs="Arial"/>
                <w:szCs w:val="22"/>
              </w:rPr>
            </w:pPr>
            <w:r w:rsidRPr="00BA3B52">
              <w:rPr>
                <w:rFonts w:ascii="Arial" w:hAnsi="Arial" w:cs="Arial"/>
                <w:szCs w:val="22"/>
              </w:rPr>
              <w:t xml:space="preserve">Bayfield </w:t>
            </w:r>
            <w:r>
              <w:rPr>
                <w:rFonts w:ascii="Arial" w:hAnsi="Arial" w:cs="Arial"/>
                <w:szCs w:val="22"/>
              </w:rPr>
              <w:t>and</w:t>
            </w:r>
            <w:r w:rsidRPr="00BA3B52">
              <w:rPr>
                <w:rFonts w:ascii="Arial" w:hAnsi="Arial" w:cs="Arial"/>
                <w:szCs w:val="22"/>
              </w:rPr>
              <w:t xml:space="preserve"> Smith (2024)</w:t>
            </w:r>
          </w:p>
        </w:tc>
        <w:tc>
          <w:tcPr>
            <w:tcW w:w="0" w:type="auto"/>
            <w:hideMark/>
          </w:tcPr>
          <w:p w14:paraId="7118A1AB" w14:textId="77777777" w:rsidR="00BA3B52" w:rsidRPr="00BA3B52" w:rsidRDefault="00BA3B52" w:rsidP="001E1F70">
            <w:pPr>
              <w:jc w:val="both"/>
              <w:rPr>
                <w:rFonts w:ascii="Arial" w:hAnsi="Arial" w:cs="Arial"/>
                <w:szCs w:val="22"/>
              </w:rPr>
            </w:pPr>
            <w:r w:rsidRPr="00BA3B52">
              <w:rPr>
                <w:rFonts w:ascii="Arial" w:hAnsi="Arial" w:cs="Arial"/>
                <w:szCs w:val="22"/>
              </w:rPr>
              <w:t>Improving HE access: CLASS Cymru</w:t>
            </w:r>
          </w:p>
        </w:tc>
        <w:tc>
          <w:tcPr>
            <w:tcW w:w="0" w:type="auto"/>
            <w:hideMark/>
          </w:tcPr>
          <w:p w14:paraId="58FF1CCC" w14:textId="77777777" w:rsidR="00BA3B52" w:rsidRPr="00BA3B52" w:rsidRDefault="00BA3B52" w:rsidP="001E1F70">
            <w:pPr>
              <w:jc w:val="both"/>
              <w:rPr>
                <w:rFonts w:ascii="Arial" w:hAnsi="Arial" w:cs="Arial"/>
                <w:szCs w:val="22"/>
              </w:rPr>
            </w:pPr>
            <w:r w:rsidRPr="00BA3B52">
              <w:rPr>
                <w:rFonts w:ascii="Arial" w:hAnsi="Arial" w:cs="Arial"/>
                <w:szCs w:val="22"/>
              </w:rPr>
              <w:t>Impact / praxis study</w:t>
            </w:r>
          </w:p>
        </w:tc>
        <w:tc>
          <w:tcPr>
            <w:tcW w:w="0" w:type="auto"/>
            <w:hideMark/>
          </w:tcPr>
          <w:p w14:paraId="4E00ABBB" w14:textId="77777777" w:rsidR="00BA3B52" w:rsidRPr="00BA3B52" w:rsidRDefault="00BA3B52" w:rsidP="001E1F70">
            <w:pPr>
              <w:jc w:val="both"/>
              <w:rPr>
                <w:rFonts w:ascii="Arial" w:hAnsi="Arial" w:cs="Arial"/>
                <w:szCs w:val="22"/>
              </w:rPr>
            </w:pPr>
            <w:r w:rsidRPr="00BA3B52">
              <w:rPr>
                <w:rFonts w:ascii="Arial" w:hAnsi="Arial" w:cs="Arial"/>
                <w:szCs w:val="22"/>
              </w:rPr>
              <w:t>Consultations; N=14</w:t>
            </w:r>
          </w:p>
        </w:tc>
        <w:tc>
          <w:tcPr>
            <w:tcW w:w="0" w:type="auto"/>
            <w:hideMark/>
          </w:tcPr>
          <w:p w14:paraId="0AC8F4D0"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Strong co-production; </w:t>
            </w:r>
            <w:r w:rsidRPr="00BA3B52">
              <w:rPr>
                <w:rFonts w:ascii="Arial" w:hAnsi="Arial" w:cs="Arial"/>
                <w:b/>
                <w:bCs/>
                <w:szCs w:val="22"/>
              </w:rPr>
              <w:t>–</w:t>
            </w:r>
            <w:r w:rsidRPr="00BA3B52">
              <w:rPr>
                <w:rFonts w:ascii="Arial" w:hAnsi="Arial" w:cs="Arial"/>
                <w:szCs w:val="22"/>
              </w:rPr>
              <w:t xml:space="preserve"> Limited evaluation</w:t>
            </w:r>
          </w:p>
        </w:tc>
        <w:tc>
          <w:tcPr>
            <w:tcW w:w="0" w:type="auto"/>
            <w:hideMark/>
          </w:tcPr>
          <w:p w14:paraId="5A6474CD" w14:textId="77777777" w:rsidR="00BA3B52" w:rsidRPr="00BA3B52" w:rsidRDefault="00BA3B52" w:rsidP="001E1F70">
            <w:pPr>
              <w:jc w:val="both"/>
              <w:rPr>
                <w:rFonts w:ascii="Arial" w:hAnsi="Arial" w:cs="Arial"/>
                <w:szCs w:val="22"/>
              </w:rPr>
            </w:pPr>
            <w:r w:rsidRPr="00BA3B52">
              <w:rPr>
                <w:rFonts w:ascii="Arial" w:hAnsi="Arial" w:cs="Arial"/>
                <w:szCs w:val="22"/>
              </w:rPr>
              <w:t>Centralised info &amp; partnerships improve access</w:t>
            </w:r>
          </w:p>
        </w:tc>
        <w:tc>
          <w:tcPr>
            <w:tcW w:w="0" w:type="auto"/>
            <w:hideMark/>
          </w:tcPr>
          <w:p w14:paraId="5AE1C0E0" w14:textId="77777777" w:rsidR="00BA3B52" w:rsidRPr="00BA3B52" w:rsidRDefault="00BA3B52" w:rsidP="001E1F70">
            <w:pPr>
              <w:jc w:val="both"/>
              <w:rPr>
                <w:rFonts w:ascii="Arial" w:hAnsi="Arial" w:cs="Arial"/>
                <w:szCs w:val="22"/>
              </w:rPr>
            </w:pPr>
            <w:r w:rsidRPr="00BA3B52">
              <w:rPr>
                <w:rFonts w:ascii="Arial" w:hAnsi="Arial" w:cs="Arial"/>
                <w:szCs w:val="22"/>
              </w:rPr>
              <w:t>Transition; access; Wales</w:t>
            </w:r>
          </w:p>
        </w:tc>
        <w:tc>
          <w:tcPr>
            <w:tcW w:w="0" w:type="auto"/>
            <w:hideMark/>
          </w:tcPr>
          <w:p w14:paraId="21B13A80" w14:textId="77777777" w:rsidR="00BA3B52" w:rsidRPr="00BA3B52" w:rsidRDefault="00BA3B52" w:rsidP="001E1F70">
            <w:pPr>
              <w:jc w:val="both"/>
              <w:rPr>
                <w:rFonts w:ascii="Arial" w:hAnsi="Arial" w:cs="Arial"/>
                <w:szCs w:val="22"/>
              </w:rPr>
            </w:pPr>
            <w:r w:rsidRPr="00BA3B52">
              <w:rPr>
                <w:rFonts w:ascii="Arial" w:hAnsi="Arial" w:cs="Arial"/>
                <w:szCs w:val="22"/>
              </w:rPr>
              <w:t>Practice-led impact focus</w:t>
            </w:r>
          </w:p>
        </w:tc>
      </w:tr>
      <w:tr w:rsidR="00BA3B52" w:rsidRPr="00BA3B52" w14:paraId="10E626A7" w14:textId="77777777" w:rsidTr="00BA3B52">
        <w:tc>
          <w:tcPr>
            <w:tcW w:w="0" w:type="auto"/>
            <w:hideMark/>
          </w:tcPr>
          <w:p w14:paraId="47FC77C1" w14:textId="325D3395" w:rsidR="00BA3B52" w:rsidRPr="00BA3B52" w:rsidRDefault="00BA3B52" w:rsidP="001E1F70">
            <w:pPr>
              <w:jc w:val="both"/>
              <w:rPr>
                <w:rFonts w:ascii="Arial" w:hAnsi="Arial" w:cs="Arial"/>
                <w:szCs w:val="22"/>
              </w:rPr>
            </w:pPr>
            <w:r w:rsidRPr="00BA3B52">
              <w:rPr>
                <w:rFonts w:ascii="Arial" w:hAnsi="Arial" w:cs="Arial"/>
                <w:szCs w:val="22"/>
              </w:rPr>
              <w:t xml:space="preserve">Gazeley </w:t>
            </w:r>
            <w:r>
              <w:rPr>
                <w:rFonts w:ascii="Arial" w:hAnsi="Arial" w:cs="Arial"/>
                <w:szCs w:val="22"/>
              </w:rPr>
              <w:t>and</w:t>
            </w:r>
            <w:r w:rsidRPr="00BA3B52">
              <w:rPr>
                <w:rFonts w:ascii="Arial" w:hAnsi="Arial" w:cs="Arial"/>
                <w:szCs w:val="22"/>
              </w:rPr>
              <w:t xml:space="preserve"> Hinton-Smith (2018)</w:t>
            </w:r>
          </w:p>
        </w:tc>
        <w:tc>
          <w:tcPr>
            <w:tcW w:w="0" w:type="auto"/>
            <w:hideMark/>
          </w:tcPr>
          <w:p w14:paraId="3B8AF50A" w14:textId="77777777" w:rsidR="00BA3B52" w:rsidRPr="00BA3B52" w:rsidRDefault="00BA3B52" w:rsidP="001E1F70">
            <w:pPr>
              <w:jc w:val="both"/>
              <w:rPr>
                <w:rFonts w:ascii="Arial" w:hAnsi="Arial" w:cs="Arial"/>
                <w:szCs w:val="22"/>
              </w:rPr>
            </w:pPr>
            <w:r w:rsidRPr="00BA3B52">
              <w:rPr>
                <w:rFonts w:ascii="Arial" w:hAnsi="Arial" w:cs="Arial"/>
                <w:szCs w:val="22"/>
              </w:rPr>
              <w:t>Near-peer coaching &amp; “success”</w:t>
            </w:r>
          </w:p>
        </w:tc>
        <w:tc>
          <w:tcPr>
            <w:tcW w:w="0" w:type="auto"/>
            <w:hideMark/>
          </w:tcPr>
          <w:p w14:paraId="5CE756E0" w14:textId="77777777" w:rsidR="00BA3B52" w:rsidRPr="00BA3B52" w:rsidRDefault="00BA3B52" w:rsidP="001E1F70">
            <w:pPr>
              <w:jc w:val="both"/>
              <w:rPr>
                <w:rFonts w:ascii="Arial" w:hAnsi="Arial" w:cs="Arial"/>
                <w:szCs w:val="22"/>
              </w:rPr>
            </w:pPr>
            <w:r w:rsidRPr="00BA3B52">
              <w:rPr>
                <w:rFonts w:ascii="Arial" w:hAnsi="Arial" w:cs="Arial"/>
                <w:szCs w:val="22"/>
              </w:rPr>
              <w:t>Qualitative evaluation</w:t>
            </w:r>
          </w:p>
        </w:tc>
        <w:tc>
          <w:tcPr>
            <w:tcW w:w="0" w:type="auto"/>
            <w:hideMark/>
          </w:tcPr>
          <w:p w14:paraId="31FCABD6" w14:textId="77777777" w:rsidR="00BA3B52" w:rsidRPr="00BA3B52" w:rsidRDefault="00BA3B52" w:rsidP="001E1F70">
            <w:pPr>
              <w:jc w:val="both"/>
              <w:rPr>
                <w:rFonts w:ascii="Arial" w:hAnsi="Arial" w:cs="Arial"/>
                <w:szCs w:val="22"/>
              </w:rPr>
            </w:pPr>
            <w:r w:rsidRPr="00BA3B52">
              <w:rPr>
                <w:rFonts w:ascii="Arial" w:hAnsi="Arial" w:cs="Arial"/>
                <w:szCs w:val="22"/>
              </w:rPr>
              <w:t>Coaching programme</w:t>
            </w:r>
          </w:p>
        </w:tc>
        <w:tc>
          <w:tcPr>
            <w:tcW w:w="0" w:type="auto"/>
            <w:hideMark/>
          </w:tcPr>
          <w:p w14:paraId="45591020"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Relational focus; </w:t>
            </w:r>
            <w:r w:rsidRPr="00BA3B52">
              <w:rPr>
                <w:rFonts w:ascii="Arial" w:hAnsi="Arial" w:cs="Arial"/>
                <w:b/>
                <w:bCs/>
                <w:szCs w:val="22"/>
              </w:rPr>
              <w:t>–</w:t>
            </w:r>
            <w:r w:rsidRPr="00BA3B52">
              <w:rPr>
                <w:rFonts w:ascii="Arial" w:hAnsi="Arial" w:cs="Arial"/>
                <w:szCs w:val="22"/>
              </w:rPr>
              <w:t xml:space="preserve"> Recruitment limits</w:t>
            </w:r>
          </w:p>
        </w:tc>
        <w:tc>
          <w:tcPr>
            <w:tcW w:w="0" w:type="auto"/>
            <w:hideMark/>
          </w:tcPr>
          <w:p w14:paraId="04CC7E3C" w14:textId="77777777" w:rsidR="00BA3B52" w:rsidRPr="00BA3B52" w:rsidRDefault="00BA3B52" w:rsidP="001E1F70">
            <w:pPr>
              <w:jc w:val="both"/>
              <w:rPr>
                <w:rFonts w:ascii="Arial" w:hAnsi="Arial" w:cs="Arial"/>
                <w:szCs w:val="22"/>
              </w:rPr>
            </w:pPr>
            <w:r w:rsidRPr="00BA3B52">
              <w:rPr>
                <w:rFonts w:ascii="Arial" w:hAnsi="Arial" w:cs="Arial"/>
                <w:szCs w:val="22"/>
              </w:rPr>
              <w:t>“Small steps” redefine success</w:t>
            </w:r>
          </w:p>
        </w:tc>
        <w:tc>
          <w:tcPr>
            <w:tcW w:w="0" w:type="auto"/>
            <w:hideMark/>
          </w:tcPr>
          <w:p w14:paraId="341378C6" w14:textId="77777777" w:rsidR="00BA3B52" w:rsidRPr="00BA3B52" w:rsidRDefault="00BA3B52" w:rsidP="001E1F70">
            <w:pPr>
              <w:jc w:val="both"/>
              <w:rPr>
                <w:rFonts w:ascii="Arial" w:hAnsi="Arial" w:cs="Arial"/>
                <w:szCs w:val="22"/>
              </w:rPr>
            </w:pPr>
            <w:r w:rsidRPr="00BA3B52">
              <w:rPr>
                <w:rFonts w:ascii="Arial" w:hAnsi="Arial" w:cs="Arial"/>
                <w:szCs w:val="22"/>
              </w:rPr>
              <w:t>Near-peer; coaching</w:t>
            </w:r>
          </w:p>
        </w:tc>
        <w:tc>
          <w:tcPr>
            <w:tcW w:w="0" w:type="auto"/>
            <w:hideMark/>
          </w:tcPr>
          <w:p w14:paraId="6A0D0783" w14:textId="77777777" w:rsidR="00BA3B52" w:rsidRPr="00BA3B52" w:rsidRDefault="00BA3B52" w:rsidP="001E1F70">
            <w:pPr>
              <w:jc w:val="both"/>
              <w:rPr>
                <w:rFonts w:ascii="Arial" w:hAnsi="Arial" w:cs="Arial"/>
                <w:szCs w:val="22"/>
              </w:rPr>
            </w:pPr>
            <w:r w:rsidRPr="00BA3B52">
              <w:rPr>
                <w:rFonts w:ascii="Arial" w:hAnsi="Arial" w:cs="Arial"/>
                <w:szCs w:val="22"/>
              </w:rPr>
              <w:t>Human-scale systems highlighted</w:t>
            </w:r>
          </w:p>
        </w:tc>
      </w:tr>
      <w:tr w:rsidR="00BA3B52" w:rsidRPr="00BA3B52" w14:paraId="54AC3CD0" w14:textId="77777777" w:rsidTr="00BA3B52">
        <w:tc>
          <w:tcPr>
            <w:tcW w:w="0" w:type="auto"/>
            <w:hideMark/>
          </w:tcPr>
          <w:p w14:paraId="68658405" w14:textId="145098BA" w:rsidR="00BA3B52" w:rsidRPr="00BA3B52" w:rsidRDefault="00BA3B52" w:rsidP="001E1F70">
            <w:pPr>
              <w:jc w:val="both"/>
              <w:rPr>
                <w:rFonts w:ascii="Arial" w:hAnsi="Arial" w:cs="Arial"/>
                <w:szCs w:val="22"/>
              </w:rPr>
            </w:pPr>
            <w:r w:rsidRPr="00BA3B52">
              <w:rPr>
                <w:rFonts w:ascii="Arial" w:hAnsi="Arial" w:cs="Arial"/>
                <w:szCs w:val="22"/>
              </w:rPr>
              <w:t xml:space="preserve">Ellis </w:t>
            </w:r>
            <w:r>
              <w:rPr>
                <w:rFonts w:ascii="Arial" w:hAnsi="Arial" w:cs="Arial"/>
                <w:szCs w:val="22"/>
              </w:rPr>
              <w:t>and</w:t>
            </w:r>
            <w:r w:rsidRPr="00BA3B52">
              <w:rPr>
                <w:rFonts w:ascii="Arial" w:hAnsi="Arial" w:cs="Arial"/>
                <w:szCs w:val="22"/>
              </w:rPr>
              <w:t xml:space="preserve"> Johnston (2024)</w:t>
            </w:r>
          </w:p>
        </w:tc>
        <w:tc>
          <w:tcPr>
            <w:tcW w:w="0" w:type="auto"/>
            <w:hideMark/>
          </w:tcPr>
          <w:p w14:paraId="1986AC3B" w14:textId="77777777" w:rsidR="00BA3B52" w:rsidRPr="00BA3B52" w:rsidRDefault="00BA3B52" w:rsidP="001E1F70">
            <w:pPr>
              <w:jc w:val="both"/>
              <w:rPr>
                <w:rFonts w:ascii="Arial" w:hAnsi="Arial" w:cs="Arial"/>
                <w:szCs w:val="22"/>
              </w:rPr>
            </w:pPr>
            <w:r w:rsidRPr="00BA3B52">
              <w:rPr>
                <w:rFonts w:ascii="Arial" w:hAnsi="Arial" w:cs="Arial"/>
                <w:szCs w:val="22"/>
              </w:rPr>
              <w:t>Instability, stigma &amp; education</w:t>
            </w:r>
          </w:p>
        </w:tc>
        <w:tc>
          <w:tcPr>
            <w:tcW w:w="0" w:type="auto"/>
            <w:hideMark/>
          </w:tcPr>
          <w:p w14:paraId="5E8A02F0" w14:textId="77777777" w:rsidR="00BA3B52" w:rsidRPr="00BA3B52" w:rsidRDefault="00BA3B52" w:rsidP="001E1F70">
            <w:pPr>
              <w:jc w:val="both"/>
              <w:rPr>
                <w:rFonts w:ascii="Arial" w:hAnsi="Arial" w:cs="Arial"/>
                <w:szCs w:val="22"/>
              </w:rPr>
            </w:pPr>
            <w:r w:rsidRPr="00BA3B52">
              <w:rPr>
                <w:rFonts w:ascii="Arial" w:hAnsi="Arial" w:cs="Arial"/>
                <w:szCs w:val="22"/>
              </w:rPr>
              <w:t>Large qualitative study</w:t>
            </w:r>
          </w:p>
        </w:tc>
        <w:tc>
          <w:tcPr>
            <w:tcW w:w="0" w:type="auto"/>
            <w:hideMark/>
          </w:tcPr>
          <w:p w14:paraId="6F9F912B" w14:textId="77777777" w:rsidR="00BA3B52" w:rsidRPr="00BA3B52" w:rsidRDefault="00BA3B52" w:rsidP="001E1F70">
            <w:pPr>
              <w:jc w:val="both"/>
              <w:rPr>
                <w:rFonts w:ascii="Arial" w:hAnsi="Arial" w:cs="Arial"/>
                <w:szCs w:val="22"/>
              </w:rPr>
            </w:pPr>
            <w:r w:rsidRPr="00BA3B52">
              <w:rPr>
                <w:rFonts w:ascii="Arial" w:hAnsi="Arial" w:cs="Arial"/>
                <w:szCs w:val="22"/>
              </w:rPr>
              <w:t>Survey; N=234</w:t>
            </w:r>
          </w:p>
        </w:tc>
        <w:tc>
          <w:tcPr>
            <w:tcW w:w="0" w:type="auto"/>
            <w:hideMark/>
          </w:tcPr>
          <w:p w14:paraId="5791129C"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Structural lens; </w:t>
            </w:r>
            <w:r w:rsidRPr="00BA3B52">
              <w:rPr>
                <w:rFonts w:ascii="Arial" w:hAnsi="Arial" w:cs="Arial"/>
                <w:b/>
                <w:bCs/>
                <w:szCs w:val="22"/>
              </w:rPr>
              <w:t>–</w:t>
            </w:r>
            <w:r w:rsidRPr="00BA3B52">
              <w:rPr>
                <w:rFonts w:ascii="Arial" w:hAnsi="Arial" w:cs="Arial"/>
                <w:szCs w:val="22"/>
              </w:rPr>
              <w:t xml:space="preserve"> Self-reported</w:t>
            </w:r>
          </w:p>
        </w:tc>
        <w:tc>
          <w:tcPr>
            <w:tcW w:w="0" w:type="auto"/>
            <w:hideMark/>
          </w:tcPr>
          <w:p w14:paraId="7383CB67" w14:textId="77777777" w:rsidR="00BA3B52" w:rsidRPr="00BA3B52" w:rsidRDefault="00BA3B52" w:rsidP="001E1F70">
            <w:pPr>
              <w:jc w:val="both"/>
              <w:rPr>
                <w:rFonts w:ascii="Arial" w:hAnsi="Arial" w:cs="Arial"/>
                <w:szCs w:val="22"/>
              </w:rPr>
            </w:pPr>
            <w:r w:rsidRPr="00BA3B52">
              <w:rPr>
                <w:rFonts w:ascii="Arial" w:hAnsi="Arial" w:cs="Arial"/>
                <w:szCs w:val="22"/>
              </w:rPr>
              <w:t>Meritocracy narratives obscure barriers</w:t>
            </w:r>
          </w:p>
        </w:tc>
        <w:tc>
          <w:tcPr>
            <w:tcW w:w="0" w:type="auto"/>
            <w:hideMark/>
          </w:tcPr>
          <w:p w14:paraId="221F1B5E" w14:textId="77777777" w:rsidR="00BA3B52" w:rsidRPr="00BA3B52" w:rsidRDefault="00BA3B52" w:rsidP="001E1F70">
            <w:pPr>
              <w:jc w:val="both"/>
              <w:rPr>
                <w:rFonts w:ascii="Arial" w:hAnsi="Arial" w:cs="Arial"/>
                <w:szCs w:val="22"/>
              </w:rPr>
            </w:pPr>
            <w:r w:rsidRPr="00BA3B52">
              <w:rPr>
                <w:rFonts w:ascii="Arial" w:hAnsi="Arial" w:cs="Arial"/>
                <w:szCs w:val="22"/>
              </w:rPr>
              <w:t>Stigma; instability</w:t>
            </w:r>
          </w:p>
        </w:tc>
        <w:tc>
          <w:tcPr>
            <w:tcW w:w="0" w:type="auto"/>
            <w:hideMark/>
          </w:tcPr>
          <w:p w14:paraId="1E699CAC" w14:textId="77777777" w:rsidR="00BA3B52" w:rsidRPr="00BA3B52" w:rsidRDefault="00BA3B52" w:rsidP="001E1F70">
            <w:pPr>
              <w:jc w:val="both"/>
              <w:rPr>
                <w:rFonts w:ascii="Arial" w:hAnsi="Arial" w:cs="Arial"/>
                <w:szCs w:val="22"/>
              </w:rPr>
            </w:pPr>
            <w:r w:rsidRPr="00BA3B52">
              <w:rPr>
                <w:rFonts w:ascii="Arial" w:hAnsi="Arial" w:cs="Arial"/>
                <w:szCs w:val="22"/>
              </w:rPr>
              <w:t>Warns against individualising success</w:t>
            </w:r>
          </w:p>
        </w:tc>
      </w:tr>
      <w:tr w:rsidR="00BA3B52" w:rsidRPr="00BA3B52" w14:paraId="1E0DCDB4" w14:textId="77777777" w:rsidTr="00BA3B52">
        <w:tc>
          <w:tcPr>
            <w:tcW w:w="0" w:type="auto"/>
            <w:hideMark/>
          </w:tcPr>
          <w:p w14:paraId="6EA5D898" w14:textId="77777777" w:rsidR="00BA3B52" w:rsidRPr="00BA3B52" w:rsidRDefault="00BA3B52" w:rsidP="001E1F70">
            <w:pPr>
              <w:jc w:val="both"/>
              <w:rPr>
                <w:rFonts w:ascii="Arial" w:hAnsi="Arial" w:cs="Arial"/>
                <w:szCs w:val="22"/>
              </w:rPr>
            </w:pPr>
            <w:r w:rsidRPr="00BA3B52">
              <w:rPr>
                <w:rFonts w:ascii="Arial" w:hAnsi="Arial" w:cs="Arial"/>
                <w:szCs w:val="22"/>
              </w:rPr>
              <w:t>Cotton et al. (2017)</w:t>
            </w:r>
          </w:p>
        </w:tc>
        <w:tc>
          <w:tcPr>
            <w:tcW w:w="0" w:type="auto"/>
            <w:hideMark/>
          </w:tcPr>
          <w:p w14:paraId="6B7321AC" w14:textId="77777777" w:rsidR="00BA3B52" w:rsidRPr="00BA3B52" w:rsidRDefault="00BA3B52" w:rsidP="001E1F70">
            <w:pPr>
              <w:jc w:val="both"/>
              <w:rPr>
                <w:rFonts w:ascii="Arial" w:hAnsi="Arial" w:cs="Arial"/>
                <w:szCs w:val="22"/>
              </w:rPr>
            </w:pPr>
            <w:r w:rsidRPr="00BA3B52">
              <w:rPr>
                <w:rFonts w:ascii="Arial" w:hAnsi="Arial" w:cs="Arial"/>
                <w:szCs w:val="22"/>
              </w:rPr>
              <w:t>Retention using resilience framework</w:t>
            </w:r>
          </w:p>
        </w:tc>
        <w:tc>
          <w:tcPr>
            <w:tcW w:w="0" w:type="auto"/>
            <w:hideMark/>
          </w:tcPr>
          <w:p w14:paraId="3ADFB740" w14:textId="77777777" w:rsidR="00BA3B52" w:rsidRPr="00BA3B52" w:rsidRDefault="00BA3B52" w:rsidP="001E1F70">
            <w:pPr>
              <w:jc w:val="both"/>
              <w:rPr>
                <w:rFonts w:ascii="Arial" w:hAnsi="Arial" w:cs="Arial"/>
                <w:szCs w:val="22"/>
              </w:rPr>
            </w:pPr>
            <w:r w:rsidRPr="00BA3B52">
              <w:rPr>
                <w:rFonts w:ascii="Arial" w:hAnsi="Arial" w:cs="Arial"/>
                <w:szCs w:val="22"/>
              </w:rPr>
              <w:t>Conceptual + applied</w:t>
            </w:r>
          </w:p>
        </w:tc>
        <w:tc>
          <w:tcPr>
            <w:tcW w:w="0" w:type="auto"/>
            <w:hideMark/>
          </w:tcPr>
          <w:p w14:paraId="3385DE27" w14:textId="77777777" w:rsidR="00BA3B52" w:rsidRPr="00BA3B52" w:rsidRDefault="00BA3B52" w:rsidP="001E1F70">
            <w:pPr>
              <w:jc w:val="both"/>
              <w:rPr>
                <w:rFonts w:ascii="Arial" w:hAnsi="Arial" w:cs="Arial"/>
                <w:szCs w:val="22"/>
              </w:rPr>
            </w:pPr>
            <w:r w:rsidRPr="00BA3B52">
              <w:rPr>
                <w:rFonts w:ascii="Arial" w:hAnsi="Arial" w:cs="Arial"/>
                <w:szCs w:val="22"/>
              </w:rPr>
              <w:t>Two UK projects</w:t>
            </w:r>
          </w:p>
        </w:tc>
        <w:tc>
          <w:tcPr>
            <w:tcW w:w="0" w:type="auto"/>
            <w:hideMark/>
          </w:tcPr>
          <w:p w14:paraId="31A85815"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Framework utility; </w:t>
            </w:r>
            <w:r w:rsidRPr="00BA3B52">
              <w:rPr>
                <w:rFonts w:ascii="Arial" w:hAnsi="Arial" w:cs="Arial"/>
                <w:b/>
                <w:bCs/>
                <w:szCs w:val="22"/>
              </w:rPr>
              <w:t>–</w:t>
            </w:r>
            <w:r w:rsidRPr="00BA3B52">
              <w:rPr>
                <w:rFonts w:ascii="Arial" w:hAnsi="Arial" w:cs="Arial"/>
                <w:szCs w:val="22"/>
              </w:rPr>
              <w:t xml:space="preserve"> Non-care specific</w:t>
            </w:r>
          </w:p>
        </w:tc>
        <w:tc>
          <w:tcPr>
            <w:tcW w:w="0" w:type="auto"/>
            <w:hideMark/>
          </w:tcPr>
          <w:p w14:paraId="2247F645" w14:textId="77777777" w:rsidR="00BA3B52" w:rsidRPr="00BA3B52" w:rsidRDefault="00BA3B52" w:rsidP="001E1F70">
            <w:pPr>
              <w:jc w:val="both"/>
              <w:rPr>
                <w:rFonts w:ascii="Arial" w:hAnsi="Arial" w:cs="Arial"/>
                <w:szCs w:val="22"/>
              </w:rPr>
            </w:pPr>
            <w:r w:rsidRPr="00BA3B52">
              <w:rPr>
                <w:rFonts w:ascii="Arial" w:hAnsi="Arial" w:cs="Arial"/>
                <w:szCs w:val="22"/>
              </w:rPr>
              <w:t>Resilience aids retention analysis</w:t>
            </w:r>
          </w:p>
        </w:tc>
        <w:tc>
          <w:tcPr>
            <w:tcW w:w="0" w:type="auto"/>
            <w:hideMark/>
          </w:tcPr>
          <w:p w14:paraId="3DBF8A56" w14:textId="77777777" w:rsidR="00BA3B52" w:rsidRPr="00BA3B52" w:rsidRDefault="00BA3B52" w:rsidP="001E1F70">
            <w:pPr>
              <w:jc w:val="both"/>
              <w:rPr>
                <w:rFonts w:ascii="Arial" w:hAnsi="Arial" w:cs="Arial"/>
                <w:szCs w:val="22"/>
              </w:rPr>
            </w:pPr>
            <w:r w:rsidRPr="00BA3B52">
              <w:rPr>
                <w:rFonts w:ascii="Arial" w:hAnsi="Arial" w:cs="Arial"/>
                <w:szCs w:val="22"/>
              </w:rPr>
              <w:t>Resilience; retention</w:t>
            </w:r>
          </w:p>
        </w:tc>
        <w:tc>
          <w:tcPr>
            <w:tcW w:w="0" w:type="auto"/>
            <w:hideMark/>
          </w:tcPr>
          <w:p w14:paraId="782AD3D7" w14:textId="77777777" w:rsidR="00BA3B52" w:rsidRPr="00BA3B52" w:rsidRDefault="00BA3B52" w:rsidP="001E1F70">
            <w:pPr>
              <w:jc w:val="both"/>
              <w:rPr>
                <w:rFonts w:ascii="Arial" w:hAnsi="Arial" w:cs="Arial"/>
                <w:szCs w:val="22"/>
              </w:rPr>
            </w:pPr>
            <w:r w:rsidRPr="00BA3B52">
              <w:rPr>
                <w:rFonts w:ascii="Arial" w:hAnsi="Arial" w:cs="Arial"/>
                <w:szCs w:val="22"/>
              </w:rPr>
              <w:t>Applicable across non-traditional groups</w:t>
            </w:r>
          </w:p>
        </w:tc>
      </w:tr>
      <w:tr w:rsidR="00BA3B52" w:rsidRPr="00BA3B52" w14:paraId="575B9287" w14:textId="77777777" w:rsidTr="00BA3B52">
        <w:tc>
          <w:tcPr>
            <w:tcW w:w="0" w:type="auto"/>
            <w:hideMark/>
          </w:tcPr>
          <w:p w14:paraId="129929C4" w14:textId="77777777" w:rsidR="00BA3B52" w:rsidRPr="00BA3B52" w:rsidRDefault="00BA3B52" w:rsidP="001E1F70">
            <w:pPr>
              <w:jc w:val="both"/>
              <w:rPr>
                <w:rFonts w:ascii="Arial" w:hAnsi="Arial" w:cs="Arial"/>
                <w:szCs w:val="22"/>
              </w:rPr>
            </w:pPr>
            <w:r w:rsidRPr="00BA3B52">
              <w:rPr>
                <w:rFonts w:ascii="Arial" w:hAnsi="Arial" w:cs="Arial"/>
                <w:szCs w:val="22"/>
              </w:rPr>
              <w:t>Campbell et al. (2022)</w:t>
            </w:r>
          </w:p>
        </w:tc>
        <w:tc>
          <w:tcPr>
            <w:tcW w:w="0" w:type="auto"/>
            <w:hideMark/>
          </w:tcPr>
          <w:p w14:paraId="18E40099" w14:textId="77777777" w:rsidR="00BA3B52" w:rsidRPr="00BA3B52" w:rsidRDefault="00BA3B52" w:rsidP="001E1F70">
            <w:pPr>
              <w:jc w:val="both"/>
              <w:rPr>
                <w:rFonts w:ascii="Arial" w:hAnsi="Arial" w:cs="Arial"/>
                <w:szCs w:val="22"/>
              </w:rPr>
            </w:pPr>
            <w:r w:rsidRPr="00BA3B52">
              <w:rPr>
                <w:rFonts w:ascii="Arial" w:hAnsi="Arial" w:cs="Arial"/>
                <w:szCs w:val="22"/>
              </w:rPr>
              <w:t>Factors influencing student MH (UK)</w:t>
            </w:r>
          </w:p>
        </w:tc>
        <w:tc>
          <w:tcPr>
            <w:tcW w:w="0" w:type="auto"/>
            <w:hideMark/>
          </w:tcPr>
          <w:p w14:paraId="7DF7B07D" w14:textId="77777777" w:rsidR="00BA3B52" w:rsidRPr="00BA3B52" w:rsidRDefault="00BA3B52" w:rsidP="001E1F70">
            <w:pPr>
              <w:jc w:val="both"/>
              <w:rPr>
                <w:rFonts w:ascii="Arial" w:hAnsi="Arial" w:cs="Arial"/>
                <w:szCs w:val="22"/>
              </w:rPr>
            </w:pPr>
            <w:r w:rsidRPr="00BA3B52">
              <w:rPr>
                <w:rFonts w:ascii="Arial" w:hAnsi="Arial" w:cs="Arial"/>
                <w:szCs w:val="22"/>
              </w:rPr>
              <w:t>Systematic review</w:t>
            </w:r>
          </w:p>
        </w:tc>
        <w:tc>
          <w:tcPr>
            <w:tcW w:w="0" w:type="auto"/>
            <w:hideMark/>
          </w:tcPr>
          <w:p w14:paraId="223AB37B" w14:textId="77777777" w:rsidR="00BA3B52" w:rsidRPr="00BA3B52" w:rsidRDefault="00BA3B52" w:rsidP="001E1F70">
            <w:pPr>
              <w:jc w:val="both"/>
              <w:rPr>
                <w:rFonts w:ascii="Arial" w:hAnsi="Arial" w:cs="Arial"/>
                <w:szCs w:val="22"/>
              </w:rPr>
            </w:pPr>
            <w:r w:rsidRPr="00BA3B52">
              <w:rPr>
                <w:rFonts w:ascii="Arial" w:hAnsi="Arial" w:cs="Arial"/>
                <w:szCs w:val="22"/>
              </w:rPr>
              <w:t>31 observational studies</w:t>
            </w:r>
          </w:p>
        </w:tc>
        <w:tc>
          <w:tcPr>
            <w:tcW w:w="0" w:type="auto"/>
            <w:hideMark/>
          </w:tcPr>
          <w:p w14:paraId="41044A21" w14:textId="77777777" w:rsidR="00BA3B52" w:rsidRPr="00BA3B52" w:rsidRDefault="00BA3B52" w:rsidP="001E1F70">
            <w:pPr>
              <w:jc w:val="both"/>
              <w:rPr>
                <w:rFonts w:ascii="Arial" w:hAnsi="Arial" w:cs="Arial"/>
                <w:szCs w:val="22"/>
              </w:rPr>
            </w:pPr>
            <w:r w:rsidRPr="00BA3B52">
              <w:rPr>
                <w:rFonts w:ascii="Arial" w:hAnsi="Arial" w:cs="Arial"/>
                <w:b/>
                <w:bCs/>
                <w:szCs w:val="22"/>
              </w:rPr>
              <w:t>+</w:t>
            </w:r>
            <w:r w:rsidRPr="00BA3B52">
              <w:rPr>
                <w:rFonts w:ascii="Arial" w:hAnsi="Arial" w:cs="Arial"/>
                <w:szCs w:val="22"/>
              </w:rPr>
              <w:t xml:space="preserve"> UK focus; </w:t>
            </w:r>
            <w:r w:rsidRPr="00BA3B52">
              <w:rPr>
                <w:rFonts w:ascii="Arial" w:hAnsi="Arial" w:cs="Arial"/>
                <w:b/>
                <w:bCs/>
                <w:szCs w:val="22"/>
              </w:rPr>
              <w:t>–</w:t>
            </w:r>
            <w:r w:rsidRPr="00BA3B52">
              <w:rPr>
                <w:rFonts w:ascii="Arial" w:hAnsi="Arial" w:cs="Arial"/>
                <w:szCs w:val="22"/>
              </w:rPr>
              <w:t xml:space="preserve"> Cross-sectional bias</w:t>
            </w:r>
          </w:p>
        </w:tc>
        <w:tc>
          <w:tcPr>
            <w:tcW w:w="0" w:type="auto"/>
            <w:hideMark/>
          </w:tcPr>
          <w:p w14:paraId="5C9CA2A9" w14:textId="77777777" w:rsidR="00BA3B52" w:rsidRPr="00BA3B52" w:rsidRDefault="00BA3B52" w:rsidP="001E1F70">
            <w:pPr>
              <w:jc w:val="both"/>
              <w:rPr>
                <w:rFonts w:ascii="Arial" w:hAnsi="Arial" w:cs="Arial"/>
                <w:szCs w:val="22"/>
              </w:rPr>
            </w:pPr>
            <w:r w:rsidRPr="00BA3B52">
              <w:rPr>
                <w:rFonts w:ascii="Arial" w:hAnsi="Arial" w:cs="Arial"/>
                <w:szCs w:val="22"/>
              </w:rPr>
              <w:t>Trauma history strongly predicts poor MH</w:t>
            </w:r>
          </w:p>
        </w:tc>
        <w:tc>
          <w:tcPr>
            <w:tcW w:w="0" w:type="auto"/>
            <w:hideMark/>
          </w:tcPr>
          <w:p w14:paraId="001922F6" w14:textId="77777777" w:rsidR="00BA3B52" w:rsidRPr="00BA3B52" w:rsidRDefault="00BA3B52" w:rsidP="001E1F70">
            <w:pPr>
              <w:jc w:val="both"/>
              <w:rPr>
                <w:rFonts w:ascii="Arial" w:hAnsi="Arial" w:cs="Arial"/>
                <w:szCs w:val="22"/>
              </w:rPr>
            </w:pPr>
            <w:r w:rsidRPr="00BA3B52">
              <w:rPr>
                <w:rFonts w:ascii="Arial" w:hAnsi="Arial" w:cs="Arial"/>
                <w:szCs w:val="22"/>
              </w:rPr>
              <w:t>Trauma; wellbeing</w:t>
            </w:r>
          </w:p>
        </w:tc>
        <w:tc>
          <w:tcPr>
            <w:tcW w:w="0" w:type="auto"/>
            <w:hideMark/>
          </w:tcPr>
          <w:p w14:paraId="5F5EEA9E" w14:textId="77777777" w:rsidR="00BA3B52" w:rsidRPr="00BA3B52" w:rsidRDefault="00BA3B52" w:rsidP="001E1F70">
            <w:pPr>
              <w:jc w:val="both"/>
              <w:rPr>
                <w:rFonts w:ascii="Arial" w:hAnsi="Arial" w:cs="Arial"/>
                <w:szCs w:val="22"/>
              </w:rPr>
            </w:pPr>
            <w:r w:rsidRPr="00BA3B52">
              <w:rPr>
                <w:rFonts w:ascii="Arial" w:hAnsi="Arial" w:cs="Arial"/>
                <w:szCs w:val="22"/>
              </w:rPr>
              <w:t>Supports targeted prevention</w:t>
            </w:r>
          </w:p>
        </w:tc>
      </w:tr>
    </w:tbl>
    <w:p w14:paraId="5D955D33" w14:textId="77777777" w:rsidR="005B68BC" w:rsidRPr="005B68BC" w:rsidRDefault="005B68BC" w:rsidP="001E1F70">
      <w:pPr>
        <w:jc w:val="both"/>
        <w:rPr>
          <w:lang w:eastAsia="en-US"/>
        </w:rPr>
      </w:pPr>
    </w:p>
    <w:p w14:paraId="0C85689D" w14:textId="77777777" w:rsidR="007F0492" w:rsidRDefault="007F0492" w:rsidP="001E1F70">
      <w:pPr>
        <w:jc w:val="both"/>
        <w:rPr>
          <w:rFonts w:ascii="Arial" w:hAnsi="Arial" w:cs="Arial"/>
          <w:szCs w:val="22"/>
        </w:rPr>
      </w:pPr>
    </w:p>
    <w:p w14:paraId="44CD91D8" w14:textId="27BD391A" w:rsidR="007F0492" w:rsidRPr="00CF23FB" w:rsidRDefault="007F0492" w:rsidP="001E1F70">
      <w:pPr>
        <w:pStyle w:val="Heading2"/>
        <w:jc w:val="both"/>
      </w:pPr>
      <w:bookmarkStart w:id="57" w:name="_Toc224307219"/>
      <w:r>
        <w:t>7.</w:t>
      </w:r>
      <w:r w:rsidR="005B68BC">
        <w:t>3</w:t>
      </w:r>
      <w:r>
        <w:t>. Detailed Theme Generation Through Thematic Analysis</w:t>
      </w:r>
      <w:bookmarkEnd w:id="57"/>
    </w:p>
    <w:tbl>
      <w:tblPr>
        <w:tblStyle w:val="TableGrid"/>
        <w:tblW w:w="0" w:type="auto"/>
        <w:tblLook w:val="04A0" w:firstRow="1" w:lastRow="0" w:firstColumn="1" w:lastColumn="0" w:noHBand="0" w:noVBand="1"/>
      </w:tblPr>
      <w:tblGrid>
        <w:gridCol w:w="5618"/>
        <w:gridCol w:w="2816"/>
        <w:gridCol w:w="3903"/>
        <w:gridCol w:w="1611"/>
      </w:tblGrid>
      <w:tr w:rsidR="00DA24FA" w:rsidRPr="00CF23FB" w14:paraId="6914E504" w14:textId="77777777" w:rsidTr="00BF22AD">
        <w:tc>
          <w:tcPr>
            <w:tcW w:w="0" w:type="auto"/>
            <w:hideMark/>
          </w:tcPr>
          <w:p w14:paraId="1018C58C" w14:textId="77777777" w:rsidR="00DA24FA" w:rsidRPr="00CF23FB" w:rsidRDefault="00DA24FA" w:rsidP="001E1F70">
            <w:pPr>
              <w:jc w:val="both"/>
              <w:rPr>
                <w:rFonts w:ascii="Arial" w:hAnsi="Arial" w:cs="Arial"/>
                <w:b/>
                <w:bCs/>
                <w:szCs w:val="22"/>
              </w:rPr>
            </w:pPr>
            <w:r w:rsidRPr="00CF23FB">
              <w:rPr>
                <w:rFonts w:ascii="Arial" w:hAnsi="Arial" w:cs="Arial"/>
                <w:b/>
                <w:bCs/>
                <w:szCs w:val="22"/>
              </w:rPr>
              <w:t>Code (from studies)</w:t>
            </w:r>
          </w:p>
        </w:tc>
        <w:tc>
          <w:tcPr>
            <w:tcW w:w="0" w:type="auto"/>
            <w:hideMark/>
          </w:tcPr>
          <w:p w14:paraId="215F3838" w14:textId="77777777" w:rsidR="00DA24FA" w:rsidRPr="00CF23FB" w:rsidRDefault="00DA24FA" w:rsidP="001E1F70">
            <w:pPr>
              <w:jc w:val="both"/>
              <w:rPr>
                <w:rFonts w:ascii="Arial" w:hAnsi="Arial" w:cs="Arial"/>
                <w:b/>
                <w:bCs/>
                <w:szCs w:val="22"/>
              </w:rPr>
            </w:pPr>
            <w:r w:rsidRPr="00CF23FB">
              <w:rPr>
                <w:rFonts w:ascii="Arial" w:hAnsi="Arial" w:cs="Arial"/>
                <w:b/>
                <w:bCs/>
                <w:szCs w:val="22"/>
              </w:rPr>
              <w:t>Sub-theme</w:t>
            </w:r>
          </w:p>
        </w:tc>
        <w:tc>
          <w:tcPr>
            <w:tcW w:w="0" w:type="auto"/>
            <w:hideMark/>
          </w:tcPr>
          <w:p w14:paraId="5CFC8433" w14:textId="77777777" w:rsidR="00DA24FA" w:rsidRPr="00CF23FB" w:rsidRDefault="00DA24FA" w:rsidP="001E1F70">
            <w:pPr>
              <w:jc w:val="both"/>
              <w:rPr>
                <w:rFonts w:ascii="Arial" w:hAnsi="Arial" w:cs="Arial"/>
                <w:b/>
                <w:bCs/>
                <w:szCs w:val="22"/>
              </w:rPr>
            </w:pPr>
            <w:r w:rsidRPr="00CF23FB">
              <w:rPr>
                <w:rFonts w:ascii="Arial" w:hAnsi="Arial" w:cs="Arial"/>
                <w:b/>
                <w:bCs/>
                <w:szCs w:val="22"/>
              </w:rPr>
              <w:t>Theme</w:t>
            </w:r>
          </w:p>
        </w:tc>
        <w:tc>
          <w:tcPr>
            <w:tcW w:w="0" w:type="auto"/>
            <w:hideMark/>
          </w:tcPr>
          <w:p w14:paraId="5E6879C8" w14:textId="77777777" w:rsidR="00DA24FA" w:rsidRPr="00CF23FB" w:rsidRDefault="00DA24FA" w:rsidP="001E1F70">
            <w:pPr>
              <w:jc w:val="both"/>
              <w:rPr>
                <w:rFonts w:ascii="Arial" w:hAnsi="Arial" w:cs="Arial"/>
                <w:b/>
                <w:bCs/>
                <w:szCs w:val="22"/>
              </w:rPr>
            </w:pPr>
            <w:r w:rsidRPr="00CF23FB">
              <w:rPr>
                <w:rFonts w:ascii="Arial" w:hAnsi="Arial" w:cs="Arial"/>
                <w:b/>
                <w:bCs/>
                <w:szCs w:val="22"/>
              </w:rPr>
              <w:t>Linked objective(s)</w:t>
            </w:r>
          </w:p>
        </w:tc>
      </w:tr>
      <w:tr w:rsidR="00BF22AD" w:rsidRPr="00CF23FB" w14:paraId="2CCEE2B8" w14:textId="77777777" w:rsidTr="00BF22AD">
        <w:tc>
          <w:tcPr>
            <w:tcW w:w="0" w:type="auto"/>
            <w:hideMark/>
          </w:tcPr>
          <w:p w14:paraId="61A2B1DA" w14:textId="77777777" w:rsidR="00BF22AD" w:rsidRPr="00CF23FB" w:rsidRDefault="00BF22AD" w:rsidP="001E1F70">
            <w:pPr>
              <w:jc w:val="both"/>
              <w:rPr>
                <w:rFonts w:ascii="Arial" w:hAnsi="Arial" w:cs="Arial"/>
                <w:szCs w:val="22"/>
              </w:rPr>
            </w:pPr>
            <w:r w:rsidRPr="00CF23FB">
              <w:rPr>
                <w:rFonts w:ascii="Arial" w:hAnsi="Arial" w:cs="Arial"/>
                <w:szCs w:val="22"/>
              </w:rPr>
              <w:t>Depression, anxiety, trauma/PTSD symptoms reported at higher levels (Lehmann et al., 2024; Miller et al., 2020; Campbell et al., 2022)</w:t>
            </w:r>
          </w:p>
        </w:tc>
        <w:tc>
          <w:tcPr>
            <w:tcW w:w="0" w:type="auto"/>
            <w:vMerge w:val="restart"/>
            <w:hideMark/>
          </w:tcPr>
          <w:p w14:paraId="398DEB83" w14:textId="77777777" w:rsidR="00BF22AD" w:rsidRPr="00CF23FB" w:rsidRDefault="00BF22AD" w:rsidP="001E1F70">
            <w:pPr>
              <w:jc w:val="both"/>
              <w:rPr>
                <w:rFonts w:ascii="Arial" w:hAnsi="Arial" w:cs="Arial"/>
                <w:szCs w:val="22"/>
              </w:rPr>
            </w:pPr>
            <w:r w:rsidRPr="00CF23FB">
              <w:rPr>
                <w:rFonts w:ascii="Arial" w:hAnsi="Arial" w:cs="Arial"/>
                <w:b/>
                <w:bCs/>
                <w:szCs w:val="22"/>
              </w:rPr>
              <w:t>Trauma-related distress and mental health needs</w:t>
            </w:r>
          </w:p>
        </w:tc>
        <w:tc>
          <w:tcPr>
            <w:tcW w:w="0" w:type="auto"/>
            <w:vMerge w:val="restart"/>
            <w:hideMark/>
          </w:tcPr>
          <w:p w14:paraId="3DE0C8C0" w14:textId="77777777" w:rsidR="00BF22AD" w:rsidRPr="00CF23FB" w:rsidRDefault="00BF22AD" w:rsidP="001E1F70">
            <w:pPr>
              <w:jc w:val="both"/>
              <w:rPr>
                <w:rFonts w:ascii="Arial" w:hAnsi="Arial" w:cs="Arial"/>
                <w:szCs w:val="22"/>
              </w:rPr>
            </w:pPr>
            <w:r w:rsidRPr="00CF23FB">
              <w:rPr>
                <w:rFonts w:ascii="Arial" w:hAnsi="Arial" w:cs="Arial"/>
                <w:b/>
                <w:bCs/>
                <w:szCs w:val="22"/>
              </w:rPr>
              <w:t>Elevated mental health burden shaped by trauma, instability, and isolation of foster and non-foster care graduates</w:t>
            </w:r>
          </w:p>
          <w:p w14:paraId="1490C8F9" w14:textId="665C12E5" w:rsidR="00BF22AD" w:rsidRPr="00CF23FB" w:rsidRDefault="00BF22AD" w:rsidP="001E1F70">
            <w:pPr>
              <w:jc w:val="both"/>
              <w:rPr>
                <w:rFonts w:ascii="Arial" w:hAnsi="Arial" w:cs="Arial"/>
                <w:szCs w:val="22"/>
              </w:rPr>
            </w:pPr>
          </w:p>
        </w:tc>
        <w:tc>
          <w:tcPr>
            <w:tcW w:w="0" w:type="auto"/>
            <w:vMerge w:val="restart"/>
            <w:hideMark/>
          </w:tcPr>
          <w:p w14:paraId="117ABDC5" w14:textId="45001C68" w:rsidR="00BF22AD" w:rsidRPr="00CF23FB" w:rsidRDefault="00BF22AD" w:rsidP="001E1F70">
            <w:pPr>
              <w:jc w:val="both"/>
              <w:rPr>
                <w:rFonts w:ascii="Arial" w:hAnsi="Arial" w:cs="Arial"/>
                <w:szCs w:val="22"/>
              </w:rPr>
            </w:pPr>
            <w:r w:rsidRPr="00CF23FB">
              <w:rPr>
                <w:rFonts w:ascii="Arial" w:hAnsi="Arial" w:cs="Arial"/>
                <w:szCs w:val="22"/>
              </w:rPr>
              <w:t>Obj. 1</w:t>
            </w:r>
          </w:p>
        </w:tc>
      </w:tr>
      <w:tr w:rsidR="00BF22AD" w:rsidRPr="00CF23FB" w14:paraId="40F88738" w14:textId="77777777" w:rsidTr="00BF22AD">
        <w:tc>
          <w:tcPr>
            <w:tcW w:w="0" w:type="auto"/>
            <w:hideMark/>
          </w:tcPr>
          <w:p w14:paraId="17DC7082" w14:textId="77777777" w:rsidR="00BF22AD" w:rsidRPr="00CF23FB" w:rsidRDefault="00BF22AD" w:rsidP="001E1F70">
            <w:pPr>
              <w:jc w:val="both"/>
              <w:rPr>
                <w:rFonts w:ascii="Arial" w:hAnsi="Arial" w:cs="Arial"/>
                <w:szCs w:val="22"/>
              </w:rPr>
            </w:pPr>
            <w:r w:rsidRPr="00CF23FB">
              <w:rPr>
                <w:rFonts w:ascii="Arial" w:hAnsi="Arial" w:cs="Arial"/>
                <w:szCs w:val="22"/>
              </w:rPr>
              <w:t>Poorer wellbeing/lower life satisfaction among foster-care alumni vs peers (Lehmann et al., 2024)</w:t>
            </w:r>
          </w:p>
        </w:tc>
        <w:tc>
          <w:tcPr>
            <w:tcW w:w="0" w:type="auto"/>
            <w:vMerge/>
            <w:hideMark/>
          </w:tcPr>
          <w:p w14:paraId="7ED4DF86" w14:textId="76712163" w:rsidR="00BF22AD" w:rsidRPr="00CF23FB" w:rsidRDefault="00BF22AD" w:rsidP="001E1F70">
            <w:pPr>
              <w:jc w:val="both"/>
              <w:rPr>
                <w:rFonts w:ascii="Arial" w:hAnsi="Arial" w:cs="Arial"/>
                <w:szCs w:val="22"/>
              </w:rPr>
            </w:pPr>
          </w:p>
        </w:tc>
        <w:tc>
          <w:tcPr>
            <w:tcW w:w="0" w:type="auto"/>
            <w:vMerge/>
            <w:hideMark/>
          </w:tcPr>
          <w:p w14:paraId="47900FA4" w14:textId="0DC79D0E" w:rsidR="00BF22AD" w:rsidRPr="00CF23FB" w:rsidRDefault="00BF22AD" w:rsidP="001E1F70">
            <w:pPr>
              <w:jc w:val="both"/>
              <w:rPr>
                <w:rFonts w:ascii="Arial" w:hAnsi="Arial" w:cs="Arial"/>
                <w:szCs w:val="22"/>
              </w:rPr>
            </w:pPr>
          </w:p>
        </w:tc>
        <w:tc>
          <w:tcPr>
            <w:tcW w:w="0" w:type="auto"/>
            <w:vMerge/>
            <w:hideMark/>
          </w:tcPr>
          <w:p w14:paraId="7CB4D912" w14:textId="076C0B25" w:rsidR="00BF22AD" w:rsidRPr="00CF23FB" w:rsidRDefault="00BF22AD" w:rsidP="001E1F70">
            <w:pPr>
              <w:jc w:val="both"/>
              <w:rPr>
                <w:rFonts w:ascii="Arial" w:hAnsi="Arial" w:cs="Arial"/>
                <w:szCs w:val="22"/>
              </w:rPr>
            </w:pPr>
          </w:p>
        </w:tc>
      </w:tr>
      <w:tr w:rsidR="00BF22AD" w:rsidRPr="00CF23FB" w14:paraId="0D795390" w14:textId="77777777" w:rsidTr="00BF22AD">
        <w:tc>
          <w:tcPr>
            <w:tcW w:w="0" w:type="auto"/>
            <w:hideMark/>
          </w:tcPr>
          <w:p w14:paraId="1968369A" w14:textId="67305ADA" w:rsidR="00BF22AD" w:rsidRPr="00CF23FB" w:rsidRDefault="00BF22AD" w:rsidP="001E1F70">
            <w:pPr>
              <w:jc w:val="both"/>
              <w:rPr>
                <w:rFonts w:ascii="Arial" w:hAnsi="Arial" w:cs="Arial"/>
                <w:szCs w:val="22"/>
              </w:rPr>
            </w:pPr>
            <w:r w:rsidRPr="00CF23FB">
              <w:rPr>
                <w:rFonts w:ascii="Arial" w:hAnsi="Arial" w:cs="Arial"/>
                <w:szCs w:val="22"/>
              </w:rPr>
              <w:t xml:space="preserve">Loneliness and social disconnection (Lehmann et al., 2024; Ellis </w:t>
            </w:r>
            <w:r w:rsidR="00D738A7">
              <w:rPr>
                <w:rFonts w:ascii="Arial" w:hAnsi="Arial" w:cs="Arial"/>
                <w:szCs w:val="22"/>
              </w:rPr>
              <w:t>and</w:t>
            </w:r>
            <w:r w:rsidRPr="00CF23FB">
              <w:rPr>
                <w:rFonts w:ascii="Arial" w:hAnsi="Arial" w:cs="Arial"/>
                <w:szCs w:val="22"/>
              </w:rPr>
              <w:t xml:space="preserve"> Johnston, 2022; Campbell et al., 2022)</w:t>
            </w:r>
          </w:p>
        </w:tc>
        <w:tc>
          <w:tcPr>
            <w:tcW w:w="0" w:type="auto"/>
            <w:vMerge w:val="restart"/>
            <w:hideMark/>
          </w:tcPr>
          <w:p w14:paraId="3D1C070B" w14:textId="77777777" w:rsidR="00BF22AD" w:rsidRPr="00CF23FB" w:rsidRDefault="00BF22AD" w:rsidP="001E1F70">
            <w:pPr>
              <w:jc w:val="both"/>
              <w:rPr>
                <w:rFonts w:ascii="Arial" w:hAnsi="Arial" w:cs="Arial"/>
                <w:szCs w:val="22"/>
              </w:rPr>
            </w:pPr>
            <w:r w:rsidRPr="00CF23FB">
              <w:rPr>
                <w:rFonts w:ascii="Arial" w:hAnsi="Arial" w:cs="Arial"/>
                <w:b/>
                <w:bCs/>
                <w:szCs w:val="22"/>
              </w:rPr>
              <w:t>Isolation, belonging and social support deficits</w:t>
            </w:r>
          </w:p>
          <w:p w14:paraId="4E0381D1" w14:textId="3AE92A78" w:rsidR="00BF22AD" w:rsidRPr="00CF23FB" w:rsidRDefault="00BF22AD" w:rsidP="001E1F70">
            <w:pPr>
              <w:jc w:val="both"/>
              <w:rPr>
                <w:rFonts w:ascii="Arial" w:hAnsi="Arial" w:cs="Arial"/>
                <w:szCs w:val="22"/>
              </w:rPr>
            </w:pPr>
          </w:p>
        </w:tc>
        <w:tc>
          <w:tcPr>
            <w:tcW w:w="0" w:type="auto"/>
            <w:vMerge/>
            <w:hideMark/>
          </w:tcPr>
          <w:p w14:paraId="779820E3" w14:textId="66F865A4" w:rsidR="00BF22AD" w:rsidRPr="00CF23FB" w:rsidRDefault="00BF22AD" w:rsidP="001E1F70">
            <w:pPr>
              <w:jc w:val="both"/>
              <w:rPr>
                <w:rFonts w:ascii="Arial" w:hAnsi="Arial" w:cs="Arial"/>
                <w:szCs w:val="22"/>
              </w:rPr>
            </w:pPr>
          </w:p>
        </w:tc>
        <w:tc>
          <w:tcPr>
            <w:tcW w:w="0" w:type="auto"/>
            <w:vMerge/>
            <w:hideMark/>
          </w:tcPr>
          <w:p w14:paraId="2232AF3C" w14:textId="0683FA10" w:rsidR="00BF22AD" w:rsidRPr="00CF23FB" w:rsidRDefault="00BF22AD" w:rsidP="001E1F70">
            <w:pPr>
              <w:jc w:val="both"/>
              <w:rPr>
                <w:rFonts w:ascii="Arial" w:hAnsi="Arial" w:cs="Arial"/>
                <w:szCs w:val="22"/>
              </w:rPr>
            </w:pPr>
          </w:p>
        </w:tc>
      </w:tr>
      <w:tr w:rsidR="00BF22AD" w:rsidRPr="00CF23FB" w14:paraId="47475B05" w14:textId="77777777" w:rsidTr="00BF22AD">
        <w:tc>
          <w:tcPr>
            <w:tcW w:w="0" w:type="auto"/>
            <w:hideMark/>
          </w:tcPr>
          <w:p w14:paraId="028768B9" w14:textId="79067715" w:rsidR="00BF22AD" w:rsidRPr="00CF23FB" w:rsidRDefault="00BF22AD" w:rsidP="001E1F70">
            <w:pPr>
              <w:jc w:val="both"/>
              <w:rPr>
                <w:rFonts w:ascii="Arial" w:hAnsi="Arial" w:cs="Arial"/>
                <w:szCs w:val="22"/>
              </w:rPr>
            </w:pPr>
            <w:r w:rsidRPr="00CF23FB">
              <w:rPr>
                <w:rFonts w:ascii="Arial" w:hAnsi="Arial" w:cs="Arial"/>
                <w:szCs w:val="22"/>
              </w:rPr>
              <w:t xml:space="preserve">Foster-care identity + “otherness” in campus context (Miller et al., 2020;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2022)</w:t>
            </w:r>
          </w:p>
        </w:tc>
        <w:tc>
          <w:tcPr>
            <w:tcW w:w="0" w:type="auto"/>
            <w:vMerge/>
            <w:hideMark/>
          </w:tcPr>
          <w:p w14:paraId="1FC93788" w14:textId="462CBB58" w:rsidR="00BF22AD" w:rsidRPr="00CF23FB" w:rsidRDefault="00BF22AD" w:rsidP="001E1F70">
            <w:pPr>
              <w:jc w:val="both"/>
              <w:rPr>
                <w:rFonts w:ascii="Arial" w:hAnsi="Arial" w:cs="Arial"/>
                <w:szCs w:val="22"/>
              </w:rPr>
            </w:pPr>
          </w:p>
        </w:tc>
        <w:tc>
          <w:tcPr>
            <w:tcW w:w="0" w:type="auto"/>
            <w:vMerge/>
            <w:hideMark/>
          </w:tcPr>
          <w:p w14:paraId="05642A57" w14:textId="7F6348BD" w:rsidR="00BF22AD" w:rsidRPr="00CF23FB" w:rsidRDefault="00BF22AD" w:rsidP="001E1F70">
            <w:pPr>
              <w:jc w:val="both"/>
              <w:rPr>
                <w:rFonts w:ascii="Arial" w:hAnsi="Arial" w:cs="Arial"/>
                <w:szCs w:val="22"/>
              </w:rPr>
            </w:pPr>
          </w:p>
        </w:tc>
        <w:tc>
          <w:tcPr>
            <w:tcW w:w="0" w:type="auto"/>
            <w:vMerge/>
            <w:hideMark/>
          </w:tcPr>
          <w:p w14:paraId="6EB8EC1F" w14:textId="5DE51D04" w:rsidR="00BF22AD" w:rsidRPr="00CF23FB" w:rsidRDefault="00BF22AD" w:rsidP="001E1F70">
            <w:pPr>
              <w:jc w:val="both"/>
              <w:rPr>
                <w:rFonts w:ascii="Arial" w:hAnsi="Arial" w:cs="Arial"/>
                <w:szCs w:val="22"/>
              </w:rPr>
            </w:pPr>
          </w:p>
        </w:tc>
      </w:tr>
      <w:tr w:rsidR="00BF22AD" w:rsidRPr="00CF23FB" w14:paraId="702FD175" w14:textId="77777777" w:rsidTr="00BF22AD">
        <w:tc>
          <w:tcPr>
            <w:tcW w:w="0" w:type="auto"/>
            <w:hideMark/>
          </w:tcPr>
          <w:p w14:paraId="177BAF1A" w14:textId="68BEE7C3" w:rsidR="00BF22AD" w:rsidRPr="00CF23FB" w:rsidRDefault="00BF22AD" w:rsidP="001E1F70">
            <w:pPr>
              <w:jc w:val="both"/>
              <w:rPr>
                <w:rFonts w:ascii="Arial" w:hAnsi="Arial" w:cs="Arial"/>
                <w:szCs w:val="22"/>
              </w:rPr>
            </w:pPr>
            <w:r w:rsidRPr="00CF23FB">
              <w:rPr>
                <w:rFonts w:ascii="Arial" w:hAnsi="Arial" w:cs="Arial"/>
                <w:szCs w:val="22"/>
              </w:rPr>
              <w:t xml:space="preserve">Stigma/disclosure barriers affecting support access (Ellis &amp; Johnston, 2024; Miller et al., 2020; Bayfield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Smith, 2024)</w:t>
            </w:r>
          </w:p>
        </w:tc>
        <w:tc>
          <w:tcPr>
            <w:tcW w:w="0" w:type="auto"/>
            <w:vMerge w:val="restart"/>
            <w:hideMark/>
          </w:tcPr>
          <w:p w14:paraId="7835EF70" w14:textId="77777777" w:rsidR="00BF22AD" w:rsidRPr="00CF23FB" w:rsidRDefault="00BF22AD" w:rsidP="001E1F70">
            <w:pPr>
              <w:jc w:val="both"/>
              <w:rPr>
                <w:rFonts w:ascii="Arial" w:hAnsi="Arial" w:cs="Arial"/>
                <w:szCs w:val="22"/>
              </w:rPr>
            </w:pPr>
            <w:r w:rsidRPr="00CF23FB">
              <w:rPr>
                <w:rFonts w:ascii="Arial" w:hAnsi="Arial" w:cs="Arial"/>
                <w:b/>
                <w:bCs/>
                <w:szCs w:val="22"/>
              </w:rPr>
              <w:t>Stigma, disclosure and help-seeking barriers</w:t>
            </w:r>
          </w:p>
          <w:p w14:paraId="7EF93B94" w14:textId="3E541652" w:rsidR="00BF22AD" w:rsidRPr="00CF23FB" w:rsidRDefault="00BF22AD" w:rsidP="001E1F70">
            <w:pPr>
              <w:jc w:val="both"/>
              <w:rPr>
                <w:rFonts w:ascii="Arial" w:hAnsi="Arial" w:cs="Arial"/>
                <w:szCs w:val="22"/>
              </w:rPr>
            </w:pPr>
          </w:p>
        </w:tc>
        <w:tc>
          <w:tcPr>
            <w:tcW w:w="0" w:type="auto"/>
            <w:vMerge/>
            <w:hideMark/>
          </w:tcPr>
          <w:p w14:paraId="3A6F9361" w14:textId="3C87ECDA" w:rsidR="00BF22AD" w:rsidRPr="00CF23FB" w:rsidRDefault="00BF22AD" w:rsidP="001E1F70">
            <w:pPr>
              <w:jc w:val="both"/>
              <w:rPr>
                <w:rFonts w:ascii="Arial" w:hAnsi="Arial" w:cs="Arial"/>
                <w:szCs w:val="22"/>
              </w:rPr>
            </w:pPr>
          </w:p>
        </w:tc>
        <w:tc>
          <w:tcPr>
            <w:tcW w:w="0" w:type="auto"/>
            <w:hideMark/>
          </w:tcPr>
          <w:p w14:paraId="6575B864" w14:textId="77777777" w:rsidR="00BF22AD" w:rsidRPr="00CF23FB" w:rsidRDefault="00BF22AD" w:rsidP="001E1F70">
            <w:pPr>
              <w:jc w:val="both"/>
              <w:rPr>
                <w:rFonts w:ascii="Arial" w:hAnsi="Arial" w:cs="Arial"/>
                <w:szCs w:val="22"/>
              </w:rPr>
            </w:pPr>
            <w:r w:rsidRPr="00CF23FB">
              <w:rPr>
                <w:rFonts w:ascii="Arial" w:hAnsi="Arial" w:cs="Arial"/>
                <w:szCs w:val="22"/>
              </w:rPr>
              <w:t>Obj. 1 (also Obj. 3)</w:t>
            </w:r>
          </w:p>
        </w:tc>
      </w:tr>
      <w:tr w:rsidR="00BF22AD" w:rsidRPr="00CF23FB" w14:paraId="2F5999D7" w14:textId="77777777" w:rsidTr="00BF22AD">
        <w:tc>
          <w:tcPr>
            <w:tcW w:w="0" w:type="auto"/>
            <w:hideMark/>
          </w:tcPr>
          <w:p w14:paraId="75835C61" w14:textId="45522B48" w:rsidR="00BF22AD" w:rsidRPr="00CF23FB" w:rsidRDefault="00BF22AD" w:rsidP="001E1F70">
            <w:pPr>
              <w:jc w:val="both"/>
              <w:rPr>
                <w:rFonts w:ascii="Arial" w:hAnsi="Arial" w:cs="Arial"/>
                <w:szCs w:val="22"/>
              </w:rPr>
            </w:pPr>
            <w:r w:rsidRPr="00CF23FB">
              <w:rPr>
                <w:rFonts w:ascii="Arial" w:hAnsi="Arial" w:cs="Arial"/>
                <w:szCs w:val="22"/>
              </w:rPr>
              <w:t xml:space="preserve">Self-reliance vs help-seeking tension (Miller et al., 2020; Pinkney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Walker, 2020)</w:t>
            </w:r>
          </w:p>
        </w:tc>
        <w:tc>
          <w:tcPr>
            <w:tcW w:w="0" w:type="auto"/>
            <w:vMerge/>
            <w:hideMark/>
          </w:tcPr>
          <w:p w14:paraId="4B7BDE36" w14:textId="1B507219" w:rsidR="00BF22AD" w:rsidRPr="00CF23FB" w:rsidRDefault="00BF22AD" w:rsidP="001E1F70">
            <w:pPr>
              <w:jc w:val="both"/>
              <w:rPr>
                <w:rFonts w:ascii="Arial" w:hAnsi="Arial" w:cs="Arial"/>
                <w:szCs w:val="22"/>
              </w:rPr>
            </w:pPr>
          </w:p>
        </w:tc>
        <w:tc>
          <w:tcPr>
            <w:tcW w:w="0" w:type="auto"/>
            <w:vMerge/>
            <w:hideMark/>
          </w:tcPr>
          <w:p w14:paraId="6A08A9E3" w14:textId="0612E5F6" w:rsidR="00BF22AD" w:rsidRPr="00CF23FB" w:rsidRDefault="00BF22AD" w:rsidP="001E1F70">
            <w:pPr>
              <w:jc w:val="both"/>
              <w:rPr>
                <w:rFonts w:ascii="Arial" w:hAnsi="Arial" w:cs="Arial"/>
                <w:szCs w:val="22"/>
              </w:rPr>
            </w:pPr>
          </w:p>
        </w:tc>
        <w:tc>
          <w:tcPr>
            <w:tcW w:w="0" w:type="auto"/>
            <w:hideMark/>
          </w:tcPr>
          <w:p w14:paraId="696A555C" w14:textId="77777777" w:rsidR="00BF22AD" w:rsidRPr="00CF23FB" w:rsidRDefault="00BF22AD" w:rsidP="001E1F70">
            <w:pPr>
              <w:jc w:val="both"/>
              <w:rPr>
                <w:rFonts w:ascii="Arial" w:hAnsi="Arial" w:cs="Arial"/>
                <w:szCs w:val="22"/>
              </w:rPr>
            </w:pPr>
            <w:r w:rsidRPr="00CF23FB">
              <w:rPr>
                <w:rFonts w:ascii="Arial" w:hAnsi="Arial" w:cs="Arial"/>
                <w:szCs w:val="22"/>
              </w:rPr>
              <w:t>Obj. 1 (also Obj. 2)</w:t>
            </w:r>
          </w:p>
        </w:tc>
      </w:tr>
      <w:tr w:rsidR="00BF22AD" w:rsidRPr="00CF23FB" w14:paraId="4BF1E016" w14:textId="77777777" w:rsidTr="00BF22AD">
        <w:tc>
          <w:tcPr>
            <w:tcW w:w="0" w:type="auto"/>
            <w:hideMark/>
          </w:tcPr>
          <w:p w14:paraId="1B6FAAC5" w14:textId="1F55584C" w:rsidR="00BF22AD" w:rsidRPr="00CF23FB" w:rsidRDefault="00BF22AD" w:rsidP="001E1F70">
            <w:pPr>
              <w:jc w:val="both"/>
              <w:rPr>
                <w:rFonts w:ascii="Arial" w:hAnsi="Arial" w:cs="Arial"/>
                <w:szCs w:val="22"/>
              </w:rPr>
            </w:pPr>
            <w:r w:rsidRPr="00CF23FB">
              <w:rPr>
                <w:rFonts w:ascii="Arial" w:hAnsi="Arial" w:cs="Arial"/>
                <w:szCs w:val="22"/>
              </w:rPr>
              <w:t xml:space="preserve">Placement instability linked to mental health difficulties (Varnish et al., 2025;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2024)</w:t>
            </w:r>
          </w:p>
        </w:tc>
        <w:tc>
          <w:tcPr>
            <w:tcW w:w="0" w:type="auto"/>
            <w:vMerge w:val="restart"/>
            <w:hideMark/>
          </w:tcPr>
          <w:p w14:paraId="126DC4DE" w14:textId="79AEB49E" w:rsidR="00BF22AD" w:rsidRPr="00CF23FB" w:rsidRDefault="00BF22AD" w:rsidP="001E1F70">
            <w:pPr>
              <w:jc w:val="both"/>
              <w:rPr>
                <w:rFonts w:ascii="Arial" w:hAnsi="Arial" w:cs="Arial"/>
                <w:szCs w:val="22"/>
              </w:rPr>
            </w:pPr>
            <w:r w:rsidRPr="00CF23FB">
              <w:rPr>
                <w:rFonts w:ascii="Arial" w:hAnsi="Arial" w:cs="Arial"/>
                <w:b/>
                <w:bCs/>
                <w:szCs w:val="22"/>
              </w:rPr>
              <w:t>Instability across care</w:t>
            </w:r>
            <w:r>
              <w:rPr>
                <w:rFonts w:ascii="Arial" w:hAnsi="Arial" w:cs="Arial"/>
                <w:b/>
                <w:bCs/>
                <w:szCs w:val="22"/>
              </w:rPr>
              <w:t xml:space="preserve"> </w:t>
            </w:r>
            <w:r w:rsidRPr="00CF23FB">
              <w:rPr>
                <w:rFonts w:ascii="Arial" w:hAnsi="Arial" w:cs="Arial"/>
                <w:b/>
                <w:bCs/>
                <w:szCs w:val="22"/>
              </w:rPr>
              <w:t>education pathways</w:t>
            </w:r>
          </w:p>
          <w:p w14:paraId="25F6FCFE" w14:textId="55ED53F6" w:rsidR="00BF22AD" w:rsidRPr="00CF23FB" w:rsidRDefault="00BF22AD" w:rsidP="001E1F70">
            <w:pPr>
              <w:jc w:val="both"/>
              <w:rPr>
                <w:rFonts w:ascii="Arial" w:hAnsi="Arial" w:cs="Arial"/>
                <w:szCs w:val="22"/>
              </w:rPr>
            </w:pPr>
          </w:p>
        </w:tc>
        <w:tc>
          <w:tcPr>
            <w:tcW w:w="0" w:type="auto"/>
            <w:vMerge/>
            <w:hideMark/>
          </w:tcPr>
          <w:p w14:paraId="0F54634F" w14:textId="2FC15FBB" w:rsidR="00BF22AD" w:rsidRPr="00CF23FB" w:rsidRDefault="00BF22AD" w:rsidP="001E1F70">
            <w:pPr>
              <w:jc w:val="both"/>
              <w:rPr>
                <w:rFonts w:ascii="Arial" w:hAnsi="Arial" w:cs="Arial"/>
                <w:szCs w:val="22"/>
              </w:rPr>
            </w:pPr>
          </w:p>
        </w:tc>
        <w:tc>
          <w:tcPr>
            <w:tcW w:w="0" w:type="auto"/>
            <w:hideMark/>
          </w:tcPr>
          <w:p w14:paraId="337288AB" w14:textId="77777777" w:rsidR="00BF22AD" w:rsidRPr="00CF23FB" w:rsidRDefault="00BF22AD" w:rsidP="001E1F70">
            <w:pPr>
              <w:jc w:val="both"/>
              <w:rPr>
                <w:rFonts w:ascii="Arial" w:hAnsi="Arial" w:cs="Arial"/>
                <w:szCs w:val="22"/>
              </w:rPr>
            </w:pPr>
            <w:r w:rsidRPr="00CF23FB">
              <w:rPr>
                <w:rFonts w:ascii="Arial" w:hAnsi="Arial" w:cs="Arial"/>
                <w:szCs w:val="22"/>
              </w:rPr>
              <w:t>Obj. 1</w:t>
            </w:r>
          </w:p>
        </w:tc>
      </w:tr>
      <w:tr w:rsidR="00BF22AD" w:rsidRPr="00CF23FB" w14:paraId="47724516" w14:textId="77777777" w:rsidTr="00BF22AD">
        <w:tc>
          <w:tcPr>
            <w:tcW w:w="0" w:type="auto"/>
            <w:hideMark/>
          </w:tcPr>
          <w:p w14:paraId="192E8F46" w14:textId="51E1F3A3" w:rsidR="00BF22AD" w:rsidRPr="00CF23FB" w:rsidRDefault="00BF22AD" w:rsidP="001E1F70">
            <w:pPr>
              <w:jc w:val="both"/>
              <w:rPr>
                <w:rFonts w:ascii="Arial" w:hAnsi="Arial" w:cs="Arial"/>
                <w:szCs w:val="22"/>
              </w:rPr>
            </w:pPr>
            <w:r w:rsidRPr="00CF23FB">
              <w:rPr>
                <w:rFonts w:ascii="Arial" w:hAnsi="Arial" w:cs="Arial"/>
                <w:szCs w:val="22"/>
              </w:rPr>
              <w:t xml:space="preserve">Education pathway bridge gaps at transition points (Bayfield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Smith, 2024; Gazeley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Hinton-Smith, 2018;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2024)</w:t>
            </w:r>
          </w:p>
        </w:tc>
        <w:tc>
          <w:tcPr>
            <w:tcW w:w="0" w:type="auto"/>
            <w:vMerge/>
            <w:hideMark/>
          </w:tcPr>
          <w:p w14:paraId="2A3B3DC2" w14:textId="2A62268D" w:rsidR="00BF22AD" w:rsidRPr="00CF23FB" w:rsidRDefault="00BF22AD" w:rsidP="001E1F70">
            <w:pPr>
              <w:jc w:val="both"/>
              <w:rPr>
                <w:rFonts w:ascii="Arial" w:hAnsi="Arial" w:cs="Arial"/>
                <w:szCs w:val="22"/>
              </w:rPr>
            </w:pPr>
          </w:p>
        </w:tc>
        <w:tc>
          <w:tcPr>
            <w:tcW w:w="0" w:type="auto"/>
            <w:vMerge/>
            <w:hideMark/>
          </w:tcPr>
          <w:p w14:paraId="3DBD0056" w14:textId="72036DA3" w:rsidR="00BF22AD" w:rsidRPr="00CF23FB" w:rsidRDefault="00BF22AD" w:rsidP="001E1F70">
            <w:pPr>
              <w:jc w:val="both"/>
              <w:rPr>
                <w:rFonts w:ascii="Arial" w:hAnsi="Arial" w:cs="Arial"/>
                <w:szCs w:val="22"/>
              </w:rPr>
            </w:pPr>
          </w:p>
        </w:tc>
        <w:tc>
          <w:tcPr>
            <w:tcW w:w="0" w:type="auto"/>
            <w:hideMark/>
          </w:tcPr>
          <w:p w14:paraId="16C2BA50" w14:textId="77777777" w:rsidR="00BF22AD" w:rsidRPr="00CF23FB" w:rsidRDefault="00BF22AD" w:rsidP="001E1F70">
            <w:pPr>
              <w:jc w:val="both"/>
              <w:rPr>
                <w:rFonts w:ascii="Arial" w:hAnsi="Arial" w:cs="Arial"/>
                <w:szCs w:val="22"/>
              </w:rPr>
            </w:pPr>
            <w:r w:rsidRPr="00CF23FB">
              <w:rPr>
                <w:rFonts w:ascii="Arial" w:hAnsi="Arial" w:cs="Arial"/>
                <w:szCs w:val="22"/>
              </w:rPr>
              <w:t>Obj. 1 (also Obj. 3)</w:t>
            </w:r>
          </w:p>
        </w:tc>
      </w:tr>
      <w:tr w:rsidR="00BF22AD" w:rsidRPr="00CF23FB" w14:paraId="4C61C995" w14:textId="77777777" w:rsidTr="00BF22AD">
        <w:tc>
          <w:tcPr>
            <w:tcW w:w="0" w:type="auto"/>
            <w:hideMark/>
          </w:tcPr>
          <w:p w14:paraId="05D13569" w14:textId="77777777" w:rsidR="00BF22AD" w:rsidRPr="00CF23FB" w:rsidRDefault="00BF22AD" w:rsidP="001E1F70">
            <w:pPr>
              <w:jc w:val="both"/>
              <w:rPr>
                <w:rFonts w:ascii="Arial" w:hAnsi="Arial" w:cs="Arial"/>
                <w:szCs w:val="22"/>
              </w:rPr>
            </w:pPr>
            <w:r w:rsidRPr="00CF23FB">
              <w:rPr>
                <w:rFonts w:ascii="Arial" w:hAnsi="Arial" w:cs="Arial"/>
                <w:szCs w:val="22"/>
              </w:rPr>
              <w:t>Comparable grades/progression despite poorer health (Lehmann et al., 2024)</w:t>
            </w:r>
          </w:p>
        </w:tc>
        <w:tc>
          <w:tcPr>
            <w:tcW w:w="0" w:type="auto"/>
            <w:vMerge w:val="restart"/>
            <w:hideMark/>
          </w:tcPr>
          <w:p w14:paraId="5851FD1D" w14:textId="77777777" w:rsidR="00BF22AD" w:rsidRPr="00CF23FB" w:rsidRDefault="00BF22AD" w:rsidP="001E1F70">
            <w:pPr>
              <w:jc w:val="both"/>
              <w:rPr>
                <w:rFonts w:ascii="Arial" w:hAnsi="Arial" w:cs="Arial"/>
                <w:szCs w:val="22"/>
              </w:rPr>
            </w:pPr>
            <w:r w:rsidRPr="00CF23FB">
              <w:rPr>
                <w:rFonts w:ascii="Arial" w:hAnsi="Arial" w:cs="Arial"/>
                <w:b/>
                <w:bCs/>
                <w:szCs w:val="22"/>
              </w:rPr>
              <w:t>Academic functioning despite adversity</w:t>
            </w:r>
          </w:p>
          <w:p w14:paraId="45FABD82" w14:textId="0E14FAFC" w:rsidR="00BF22AD" w:rsidRPr="00CF23FB" w:rsidRDefault="00BF22AD" w:rsidP="001E1F70">
            <w:pPr>
              <w:jc w:val="both"/>
              <w:rPr>
                <w:rFonts w:ascii="Arial" w:hAnsi="Arial" w:cs="Arial"/>
                <w:szCs w:val="22"/>
              </w:rPr>
            </w:pPr>
          </w:p>
        </w:tc>
        <w:tc>
          <w:tcPr>
            <w:tcW w:w="0" w:type="auto"/>
            <w:hideMark/>
          </w:tcPr>
          <w:p w14:paraId="3F44FF31" w14:textId="77777777" w:rsidR="00BF22AD" w:rsidRPr="00CF23FB" w:rsidRDefault="00BF22AD" w:rsidP="001E1F70">
            <w:pPr>
              <w:jc w:val="both"/>
              <w:rPr>
                <w:rFonts w:ascii="Arial" w:hAnsi="Arial" w:cs="Arial"/>
                <w:szCs w:val="22"/>
              </w:rPr>
            </w:pPr>
            <w:r w:rsidRPr="00CF23FB">
              <w:rPr>
                <w:rFonts w:ascii="Arial" w:hAnsi="Arial" w:cs="Arial"/>
                <w:b/>
                <w:bCs/>
                <w:szCs w:val="22"/>
              </w:rPr>
              <w:t>Resilience in academic progression despite financial strain and wellbeing challenges</w:t>
            </w:r>
          </w:p>
        </w:tc>
        <w:tc>
          <w:tcPr>
            <w:tcW w:w="0" w:type="auto"/>
            <w:vMerge w:val="restart"/>
            <w:hideMark/>
          </w:tcPr>
          <w:p w14:paraId="10249F0D" w14:textId="77777777" w:rsidR="00BF22AD" w:rsidRPr="00CF23FB" w:rsidRDefault="00BF22AD" w:rsidP="001E1F70">
            <w:pPr>
              <w:jc w:val="both"/>
              <w:rPr>
                <w:rFonts w:ascii="Arial" w:hAnsi="Arial" w:cs="Arial"/>
                <w:szCs w:val="22"/>
              </w:rPr>
            </w:pPr>
            <w:r w:rsidRPr="00CF23FB">
              <w:rPr>
                <w:rFonts w:ascii="Arial" w:hAnsi="Arial" w:cs="Arial"/>
                <w:szCs w:val="22"/>
              </w:rPr>
              <w:t>Obj. 2</w:t>
            </w:r>
          </w:p>
          <w:p w14:paraId="54FEC1E8" w14:textId="4AD092FA" w:rsidR="00BF22AD" w:rsidRPr="00CF23FB" w:rsidRDefault="00BF22AD" w:rsidP="001E1F70">
            <w:pPr>
              <w:jc w:val="both"/>
              <w:rPr>
                <w:rFonts w:ascii="Arial" w:hAnsi="Arial" w:cs="Arial"/>
                <w:szCs w:val="22"/>
              </w:rPr>
            </w:pPr>
          </w:p>
        </w:tc>
      </w:tr>
      <w:tr w:rsidR="00BF22AD" w:rsidRPr="00CF23FB" w14:paraId="7C6B65A5" w14:textId="77777777" w:rsidTr="00BF22AD">
        <w:tc>
          <w:tcPr>
            <w:tcW w:w="0" w:type="auto"/>
            <w:hideMark/>
          </w:tcPr>
          <w:p w14:paraId="5E7F2CF9" w14:textId="75E4B08E" w:rsidR="00BF22AD" w:rsidRPr="00CF23FB" w:rsidRDefault="00BF22AD" w:rsidP="001E1F70">
            <w:pPr>
              <w:jc w:val="both"/>
              <w:rPr>
                <w:rFonts w:ascii="Arial" w:hAnsi="Arial" w:cs="Arial"/>
                <w:szCs w:val="22"/>
              </w:rPr>
            </w:pPr>
            <w:r w:rsidRPr="00CF23FB">
              <w:rPr>
                <w:rFonts w:ascii="Arial" w:hAnsi="Arial" w:cs="Arial"/>
                <w:szCs w:val="22"/>
              </w:rPr>
              <w:t xml:space="preserve">Persistence/retention framed as small steps success (Gazeley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Hinton-Smith, 2018;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2022)</w:t>
            </w:r>
          </w:p>
        </w:tc>
        <w:tc>
          <w:tcPr>
            <w:tcW w:w="0" w:type="auto"/>
            <w:vMerge/>
            <w:hideMark/>
          </w:tcPr>
          <w:p w14:paraId="4FED301C" w14:textId="716F5D0F" w:rsidR="00BF22AD" w:rsidRPr="00CF23FB" w:rsidRDefault="00BF22AD" w:rsidP="001E1F70">
            <w:pPr>
              <w:jc w:val="both"/>
              <w:rPr>
                <w:rFonts w:ascii="Arial" w:hAnsi="Arial" w:cs="Arial"/>
                <w:szCs w:val="22"/>
              </w:rPr>
            </w:pPr>
          </w:p>
        </w:tc>
        <w:tc>
          <w:tcPr>
            <w:tcW w:w="0" w:type="auto"/>
            <w:hideMark/>
          </w:tcPr>
          <w:p w14:paraId="595B9257"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2909EA39" w14:textId="716D7B6B" w:rsidR="00BF22AD" w:rsidRPr="00CF23FB" w:rsidRDefault="00BF22AD" w:rsidP="001E1F70">
            <w:pPr>
              <w:jc w:val="both"/>
              <w:rPr>
                <w:rFonts w:ascii="Arial" w:hAnsi="Arial" w:cs="Arial"/>
                <w:szCs w:val="22"/>
              </w:rPr>
            </w:pPr>
          </w:p>
        </w:tc>
      </w:tr>
      <w:tr w:rsidR="00BF22AD" w:rsidRPr="00CF23FB" w14:paraId="467591BD" w14:textId="77777777" w:rsidTr="00BF22AD">
        <w:tc>
          <w:tcPr>
            <w:tcW w:w="0" w:type="auto"/>
            <w:hideMark/>
          </w:tcPr>
          <w:p w14:paraId="3F275C15" w14:textId="64FC9805" w:rsidR="00BF22AD" w:rsidRPr="00CF23FB" w:rsidRDefault="00BF22AD" w:rsidP="001E1F70">
            <w:pPr>
              <w:jc w:val="both"/>
              <w:rPr>
                <w:rFonts w:ascii="Arial" w:hAnsi="Arial" w:cs="Arial"/>
                <w:szCs w:val="22"/>
              </w:rPr>
            </w:pPr>
            <w:r w:rsidRPr="00CF23FB">
              <w:rPr>
                <w:rFonts w:ascii="Arial" w:hAnsi="Arial" w:cs="Arial"/>
                <w:szCs w:val="22"/>
              </w:rPr>
              <w:t xml:space="preserve">Economic burden: financial worries, work income reliance, limited parental support (Lehmann et al., 2024;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Johnston, 2022; Pinkney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Walker, 2020)</w:t>
            </w:r>
          </w:p>
        </w:tc>
        <w:tc>
          <w:tcPr>
            <w:tcW w:w="0" w:type="auto"/>
            <w:vMerge w:val="restart"/>
            <w:hideMark/>
          </w:tcPr>
          <w:p w14:paraId="4E40264E" w14:textId="77777777" w:rsidR="00BF22AD" w:rsidRPr="00CF23FB" w:rsidRDefault="00BF22AD" w:rsidP="001E1F70">
            <w:pPr>
              <w:jc w:val="both"/>
              <w:rPr>
                <w:rFonts w:ascii="Arial" w:hAnsi="Arial" w:cs="Arial"/>
                <w:szCs w:val="22"/>
              </w:rPr>
            </w:pPr>
            <w:r w:rsidRPr="00CF23FB">
              <w:rPr>
                <w:rFonts w:ascii="Arial" w:hAnsi="Arial" w:cs="Arial"/>
                <w:b/>
                <w:bCs/>
                <w:szCs w:val="22"/>
              </w:rPr>
              <w:t>Financial precarity as a mediator of outcomes</w:t>
            </w:r>
          </w:p>
          <w:p w14:paraId="6404761B" w14:textId="6ECEC97F" w:rsidR="00BF22AD" w:rsidRPr="00CF23FB" w:rsidRDefault="00BF22AD" w:rsidP="001E1F70">
            <w:pPr>
              <w:jc w:val="both"/>
              <w:rPr>
                <w:rFonts w:ascii="Arial" w:hAnsi="Arial" w:cs="Arial"/>
                <w:szCs w:val="22"/>
              </w:rPr>
            </w:pPr>
          </w:p>
        </w:tc>
        <w:tc>
          <w:tcPr>
            <w:tcW w:w="0" w:type="auto"/>
            <w:hideMark/>
          </w:tcPr>
          <w:p w14:paraId="1A33D9E7"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523B4291" w14:textId="7DAAE825" w:rsidR="00BF22AD" w:rsidRPr="00CF23FB" w:rsidRDefault="00BF22AD" w:rsidP="001E1F70">
            <w:pPr>
              <w:jc w:val="both"/>
              <w:rPr>
                <w:rFonts w:ascii="Arial" w:hAnsi="Arial" w:cs="Arial"/>
                <w:szCs w:val="22"/>
              </w:rPr>
            </w:pPr>
          </w:p>
        </w:tc>
      </w:tr>
      <w:tr w:rsidR="00BF22AD" w:rsidRPr="00CF23FB" w14:paraId="77BF122E" w14:textId="77777777" w:rsidTr="00BF22AD">
        <w:tc>
          <w:tcPr>
            <w:tcW w:w="0" w:type="auto"/>
            <w:hideMark/>
          </w:tcPr>
          <w:p w14:paraId="2764CA11" w14:textId="77777777" w:rsidR="00BF22AD" w:rsidRPr="00CF23FB" w:rsidRDefault="00BF22AD" w:rsidP="001E1F70">
            <w:pPr>
              <w:jc w:val="both"/>
              <w:rPr>
                <w:rFonts w:ascii="Arial" w:hAnsi="Arial" w:cs="Arial"/>
                <w:szCs w:val="22"/>
              </w:rPr>
            </w:pPr>
            <w:r w:rsidRPr="00CF23FB">
              <w:rPr>
                <w:rFonts w:ascii="Arial" w:hAnsi="Arial" w:cs="Arial"/>
                <w:szCs w:val="22"/>
              </w:rPr>
              <w:t>Practical pressures and caring responsibilities alongside study (Lehmann et al., 2024)</w:t>
            </w:r>
          </w:p>
        </w:tc>
        <w:tc>
          <w:tcPr>
            <w:tcW w:w="0" w:type="auto"/>
            <w:vMerge/>
            <w:hideMark/>
          </w:tcPr>
          <w:p w14:paraId="60A8AFD0" w14:textId="423D8C67" w:rsidR="00BF22AD" w:rsidRPr="00CF23FB" w:rsidRDefault="00BF22AD" w:rsidP="001E1F70">
            <w:pPr>
              <w:jc w:val="both"/>
              <w:rPr>
                <w:rFonts w:ascii="Arial" w:hAnsi="Arial" w:cs="Arial"/>
                <w:szCs w:val="22"/>
              </w:rPr>
            </w:pPr>
          </w:p>
        </w:tc>
        <w:tc>
          <w:tcPr>
            <w:tcW w:w="0" w:type="auto"/>
            <w:hideMark/>
          </w:tcPr>
          <w:p w14:paraId="426D9CE6"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0228F156" w14:textId="21D77C83" w:rsidR="00BF22AD" w:rsidRPr="00CF23FB" w:rsidRDefault="00BF22AD" w:rsidP="001E1F70">
            <w:pPr>
              <w:jc w:val="both"/>
              <w:rPr>
                <w:rFonts w:ascii="Arial" w:hAnsi="Arial" w:cs="Arial"/>
                <w:szCs w:val="22"/>
              </w:rPr>
            </w:pPr>
          </w:p>
        </w:tc>
      </w:tr>
      <w:tr w:rsidR="00BF22AD" w:rsidRPr="00CF23FB" w14:paraId="48A0462E" w14:textId="77777777" w:rsidTr="00BF22AD">
        <w:tc>
          <w:tcPr>
            <w:tcW w:w="0" w:type="auto"/>
            <w:hideMark/>
          </w:tcPr>
          <w:p w14:paraId="782979C7" w14:textId="1AE153E7" w:rsidR="00BF22AD" w:rsidRPr="00CF23FB" w:rsidRDefault="00BF22AD" w:rsidP="001E1F70">
            <w:pPr>
              <w:jc w:val="both"/>
              <w:rPr>
                <w:rFonts w:ascii="Arial" w:hAnsi="Arial" w:cs="Arial"/>
                <w:szCs w:val="22"/>
              </w:rPr>
            </w:pPr>
            <w:r w:rsidRPr="00CF23FB">
              <w:rPr>
                <w:rFonts w:ascii="Arial" w:hAnsi="Arial" w:cs="Arial"/>
                <w:szCs w:val="22"/>
              </w:rPr>
              <w:t xml:space="preserve">Supportive relationships as protective factor (Pinkney &amp; Walker, 2020;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Johnston, 2022; Gazeley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Hinton-Smith, 2018)</w:t>
            </w:r>
          </w:p>
        </w:tc>
        <w:tc>
          <w:tcPr>
            <w:tcW w:w="0" w:type="auto"/>
            <w:vMerge w:val="restart"/>
            <w:hideMark/>
          </w:tcPr>
          <w:p w14:paraId="3C356F5E" w14:textId="77777777" w:rsidR="00BF22AD" w:rsidRPr="00CF23FB" w:rsidRDefault="00BF22AD" w:rsidP="001E1F70">
            <w:pPr>
              <w:jc w:val="both"/>
              <w:rPr>
                <w:rFonts w:ascii="Arial" w:hAnsi="Arial" w:cs="Arial"/>
                <w:szCs w:val="22"/>
              </w:rPr>
            </w:pPr>
            <w:r w:rsidRPr="00CF23FB">
              <w:rPr>
                <w:rFonts w:ascii="Arial" w:hAnsi="Arial" w:cs="Arial"/>
                <w:b/>
                <w:bCs/>
                <w:szCs w:val="22"/>
              </w:rPr>
              <w:t>Relational support and protective mechanisms</w:t>
            </w:r>
          </w:p>
          <w:p w14:paraId="6A31BCDA" w14:textId="54C042C8" w:rsidR="00BF22AD" w:rsidRPr="00CF23FB" w:rsidRDefault="00BF22AD" w:rsidP="001E1F70">
            <w:pPr>
              <w:jc w:val="both"/>
              <w:rPr>
                <w:rFonts w:ascii="Arial" w:hAnsi="Arial" w:cs="Arial"/>
                <w:szCs w:val="22"/>
              </w:rPr>
            </w:pPr>
          </w:p>
        </w:tc>
        <w:tc>
          <w:tcPr>
            <w:tcW w:w="0" w:type="auto"/>
            <w:hideMark/>
          </w:tcPr>
          <w:p w14:paraId="1126F740"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1EE815FD" w14:textId="1B1F0159" w:rsidR="00BF22AD" w:rsidRPr="00CF23FB" w:rsidRDefault="00BF22AD" w:rsidP="001E1F70">
            <w:pPr>
              <w:jc w:val="both"/>
              <w:rPr>
                <w:rFonts w:ascii="Arial" w:hAnsi="Arial" w:cs="Arial"/>
                <w:szCs w:val="22"/>
              </w:rPr>
            </w:pPr>
          </w:p>
        </w:tc>
      </w:tr>
      <w:tr w:rsidR="00BF22AD" w:rsidRPr="00CF23FB" w14:paraId="3B5B98ED" w14:textId="77777777" w:rsidTr="00BF22AD">
        <w:tc>
          <w:tcPr>
            <w:tcW w:w="0" w:type="auto"/>
            <w:hideMark/>
          </w:tcPr>
          <w:p w14:paraId="47B12030" w14:textId="65B41325" w:rsidR="00BF22AD" w:rsidRPr="00CF23FB" w:rsidRDefault="00BF22AD" w:rsidP="001E1F70">
            <w:pPr>
              <w:jc w:val="both"/>
              <w:rPr>
                <w:rFonts w:ascii="Arial" w:hAnsi="Arial" w:cs="Arial"/>
                <w:szCs w:val="22"/>
              </w:rPr>
            </w:pPr>
            <w:r w:rsidRPr="00CF23FB">
              <w:rPr>
                <w:rFonts w:ascii="Arial" w:hAnsi="Arial" w:cs="Arial"/>
                <w:szCs w:val="22"/>
              </w:rPr>
              <w:t xml:space="preserve">Social networks promote wellbeing; isolation increases risk (Campbell et al., 2022;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2022)</w:t>
            </w:r>
          </w:p>
        </w:tc>
        <w:tc>
          <w:tcPr>
            <w:tcW w:w="0" w:type="auto"/>
            <w:vMerge/>
            <w:hideMark/>
          </w:tcPr>
          <w:p w14:paraId="712CA43B" w14:textId="7CA0B465" w:rsidR="00BF22AD" w:rsidRPr="00CF23FB" w:rsidRDefault="00BF22AD" w:rsidP="001E1F70">
            <w:pPr>
              <w:jc w:val="both"/>
              <w:rPr>
                <w:rFonts w:ascii="Arial" w:hAnsi="Arial" w:cs="Arial"/>
                <w:szCs w:val="22"/>
              </w:rPr>
            </w:pPr>
          </w:p>
        </w:tc>
        <w:tc>
          <w:tcPr>
            <w:tcW w:w="0" w:type="auto"/>
            <w:hideMark/>
          </w:tcPr>
          <w:p w14:paraId="58A5609F"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5B7890E5" w14:textId="37918499" w:rsidR="00BF22AD" w:rsidRPr="00CF23FB" w:rsidRDefault="00BF22AD" w:rsidP="001E1F70">
            <w:pPr>
              <w:jc w:val="both"/>
              <w:rPr>
                <w:rFonts w:ascii="Arial" w:hAnsi="Arial" w:cs="Arial"/>
                <w:szCs w:val="22"/>
              </w:rPr>
            </w:pPr>
          </w:p>
        </w:tc>
      </w:tr>
      <w:tr w:rsidR="00BF22AD" w:rsidRPr="00CF23FB" w14:paraId="7E390314" w14:textId="77777777" w:rsidTr="00BF22AD">
        <w:tc>
          <w:tcPr>
            <w:tcW w:w="0" w:type="auto"/>
            <w:hideMark/>
          </w:tcPr>
          <w:p w14:paraId="44069FFA" w14:textId="37EC8D44" w:rsidR="00BF22AD" w:rsidRPr="00CF23FB" w:rsidRDefault="00BF22AD" w:rsidP="001E1F70">
            <w:pPr>
              <w:jc w:val="both"/>
              <w:rPr>
                <w:rFonts w:ascii="Arial" w:hAnsi="Arial" w:cs="Arial"/>
                <w:szCs w:val="22"/>
              </w:rPr>
            </w:pPr>
            <w:r w:rsidRPr="00CF23FB">
              <w:rPr>
                <w:rFonts w:ascii="Arial" w:hAnsi="Arial" w:cs="Arial"/>
                <w:szCs w:val="22"/>
              </w:rPr>
              <w:t xml:space="preserve">Unfreedoms/structural constraints shaping participation (Harrison et al., 2023;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2024)</w:t>
            </w:r>
          </w:p>
        </w:tc>
        <w:tc>
          <w:tcPr>
            <w:tcW w:w="0" w:type="auto"/>
            <w:vMerge w:val="restart"/>
            <w:hideMark/>
          </w:tcPr>
          <w:p w14:paraId="70686CAB" w14:textId="77777777" w:rsidR="00BF22AD" w:rsidRPr="00CF23FB" w:rsidRDefault="00BF22AD" w:rsidP="001E1F70">
            <w:pPr>
              <w:jc w:val="both"/>
              <w:rPr>
                <w:rFonts w:ascii="Arial" w:hAnsi="Arial" w:cs="Arial"/>
                <w:szCs w:val="22"/>
              </w:rPr>
            </w:pPr>
            <w:r w:rsidRPr="00CF23FB">
              <w:rPr>
                <w:rFonts w:ascii="Arial" w:hAnsi="Arial" w:cs="Arial"/>
                <w:b/>
                <w:bCs/>
                <w:szCs w:val="22"/>
              </w:rPr>
              <w:t>Structural constraints shaping academic and wellbeing trajectories</w:t>
            </w:r>
          </w:p>
          <w:p w14:paraId="4D341887" w14:textId="5394A494" w:rsidR="00BF22AD" w:rsidRPr="00CF23FB" w:rsidRDefault="00BF22AD" w:rsidP="001E1F70">
            <w:pPr>
              <w:jc w:val="both"/>
              <w:rPr>
                <w:rFonts w:ascii="Arial" w:hAnsi="Arial" w:cs="Arial"/>
                <w:szCs w:val="22"/>
              </w:rPr>
            </w:pPr>
          </w:p>
        </w:tc>
        <w:tc>
          <w:tcPr>
            <w:tcW w:w="0" w:type="auto"/>
            <w:hideMark/>
          </w:tcPr>
          <w:p w14:paraId="629DE3A9"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5E33A475" w14:textId="12A51B6E" w:rsidR="00BF22AD" w:rsidRPr="00CF23FB" w:rsidRDefault="00BF22AD" w:rsidP="001E1F70">
            <w:pPr>
              <w:jc w:val="both"/>
              <w:rPr>
                <w:rFonts w:ascii="Arial" w:hAnsi="Arial" w:cs="Arial"/>
                <w:szCs w:val="22"/>
              </w:rPr>
            </w:pPr>
          </w:p>
        </w:tc>
      </w:tr>
      <w:tr w:rsidR="00BF22AD" w:rsidRPr="00CF23FB" w14:paraId="56FF7C75" w14:textId="77777777" w:rsidTr="00BF22AD">
        <w:tc>
          <w:tcPr>
            <w:tcW w:w="0" w:type="auto"/>
            <w:hideMark/>
          </w:tcPr>
          <w:p w14:paraId="6C3809A7" w14:textId="1C1DF0B3" w:rsidR="00BF22AD" w:rsidRPr="00CF23FB" w:rsidRDefault="00BF22AD" w:rsidP="001E1F70">
            <w:pPr>
              <w:jc w:val="both"/>
              <w:rPr>
                <w:rFonts w:ascii="Arial" w:hAnsi="Arial" w:cs="Arial"/>
                <w:szCs w:val="22"/>
              </w:rPr>
            </w:pPr>
            <w:r w:rsidRPr="00CF23FB">
              <w:rPr>
                <w:rFonts w:ascii="Arial" w:hAnsi="Arial" w:cs="Arial"/>
                <w:szCs w:val="22"/>
              </w:rPr>
              <w:t xml:space="preserve">Meritocracy/resilience narratives risk obscuring structural barriers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2024; Cotton et al., 2017)</w:t>
            </w:r>
          </w:p>
        </w:tc>
        <w:tc>
          <w:tcPr>
            <w:tcW w:w="0" w:type="auto"/>
            <w:vMerge/>
            <w:hideMark/>
          </w:tcPr>
          <w:p w14:paraId="3CD74161" w14:textId="34A31BA6" w:rsidR="00BF22AD" w:rsidRPr="00CF23FB" w:rsidRDefault="00BF22AD" w:rsidP="001E1F70">
            <w:pPr>
              <w:jc w:val="both"/>
              <w:rPr>
                <w:rFonts w:ascii="Arial" w:hAnsi="Arial" w:cs="Arial"/>
                <w:szCs w:val="22"/>
              </w:rPr>
            </w:pPr>
          </w:p>
        </w:tc>
        <w:tc>
          <w:tcPr>
            <w:tcW w:w="0" w:type="auto"/>
            <w:hideMark/>
          </w:tcPr>
          <w:p w14:paraId="28F40DDE" w14:textId="77777777" w:rsidR="00BF22AD" w:rsidRPr="00CF23FB" w:rsidRDefault="00BF22AD" w:rsidP="001E1F70">
            <w:pPr>
              <w:jc w:val="both"/>
              <w:rPr>
                <w:rFonts w:ascii="Arial" w:hAnsi="Arial" w:cs="Arial"/>
                <w:szCs w:val="22"/>
              </w:rPr>
            </w:pPr>
            <w:r w:rsidRPr="00CF23FB">
              <w:rPr>
                <w:rFonts w:ascii="Arial" w:hAnsi="Arial" w:cs="Arial"/>
                <w:szCs w:val="22"/>
              </w:rPr>
              <w:t>Resilience in academic progression despite financial strain and wellbeing challenges</w:t>
            </w:r>
          </w:p>
        </w:tc>
        <w:tc>
          <w:tcPr>
            <w:tcW w:w="0" w:type="auto"/>
            <w:vMerge/>
            <w:hideMark/>
          </w:tcPr>
          <w:p w14:paraId="35C4B924" w14:textId="7170EF98" w:rsidR="00BF22AD" w:rsidRPr="00CF23FB" w:rsidRDefault="00BF22AD" w:rsidP="001E1F70">
            <w:pPr>
              <w:jc w:val="both"/>
              <w:rPr>
                <w:rFonts w:ascii="Arial" w:hAnsi="Arial" w:cs="Arial"/>
                <w:szCs w:val="22"/>
              </w:rPr>
            </w:pPr>
          </w:p>
        </w:tc>
      </w:tr>
      <w:tr w:rsidR="00BF22AD" w:rsidRPr="00CF23FB" w14:paraId="333EA4E6" w14:textId="77777777" w:rsidTr="00BF22AD">
        <w:tc>
          <w:tcPr>
            <w:tcW w:w="0" w:type="auto"/>
            <w:hideMark/>
          </w:tcPr>
          <w:p w14:paraId="2256814D" w14:textId="1544D6B3" w:rsidR="00BF22AD" w:rsidRPr="00CF23FB" w:rsidRDefault="00BF22AD" w:rsidP="001E1F70">
            <w:pPr>
              <w:jc w:val="both"/>
              <w:rPr>
                <w:rFonts w:ascii="Arial" w:hAnsi="Arial" w:cs="Arial"/>
                <w:szCs w:val="22"/>
              </w:rPr>
            </w:pPr>
            <w:r w:rsidRPr="00CF23FB">
              <w:rPr>
                <w:rFonts w:ascii="Arial" w:hAnsi="Arial" w:cs="Arial"/>
                <w:szCs w:val="22"/>
              </w:rPr>
              <w:t xml:space="preserve">Near-peer coaching improves future thinking/transition readiness (Gazeley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Hinton-Smith, 2018)</w:t>
            </w:r>
          </w:p>
        </w:tc>
        <w:tc>
          <w:tcPr>
            <w:tcW w:w="0" w:type="auto"/>
            <w:vMerge w:val="restart"/>
            <w:hideMark/>
          </w:tcPr>
          <w:p w14:paraId="5D619078" w14:textId="77777777" w:rsidR="00BF22AD" w:rsidRPr="00CF23FB" w:rsidRDefault="00BF22AD" w:rsidP="001E1F70">
            <w:pPr>
              <w:jc w:val="both"/>
              <w:rPr>
                <w:rFonts w:ascii="Arial" w:hAnsi="Arial" w:cs="Arial"/>
                <w:szCs w:val="22"/>
              </w:rPr>
            </w:pPr>
            <w:r w:rsidRPr="00CF23FB">
              <w:rPr>
                <w:rFonts w:ascii="Arial" w:hAnsi="Arial" w:cs="Arial"/>
                <w:b/>
                <w:bCs/>
                <w:szCs w:val="22"/>
              </w:rPr>
              <w:t>Targeted coaching and mentoring supports</w:t>
            </w:r>
          </w:p>
          <w:p w14:paraId="6BAB36EB" w14:textId="70B10EE0" w:rsidR="00BF22AD" w:rsidRPr="00CF23FB" w:rsidRDefault="00BF22AD" w:rsidP="001E1F70">
            <w:pPr>
              <w:jc w:val="both"/>
              <w:rPr>
                <w:rFonts w:ascii="Arial" w:hAnsi="Arial" w:cs="Arial"/>
                <w:szCs w:val="22"/>
              </w:rPr>
            </w:pPr>
          </w:p>
        </w:tc>
        <w:tc>
          <w:tcPr>
            <w:tcW w:w="0" w:type="auto"/>
            <w:hideMark/>
          </w:tcPr>
          <w:p w14:paraId="2266CE4F" w14:textId="77777777" w:rsidR="00BF22AD" w:rsidRPr="00CF23FB" w:rsidRDefault="00BF22AD" w:rsidP="001E1F70">
            <w:pPr>
              <w:jc w:val="both"/>
              <w:rPr>
                <w:rFonts w:ascii="Arial" w:hAnsi="Arial" w:cs="Arial"/>
                <w:szCs w:val="22"/>
              </w:rPr>
            </w:pPr>
            <w:r w:rsidRPr="00CF23FB">
              <w:rPr>
                <w:rFonts w:ascii="Arial" w:hAnsi="Arial" w:cs="Arial"/>
                <w:b/>
                <w:bCs/>
                <w:szCs w:val="22"/>
              </w:rPr>
              <w:t>Targeted, relationship-based university supports improve transitions, but evidence is limited</w:t>
            </w:r>
          </w:p>
        </w:tc>
        <w:tc>
          <w:tcPr>
            <w:tcW w:w="0" w:type="auto"/>
            <w:vMerge w:val="restart"/>
            <w:hideMark/>
          </w:tcPr>
          <w:p w14:paraId="5D05669E" w14:textId="5976454C" w:rsidR="00BF22AD" w:rsidRPr="00CF23FB" w:rsidRDefault="00BF22AD" w:rsidP="001E1F70">
            <w:pPr>
              <w:jc w:val="both"/>
              <w:rPr>
                <w:rFonts w:ascii="Arial" w:hAnsi="Arial" w:cs="Arial"/>
                <w:szCs w:val="22"/>
              </w:rPr>
            </w:pPr>
            <w:r w:rsidRPr="00CF23FB">
              <w:rPr>
                <w:rFonts w:ascii="Arial" w:hAnsi="Arial" w:cs="Arial"/>
                <w:szCs w:val="22"/>
              </w:rPr>
              <w:t>Obj. 3</w:t>
            </w:r>
          </w:p>
        </w:tc>
      </w:tr>
      <w:tr w:rsidR="00BF22AD" w:rsidRPr="00CF23FB" w14:paraId="4BD789EC" w14:textId="77777777" w:rsidTr="00BF22AD">
        <w:tc>
          <w:tcPr>
            <w:tcW w:w="0" w:type="auto"/>
            <w:hideMark/>
          </w:tcPr>
          <w:p w14:paraId="0548DBCF" w14:textId="77777777" w:rsidR="00BF22AD" w:rsidRPr="00CF23FB" w:rsidRDefault="00BF22AD" w:rsidP="001E1F70">
            <w:pPr>
              <w:jc w:val="both"/>
              <w:rPr>
                <w:rFonts w:ascii="Arial" w:hAnsi="Arial" w:cs="Arial"/>
                <w:szCs w:val="22"/>
              </w:rPr>
            </w:pPr>
            <w:r w:rsidRPr="00CF23FB">
              <w:rPr>
                <w:rFonts w:ascii="Arial" w:hAnsi="Arial" w:cs="Arial"/>
                <w:szCs w:val="22"/>
              </w:rPr>
              <w:t>Coaching/self-determination models show gains (self-efficacy, career exploration; GPA/enrolment signals) (Blakeslee et al., 2022)</w:t>
            </w:r>
          </w:p>
        </w:tc>
        <w:tc>
          <w:tcPr>
            <w:tcW w:w="0" w:type="auto"/>
            <w:vMerge/>
            <w:hideMark/>
          </w:tcPr>
          <w:p w14:paraId="572535EA" w14:textId="3538C16F" w:rsidR="00BF22AD" w:rsidRPr="00CF23FB" w:rsidRDefault="00BF22AD" w:rsidP="001E1F70">
            <w:pPr>
              <w:jc w:val="both"/>
              <w:rPr>
                <w:rFonts w:ascii="Arial" w:hAnsi="Arial" w:cs="Arial"/>
                <w:szCs w:val="22"/>
              </w:rPr>
            </w:pPr>
          </w:p>
        </w:tc>
        <w:tc>
          <w:tcPr>
            <w:tcW w:w="0" w:type="auto"/>
            <w:hideMark/>
          </w:tcPr>
          <w:p w14:paraId="4992482B" w14:textId="77777777" w:rsidR="00BF22AD" w:rsidRPr="00CF23FB" w:rsidRDefault="00BF22AD"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vMerge/>
            <w:hideMark/>
          </w:tcPr>
          <w:p w14:paraId="0BE7849F" w14:textId="0494F6DF" w:rsidR="00BF22AD" w:rsidRPr="00CF23FB" w:rsidRDefault="00BF22AD" w:rsidP="001E1F70">
            <w:pPr>
              <w:jc w:val="both"/>
              <w:rPr>
                <w:rFonts w:ascii="Arial" w:hAnsi="Arial" w:cs="Arial"/>
                <w:szCs w:val="22"/>
              </w:rPr>
            </w:pPr>
          </w:p>
        </w:tc>
      </w:tr>
      <w:tr w:rsidR="00DA24FA" w:rsidRPr="00CF23FB" w14:paraId="011B1225" w14:textId="77777777" w:rsidTr="00BF22AD">
        <w:tc>
          <w:tcPr>
            <w:tcW w:w="0" w:type="auto"/>
            <w:hideMark/>
          </w:tcPr>
          <w:p w14:paraId="26D30B7C" w14:textId="77777777" w:rsidR="00DA24FA" w:rsidRPr="00CF23FB" w:rsidRDefault="00DA24FA" w:rsidP="001E1F70">
            <w:pPr>
              <w:jc w:val="both"/>
              <w:rPr>
                <w:rFonts w:ascii="Arial" w:hAnsi="Arial" w:cs="Arial"/>
                <w:szCs w:val="22"/>
              </w:rPr>
            </w:pPr>
            <w:r w:rsidRPr="00CF23FB">
              <w:rPr>
                <w:rFonts w:ascii="Arial" w:hAnsi="Arial" w:cs="Arial"/>
                <w:szCs w:val="22"/>
              </w:rPr>
              <w:t>Need for foster-aware mental health services; trauma-informed provision (Miller et al., 2020; Campbell et al., 2022)</w:t>
            </w:r>
          </w:p>
        </w:tc>
        <w:tc>
          <w:tcPr>
            <w:tcW w:w="0" w:type="auto"/>
            <w:hideMark/>
          </w:tcPr>
          <w:p w14:paraId="096C6B58" w14:textId="77777777" w:rsidR="00DA24FA" w:rsidRPr="00CF23FB" w:rsidRDefault="00DA24FA" w:rsidP="001E1F70">
            <w:pPr>
              <w:jc w:val="both"/>
              <w:rPr>
                <w:rFonts w:ascii="Arial" w:hAnsi="Arial" w:cs="Arial"/>
                <w:szCs w:val="22"/>
              </w:rPr>
            </w:pPr>
            <w:r w:rsidRPr="00CF23FB">
              <w:rPr>
                <w:rFonts w:ascii="Arial" w:hAnsi="Arial" w:cs="Arial"/>
                <w:b/>
                <w:bCs/>
                <w:szCs w:val="22"/>
              </w:rPr>
              <w:t>Trauma-informed wellbeing and referral pathways</w:t>
            </w:r>
          </w:p>
        </w:tc>
        <w:tc>
          <w:tcPr>
            <w:tcW w:w="0" w:type="auto"/>
            <w:hideMark/>
          </w:tcPr>
          <w:p w14:paraId="1F5EB389" w14:textId="77777777" w:rsidR="00DA24FA" w:rsidRPr="00CF23FB" w:rsidRDefault="00DA24FA"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hideMark/>
          </w:tcPr>
          <w:p w14:paraId="0F1A5AD3" w14:textId="77777777" w:rsidR="00DA24FA" w:rsidRPr="00CF23FB" w:rsidRDefault="00DA24FA" w:rsidP="001E1F70">
            <w:pPr>
              <w:jc w:val="both"/>
              <w:rPr>
                <w:rFonts w:ascii="Arial" w:hAnsi="Arial" w:cs="Arial"/>
                <w:szCs w:val="22"/>
              </w:rPr>
            </w:pPr>
            <w:r w:rsidRPr="00CF23FB">
              <w:rPr>
                <w:rFonts w:ascii="Arial" w:hAnsi="Arial" w:cs="Arial"/>
                <w:szCs w:val="22"/>
              </w:rPr>
              <w:t>Obj. 3 (also Obj. 1)</w:t>
            </w:r>
          </w:p>
        </w:tc>
      </w:tr>
      <w:tr w:rsidR="00BF22AD" w:rsidRPr="00CF23FB" w14:paraId="6BBEF157" w14:textId="77777777" w:rsidTr="00BF22AD">
        <w:tc>
          <w:tcPr>
            <w:tcW w:w="0" w:type="auto"/>
            <w:hideMark/>
          </w:tcPr>
          <w:p w14:paraId="0693BF7B" w14:textId="71113BC2" w:rsidR="00BF22AD" w:rsidRPr="00CF23FB" w:rsidRDefault="00BF22AD" w:rsidP="001E1F70">
            <w:pPr>
              <w:jc w:val="both"/>
              <w:rPr>
                <w:rFonts w:ascii="Arial" w:hAnsi="Arial" w:cs="Arial"/>
                <w:szCs w:val="22"/>
              </w:rPr>
            </w:pPr>
            <w:r w:rsidRPr="00CF23FB">
              <w:rPr>
                <w:rFonts w:ascii="Arial" w:hAnsi="Arial" w:cs="Arial"/>
                <w:szCs w:val="22"/>
              </w:rPr>
              <w:t xml:space="preserve">Named contacts, consistent outreach, one-stop information/signposting (Bayfield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 xml:space="preserve">Smith, 2024; Ellis </w:t>
            </w:r>
            <w:r w:rsidR="00D738A7">
              <w:rPr>
                <w:rFonts w:ascii="Arial" w:hAnsi="Arial" w:cs="Arial"/>
                <w:szCs w:val="22"/>
              </w:rPr>
              <w:t>and</w:t>
            </w:r>
            <w:r w:rsidR="00D738A7" w:rsidRPr="00CF23FB">
              <w:rPr>
                <w:rFonts w:ascii="Arial" w:hAnsi="Arial" w:cs="Arial"/>
                <w:szCs w:val="22"/>
              </w:rPr>
              <w:t xml:space="preserve"> </w:t>
            </w:r>
            <w:r w:rsidRPr="00CF23FB">
              <w:rPr>
                <w:rFonts w:ascii="Arial" w:hAnsi="Arial" w:cs="Arial"/>
                <w:szCs w:val="22"/>
              </w:rPr>
              <w:t>Johnston, 2022)</w:t>
            </w:r>
          </w:p>
        </w:tc>
        <w:tc>
          <w:tcPr>
            <w:tcW w:w="0" w:type="auto"/>
            <w:vMerge w:val="restart"/>
            <w:hideMark/>
          </w:tcPr>
          <w:p w14:paraId="522B1F83" w14:textId="77777777" w:rsidR="00BF22AD" w:rsidRPr="00CF23FB" w:rsidRDefault="00BF22AD" w:rsidP="001E1F70">
            <w:pPr>
              <w:jc w:val="both"/>
              <w:rPr>
                <w:rFonts w:ascii="Arial" w:hAnsi="Arial" w:cs="Arial"/>
                <w:szCs w:val="22"/>
              </w:rPr>
            </w:pPr>
            <w:r w:rsidRPr="00CF23FB">
              <w:rPr>
                <w:rFonts w:ascii="Arial" w:hAnsi="Arial" w:cs="Arial"/>
                <w:b/>
                <w:bCs/>
                <w:szCs w:val="22"/>
              </w:rPr>
              <w:t>Navigation support and continuity of contact</w:t>
            </w:r>
          </w:p>
          <w:p w14:paraId="6D258156" w14:textId="6ADE640C" w:rsidR="00BF22AD" w:rsidRPr="00CF23FB" w:rsidRDefault="00BF22AD" w:rsidP="001E1F70">
            <w:pPr>
              <w:jc w:val="both"/>
              <w:rPr>
                <w:rFonts w:ascii="Arial" w:hAnsi="Arial" w:cs="Arial"/>
                <w:szCs w:val="22"/>
              </w:rPr>
            </w:pPr>
          </w:p>
        </w:tc>
        <w:tc>
          <w:tcPr>
            <w:tcW w:w="0" w:type="auto"/>
            <w:hideMark/>
          </w:tcPr>
          <w:p w14:paraId="52DFB9AA" w14:textId="77777777" w:rsidR="00BF22AD" w:rsidRPr="00CF23FB" w:rsidRDefault="00BF22AD"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vMerge w:val="restart"/>
            <w:hideMark/>
          </w:tcPr>
          <w:p w14:paraId="6BE282C0" w14:textId="7F1E95D1" w:rsidR="00BF22AD" w:rsidRPr="00CF23FB" w:rsidRDefault="00BF22AD" w:rsidP="001E1F70">
            <w:pPr>
              <w:jc w:val="both"/>
              <w:rPr>
                <w:rFonts w:ascii="Arial" w:hAnsi="Arial" w:cs="Arial"/>
                <w:szCs w:val="22"/>
              </w:rPr>
            </w:pPr>
            <w:r w:rsidRPr="00CF23FB">
              <w:rPr>
                <w:rFonts w:ascii="Arial" w:hAnsi="Arial" w:cs="Arial"/>
                <w:szCs w:val="22"/>
              </w:rPr>
              <w:t>Obj. 3</w:t>
            </w:r>
          </w:p>
        </w:tc>
      </w:tr>
      <w:tr w:rsidR="00BF22AD" w:rsidRPr="00CF23FB" w14:paraId="2A657358" w14:textId="77777777" w:rsidTr="00BF22AD">
        <w:tc>
          <w:tcPr>
            <w:tcW w:w="0" w:type="auto"/>
            <w:hideMark/>
          </w:tcPr>
          <w:p w14:paraId="173D7E89" w14:textId="77777777" w:rsidR="00BF22AD" w:rsidRPr="00CF23FB" w:rsidRDefault="00BF22AD" w:rsidP="001E1F70">
            <w:pPr>
              <w:jc w:val="both"/>
              <w:rPr>
                <w:rFonts w:ascii="Arial" w:hAnsi="Arial" w:cs="Arial"/>
                <w:szCs w:val="22"/>
              </w:rPr>
            </w:pPr>
            <w:r w:rsidRPr="00CF23FB">
              <w:rPr>
                <w:rFonts w:ascii="Arial" w:hAnsi="Arial" w:cs="Arial"/>
                <w:szCs w:val="22"/>
              </w:rPr>
              <w:t>Support must be ongoing, personalised, non-judgemental, and practical + emotional (Pinkney &amp; Walker, 2020; Ellis &amp; Johnston, 2022)</w:t>
            </w:r>
          </w:p>
        </w:tc>
        <w:tc>
          <w:tcPr>
            <w:tcW w:w="0" w:type="auto"/>
            <w:vMerge/>
            <w:hideMark/>
          </w:tcPr>
          <w:p w14:paraId="2D2BFED9" w14:textId="5F1F6323" w:rsidR="00BF22AD" w:rsidRPr="00CF23FB" w:rsidRDefault="00BF22AD" w:rsidP="001E1F70">
            <w:pPr>
              <w:jc w:val="both"/>
              <w:rPr>
                <w:rFonts w:ascii="Arial" w:hAnsi="Arial" w:cs="Arial"/>
                <w:szCs w:val="22"/>
              </w:rPr>
            </w:pPr>
          </w:p>
        </w:tc>
        <w:tc>
          <w:tcPr>
            <w:tcW w:w="0" w:type="auto"/>
            <w:hideMark/>
          </w:tcPr>
          <w:p w14:paraId="0BDCA3B3" w14:textId="77777777" w:rsidR="00BF22AD" w:rsidRPr="00CF23FB" w:rsidRDefault="00BF22AD"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vMerge/>
            <w:hideMark/>
          </w:tcPr>
          <w:p w14:paraId="2A80CDD7" w14:textId="1E52F3D0" w:rsidR="00BF22AD" w:rsidRPr="00CF23FB" w:rsidRDefault="00BF22AD" w:rsidP="001E1F70">
            <w:pPr>
              <w:jc w:val="both"/>
              <w:rPr>
                <w:rFonts w:ascii="Arial" w:hAnsi="Arial" w:cs="Arial"/>
                <w:szCs w:val="22"/>
              </w:rPr>
            </w:pPr>
          </w:p>
        </w:tc>
      </w:tr>
      <w:tr w:rsidR="00BF22AD" w:rsidRPr="00CF23FB" w14:paraId="7C0EFB83" w14:textId="77777777" w:rsidTr="00BF22AD">
        <w:tc>
          <w:tcPr>
            <w:tcW w:w="0" w:type="auto"/>
            <w:hideMark/>
          </w:tcPr>
          <w:p w14:paraId="1106C054" w14:textId="77777777" w:rsidR="00BF22AD" w:rsidRPr="00CF23FB" w:rsidRDefault="00BF22AD" w:rsidP="001E1F70">
            <w:pPr>
              <w:jc w:val="both"/>
              <w:rPr>
                <w:rFonts w:ascii="Arial" w:hAnsi="Arial" w:cs="Arial"/>
                <w:szCs w:val="22"/>
              </w:rPr>
            </w:pPr>
            <w:r w:rsidRPr="00CF23FB">
              <w:rPr>
                <w:rFonts w:ascii="Arial" w:hAnsi="Arial" w:cs="Arial"/>
                <w:szCs w:val="22"/>
              </w:rPr>
              <w:t>Intervention evidence base: short-term benefits, limited long-term effects; risk of bias/imprecision (Trubey et al., 2024; Evans et al., 2023)</w:t>
            </w:r>
          </w:p>
        </w:tc>
        <w:tc>
          <w:tcPr>
            <w:tcW w:w="0" w:type="auto"/>
            <w:vMerge w:val="restart"/>
            <w:hideMark/>
          </w:tcPr>
          <w:p w14:paraId="6EC7DE66" w14:textId="77777777" w:rsidR="00BF22AD" w:rsidRPr="00CF23FB" w:rsidRDefault="00BF22AD" w:rsidP="001E1F70">
            <w:pPr>
              <w:jc w:val="both"/>
              <w:rPr>
                <w:rFonts w:ascii="Arial" w:hAnsi="Arial" w:cs="Arial"/>
                <w:szCs w:val="22"/>
              </w:rPr>
            </w:pPr>
            <w:r w:rsidRPr="00CF23FB">
              <w:rPr>
                <w:rFonts w:ascii="Arial" w:hAnsi="Arial" w:cs="Arial"/>
                <w:b/>
                <w:bCs/>
                <w:szCs w:val="22"/>
              </w:rPr>
              <w:t>Limits of the intervention evidence base</w:t>
            </w:r>
          </w:p>
          <w:p w14:paraId="53B4CE03" w14:textId="0CD0A8B3" w:rsidR="00BF22AD" w:rsidRDefault="00BF22AD" w:rsidP="001E1F70">
            <w:pPr>
              <w:jc w:val="both"/>
              <w:rPr>
                <w:rFonts w:ascii="Arial" w:hAnsi="Arial" w:cs="Arial"/>
                <w:szCs w:val="22"/>
              </w:rPr>
            </w:pPr>
          </w:p>
          <w:p w14:paraId="4B0D0353" w14:textId="04ABEF09" w:rsidR="00BF22AD" w:rsidRPr="00BF22AD" w:rsidRDefault="00BF22AD" w:rsidP="001E1F70">
            <w:pPr>
              <w:jc w:val="both"/>
              <w:rPr>
                <w:rFonts w:ascii="Arial" w:hAnsi="Arial" w:cs="Arial"/>
                <w:szCs w:val="22"/>
              </w:rPr>
            </w:pPr>
          </w:p>
        </w:tc>
        <w:tc>
          <w:tcPr>
            <w:tcW w:w="0" w:type="auto"/>
            <w:hideMark/>
          </w:tcPr>
          <w:p w14:paraId="4D455274" w14:textId="77777777" w:rsidR="00BF22AD" w:rsidRPr="00CF23FB" w:rsidRDefault="00BF22AD"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vMerge/>
            <w:hideMark/>
          </w:tcPr>
          <w:p w14:paraId="77791B08" w14:textId="268DE7EA" w:rsidR="00BF22AD" w:rsidRPr="00CF23FB" w:rsidRDefault="00BF22AD" w:rsidP="001E1F70">
            <w:pPr>
              <w:jc w:val="both"/>
              <w:rPr>
                <w:rFonts w:ascii="Arial" w:hAnsi="Arial" w:cs="Arial"/>
                <w:szCs w:val="22"/>
              </w:rPr>
            </w:pPr>
          </w:p>
        </w:tc>
      </w:tr>
      <w:tr w:rsidR="00BF22AD" w:rsidRPr="00CF23FB" w14:paraId="6E9BA0BB" w14:textId="77777777" w:rsidTr="00BF22AD">
        <w:tc>
          <w:tcPr>
            <w:tcW w:w="0" w:type="auto"/>
            <w:hideMark/>
          </w:tcPr>
          <w:p w14:paraId="65D3C94C" w14:textId="77777777" w:rsidR="00BF22AD" w:rsidRPr="00CF23FB" w:rsidRDefault="00BF22AD" w:rsidP="001E1F70">
            <w:pPr>
              <w:jc w:val="both"/>
              <w:rPr>
                <w:rFonts w:ascii="Arial" w:hAnsi="Arial" w:cs="Arial"/>
                <w:szCs w:val="22"/>
              </w:rPr>
            </w:pPr>
            <w:r w:rsidRPr="00CF23FB">
              <w:rPr>
                <w:rFonts w:ascii="Arial" w:hAnsi="Arial" w:cs="Arial"/>
                <w:szCs w:val="22"/>
              </w:rPr>
              <w:t>Need for better theory specification, process/economic evaluation, and scalability/implementation evidence (Evans et al., 2023; Hambrick et al., 2016)</w:t>
            </w:r>
          </w:p>
        </w:tc>
        <w:tc>
          <w:tcPr>
            <w:tcW w:w="0" w:type="auto"/>
            <w:vMerge/>
            <w:hideMark/>
          </w:tcPr>
          <w:p w14:paraId="08DE5A6E" w14:textId="56D970C3" w:rsidR="00BF22AD" w:rsidRPr="00CF23FB" w:rsidRDefault="00BF22AD" w:rsidP="001E1F70">
            <w:pPr>
              <w:jc w:val="both"/>
              <w:rPr>
                <w:rFonts w:ascii="Arial" w:hAnsi="Arial" w:cs="Arial"/>
                <w:szCs w:val="22"/>
              </w:rPr>
            </w:pPr>
          </w:p>
        </w:tc>
        <w:tc>
          <w:tcPr>
            <w:tcW w:w="0" w:type="auto"/>
            <w:hideMark/>
          </w:tcPr>
          <w:p w14:paraId="553FDE10" w14:textId="77777777" w:rsidR="00BF22AD" w:rsidRPr="00CF23FB" w:rsidRDefault="00BF22AD" w:rsidP="001E1F70">
            <w:pPr>
              <w:jc w:val="both"/>
              <w:rPr>
                <w:rFonts w:ascii="Arial" w:hAnsi="Arial" w:cs="Arial"/>
                <w:szCs w:val="22"/>
              </w:rPr>
            </w:pPr>
            <w:r w:rsidRPr="00CF23FB">
              <w:rPr>
                <w:rFonts w:ascii="Arial" w:hAnsi="Arial" w:cs="Arial"/>
                <w:szCs w:val="22"/>
              </w:rPr>
              <w:t>Targeted, relationship-based university supports improve transitions, but evidence is limited</w:t>
            </w:r>
          </w:p>
        </w:tc>
        <w:tc>
          <w:tcPr>
            <w:tcW w:w="0" w:type="auto"/>
            <w:vMerge/>
            <w:hideMark/>
          </w:tcPr>
          <w:p w14:paraId="0E36FD2F" w14:textId="4D9E397A" w:rsidR="00BF22AD" w:rsidRPr="00CF23FB" w:rsidRDefault="00BF22AD" w:rsidP="001E1F70">
            <w:pPr>
              <w:jc w:val="both"/>
              <w:rPr>
                <w:rFonts w:ascii="Arial" w:hAnsi="Arial" w:cs="Arial"/>
                <w:szCs w:val="22"/>
              </w:rPr>
            </w:pPr>
          </w:p>
        </w:tc>
      </w:tr>
    </w:tbl>
    <w:p w14:paraId="637209A9" w14:textId="77777777" w:rsidR="00DA24FA" w:rsidRPr="00CF23FB" w:rsidRDefault="00DA24FA" w:rsidP="001E1F70">
      <w:pPr>
        <w:jc w:val="both"/>
        <w:rPr>
          <w:rFonts w:ascii="Arial" w:hAnsi="Arial" w:cs="Arial"/>
          <w:szCs w:val="22"/>
        </w:rPr>
      </w:pPr>
    </w:p>
    <w:p w14:paraId="41C0A92D" w14:textId="77777777" w:rsidR="00DA24FA" w:rsidRPr="00DA24FA" w:rsidRDefault="00DA24FA" w:rsidP="001E1F70">
      <w:pPr>
        <w:jc w:val="both"/>
        <w:rPr>
          <w:lang w:eastAsia="en-US"/>
        </w:rPr>
      </w:pPr>
    </w:p>
    <w:sectPr w:rsidR="00DA24FA" w:rsidRPr="00DA24FA" w:rsidSect="0032298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E5DEF" w14:textId="77777777" w:rsidR="00FE3128" w:rsidRDefault="00FE3128" w:rsidP="00EA3366">
      <w:pPr>
        <w:spacing w:line="240" w:lineRule="auto"/>
      </w:pPr>
      <w:r>
        <w:separator/>
      </w:r>
    </w:p>
  </w:endnote>
  <w:endnote w:type="continuationSeparator" w:id="0">
    <w:p w14:paraId="3FBDA049" w14:textId="77777777" w:rsidR="00FE3128" w:rsidRDefault="00FE3128" w:rsidP="00EA33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3551261"/>
      <w:docPartObj>
        <w:docPartGallery w:val="Page Numbers (Bottom of Page)"/>
        <w:docPartUnique/>
      </w:docPartObj>
    </w:sdtPr>
    <w:sdtEndPr>
      <w:rPr>
        <w:rStyle w:val="PageNumber"/>
      </w:rPr>
    </w:sdtEndPr>
    <w:sdtContent>
      <w:p w14:paraId="353BFC0F" w14:textId="4227AAD4" w:rsidR="00EA3366" w:rsidRDefault="00EA3366" w:rsidP="001206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D176610" w14:textId="77777777" w:rsidR="00EA3366" w:rsidRDefault="00EA3366" w:rsidP="00EA33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1859344"/>
      <w:docPartObj>
        <w:docPartGallery w:val="Page Numbers (Bottom of Page)"/>
        <w:docPartUnique/>
      </w:docPartObj>
    </w:sdtPr>
    <w:sdtEndPr>
      <w:rPr>
        <w:rStyle w:val="PageNumber"/>
      </w:rPr>
    </w:sdtEndPr>
    <w:sdtContent>
      <w:p w14:paraId="1783C970" w14:textId="67ECC0E8" w:rsidR="00EA3366" w:rsidRDefault="00EA3366" w:rsidP="001206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263E42" w14:textId="77777777" w:rsidR="00EA3366" w:rsidRDefault="00EA3366" w:rsidP="00EA33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23475" w14:textId="77777777" w:rsidR="00FE3128" w:rsidRDefault="00FE3128" w:rsidP="00EA3366">
      <w:pPr>
        <w:spacing w:line="240" w:lineRule="auto"/>
      </w:pPr>
      <w:r>
        <w:separator/>
      </w:r>
    </w:p>
  </w:footnote>
  <w:footnote w:type="continuationSeparator" w:id="0">
    <w:p w14:paraId="313FA2A3" w14:textId="77777777" w:rsidR="00FE3128" w:rsidRDefault="00FE3128" w:rsidP="00EA33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C4845"/>
    <w:multiLevelType w:val="hybridMultilevel"/>
    <w:tmpl w:val="9F5274C0"/>
    <w:lvl w:ilvl="0" w:tplc="5CBC152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7706E"/>
    <w:multiLevelType w:val="multilevel"/>
    <w:tmpl w:val="E2009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1A7521"/>
    <w:multiLevelType w:val="hybridMultilevel"/>
    <w:tmpl w:val="67D2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D32B8"/>
    <w:multiLevelType w:val="multilevel"/>
    <w:tmpl w:val="E6783EC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AEB6AA1"/>
    <w:multiLevelType w:val="multilevel"/>
    <w:tmpl w:val="EBE8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BC30FD"/>
    <w:multiLevelType w:val="multilevel"/>
    <w:tmpl w:val="510C9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E331EA"/>
    <w:multiLevelType w:val="multilevel"/>
    <w:tmpl w:val="1D9E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38596A"/>
    <w:multiLevelType w:val="multilevel"/>
    <w:tmpl w:val="FACC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7F26D6"/>
    <w:multiLevelType w:val="multilevel"/>
    <w:tmpl w:val="198E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080616">
    <w:abstractNumId w:val="8"/>
  </w:num>
  <w:num w:numId="2" w16cid:durableId="1297485582">
    <w:abstractNumId w:val="1"/>
  </w:num>
  <w:num w:numId="3" w16cid:durableId="1986087800">
    <w:abstractNumId w:val="5"/>
  </w:num>
  <w:num w:numId="4" w16cid:durableId="744496323">
    <w:abstractNumId w:val="3"/>
  </w:num>
  <w:num w:numId="5" w16cid:durableId="1478260065">
    <w:abstractNumId w:val="4"/>
  </w:num>
  <w:num w:numId="6" w16cid:durableId="576061561">
    <w:abstractNumId w:val="7"/>
  </w:num>
  <w:num w:numId="7" w16cid:durableId="1279068724">
    <w:abstractNumId w:val="6"/>
  </w:num>
  <w:num w:numId="8" w16cid:durableId="962493976">
    <w:abstractNumId w:val="0"/>
  </w:num>
  <w:num w:numId="9" w16cid:durableId="16578759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41"/>
    <w:rsid w:val="000006AD"/>
    <w:rsid w:val="00010AD1"/>
    <w:rsid w:val="00017405"/>
    <w:rsid w:val="00017B96"/>
    <w:rsid w:val="0003394B"/>
    <w:rsid w:val="00035458"/>
    <w:rsid w:val="000363C5"/>
    <w:rsid w:val="000531B8"/>
    <w:rsid w:val="00054413"/>
    <w:rsid w:val="000571F5"/>
    <w:rsid w:val="00064411"/>
    <w:rsid w:val="00070D9C"/>
    <w:rsid w:val="000809E3"/>
    <w:rsid w:val="00081D45"/>
    <w:rsid w:val="000857D9"/>
    <w:rsid w:val="00091F7F"/>
    <w:rsid w:val="000A3180"/>
    <w:rsid w:val="000B147A"/>
    <w:rsid w:val="000B3115"/>
    <w:rsid w:val="000B743B"/>
    <w:rsid w:val="000C2185"/>
    <w:rsid w:val="000D2BD9"/>
    <w:rsid w:val="000E33D8"/>
    <w:rsid w:val="000F3E62"/>
    <w:rsid w:val="000F6B6D"/>
    <w:rsid w:val="0010155F"/>
    <w:rsid w:val="0010187B"/>
    <w:rsid w:val="00103615"/>
    <w:rsid w:val="00106E2F"/>
    <w:rsid w:val="00111FC4"/>
    <w:rsid w:val="00112663"/>
    <w:rsid w:val="00117043"/>
    <w:rsid w:val="00117A75"/>
    <w:rsid w:val="00131CCA"/>
    <w:rsid w:val="0014124E"/>
    <w:rsid w:val="001418F8"/>
    <w:rsid w:val="00144649"/>
    <w:rsid w:val="00152CDE"/>
    <w:rsid w:val="0015346F"/>
    <w:rsid w:val="001607F6"/>
    <w:rsid w:val="00160CFF"/>
    <w:rsid w:val="001643F7"/>
    <w:rsid w:val="00166D16"/>
    <w:rsid w:val="00172169"/>
    <w:rsid w:val="001732BC"/>
    <w:rsid w:val="00173C9F"/>
    <w:rsid w:val="00185EF0"/>
    <w:rsid w:val="00186E8F"/>
    <w:rsid w:val="00195F05"/>
    <w:rsid w:val="001A3B69"/>
    <w:rsid w:val="001A438F"/>
    <w:rsid w:val="001A67E6"/>
    <w:rsid w:val="001B18E4"/>
    <w:rsid w:val="001B3836"/>
    <w:rsid w:val="001B4B40"/>
    <w:rsid w:val="001C18B9"/>
    <w:rsid w:val="001D1A56"/>
    <w:rsid w:val="001D2E20"/>
    <w:rsid w:val="001D4091"/>
    <w:rsid w:val="001E1F70"/>
    <w:rsid w:val="001E2FB5"/>
    <w:rsid w:val="001E518C"/>
    <w:rsid w:val="001F5867"/>
    <w:rsid w:val="00201419"/>
    <w:rsid w:val="00201A3B"/>
    <w:rsid w:val="0020292F"/>
    <w:rsid w:val="00203202"/>
    <w:rsid w:val="00210CD1"/>
    <w:rsid w:val="00211208"/>
    <w:rsid w:val="00216359"/>
    <w:rsid w:val="002237F2"/>
    <w:rsid w:val="00224124"/>
    <w:rsid w:val="00226D02"/>
    <w:rsid w:val="00230EE1"/>
    <w:rsid w:val="00232DC1"/>
    <w:rsid w:val="002516B4"/>
    <w:rsid w:val="002613E8"/>
    <w:rsid w:val="00276C41"/>
    <w:rsid w:val="0028495D"/>
    <w:rsid w:val="002967D4"/>
    <w:rsid w:val="002A5235"/>
    <w:rsid w:val="002B3CE8"/>
    <w:rsid w:val="002C03AB"/>
    <w:rsid w:val="002C28B8"/>
    <w:rsid w:val="002D2E62"/>
    <w:rsid w:val="002D503F"/>
    <w:rsid w:val="002D50A0"/>
    <w:rsid w:val="002D773F"/>
    <w:rsid w:val="002E21AE"/>
    <w:rsid w:val="002E31D2"/>
    <w:rsid w:val="002E7CC8"/>
    <w:rsid w:val="002F1678"/>
    <w:rsid w:val="002F43F8"/>
    <w:rsid w:val="00317F5B"/>
    <w:rsid w:val="003200BF"/>
    <w:rsid w:val="00322988"/>
    <w:rsid w:val="00322D61"/>
    <w:rsid w:val="003241FC"/>
    <w:rsid w:val="00324B7F"/>
    <w:rsid w:val="00334A0E"/>
    <w:rsid w:val="00340028"/>
    <w:rsid w:val="00355DA3"/>
    <w:rsid w:val="003662B5"/>
    <w:rsid w:val="003817C6"/>
    <w:rsid w:val="00393694"/>
    <w:rsid w:val="00394384"/>
    <w:rsid w:val="003949DD"/>
    <w:rsid w:val="003A01AE"/>
    <w:rsid w:val="003A0CE2"/>
    <w:rsid w:val="003A70EE"/>
    <w:rsid w:val="003B35B7"/>
    <w:rsid w:val="003E38AB"/>
    <w:rsid w:val="003E7685"/>
    <w:rsid w:val="003F5DC4"/>
    <w:rsid w:val="003F7151"/>
    <w:rsid w:val="003F7D8E"/>
    <w:rsid w:val="0042551B"/>
    <w:rsid w:val="0042617B"/>
    <w:rsid w:val="00435B7A"/>
    <w:rsid w:val="0043779B"/>
    <w:rsid w:val="00437888"/>
    <w:rsid w:val="0044367D"/>
    <w:rsid w:val="00446F7C"/>
    <w:rsid w:val="00452BB3"/>
    <w:rsid w:val="00461624"/>
    <w:rsid w:val="00461B5C"/>
    <w:rsid w:val="00462C2D"/>
    <w:rsid w:val="00466F16"/>
    <w:rsid w:val="00486B17"/>
    <w:rsid w:val="00486C1A"/>
    <w:rsid w:val="004929D9"/>
    <w:rsid w:val="00494A9A"/>
    <w:rsid w:val="004A36DE"/>
    <w:rsid w:val="004A4B6F"/>
    <w:rsid w:val="004A766C"/>
    <w:rsid w:val="004B1EE9"/>
    <w:rsid w:val="004B4B12"/>
    <w:rsid w:val="004B7C04"/>
    <w:rsid w:val="004C0B3A"/>
    <w:rsid w:val="004C102D"/>
    <w:rsid w:val="004C3AD4"/>
    <w:rsid w:val="004C6C88"/>
    <w:rsid w:val="004C6DE0"/>
    <w:rsid w:val="004D4BDC"/>
    <w:rsid w:val="004D5474"/>
    <w:rsid w:val="004E6ABB"/>
    <w:rsid w:val="00511D0F"/>
    <w:rsid w:val="00512765"/>
    <w:rsid w:val="00514FEA"/>
    <w:rsid w:val="00515373"/>
    <w:rsid w:val="00532408"/>
    <w:rsid w:val="00533BB1"/>
    <w:rsid w:val="0053789E"/>
    <w:rsid w:val="005561C2"/>
    <w:rsid w:val="0056561C"/>
    <w:rsid w:val="005672E5"/>
    <w:rsid w:val="00572E83"/>
    <w:rsid w:val="0057554E"/>
    <w:rsid w:val="005756EF"/>
    <w:rsid w:val="00577EA9"/>
    <w:rsid w:val="00585C17"/>
    <w:rsid w:val="00594020"/>
    <w:rsid w:val="005A37DF"/>
    <w:rsid w:val="005B3385"/>
    <w:rsid w:val="005B68BC"/>
    <w:rsid w:val="005B69C5"/>
    <w:rsid w:val="005C0BF8"/>
    <w:rsid w:val="005C310D"/>
    <w:rsid w:val="005D1549"/>
    <w:rsid w:val="005E6583"/>
    <w:rsid w:val="00601865"/>
    <w:rsid w:val="006076B9"/>
    <w:rsid w:val="00617024"/>
    <w:rsid w:val="00626E96"/>
    <w:rsid w:val="006272F9"/>
    <w:rsid w:val="00635ECA"/>
    <w:rsid w:val="00645517"/>
    <w:rsid w:val="00650603"/>
    <w:rsid w:val="00651285"/>
    <w:rsid w:val="0065779C"/>
    <w:rsid w:val="00673685"/>
    <w:rsid w:val="00676C41"/>
    <w:rsid w:val="00680186"/>
    <w:rsid w:val="00682C31"/>
    <w:rsid w:val="00683ED9"/>
    <w:rsid w:val="00690B88"/>
    <w:rsid w:val="00692030"/>
    <w:rsid w:val="00695134"/>
    <w:rsid w:val="006A08BF"/>
    <w:rsid w:val="006B2604"/>
    <w:rsid w:val="006B59AF"/>
    <w:rsid w:val="006C5B8F"/>
    <w:rsid w:val="006F5AB8"/>
    <w:rsid w:val="00704A20"/>
    <w:rsid w:val="00711740"/>
    <w:rsid w:val="00713389"/>
    <w:rsid w:val="00715248"/>
    <w:rsid w:val="00716C12"/>
    <w:rsid w:val="0072090B"/>
    <w:rsid w:val="007272F1"/>
    <w:rsid w:val="007274B2"/>
    <w:rsid w:val="00727BC7"/>
    <w:rsid w:val="00731C44"/>
    <w:rsid w:val="00741F03"/>
    <w:rsid w:val="0075004B"/>
    <w:rsid w:val="00753E08"/>
    <w:rsid w:val="0075773D"/>
    <w:rsid w:val="007602BF"/>
    <w:rsid w:val="00763F59"/>
    <w:rsid w:val="0077019B"/>
    <w:rsid w:val="00772847"/>
    <w:rsid w:val="007926C5"/>
    <w:rsid w:val="00796421"/>
    <w:rsid w:val="007A3AF9"/>
    <w:rsid w:val="007B5E13"/>
    <w:rsid w:val="007C3DF9"/>
    <w:rsid w:val="007D3387"/>
    <w:rsid w:val="007E6CA2"/>
    <w:rsid w:val="007F0492"/>
    <w:rsid w:val="007F54FD"/>
    <w:rsid w:val="008005C9"/>
    <w:rsid w:val="00804503"/>
    <w:rsid w:val="008201B3"/>
    <w:rsid w:val="008316B3"/>
    <w:rsid w:val="008336EA"/>
    <w:rsid w:val="00840CAF"/>
    <w:rsid w:val="00841A65"/>
    <w:rsid w:val="0084588D"/>
    <w:rsid w:val="00846EBD"/>
    <w:rsid w:val="0085513A"/>
    <w:rsid w:val="0086128C"/>
    <w:rsid w:val="00862E52"/>
    <w:rsid w:val="00864B94"/>
    <w:rsid w:val="00875142"/>
    <w:rsid w:val="00877BF9"/>
    <w:rsid w:val="00880CC2"/>
    <w:rsid w:val="008872B2"/>
    <w:rsid w:val="008A2EB9"/>
    <w:rsid w:val="008A49D6"/>
    <w:rsid w:val="008B534A"/>
    <w:rsid w:val="008B7F30"/>
    <w:rsid w:val="008C2D73"/>
    <w:rsid w:val="008D2C9F"/>
    <w:rsid w:val="008E368B"/>
    <w:rsid w:val="008E6820"/>
    <w:rsid w:val="008F0920"/>
    <w:rsid w:val="008F5BD2"/>
    <w:rsid w:val="0090083A"/>
    <w:rsid w:val="00902DAF"/>
    <w:rsid w:val="009144B7"/>
    <w:rsid w:val="009149FE"/>
    <w:rsid w:val="00930032"/>
    <w:rsid w:val="0093392C"/>
    <w:rsid w:val="00937BB3"/>
    <w:rsid w:val="00937EA2"/>
    <w:rsid w:val="00940307"/>
    <w:rsid w:val="00944EFC"/>
    <w:rsid w:val="0094568A"/>
    <w:rsid w:val="00956598"/>
    <w:rsid w:val="00963F5D"/>
    <w:rsid w:val="0097227E"/>
    <w:rsid w:val="00985130"/>
    <w:rsid w:val="00990381"/>
    <w:rsid w:val="009A11CA"/>
    <w:rsid w:val="009B14D7"/>
    <w:rsid w:val="009B67F8"/>
    <w:rsid w:val="009C0C40"/>
    <w:rsid w:val="009C5B78"/>
    <w:rsid w:val="009D41D7"/>
    <w:rsid w:val="009E5791"/>
    <w:rsid w:val="00A01CA4"/>
    <w:rsid w:val="00A16F7A"/>
    <w:rsid w:val="00A26C5A"/>
    <w:rsid w:val="00A32131"/>
    <w:rsid w:val="00A3370D"/>
    <w:rsid w:val="00A45B2C"/>
    <w:rsid w:val="00A53045"/>
    <w:rsid w:val="00A64166"/>
    <w:rsid w:val="00A7220E"/>
    <w:rsid w:val="00A73F94"/>
    <w:rsid w:val="00A83D29"/>
    <w:rsid w:val="00A8473F"/>
    <w:rsid w:val="00A9047B"/>
    <w:rsid w:val="00A91343"/>
    <w:rsid w:val="00A930EA"/>
    <w:rsid w:val="00A9478C"/>
    <w:rsid w:val="00AA1145"/>
    <w:rsid w:val="00AA4141"/>
    <w:rsid w:val="00AA56AE"/>
    <w:rsid w:val="00AA56CA"/>
    <w:rsid w:val="00AA5716"/>
    <w:rsid w:val="00AB13DA"/>
    <w:rsid w:val="00AB5CFA"/>
    <w:rsid w:val="00AB6AB2"/>
    <w:rsid w:val="00AB7C8C"/>
    <w:rsid w:val="00AC3A91"/>
    <w:rsid w:val="00AC5211"/>
    <w:rsid w:val="00AD0C4F"/>
    <w:rsid w:val="00AD4E1E"/>
    <w:rsid w:val="00AE1E7C"/>
    <w:rsid w:val="00AE28E6"/>
    <w:rsid w:val="00AE2D32"/>
    <w:rsid w:val="00AF3689"/>
    <w:rsid w:val="00AF7500"/>
    <w:rsid w:val="00B144AD"/>
    <w:rsid w:val="00B15B01"/>
    <w:rsid w:val="00B21D94"/>
    <w:rsid w:val="00B22247"/>
    <w:rsid w:val="00B27C4E"/>
    <w:rsid w:val="00B43083"/>
    <w:rsid w:val="00B43609"/>
    <w:rsid w:val="00B4399C"/>
    <w:rsid w:val="00B47046"/>
    <w:rsid w:val="00B74ABE"/>
    <w:rsid w:val="00B75D1A"/>
    <w:rsid w:val="00B75E56"/>
    <w:rsid w:val="00B864BB"/>
    <w:rsid w:val="00B91D2B"/>
    <w:rsid w:val="00B9623C"/>
    <w:rsid w:val="00B97F3A"/>
    <w:rsid w:val="00BA1620"/>
    <w:rsid w:val="00BA3B52"/>
    <w:rsid w:val="00BB52BD"/>
    <w:rsid w:val="00BC1EAD"/>
    <w:rsid w:val="00BD34F8"/>
    <w:rsid w:val="00BD46AC"/>
    <w:rsid w:val="00BD4AD0"/>
    <w:rsid w:val="00BD6FA1"/>
    <w:rsid w:val="00BE0011"/>
    <w:rsid w:val="00BE4882"/>
    <w:rsid w:val="00BE7116"/>
    <w:rsid w:val="00BF1502"/>
    <w:rsid w:val="00BF22AD"/>
    <w:rsid w:val="00BF3C53"/>
    <w:rsid w:val="00BF75C8"/>
    <w:rsid w:val="00C007E5"/>
    <w:rsid w:val="00C00FCE"/>
    <w:rsid w:val="00C01094"/>
    <w:rsid w:val="00C03287"/>
    <w:rsid w:val="00C0353C"/>
    <w:rsid w:val="00C069E1"/>
    <w:rsid w:val="00C11A8B"/>
    <w:rsid w:val="00C26CEF"/>
    <w:rsid w:val="00C45DA5"/>
    <w:rsid w:val="00C469B5"/>
    <w:rsid w:val="00C57922"/>
    <w:rsid w:val="00C63A55"/>
    <w:rsid w:val="00C73F5C"/>
    <w:rsid w:val="00C742A3"/>
    <w:rsid w:val="00C77957"/>
    <w:rsid w:val="00C80EDB"/>
    <w:rsid w:val="00C82552"/>
    <w:rsid w:val="00C83DBF"/>
    <w:rsid w:val="00C8621C"/>
    <w:rsid w:val="00C94A53"/>
    <w:rsid w:val="00CA240A"/>
    <w:rsid w:val="00CA5F7B"/>
    <w:rsid w:val="00CB02E2"/>
    <w:rsid w:val="00CB25C3"/>
    <w:rsid w:val="00CB41B8"/>
    <w:rsid w:val="00CD786A"/>
    <w:rsid w:val="00CE11C4"/>
    <w:rsid w:val="00CE20C8"/>
    <w:rsid w:val="00CE4D4F"/>
    <w:rsid w:val="00CE7FEF"/>
    <w:rsid w:val="00CF0A9A"/>
    <w:rsid w:val="00CF269E"/>
    <w:rsid w:val="00CF2C05"/>
    <w:rsid w:val="00D11ABC"/>
    <w:rsid w:val="00D1411A"/>
    <w:rsid w:val="00D16362"/>
    <w:rsid w:val="00D23435"/>
    <w:rsid w:val="00D25F70"/>
    <w:rsid w:val="00D4144E"/>
    <w:rsid w:val="00D447EB"/>
    <w:rsid w:val="00D51693"/>
    <w:rsid w:val="00D63D4B"/>
    <w:rsid w:val="00D66F7F"/>
    <w:rsid w:val="00D67C7F"/>
    <w:rsid w:val="00D738A7"/>
    <w:rsid w:val="00D85B2B"/>
    <w:rsid w:val="00D95A10"/>
    <w:rsid w:val="00D968F6"/>
    <w:rsid w:val="00D97364"/>
    <w:rsid w:val="00DA24FA"/>
    <w:rsid w:val="00DA4CD2"/>
    <w:rsid w:val="00DA702D"/>
    <w:rsid w:val="00DA7895"/>
    <w:rsid w:val="00DB054D"/>
    <w:rsid w:val="00DB391A"/>
    <w:rsid w:val="00DB78C5"/>
    <w:rsid w:val="00DC2490"/>
    <w:rsid w:val="00DC5B1A"/>
    <w:rsid w:val="00DC785C"/>
    <w:rsid w:val="00DD09C0"/>
    <w:rsid w:val="00DD15FA"/>
    <w:rsid w:val="00DD4BAC"/>
    <w:rsid w:val="00DD6166"/>
    <w:rsid w:val="00DD6F02"/>
    <w:rsid w:val="00DE0B2C"/>
    <w:rsid w:val="00DE4043"/>
    <w:rsid w:val="00DE54D7"/>
    <w:rsid w:val="00DF2C7F"/>
    <w:rsid w:val="00DF46E7"/>
    <w:rsid w:val="00DF5020"/>
    <w:rsid w:val="00E0118B"/>
    <w:rsid w:val="00E066C4"/>
    <w:rsid w:val="00E11D46"/>
    <w:rsid w:val="00E14F5D"/>
    <w:rsid w:val="00E16E87"/>
    <w:rsid w:val="00E246B6"/>
    <w:rsid w:val="00E40FF1"/>
    <w:rsid w:val="00E546CD"/>
    <w:rsid w:val="00E56BEA"/>
    <w:rsid w:val="00E57D37"/>
    <w:rsid w:val="00E63F77"/>
    <w:rsid w:val="00E678E9"/>
    <w:rsid w:val="00E804E0"/>
    <w:rsid w:val="00E86CEF"/>
    <w:rsid w:val="00E87936"/>
    <w:rsid w:val="00E947F1"/>
    <w:rsid w:val="00E95C04"/>
    <w:rsid w:val="00EA3366"/>
    <w:rsid w:val="00EA468E"/>
    <w:rsid w:val="00EB250C"/>
    <w:rsid w:val="00EB39C0"/>
    <w:rsid w:val="00EC154F"/>
    <w:rsid w:val="00EC1ECC"/>
    <w:rsid w:val="00ED2D67"/>
    <w:rsid w:val="00ED3F39"/>
    <w:rsid w:val="00EE4617"/>
    <w:rsid w:val="00EF1129"/>
    <w:rsid w:val="00EF1F91"/>
    <w:rsid w:val="00F04205"/>
    <w:rsid w:val="00F076E3"/>
    <w:rsid w:val="00F149E3"/>
    <w:rsid w:val="00F20ED7"/>
    <w:rsid w:val="00F247E7"/>
    <w:rsid w:val="00F35931"/>
    <w:rsid w:val="00F377D7"/>
    <w:rsid w:val="00F40140"/>
    <w:rsid w:val="00F47A89"/>
    <w:rsid w:val="00F57E51"/>
    <w:rsid w:val="00F65AA7"/>
    <w:rsid w:val="00F67F0D"/>
    <w:rsid w:val="00F71FC3"/>
    <w:rsid w:val="00F8556D"/>
    <w:rsid w:val="00F92C80"/>
    <w:rsid w:val="00FB37AF"/>
    <w:rsid w:val="00FB6C67"/>
    <w:rsid w:val="00FB78A2"/>
    <w:rsid w:val="00FC00E0"/>
    <w:rsid w:val="00FC1791"/>
    <w:rsid w:val="00FC575F"/>
    <w:rsid w:val="00FC7AF2"/>
    <w:rsid w:val="00FD5C0A"/>
    <w:rsid w:val="00FE3128"/>
    <w:rsid w:val="00FE5083"/>
    <w:rsid w:val="00FE7A99"/>
    <w:rsid w:val="00FF30C6"/>
    <w:rsid w:val="00FF53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1B366"/>
  <w15:chartTrackingRefBased/>
  <w15:docId w15:val="{5DE325E0-71A5-1A4A-A584-A99E56A0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030"/>
    <w:pPr>
      <w:spacing w:after="0" w:line="360" w:lineRule="auto"/>
    </w:pPr>
    <w:rPr>
      <w:rFonts w:asciiTheme="minorBidi" w:eastAsia="Times New Roman" w:hAnsiTheme="minorBidi" w:cs="Times New Roman"/>
      <w:kern w:val="0"/>
      <w:sz w:val="22"/>
      <w:lang w:eastAsia="en-GB"/>
      <w14:ligatures w14:val="none"/>
    </w:rPr>
  </w:style>
  <w:style w:type="paragraph" w:styleId="Heading1">
    <w:name w:val="heading 1"/>
    <w:basedOn w:val="Normal"/>
    <w:next w:val="Normal"/>
    <w:link w:val="Heading1Char"/>
    <w:uiPriority w:val="9"/>
    <w:qFormat/>
    <w:rsid w:val="00F57E51"/>
    <w:pPr>
      <w:keepNext/>
      <w:keepLines/>
      <w:spacing w:before="360" w:after="80"/>
      <w:outlineLvl w:val="0"/>
    </w:pPr>
    <w:rPr>
      <w:rFonts w:eastAsiaTheme="majorEastAsia" w:cstheme="majorBidi"/>
      <w:b/>
      <w:color w:val="0F4761" w:themeColor="accent1" w:themeShade="BF"/>
      <w:kern w:val="2"/>
      <w:sz w:val="32"/>
      <w:szCs w:val="40"/>
      <w:lang w:eastAsia="en-US"/>
      <w14:ligatures w14:val="standardContextual"/>
    </w:rPr>
  </w:style>
  <w:style w:type="paragraph" w:styleId="Heading2">
    <w:name w:val="heading 2"/>
    <w:basedOn w:val="Normal"/>
    <w:next w:val="Normal"/>
    <w:link w:val="Heading2Char"/>
    <w:uiPriority w:val="9"/>
    <w:unhideWhenUsed/>
    <w:qFormat/>
    <w:rsid w:val="00F57E51"/>
    <w:pPr>
      <w:keepNext/>
      <w:keepLines/>
      <w:spacing w:before="160" w:after="80"/>
      <w:outlineLvl w:val="1"/>
    </w:pPr>
    <w:rPr>
      <w:rFonts w:eastAsiaTheme="majorEastAsia" w:cstheme="majorBidi"/>
      <w:b/>
      <w:color w:val="0F4761" w:themeColor="accent1" w:themeShade="BF"/>
      <w:kern w:val="2"/>
      <w:sz w:val="28"/>
      <w:szCs w:val="32"/>
      <w:lang w:eastAsia="en-US"/>
      <w14:ligatures w14:val="standardContextual"/>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676C4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76C4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76C4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76C4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76C4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76C4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E51"/>
    <w:rPr>
      <w:rFonts w:asciiTheme="minorBidi" w:eastAsiaTheme="majorEastAsia" w:hAnsiTheme="minorBidi" w:cstheme="majorBidi"/>
      <w:b/>
      <w:color w:val="0F4761" w:themeColor="accent1" w:themeShade="BF"/>
      <w:sz w:val="32"/>
      <w:szCs w:val="40"/>
    </w:rPr>
  </w:style>
  <w:style w:type="character" w:customStyle="1" w:styleId="Heading2Char">
    <w:name w:val="Heading 2 Char"/>
    <w:basedOn w:val="DefaultParagraphFont"/>
    <w:link w:val="Heading2"/>
    <w:uiPriority w:val="9"/>
    <w:rsid w:val="00F57E51"/>
    <w:rPr>
      <w:rFonts w:asciiTheme="minorBidi" w:eastAsiaTheme="majorEastAsia" w:hAnsiTheme="minorBidi" w:cstheme="majorBidi"/>
      <w:b/>
      <w:color w:val="0F4761" w:themeColor="accent1" w:themeShade="BF"/>
      <w:sz w:val="28"/>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676C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C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C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C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C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C41"/>
    <w:rPr>
      <w:rFonts w:eastAsiaTheme="majorEastAsia" w:cstheme="majorBidi"/>
      <w:color w:val="272727" w:themeColor="text1" w:themeTint="D8"/>
    </w:rPr>
  </w:style>
  <w:style w:type="paragraph" w:styleId="Title">
    <w:name w:val="Title"/>
    <w:basedOn w:val="Normal"/>
    <w:next w:val="Normal"/>
    <w:link w:val="TitleChar"/>
    <w:uiPriority w:val="10"/>
    <w:qFormat/>
    <w:rsid w:val="00676C4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76C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C4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76C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C41"/>
    <w:pPr>
      <w:spacing w:before="160" w:after="160"/>
      <w:jc w:val="center"/>
    </w:pPr>
    <w:rPr>
      <w:rFonts w:eastAsia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76C41"/>
    <w:rPr>
      <w:rFonts w:asciiTheme="majorBidi" w:hAnsiTheme="majorBidi"/>
      <w:i/>
      <w:iCs/>
      <w:color w:val="404040" w:themeColor="text1" w:themeTint="BF"/>
    </w:rPr>
  </w:style>
  <w:style w:type="paragraph" w:styleId="ListParagraph">
    <w:name w:val="List Paragraph"/>
    <w:basedOn w:val="Normal"/>
    <w:uiPriority w:val="34"/>
    <w:qFormat/>
    <w:rsid w:val="00676C41"/>
    <w:pPr>
      <w:spacing w:after="160"/>
      <w:ind w:left="720"/>
      <w:contextualSpacing/>
    </w:pPr>
    <w:rPr>
      <w:rFonts w:eastAsiaTheme="minorHAnsi" w:cstheme="minorBidi"/>
      <w:kern w:val="2"/>
      <w:lang w:eastAsia="en-US"/>
      <w14:ligatures w14:val="standardContextual"/>
    </w:rPr>
  </w:style>
  <w:style w:type="character" w:styleId="IntenseEmphasis">
    <w:name w:val="Intense Emphasis"/>
    <w:basedOn w:val="DefaultParagraphFont"/>
    <w:uiPriority w:val="21"/>
    <w:qFormat/>
    <w:rsid w:val="00676C41"/>
    <w:rPr>
      <w:i/>
      <w:iCs/>
      <w:color w:val="0F4761" w:themeColor="accent1" w:themeShade="BF"/>
    </w:rPr>
  </w:style>
  <w:style w:type="paragraph" w:styleId="IntenseQuote">
    <w:name w:val="Intense Quote"/>
    <w:basedOn w:val="Normal"/>
    <w:next w:val="Normal"/>
    <w:link w:val="IntenseQuoteChar"/>
    <w:uiPriority w:val="30"/>
    <w:qFormat/>
    <w:rsid w:val="00676C41"/>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76C41"/>
    <w:rPr>
      <w:rFonts w:asciiTheme="majorBidi" w:hAnsiTheme="majorBidi"/>
      <w:i/>
      <w:iCs/>
      <w:color w:val="0F4761" w:themeColor="accent1" w:themeShade="BF"/>
    </w:rPr>
  </w:style>
  <w:style w:type="character" w:styleId="IntenseReference">
    <w:name w:val="Intense Reference"/>
    <w:basedOn w:val="DefaultParagraphFont"/>
    <w:uiPriority w:val="32"/>
    <w:qFormat/>
    <w:rsid w:val="00676C41"/>
    <w:rPr>
      <w:b/>
      <w:bCs/>
      <w:smallCaps/>
      <w:color w:val="0F4761" w:themeColor="accent1" w:themeShade="BF"/>
      <w:spacing w:val="5"/>
    </w:rPr>
  </w:style>
  <w:style w:type="paragraph" w:styleId="NormalWeb">
    <w:name w:val="Normal (Web)"/>
    <w:basedOn w:val="Normal"/>
    <w:uiPriority w:val="99"/>
    <w:unhideWhenUsed/>
    <w:rsid w:val="005C310D"/>
    <w:pPr>
      <w:spacing w:before="100" w:beforeAutospacing="1" w:after="100" w:afterAutospacing="1"/>
    </w:pPr>
  </w:style>
  <w:style w:type="character" w:styleId="Strong">
    <w:name w:val="Strong"/>
    <w:basedOn w:val="DefaultParagraphFont"/>
    <w:uiPriority w:val="22"/>
    <w:qFormat/>
    <w:rsid w:val="005C310D"/>
    <w:rPr>
      <w:b/>
      <w:bCs/>
    </w:rPr>
  </w:style>
  <w:style w:type="character" w:customStyle="1" w:styleId="ms-1">
    <w:name w:val="ms-1"/>
    <w:basedOn w:val="DefaultParagraphFont"/>
    <w:rsid w:val="00CD786A"/>
  </w:style>
  <w:style w:type="character" w:customStyle="1" w:styleId="max-w-15ch">
    <w:name w:val="max-w-[15ch]"/>
    <w:basedOn w:val="DefaultParagraphFont"/>
    <w:rsid w:val="00CD786A"/>
  </w:style>
  <w:style w:type="character" w:customStyle="1" w:styleId="-me-1">
    <w:name w:val="-me-1"/>
    <w:basedOn w:val="DefaultParagraphFont"/>
    <w:rsid w:val="00CD786A"/>
  </w:style>
  <w:style w:type="character" w:styleId="Emphasis">
    <w:name w:val="Emphasis"/>
    <w:basedOn w:val="DefaultParagraphFont"/>
    <w:uiPriority w:val="20"/>
    <w:qFormat/>
    <w:rsid w:val="0090083A"/>
    <w:rPr>
      <w:i/>
      <w:iCs/>
    </w:rPr>
  </w:style>
  <w:style w:type="table" w:styleId="TableGrid">
    <w:name w:val="Table Grid"/>
    <w:basedOn w:val="TableNormal"/>
    <w:uiPriority w:val="39"/>
    <w:rsid w:val="00900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083A"/>
    <w:pPr>
      <w:spacing w:after="200"/>
    </w:pPr>
    <w:rPr>
      <w:rFonts w:eastAsiaTheme="minorHAnsi" w:cstheme="minorBidi"/>
      <w:i/>
      <w:iCs/>
      <w:color w:val="0E2841" w:themeColor="text2"/>
      <w:kern w:val="2"/>
      <w:sz w:val="18"/>
      <w:szCs w:val="18"/>
      <w:lang w:eastAsia="en-US"/>
      <w14:ligatures w14:val="standardContextual"/>
    </w:rPr>
  </w:style>
  <w:style w:type="paragraph" w:styleId="Header">
    <w:name w:val="header"/>
    <w:basedOn w:val="Normal"/>
    <w:link w:val="HeaderChar"/>
    <w:uiPriority w:val="99"/>
    <w:unhideWhenUsed/>
    <w:rsid w:val="00EA3366"/>
    <w:pPr>
      <w:tabs>
        <w:tab w:val="center" w:pos="4513"/>
        <w:tab w:val="right" w:pos="9026"/>
      </w:tabs>
      <w:spacing w:line="240" w:lineRule="auto"/>
    </w:pPr>
  </w:style>
  <w:style w:type="character" w:customStyle="1" w:styleId="HeaderChar">
    <w:name w:val="Header Char"/>
    <w:basedOn w:val="DefaultParagraphFont"/>
    <w:link w:val="Header"/>
    <w:uiPriority w:val="99"/>
    <w:rsid w:val="00EA3366"/>
    <w:rPr>
      <w:rFonts w:asciiTheme="minorBidi" w:eastAsia="Times New Roman" w:hAnsiTheme="minorBidi" w:cs="Times New Roman"/>
      <w:kern w:val="0"/>
      <w:sz w:val="22"/>
      <w:lang w:eastAsia="en-GB"/>
      <w14:ligatures w14:val="none"/>
    </w:rPr>
  </w:style>
  <w:style w:type="paragraph" w:styleId="Footer">
    <w:name w:val="footer"/>
    <w:basedOn w:val="Normal"/>
    <w:link w:val="FooterChar"/>
    <w:uiPriority w:val="99"/>
    <w:unhideWhenUsed/>
    <w:rsid w:val="00EA3366"/>
    <w:pPr>
      <w:tabs>
        <w:tab w:val="center" w:pos="4513"/>
        <w:tab w:val="right" w:pos="9026"/>
      </w:tabs>
      <w:spacing w:line="240" w:lineRule="auto"/>
    </w:pPr>
  </w:style>
  <w:style w:type="character" w:customStyle="1" w:styleId="FooterChar">
    <w:name w:val="Footer Char"/>
    <w:basedOn w:val="DefaultParagraphFont"/>
    <w:link w:val="Footer"/>
    <w:uiPriority w:val="99"/>
    <w:rsid w:val="00EA3366"/>
    <w:rPr>
      <w:rFonts w:asciiTheme="minorBidi" w:eastAsia="Times New Roman" w:hAnsiTheme="minorBidi" w:cs="Times New Roman"/>
      <w:kern w:val="0"/>
      <w:sz w:val="22"/>
      <w:lang w:eastAsia="en-GB"/>
      <w14:ligatures w14:val="none"/>
    </w:rPr>
  </w:style>
  <w:style w:type="character" w:styleId="PageNumber">
    <w:name w:val="page number"/>
    <w:basedOn w:val="DefaultParagraphFont"/>
    <w:uiPriority w:val="99"/>
    <w:semiHidden/>
    <w:unhideWhenUsed/>
    <w:rsid w:val="00EA3366"/>
  </w:style>
  <w:style w:type="paragraph" w:styleId="TOCHeading">
    <w:name w:val="TOC Heading"/>
    <w:basedOn w:val="Heading1"/>
    <w:next w:val="Normal"/>
    <w:uiPriority w:val="39"/>
    <w:unhideWhenUsed/>
    <w:qFormat/>
    <w:rsid w:val="00EA3366"/>
    <w:pPr>
      <w:spacing w:before="480" w:after="0" w:line="276" w:lineRule="auto"/>
      <w:outlineLvl w:val="9"/>
    </w:pPr>
    <w:rPr>
      <w:rFonts w:asciiTheme="majorHAnsi" w:hAnsiTheme="majorHAnsi"/>
      <w:bCs/>
      <w:kern w:val="0"/>
      <w:sz w:val="28"/>
      <w:szCs w:val="28"/>
      <w:lang w:val="en-US"/>
      <w14:ligatures w14:val="none"/>
    </w:rPr>
  </w:style>
  <w:style w:type="paragraph" w:styleId="TOC1">
    <w:name w:val="toc 1"/>
    <w:basedOn w:val="Normal"/>
    <w:next w:val="Normal"/>
    <w:autoRedefine/>
    <w:uiPriority w:val="39"/>
    <w:unhideWhenUsed/>
    <w:rsid w:val="00EA3366"/>
    <w:pPr>
      <w:spacing w:before="240" w:after="120"/>
    </w:pPr>
    <w:rPr>
      <w:rFonts w:asciiTheme="minorHAnsi" w:hAnsiTheme="minorHAnsi"/>
      <w:b/>
      <w:bCs/>
      <w:sz w:val="20"/>
    </w:rPr>
  </w:style>
  <w:style w:type="paragraph" w:styleId="TOC2">
    <w:name w:val="toc 2"/>
    <w:basedOn w:val="Normal"/>
    <w:next w:val="Normal"/>
    <w:autoRedefine/>
    <w:uiPriority w:val="39"/>
    <w:unhideWhenUsed/>
    <w:rsid w:val="00EA3366"/>
    <w:pPr>
      <w:spacing w:before="120"/>
      <w:ind w:left="220"/>
    </w:pPr>
    <w:rPr>
      <w:rFonts w:asciiTheme="minorHAnsi" w:hAnsiTheme="minorHAnsi"/>
      <w:i/>
      <w:iCs/>
      <w:sz w:val="20"/>
    </w:rPr>
  </w:style>
  <w:style w:type="paragraph" w:styleId="TOC3">
    <w:name w:val="toc 3"/>
    <w:basedOn w:val="Normal"/>
    <w:next w:val="Normal"/>
    <w:autoRedefine/>
    <w:uiPriority w:val="39"/>
    <w:unhideWhenUsed/>
    <w:rsid w:val="00EA3366"/>
    <w:pPr>
      <w:ind w:left="440"/>
    </w:pPr>
    <w:rPr>
      <w:rFonts w:asciiTheme="minorHAnsi" w:hAnsiTheme="minorHAnsi"/>
      <w:sz w:val="20"/>
    </w:rPr>
  </w:style>
  <w:style w:type="character" w:styleId="Hyperlink">
    <w:name w:val="Hyperlink"/>
    <w:basedOn w:val="DefaultParagraphFont"/>
    <w:uiPriority w:val="99"/>
    <w:unhideWhenUsed/>
    <w:rsid w:val="00EA3366"/>
    <w:rPr>
      <w:color w:val="467886" w:themeColor="hyperlink"/>
      <w:u w:val="single"/>
    </w:rPr>
  </w:style>
  <w:style w:type="paragraph" w:styleId="TOC4">
    <w:name w:val="toc 4"/>
    <w:basedOn w:val="Normal"/>
    <w:next w:val="Normal"/>
    <w:autoRedefine/>
    <w:uiPriority w:val="39"/>
    <w:semiHidden/>
    <w:unhideWhenUsed/>
    <w:rsid w:val="00EA3366"/>
    <w:pPr>
      <w:ind w:left="660"/>
    </w:pPr>
    <w:rPr>
      <w:rFonts w:asciiTheme="minorHAnsi" w:hAnsiTheme="minorHAnsi"/>
      <w:sz w:val="20"/>
    </w:rPr>
  </w:style>
  <w:style w:type="paragraph" w:styleId="TOC5">
    <w:name w:val="toc 5"/>
    <w:basedOn w:val="Normal"/>
    <w:next w:val="Normal"/>
    <w:autoRedefine/>
    <w:uiPriority w:val="39"/>
    <w:semiHidden/>
    <w:unhideWhenUsed/>
    <w:rsid w:val="00EA3366"/>
    <w:pPr>
      <w:ind w:left="880"/>
    </w:pPr>
    <w:rPr>
      <w:rFonts w:asciiTheme="minorHAnsi" w:hAnsiTheme="minorHAnsi"/>
      <w:sz w:val="20"/>
    </w:rPr>
  </w:style>
  <w:style w:type="paragraph" w:styleId="TOC6">
    <w:name w:val="toc 6"/>
    <w:basedOn w:val="Normal"/>
    <w:next w:val="Normal"/>
    <w:autoRedefine/>
    <w:uiPriority w:val="39"/>
    <w:semiHidden/>
    <w:unhideWhenUsed/>
    <w:rsid w:val="00EA3366"/>
    <w:pPr>
      <w:ind w:left="1100"/>
    </w:pPr>
    <w:rPr>
      <w:rFonts w:asciiTheme="minorHAnsi" w:hAnsiTheme="minorHAnsi"/>
      <w:sz w:val="20"/>
    </w:rPr>
  </w:style>
  <w:style w:type="paragraph" w:styleId="TOC7">
    <w:name w:val="toc 7"/>
    <w:basedOn w:val="Normal"/>
    <w:next w:val="Normal"/>
    <w:autoRedefine/>
    <w:uiPriority w:val="39"/>
    <w:semiHidden/>
    <w:unhideWhenUsed/>
    <w:rsid w:val="00EA3366"/>
    <w:pPr>
      <w:ind w:left="1320"/>
    </w:pPr>
    <w:rPr>
      <w:rFonts w:asciiTheme="minorHAnsi" w:hAnsiTheme="minorHAnsi"/>
      <w:sz w:val="20"/>
    </w:rPr>
  </w:style>
  <w:style w:type="paragraph" w:styleId="TOC8">
    <w:name w:val="toc 8"/>
    <w:basedOn w:val="Normal"/>
    <w:next w:val="Normal"/>
    <w:autoRedefine/>
    <w:uiPriority w:val="39"/>
    <w:semiHidden/>
    <w:unhideWhenUsed/>
    <w:rsid w:val="00EA3366"/>
    <w:pPr>
      <w:ind w:left="1540"/>
    </w:pPr>
    <w:rPr>
      <w:rFonts w:asciiTheme="minorHAnsi" w:hAnsiTheme="minorHAnsi"/>
      <w:sz w:val="20"/>
    </w:rPr>
  </w:style>
  <w:style w:type="paragraph" w:styleId="TOC9">
    <w:name w:val="toc 9"/>
    <w:basedOn w:val="Normal"/>
    <w:next w:val="Normal"/>
    <w:autoRedefine/>
    <w:uiPriority w:val="39"/>
    <w:semiHidden/>
    <w:unhideWhenUsed/>
    <w:rsid w:val="00EA3366"/>
    <w:pPr>
      <w:ind w:left="1760"/>
    </w:pPr>
    <w:rPr>
      <w:rFonts w:asciiTheme="minorHAnsi" w:hAnsiTheme="minorHAnsi"/>
      <w:sz w:val="20"/>
    </w:rPr>
  </w:style>
  <w:style w:type="paragraph" w:styleId="TableofFigures">
    <w:name w:val="table of figures"/>
    <w:basedOn w:val="Normal"/>
    <w:next w:val="Normal"/>
    <w:uiPriority w:val="99"/>
    <w:unhideWhenUsed/>
    <w:rsid w:val="006A08BF"/>
  </w:style>
  <w:style w:type="paragraph" w:styleId="BodyText">
    <w:name w:val="Body Text"/>
    <w:basedOn w:val="Normal"/>
    <w:link w:val="BodyTextChar"/>
    <w:uiPriority w:val="1"/>
    <w:unhideWhenUsed/>
    <w:qFormat/>
    <w:rsid w:val="00186E8F"/>
    <w:pPr>
      <w:widowControl w:val="0"/>
      <w:autoSpaceDE w:val="0"/>
      <w:autoSpaceDN w:val="0"/>
      <w:spacing w:line="240" w:lineRule="auto"/>
    </w:pPr>
    <w:rPr>
      <w:rFonts w:ascii="Arial" w:eastAsia="Calibri Light" w:hAnsi="Arial" w:cs="Calibri Light"/>
      <w:szCs w:val="22"/>
      <w:lang w:bidi="en-GB"/>
    </w:rPr>
  </w:style>
  <w:style w:type="character" w:customStyle="1" w:styleId="BodyTextChar">
    <w:name w:val="Body Text Char"/>
    <w:basedOn w:val="DefaultParagraphFont"/>
    <w:link w:val="BodyText"/>
    <w:uiPriority w:val="1"/>
    <w:rsid w:val="00186E8F"/>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07422-6DE6-C64C-866C-447211D8BB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18350</Words>
  <Characters>104598</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kamran khan</cp:lastModifiedBy>
  <cp:revision>2</cp:revision>
  <dcterms:created xsi:type="dcterms:W3CDTF">2026-03-25T18:11:00Z</dcterms:created>
  <dcterms:modified xsi:type="dcterms:W3CDTF">2026-03-25T18:11:00Z</dcterms:modified>
</cp:coreProperties>
</file>