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AEB6C" w14:textId="77777777" w:rsidR="005D01B2" w:rsidRPr="005D01B2" w:rsidRDefault="005D01B2" w:rsidP="005D01B2">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p>
    <w:p w14:paraId="020C7113" w14:textId="6261FB43" w:rsidR="005D01B2" w:rsidRPr="003C352A" w:rsidRDefault="00481D8B" w:rsidP="003C352A">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Project Pla</w:t>
      </w:r>
      <w:r w:rsidR="003C352A">
        <w:rPr>
          <w:rFonts w:ascii="Times New Roman" w:hAnsi="Times New Roman" w:cs="Times New Roman"/>
          <w:b/>
          <w:bCs/>
          <w:sz w:val="24"/>
          <w:szCs w:val="24"/>
          <w:lang w:val="en-GB"/>
        </w:rPr>
        <w:t>n</w:t>
      </w:r>
    </w:p>
    <w:p w14:paraId="19B87DDD" w14:textId="77777777" w:rsidR="005D01B2" w:rsidRPr="005D01B2" w:rsidRDefault="005D01B2" w:rsidP="003C352A">
      <w:pPr>
        <w:spacing w:line="480" w:lineRule="auto"/>
        <w:rPr>
          <w:rFonts w:ascii="Times New Roman" w:hAnsi="Times New Roman" w:cs="Times New Roman"/>
          <w:bCs/>
          <w:sz w:val="24"/>
          <w:szCs w:val="24"/>
          <w:lang w:val="en-GB"/>
        </w:rPr>
      </w:pPr>
    </w:p>
    <w:p w14:paraId="1F551295" w14:textId="77777777" w:rsidR="008417D0" w:rsidRPr="00F65784" w:rsidRDefault="008417D0" w:rsidP="009310F0">
      <w:pPr>
        <w:widowControl w:val="0"/>
        <w:pBdr>
          <w:top w:val="nil"/>
          <w:left w:val="nil"/>
          <w:bottom w:val="nil"/>
          <w:right w:val="nil"/>
          <w:between w:val="nil"/>
        </w:pBdr>
        <w:spacing w:after="0"/>
        <w:jc w:val="center"/>
        <w:rPr>
          <w:rFonts w:ascii="Times New Roman" w:eastAsia="Arial" w:hAnsi="Times New Roman" w:cs="Times New Roman"/>
          <w:sz w:val="28"/>
          <w:szCs w:val="28"/>
        </w:rPr>
      </w:pPr>
      <w:r w:rsidRPr="00F65784">
        <w:rPr>
          <w:rFonts w:ascii="Times New Roman" w:eastAsia="Arial" w:hAnsi="Times New Roman" w:cs="Times New Roman"/>
          <w:sz w:val="28"/>
          <w:szCs w:val="28"/>
        </w:rPr>
        <w:t>ASSIGNMENT 1</w:t>
      </w:r>
    </w:p>
    <w:p w14:paraId="1DB6A35D" w14:textId="0ECD14C1" w:rsidR="008417D0" w:rsidRPr="00F65784" w:rsidRDefault="008417D0" w:rsidP="009310F0">
      <w:pPr>
        <w:widowControl w:val="0"/>
        <w:pBdr>
          <w:top w:val="nil"/>
          <w:left w:val="nil"/>
          <w:bottom w:val="nil"/>
          <w:right w:val="nil"/>
          <w:between w:val="nil"/>
        </w:pBdr>
        <w:spacing w:after="0"/>
        <w:jc w:val="center"/>
        <w:rPr>
          <w:rFonts w:ascii="Times New Roman" w:eastAsia="Arial" w:hAnsi="Times New Roman" w:cs="Times New Roman"/>
          <w:sz w:val="28"/>
          <w:szCs w:val="28"/>
        </w:rPr>
      </w:pPr>
      <w:r w:rsidRPr="00F65784">
        <w:rPr>
          <w:rFonts w:ascii="Times New Roman" w:eastAsia="Arial" w:hAnsi="Times New Roman" w:cs="Times New Roman"/>
          <w:sz w:val="28"/>
          <w:szCs w:val="28"/>
        </w:rPr>
        <w:t>Module code: LCBB500</w:t>
      </w:r>
      <w:r w:rsidR="005815C1">
        <w:rPr>
          <w:rFonts w:ascii="Times New Roman" w:eastAsia="Arial" w:hAnsi="Times New Roman" w:cs="Times New Roman"/>
          <w:sz w:val="28"/>
          <w:szCs w:val="28"/>
        </w:rPr>
        <w:t>5</w:t>
      </w:r>
    </w:p>
    <w:p w14:paraId="02A5FA56" w14:textId="77777777" w:rsidR="008417D0" w:rsidRPr="00F65784" w:rsidRDefault="008417D0" w:rsidP="009310F0">
      <w:pPr>
        <w:widowControl w:val="0"/>
        <w:pBdr>
          <w:top w:val="nil"/>
          <w:left w:val="nil"/>
          <w:bottom w:val="nil"/>
          <w:right w:val="nil"/>
          <w:between w:val="nil"/>
        </w:pBdr>
        <w:spacing w:after="0"/>
        <w:jc w:val="center"/>
        <w:rPr>
          <w:rFonts w:ascii="Times New Roman" w:eastAsia="Arial" w:hAnsi="Times New Roman" w:cs="Times New Roman"/>
          <w:sz w:val="28"/>
          <w:szCs w:val="28"/>
        </w:rPr>
      </w:pPr>
      <w:r w:rsidRPr="00F65784">
        <w:rPr>
          <w:rFonts w:ascii="Times New Roman" w:eastAsia="Arial" w:hAnsi="Times New Roman" w:cs="Times New Roman"/>
          <w:sz w:val="28"/>
          <w:szCs w:val="28"/>
        </w:rPr>
        <w:t>Emil Slavov (2122223)</w:t>
      </w:r>
    </w:p>
    <w:p w14:paraId="348156A9" w14:textId="30D986F4" w:rsidR="008417D0" w:rsidRPr="00F65784" w:rsidRDefault="008417D0" w:rsidP="009310F0">
      <w:pPr>
        <w:widowControl w:val="0"/>
        <w:pBdr>
          <w:top w:val="nil"/>
          <w:left w:val="nil"/>
          <w:bottom w:val="nil"/>
          <w:right w:val="nil"/>
          <w:between w:val="nil"/>
        </w:pBdr>
        <w:spacing w:after="0"/>
        <w:jc w:val="center"/>
        <w:rPr>
          <w:rFonts w:ascii="Times New Roman" w:eastAsia="Arial" w:hAnsi="Times New Roman" w:cs="Times New Roman"/>
          <w:sz w:val="28"/>
          <w:szCs w:val="28"/>
        </w:rPr>
      </w:pPr>
      <w:r w:rsidRPr="00F65784">
        <w:rPr>
          <w:rFonts w:ascii="Times New Roman" w:eastAsia="Arial" w:hAnsi="Times New Roman" w:cs="Times New Roman"/>
          <w:sz w:val="28"/>
          <w:szCs w:val="28"/>
        </w:rPr>
        <w:t xml:space="preserve">Lecturer's name: </w:t>
      </w:r>
      <w:r w:rsidR="0068391E" w:rsidRPr="0068391E">
        <w:rPr>
          <w:rFonts w:ascii="Times New Roman" w:eastAsia="Arial" w:hAnsi="Times New Roman" w:cs="Times New Roman"/>
          <w:sz w:val="28"/>
          <w:szCs w:val="28"/>
        </w:rPr>
        <w:t>M</w:t>
      </w:r>
      <w:r w:rsidR="0002530A">
        <w:rPr>
          <w:rFonts w:ascii="Times New Roman" w:eastAsia="Arial" w:hAnsi="Times New Roman" w:cs="Times New Roman"/>
          <w:sz w:val="28"/>
          <w:szCs w:val="28"/>
          <w:lang w:val="en-GB"/>
        </w:rPr>
        <w:t xml:space="preserve">d </w:t>
      </w:r>
      <w:r w:rsidR="0068391E" w:rsidRPr="0068391E">
        <w:rPr>
          <w:rFonts w:ascii="Times New Roman" w:eastAsia="Arial" w:hAnsi="Times New Roman" w:cs="Times New Roman"/>
          <w:sz w:val="28"/>
          <w:szCs w:val="28"/>
        </w:rPr>
        <w:t xml:space="preserve"> </w:t>
      </w:r>
      <w:proofErr w:type="spellStart"/>
      <w:r w:rsidR="0068391E" w:rsidRPr="0068391E">
        <w:rPr>
          <w:rFonts w:ascii="Times New Roman" w:eastAsia="Arial" w:hAnsi="Times New Roman" w:cs="Times New Roman"/>
          <w:sz w:val="28"/>
          <w:szCs w:val="28"/>
        </w:rPr>
        <w:t>Sadeque</w:t>
      </w:r>
      <w:proofErr w:type="spellEnd"/>
      <w:r w:rsidR="0068391E" w:rsidRPr="0068391E">
        <w:rPr>
          <w:rFonts w:ascii="Times New Roman" w:eastAsia="Arial" w:hAnsi="Times New Roman" w:cs="Times New Roman"/>
          <w:sz w:val="28"/>
          <w:szCs w:val="28"/>
        </w:rPr>
        <w:t xml:space="preserve"> Imam </w:t>
      </w:r>
      <w:proofErr w:type="spellStart"/>
      <w:r w:rsidR="0068391E" w:rsidRPr="0068391E">
        <w:rPr>
          <w:rFonts w:ascii="Times New Roman" w:eastAsia="Arial" w:hAnsi="Times New Roman" w:cs="Times New Roman"/>
          <w:sz w:val="28"/>
          <w:szCs w:val="28"/>
        </w:rPr>
        <w:t>Shaikh</w:t>
      </w:r>
      <w:proofErr w:type="spellEnd"/>
    </w:p>
    <w:p w14:paraId="128BDD22" w14:textId="77777777" w:rsidR="005D01B2" w:rsidRPr="005D01B2" w:rsidRDefault="005D01B2" w:rsidP="005D01B2">
      <w:pPr>
        <w:spacing w:line="480" w:lineRule="auto"/>
        <w:jc w:val="center"/>
        <w:rPr>
          <w:rFonts w:ascii="Times New Roman" w:hAnsi="Times New Roman" w:cs="Times New Roman"/>
          <w:b/>
          <w:bCs/>
          <w:sz w:val="24"/>
          <w:szCs w:val="24"/>
          <w:lang w:val="en-GB"/>
        </w:rPr>
      </w:pPr>
    </w:p>
    <w:p w14:paraId="1AAF2C6F" w14:textId="77777777" w:rsidR="00984521" w:rsidRPr="005D01B2" w:rsidRDefault="005D01B2" w:rsidP="005D01B2">
      <w:pPr>
        <w:spacing w:line="480" w:lineRule="auto"/>
        <w:jc w:val="center"/>
        <w:rPr>
          <w:rFonts w:ascii="Times New Roman" w:hAnsi="Times New Roman" w:cs="Times New Roman"/>
          <w:b/>
          <w:bCs/>
          <w:sz w:val="24"/>
          <w:szCs w:val="24"/>
          <w:lang w:val="en-GB"/>
        </w:rPr>
      </w:pPr>
      <w:r w:rsidRPr="005D01B2">
        <w:rPr>
          <w:rFonts w:ascii="Times New Roman" w:hAnsi="Times New Roman" w:cs="Times New Roman"/>
          <w:b/>
          <w:bCs/>
          <w:sz w:val="24"/>
          <w:szCs w:val="24"/>
          <w:lang w:val="en-GB"/>
        </w:rPr>
        <w:br w:type="page"/>
      </w:r>
      <w:r w:rsidR="00984521">
        <w:rPr>
          <w:rFonts w:ascii="Times New Roman" w:hAnsi="Times New Roman" w:cs="Times New Roman"/>
          <w:b/>
          <w:bCs/>
          <w:sz w:val="24"/>
          <w:szCs w:val="24"/>
        </w:rPr>
        <w:lastRenderedPageBreak/>
        <w:t>Project Plan</w:t>
      </w:r>
    </w:p>
    <w:p w14:paraId="4D4851F3" w14:textId="77777777" w:rsidR="00D337B7" w:rsidRPr="00265839" w:rsidRDefault="00265839" w:rsidP="00265839">
      <w:pPr>
        <w:spacing w:line="480" w:lineRule="auto"/>
        <w:jc w:val="center"/>
        <w:rPr>
          <w:rFonts w:ascii="Times New Roman" w:hAnsi="Times New Roman" w:cs="Times New Roman"/>
          <w:b/>
          <w:bCs/>
          <w:sz w:val="24"/>
          <w:szCs w:val="24"/>
        </w:rPr>
      </w:pPr>
      <w:r w:rsidRPr="00265839">
        <w:rPr>
          <w:rFonts w:ascii="Times New Roman" w:hAnsi="Times New Roman" w:cs="Times New Roman"/>
          <w:b/>
          <w:bCs/>
          <w:sz w:val="24"/>
          <w:szCs w:val="24"/>
        </w:rPr>
        <w:t>Introduction</w:t>
      </w:r>
    </w:p>
    <w:p w14:paraId="6A7CB6E2" w14:textId="77777777" w:rsidR="00265839" w:rsidRDefault="00FD27B8" w:rsidP="00091E03">
      <w:pPr>
        <w:spacing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D27B8">
        <w:rPr>
          <w:rFonts w:ascii="Times New Roman" w:hAnsi="Times New Roman" w:cs="Times New Roman"/>
          <w:bCs/>
          <w:sz w:val="24"/>
          <w:szCs w:val="24"/>
        </w:rPr>
        <w:t>Our objective as we begin our evaluation of the Google Headquarters Project in London is to provide an in-depth analysis of all of its essential components. Key topics such as risk concerns, budgetary considerations, time management, quality control methods, and stakeholder engagement techniques will be thoroughly examined in our research. Focusing on the pragmatic and rational aspects of the project design, our assessment will coincide with Google's big London project launch. This calls for a careful analysis of the recent developments to identify both areas of success and room for development. We want to offer insightful information on the project plan's effectiveness and execution by carefully examining all of its details. This evaluation aims to determine if the project is in line with its original goals and objectives as well as practical areas for improvement. The project's relevance in the ever-changing King's Cross neighborhood emphasizes the value of a thorough assessment, which will help Google fulfill its objective. Our research will help provide a more complex picture of the project's course, allowing for tactical adjustments and reaffirming Google's dedication to quality in this large-scale endeavor.</w:t>
      </w:r>
    </w:p>
    <w:p w14:paraId="4D80F39D" w14:textId="77777777" w:rsidR="00265839" w:rsidRDefault="00091E03" w:rsidP="00F45F45">
      <w:pPr>
        <w:tabs>
          <w:tab w:val="left" w:pos="3270"/>
        </w:tabs>
        <w:spacing w:line="480" w:lineRule="auto"/>
        <w:jc w:val="both"/>
        <w:rPr>
          <w:rFonts w:ascii="Times New Roman" w:hAnsi="Times New Roman" w:cs="Times New Roman"/>
          <w:b/>
          <w:bCs/>
          <w:sz w:val="24"/>
          <w:szCs w:val="24"/>
        </w:rPr>
      </w:pPr>
      <w:r w:rsidRPr="00091E03">
        <w:rPr>
          <w:rFonts w:ascii="Times New Roman" w:hAnsi="Times New Roman" w:cs="Times New Roman"/>
          <w:b/>
          <w:bCs/>
          <w:sz w:val="24"/>
          <w:szCs w:val="24"/>
        </w:rPr>
        <w:t>Budget</w:t>
      </w:r>
      <w:r w:rsidR="00F45F45">
        <w:rPr>
          <w:rFonts w:ascii="Times New Roman" w:hAnsi="Times New Roman" w:cs="Times New Roman"/>
          <w:b/>
          <w:bCs/>
          <w:sz w:val="24"/>
          <w:szCs w:val="24"/>
        </w:rPr>
        <w:tab/>
      </w:r>
    </w:p>
    <w:p w14:paraId="670E9D02" w14:textId="77777777" w:rsidR="00FD27B8" w:rsidRPr="00FD27B8" w:rsidRDefault="00FD27B8" w:rsidP="00FD27B8">
      <w:pPr>
        <w:spacing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D27B8">
        <w:rPr>
          <w:rFonts w:ascii="Times New Roman" w:hAnsi="Times New Roman" w:cs="Times New Roman"/>
          <w:bCs/>
          <w:sz w:val="24"/>
          <w:szCs w:val="24"/>
        </w:rPr>
        <w:t>A budget is a financial plan that directs savings and spending by outlining anticipated income and costs for a given time period (</w:t>
      </w:r>
      <w:proofErr w:type="spellStart"/>
      <w:r w:rsidRPr="00FD27B8">
        <w:rPr>
          <w:rFonts w:ascii="Times New Roman" w:hAnsi="Times New Roman" w:cs="Times New Roman"/>
          <w:bCs/>
          <w:sz w:val="24"/>
          <w:szCs w:val="24"/>
        </w:rPr>
        <w:t>Friedlingstein</w:t>
      </w:r>
      <w:proofErr w:type="spellEnd"/>
      <w:r w:rsidRPr="00FD27B8">
        <w:rPr>
          <w:rFonts w:ascii="Times New Roman" w:hAnsi="Times New Roman" w:cs="Times New Roman"/>
          <w:bCs/>
          <w:sz w:val="24"/>
          <w:szCs w:val="24"/>
        </w:rPr>
        <w:t xml:space="preserve"> et al., 2020). The Google Headquarters Project in London is a massive undertaking, and one of the most important foundations for its eventual success is its financial feasibility. An in-depth analysis of the budget allocation is necessary; this will serve as the foundation for our thorough evaluation. In order to determine the project's financial health, this examination goes into great detail about expenses and compares </w:t>
      </w:r>
      <w:r w:rsidRPr="00FD27B8">
        <w:rPr>
          <w:rFonts w:ascii="Times New Roman" w:hAnsi="Times New Roman" w:cs="Times New Roman"/>
          <w:bCs/>
          <w:sz w:val="24"/>
          <w:szCs w:val="24"/>
        </w:rPr>
        <w:lastRenderedPageBreak/>
        <w:t>them to the original estimates. Because the evaluation is complex, it includes a detailed examination of building costs, paying close attention to the details of labor costs, material procurement, and architectural factors. Despite the project's broad scale, amenity development is given equal weight with construction. This is a detailed analysis of the costs related to the establishment and incorporation of extra spaces like cafés, gyms, and recreation areas, which enhance the overall atmosphere of the headquarters as well as its usefulness. Budgetary factors are examined in more detail than just a numerical assessment. It entails a qualitative examination of the financial choices and how well they match the overall objectives of the project. Assessing the project's financial resilience and ability to adjust to unanticipated events requires a sophisticated grasp of the financial landscape. The project's financial responsibility is a key concern, and any departures from the originally allocated budget are closely examined. Our evaluation aims to give useful insights for remedial actions in addition to highlighting possible areas of concern by locating and closely analyzing any such abnormalities.</w:t>
      </w:r>
    </w:p>
    <w:p w14:paraId="36AA40CD" w14:textId="77777777" w:rsidR="00FD27B8" w:rsidRPr="00FD27B8" w:rsidRDefault="00FD27B8" w:rsidP="00FD27B8">
      <w:pPr>
        <w:spacing w:line="480" w:lineRule="auto"/>
        <w:ind w:firstLine="720"/>
        <w:jc w:val="both"/>
        <w:rPr>
          <w:rFonts w:ascii="Times New Roman" w:hAnsi="Times New Roman" w:cs="Times New Roman"/>
          <w:bCs/>
          <w:sz w:val="24"/>
          <w:szCs w:val="24"/>
        </w:rPr>
      </w:pPr>
      <w:r w:rsidRPr="00FD27B8">
        <w:rPr>
          <w:rFonts w:ascii="Times New Roman" w:hAnsi="Times New Roman" w:cs="Times New Roman"/>
          <w:bCs/>
          <w:sz w:val="24"/>
          <w:szCs w:val="24"/>
        </w:rPr>
        <w:t xml:space="preserve">Furthermore, possible financial obstacles are carefully examined, taking into account outside variables that might affect the project's economic dynamics. To guarantee a comprehensive awareness of the financial picture, economic swings, regulatory changes, or unforeseen expenses in the building process are closely examined. The goal of this thorough analysis is to strengthen the project's defenses against financial risks, which emphasizes the necessity of a flexible and resilient financial plan. To put it simply, our analysis of the financial components of the Google Headquarters Project goes beyond simple financial math. It explores the qualitative aspects of financial decision-making to guarantee that the financial architecture supports the project and provides a strong foundation for its expansion and flexibility. Financial prudence is a top priority, </w:t>
      </w:r>
      <w:r w:rsidRPr="00FD27B8">
        <w:rPr>
          <w:rFonts w:ascii="Times New Roman" w:hAnsi="Times New Roman" w:cs="Times New Roman"/>
          <w:bCs/>
          <w:sz w:val="24"/>
          <w:szCs w:val="24"/>
        </w:rPr>
        <w:lastRenderedPageBreak/>
        <w:t>and our thorough research aims to present a wide picture of the project's financial environment, highlighting its importance to the overall success of this enormous endeavor.</w:t>
      </w:r>
    </w:p>
    <w:p w14:paraId="3C84C19A" w14:textId="77777777" w:rsidR="00FD27B8" w:rsidRPr="00FD27B8" w:rsidRDefault="00FD27B8" w:rsidP="00FD27B8">
      <w:pPr>
        <w:spacing w:line="480" w:lineRule="auto"/>
        <w:ind w:firstLine="720"/>
        <w:jc w:val="both"/>
        <w:rPr>
          <w:rFonts w:ascii="Times New Roman" w:hAnsi="Times New Roman" w:cs="Times New Roman"/>
          <w:bCs/>
          <w:sz w:val="24"/>
          <w:szCs w:val="24"/>
        </w:rPr>
      </w:pPr>
    </w:p>
    <w:p w14:paraId="4C041593" w14:textId="77777777" w:rsidR="00091E03" w:rsidRDefault="00091E03" w:rsidP="00091E03">
      <w:pPr>
        <w:spacing w:line="480" w:lineRule="auto"/>
        <w:ind w:firstLine="720"/>
        <w:jc w:val="both"/>
        <w:rPr>
          <w:rFonts w:ascii="Times New Roman" w:hAnsi="Times New Roman" w:cs="Times New Roman"/>
          <w:bCs/>
          <w:sz w:val="24"/>
          <w:szCs w:val="24"/>
        </w:rPr>
      </w:pPr>
    </w:p>
    <w:p w14:paraId="53BC8011" w14:textId="77777777" w:rsidR="00091E03" w:rsidRDefault="00091E03" w:rsidP="00091E03">
      <w:pPr>
        <w:spacing w:line="480" w:lineRule="auto"/>
        <w:jc w:val="both"/>
        <w:rPr>
          <w:rFonts w:ascii="Times New Roman" w:hAnsi="Times New Roman" w:cs="Times New Roman"/>
          <w:b/>
          <w:bCs/>
          <w:sz w:val="24"/>
          <w:szCs w:val="24"/>
        </w:rPr>
      </w:pPr>
      <w:r w:rsidRPr="00091E03">
        <w:rPr>
          <w:rFonts w:ascii="Times New Roman" w:hAnsi="Times New Roman" w:cs="Times New Roman"/>
          <w:b/>
          <w:bCs/>
          <w:sz w:val="24"/>
          <w:szCs w:val="24"/>
        </w:rPr>
        <w:t>Time management</w:t>
      </w:r>
    </w:p>
    <w:p w14:paraId="0189F9F3" w14:textId="77777777" w:rsidR="00566070" w:rsidRPr="00566070" w:rsidRDefault="00566070" w:rsidP="00566070">
      <w:pPr>
        <w:spacing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66070">
        <w:rPr>
          <w:rFonts w:ascii="Times New Roman" w:hAnsi="Times New Roman" w:cs="Times New Roman"/>
          <w:bCs/>
          <w:sz w:val="24"/>
          <w:szCs w:val="24"/>
        </w:rPr>
        <w:t>Organizing and setting priorities for tasks in order to maximize time is known as time management (</w:t>
      </w:r>
      <w:proofErr w:type="spellStart"/>
      <w:r w:rsidRPr="00566070">
        <w:rPr>
          <w:rFonts w:ascii="Times New Roman" w:hAnsi="Times New Roman" w:cs="Times New Roman"/>
          <w:bCs/>
          <w:sz w:val="24"/>
          <w:szCs w:val="24"/>
        </w:rPr>
        <w:t>Samaden</w:t>
      </w:r>
      <w:proofErr w:type="spellEnd"/>
      <w:r w:rsidRPr="00566070">
        <w:rPr>
          <w:rFonts w:ascii="Times New Roman" w:hAnsi="Times New Roman" w:cs="Times New Roman"/>
          <w:bCs/>
          <w:sz w:val="24"/>
          <w:szCs w:val="24"/>
        </w:rPr>
        <w:t>, 2021). Time management stands out as a crucial component in the complex fabric of the Google Headquarters Project in London, and it is essential to the project's overall success. Finalization on schedule is the primary goal, and our analysis carefully follows the project's timeframe and examines how well it adheres to the carefully constructed schedule. The main focus of this analysis is to pinpoint any setbacks and investigate the underlying issues that might prevent the project from moving forward smoothly. We scrutinize project management techniques in-depth in addition to the obvious timetable observations. We examine the complexities of the project's management and the efficiency of the tactics used to keep to the suggested timetable. The assessment includes a look at how different project components work together, starting with the planning and design stage and continuing through construction and project completion. This entails closely examining how well workforce management, resource allocation, and task synchronization across various project activities are done.</w:t>
      </w:r>
    </w:p>
    <w:p w14:paraId="254696BA" w14:textId="77777777" w:rsidR="00566070" w:rsidRPr="00566070" w:rsidRDefault="00566070" w:rsidP="00566070">
      <w:pPr>
        <w:spacing w:line="480" w:lineRule="auto"/>
        <w:ind w:firstLine="720"/>
        <w:jc w:val="both"/>
        <w:rPr>
          <w:rFonts w:ascii="Times New Roman" w:hAnsi="Times New Roman" w:cs="Times New Roman"/>
          <w:bCs/>
          <w:sz w:val="24"/>
          <w:szCs w:val="24"/>
        </w:rPr>
      </w:pPr>
      <w:r w:rsidRPr="00566070">
        <w:rPr>
          <w:rFonts w:ascii="Times New Roman" w:hAnsi="Times New Roman" w:cs="Times New Roman"/>
          <w:bCs/>
          <w:sz w:val="24"/>
          <w:szCs w:val="24"/>
        </w:rPr>
        <w:t xml:space="preserve">When it comes to time management, any departures from the suggested timetable serve as areas of focus for research. Finding these abnormalities is a diagnostic process that aims to identify the underlying reasons rather than just being a matter of identifying delays. Any unforeseen difficulties, administrative roadblocks, or other influences causing delays in schedule are carefully </w:t>
      </w:r>
      <w:r w:rsidRPr="00566070">
        <w:rPr>
          <w:rFonts w:ascii="Times New Roman" w:hAnsi="Times New Roman" w:cs="Times New Roman"/>
          <w:bCs/>
          <w:sz w:val="24"/>
          <w:szCs w:val="24"/>
        </w:rPr>
        <w:lastRenderedPageBreak/>
        <w:t>examined. This diagnostic procedure is essential because it not only identifies problems that need to be fixed right away, but it also forms the basis for our recommendations that follow, which are meant to improve time management techniques. When making suggestions, we concentrate on concrete changes that might increase the project's overall time efficiency. Our goal is to provide useful insights, whether it be by improving current project management techniques, allocating resources as efficiently as possible, or providing creative ways to simplify operations. In addition to correcting schedule irregularities, the goal is to strengthen the project's resistance to future setbacks and increase its adaptability to the ever-changing construction industry. Essentially, our assessment of time management in the Google Headquarters Project goes beyond the obvious issues around deadlines. It is a comprehensive examination of the temporal dynamics that shape the project's path, together with a strategic perspective meant to strengthen its temporal structure. By means of this thorough research, we want to not only tackle present issues but also to establish a temporal efficiency culture that will reverberate throughout this enormous project's lifetime, guaranteeing its timely and victorious conclusion.</w:t>
      </w:r>
    </w:p>
    <w:p w14:paraId="201120EF" w14:textId="77777777" w:rsidR="00566070" w:rsidRPr="00566070" w:rsidRDefault="00566070" w:rsidP="00566070">
      <w:pPr>
        <w:spacing w:line="480" w:lineRule="auto"/>
        <w:ind w:firstLine="720"/>
        <w:jc w:val="both"/>
        <w:rPr>
          <w:rFonts w:ascii="Times New Roman" w:hAnsi="Times New Roman" w:cs="Times New Roman"/>
          <w:bCs/>
          <w:sz w:val="24"/>
          <w:szCs w:val="24"/>
        </w:rPr>
      </w:pPr>
    </w:p>
    <w:p w14:paraId="4C293B1D" w14:textId="77777777" w:rsidR="00091E03" w:rsidRDefault="00091E03" w:rsidP="00091E03">
      <w:pPr>
        <w:spacing w:line="480" w:lineRule="auto"/>
        <w:ind w:firstLine="720"/>
        <w:jc w:val="both"/>
        <w:rPr>
          <w:rFonts w:ascii="Times New Roman" w:hAnsi="Times New Roman" w:cs="Times New Roman"/>
          <w:bCs/>
          <w:sz w:val="24"/>
          <w:szCs w:val="24"/>
        </w:rPr>
      </w:pPr>
    </w:p>
    <w:p w14:paraId="64CDB843" w14:textId="77777777" w:rsidR="00566070" w:rsidRDefault="00091E03" w:rsidP="00566070">
      <w:pPr>
        <w:tabs>
          <w:tab w:val="left" w:pos="3165"/>
        </w:tabs>
        <w:spacing w:line="480" w:lineRule="auto"/>
        <w:jc w:val="both"/>
        <w:rPr>
          <w:rFonts w:ascii="Times New Roman" w:hAnsi="Times New Roman" w:cs="Times New Roman"/>
          <w:b/>
          <w:bCs/>
          <w:sz w:val="24"/>
          <w:szCs w:val="24"/>
        </w:rPr>
      </w:pPr>
      <w:r w:rsidRPr="00091E03">
        <w:rPr>
          <w:rFonts w:ascii="Times New Roman" w:hAnsi="Times New Roman" w:cs="Times New Roman"/>
          <w:b/>
          <w:bCs/>
          <w:sz w:val="24"/>
          <w:szCs w:val="24"/>
        </w:rPr>
        <w:t>Quality control</w:t>
      </w:r>
    </w:p>
    <w:p w14:paraId="4322DA13" w14:textId="77777777" w:rsidR="00566070" w:rsidRPr="00566070" w:rsidRDefault="00566070" w:rsidP="00566070">
      <w:pPr>
        <w:tabs>
          <w:tab w:val="left" w:pos="3165"/>
        </w:tabs>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66070">
        <w:rPr>
          <w:rFonts w:ascii="Times New Roman" w:hAnsi="Times New Roman" w:cs="Times New Roman"/>
          <w:bCs/>
          <w:sz w:val="24"/>
          <w:szCs w:val="24"/>
        </w:rPr>
        <w:t xml:space="preserve">Quality control involves inspection, testing, and correction to ensure products and services satisfy standards and customer expectations (Patel, et al 2020). Quality control is crucial to the success of the Google Headquarters Project in London. Our assessment centers on our dedication to high construction and design standards. This attention goes beyond the project's beauty to its structural integrity and safety. The evaluation of quality control begins with a careful </w:t>
      </w:r>
      <w:r w:rsidRPr="00566070">
        <w:rPr>
          <w:rFonts w:ascii="Times New Roman" w:hAnsi="Times New Roman" w:cs="Times New Roman"/>
          <w:bCs/>
          <w:sz w:val="24"/>
          <w:szCs w:val="24"/>
        </w:rPr>
        <w:lastRenderedPageBreak/>
        <w:t>examination of building materials. Everything, from the foundation to the finishing touches, is carefully examined. The quality, durability, and suitability of materials are assessed to ensure they match industry standards and the project's long-term sustainability goals. Construction materials become strategic choices that affect infrastructure lifetime and resilience.</w:t>
      </w:r>
    </w:p>
    <w:p w14:paraId="2B14EEC9" w14:textId="77777777" w:rsidR="00566070" w:rsidRPr="00566070" w:rsidRDefault="00566070" w:rsidP="00566070">
      <w:pPr>
        <w:tabs>
          <w:tab w:val="left" w:pos="3165"/>
        </w:tabs>
        <w:spacing w:line="480" w:lineRule="auto"/>
        <w:jc w:val="both"/>
        <w:rPr>
          <w:rFonts w:ascii="Times New Roman" w:hAnsi="Times New Roman" w:cs="Times New Roman"/>
          <w:bCs/>
          <w:sz w:val="24"/>
          <w:szCs w:val="24"/>
        </w:rPr>
      </w:pPr>
      <w:r w:rsidRPr="00566070">
        <w:rPr>
          <w:rFonts w:ascii="Times New Roman" w:hAnsi="Times New Roman" w:cs="Times New Roman"/>
          <w:bCs/>
          <w:sz w:val="24"/>
          <w:szCs w:val="24"/>
        </w:rPr>
        <w:t>Quality control emphasizes architectural integrity. The design's coherence, utility, and industry best practices are examined in detail. The objective is not just architectural brilliance but also seamless integration of design elements with structural components to create a harmonious and sturdy whole. Our review is meticulous, precise, and vigilant for design errors to strengthen the project's structural integrity. Safety requirements are essential to building quality control. Safety measures are thoroughly examined to determine their efficacy in protecting the personnel and infrastructure occupants. Safety protocols, emergency response methods, and cutting-edge technology are analyzed to reduce hazards. Safety breaches are alarming and require prompt correction. Our quality evaluation goes beyond detecting mistakes to recognizing good practices. Projects that exceed construction and design requirements are hailed as excellence. This validation helps distill and spread best practices, establishing a culture of continual development in the project's environment. Our study of quality control in the Google Headquarters Project is a holistic look at its physical presence. A thorough analysis that spans construction envisions a legacy of enduring infrastructure that demonstrates rigorous excellence. Through this extensive research, we want to correct present gaps and build a culture of excellence that lasts throughout this massive project, preserving its architectural and engineering wonder status.</w:t>
      </w:r>
    </w:p>
    <w:p w14:paraId="5D194D5D" w14:textId="77777777" w:rsidR="00566070" w:rsidRPr="00566070" w:rsidRDefault="00566070" w:rsidP="00566070">
      <w:pPr>
        <w:tabs>
          <w:tab w:val="left" w:pos="3165"/>
        </w:tabs>
        <w:spacing w:line="480" w:lineRule="auto"/>
        <w:jc w:val="both"/>
        <w:rPr>
          <w:rFonts w:ascii="Times New Roman" w:hAnsi="Times New Roman" w:cs="Times New Roman"/>
          <w:b/>
          <w:bCs/>
          <w:sz w:val="24"/>
          <w:szCs w:val="24"/>
        </w:rPr>
      </w:pPr>
    </w:p>
    <w:p w14:paraId="2EB9D967" w14:textId="77777777" w:rsidR="00091E03" w:rsidRDefault="00566070" w:rsidP="00566070">
      <w:pPr>
        <w:tabs>
          <w:tab w:val="left" w:pos="3165"/>
        </w:tabs>
        <w:spacing w:line="480" w:lineRule="auto"/>
        <w:jc w:val="both"/>
        <w:rPr>
          <w:rFonts w:ascii="Times New Roman" w:hAnsi="Times New Roman" w:cs="Times New Roman"/>
          <w:bCs/>
          <w:sz w:val="24"/>
          <w:szCs w:val="24"/>
        </w:rPr>
      </w:pPr>
      <w:r>
        <w:rPr>
          <w:rFonts w:ascii="Times New Roman" w:hAnsi="Times New Roman" w:cs="Times New Roman"/>
          <w:b/>
          <w:bCs/>
          <w:sz w:val="24"/>
          <w:szCs w:val="24"/>
        </w:rPr>
        <w:tab/>
        <w:t xml:space="preserve"> </w:t>
      </w:r>
    </w:p>
    <w:p w14:paraId="2AD61E7C" w14:textId="77777777" w:rsidR="00B9411A" w:rsidRPr="00B9411A" w:rsidRDefault="00B9411A" w:rsidP="00B9411A">
      <w:pPr>
        <w:spacing w:line="480" w:lineRule="auto"/>
        <w:jc w:val="both"/>
        <w:rPr>
          <w:rFonts w:ascii="Times New Roman" w:hAnsi="Times New Roman" w:cs="Times New Roman"/>
          <w:b/>
          <w:bCs/>
          <w:sz w:val="24"/>
          <w:szCs w:val="24"/>
        </w:rPr>
      </w:pPr>
      <w:r w:rsidRPr="00B9411A">
        <w:rPr>
          <w:rFonts w:ascii="Times New Roman" w:hAnsi="Times New Roman" w:cs="Times New Roman"/>
          <w:b/>
          <w:bCs/>
          <w:sz w:val="24"/>
          <w:szCs w:val="24"/>
        </w:rPr>
        <w:lastRenderedPageBreak/>
        <w:t>Stakeholder engagement</w:t>
      </w:r>
    </w:p>
    <w:p w14:paraId="735C3B42" w14:textId="77777777" w:rsidR="00566070" w:rsidRPr="00566070" w:rsidRDefault="00566070" w:rsidP="0056607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 W</w:t>
      </w:r>
      <w:r w:rsidRPr="00566070">
        <w:rPr>
          <w:rFonts w:ascii="Times New Roman" w:hAnsi="Times New Roman" w:cs="Times New Roman"/>
          <w:bCs/>
          <w:sz w:val="24"/>
          <w:szCs w:val="24"/>
        </w:rPr>
        <w:t>ith order to establish connections and handle problems, stakeholders must be involved with and communicate with individuals or groups that are affected by a project, company, or organization (Bellucci, et al., 2019). The importance of stakeholder involvement becomes evident in the complex project of the Google Headquarters Project in London, since it is essential to the project's overall success. The fundamental tenet of our evaluation is the understanding that efficient communication and teamwork with a wide range of stakeholders are not only essential elements but also the foundations supporting this enormous undertaking. We examine the nuances of interacting with different stakeholders, such as staff members, neighborhood groups, and government agencies, acknowledging the critical role that they play in determining the project's course. Workers are the foundation of the project's workforce since they are important internal stakeholders. Our evaluation focuses on the degree of interaction with this important group, analyzing not just the established lines of communication but also the systems that promote a sense of participation and ownership. This entails investigating feedback channels where staff members may express issues, offer suggestions, and actively participate in the project's development. Through evaluating these mechanisms' efficacy, we hope to ascertain the degree to which the project team adopts a cooperative and inclusive methodology, guaranteeing that the project's human capital consists of a community that is invested in its success as well as a workforce.</w:t>
      </w:r>
    </w:p>
    <w:p w14:paraId="345A465E" w14:textId="77777777" w:rsidR="00566070" w:rsidRPr="00566070" w:rsidRDefault="00566070" w:rsidP="00566070">
      <w:pPr>
        <w:spacing w:line="480" w:lineRule="auto"/>
        <w:jc w:val="both"/>
        <w:rPr>
          <w:rFonts w:ascii="Times New Roman" w:hAnsi="Times New Roman" w:cs="Times New Roman"/>
          <w:bCs/>
          <w:sz w:val="24"/>
          <w:szCs w:val="24"/>
        </w:rPr>
      </w:pPr>
      <w:r w:rsidRPr="00566070">
        <w:rPr>
          <w:rFonts w:ascii="Times New Roman" w:hAnsi="Times New Roman" w:cs="Times New Roman"/>
          <w:bCs/>
          <w:sz w:val="24"/>
          <w:szCs w:val="24"/>
        </w:rPr>
        <w:t xml:space="preserve">An essential external stakeholder group is local communities, and we evaluate the extent and quality of involvement with these groups. This involves a careful review of community impact evaluations, in which the effects of the project on the local area are thoroughly examined. Our inspection goes beyond simple legal observance; it also includes making sincere connections, recognizing and resolving community issues, and cultivating healthy relationships. Our study </w:t>
      </w:r>
      <w:r w:rsidRPr="00566070">
        <w:rPr>
          <w:rFonts w:ascii="Times New Roman" w:hAnsi="Times New Roman" w:cs="Times New Roman"/>
          <w:bCs/>
          <w:sz w:val="24"/>
          <w:szCs w:val="24"/>
        </w:rPr>
        <w:lastRenderedPageBreak/>
        <w:t>centers on community integration strategies in an effort to make sure the project not only coexists with its surroundings but also positively impacts the local ecology.</w:t>
      </w:r>
    </w:p>
    <w:p w14:paraId="064A5380" w14:textId="77777777" w:rsidR="00566070" w:rsidRPr="00566070" w:rsidRDefault="00566070" w:rsidP="00566070">
      <w:pPr>
        <w:spacing w:line="480" w:lineRule="auto"/>
        <w:jc w:val="both"/>
        <w:rPr>
          <w:rFonts w:ascii="Times New Roman" w:hAnsi="Times New Roman" w:cs="Times New Roman"/>
          <w:bCs/>
          <w:sz w:val="24"/>
          <w:szCs w:val="24"/>
        </w:rPr>
      </w:pPr>
      <w:r w:rsidRPr="00566070">
        <w:rPr>
          <w:rFonts w:ascii="Times New Roman" w:hAnsi="Times New Roman" w:cs="Times New Roman"/>
          <w:bCs/>
          <w:sz w:val="24"/>
          <w:szCs w:val="24"/>
        </w:rPr>
        <w:t>Regulatory bodies are an essential collection of stakeholders that has jurisdiction and responsibilities. Our evaluation examines the extent of involvement with these organizations, examining not just adherence to legal obligations but also the creation of open and proactive lines of contact. This entails closely examining how the project team negotiates regulatory environments, foreseeing and working together to resolve any obstacles that may arise. The project builds confidence with the organizations supervising its development and reduces risks by guaranteeing compliance with regulatory requirements. In our judgment, addressing stakeholder issues is both a proactive and reactive activity. Techniques for recognizing, ranking, and resolving issues are examined closely in order to assess how responsive and flexible the project is. The objective is to create a culture where stakeholder complaints are valued as essential inputs that enhance the project's resilience and refinement, rather than just addressing problems as they come up. To put it briefly, our assessment of stakeholder participation in the Google Headquarters Project goes beyond the boundaries of traditional communication. It is an all-encompassing investigation of the interdependent connections that characterize the project's life. By conducting this thorough analysis, we hope to not only pinpoint areas that require improvement but also to establish a collaborative, transparent, and responsive culture that will be felt throughout the duration of this enormous project, guaranteeing its smooth integration into the internal and external environments that it seeks to influence.</w:t>
      </w:r>
    </w:p>
    <w:p w14:paraId="6C7216AF" w14:textId="77777777" w:rsidR="00566070" w:rsidRPr="00566070" w:rsidRDefault="00566070" w:rsidP="00566070">
      <w:pPr>
        <w:spacing w:line="480" w:lineRule="auto"/>
        <w:jc w:val="both"/>
        <w:rPr>
          <w:rFonts w:ascii="Times New Roman" w:hAnsi="Times New Roman" w:cs="Times New Roman"/>
          <w:bCs/>
          <w:sz w:val="24"/>
          <w:szCs w:val="24"/>
        </w:rPr>
      </w:pPr>
    </w:p>
    <w:p w14:paraId="6FDD38D3" w14:textId="77777777" w:rsidR="00B9411A" w:rsidRDefault="00B9411A" w:rsidP="00B9411A">
      <w:pPr>
        <w:spacing w:line="480" w:lineRule="auto"/>
        <w:jc w:val="both"/>
        <w:rPr>
          <w:rFonts w:ascii="Times New Roman" w:hAnsi="Times New Roman" w:cs="Times New Roman"/>
          <w:bCs/>
          <w:sz w:val="24"/>
          <w:szCs w:val="24"/>
        </w:rPr>
      </w:pPr>
    </w:p>
    <w:p w14:paraId="14D9DD3B" w14:textId="77777777" w:rsidR="00B9411A" w:rsidRDefault="00B9411A" w:rsidP="00B9411A">
      <w:pPr>
        <w:spacing w:line="480" w:lineRule="auto"/>
        <w:jc w:val="both"/>
        <w:rPr>
          <w:rFonts w:ascii="Times New Roman" w:hAnsi="Times New Roman" w:cs="Times New Roman"/>
          <w:bCs/>
          <w:sz w:val="24"/>
          <w:szCs w:val="24"/>
        </w:rPr>
      </w:pPr>
    </w:p>
    <w:p w14:paraId="0508ED8A" w14:textId="77777777" w:rsidR="00B9411A" w:rsidRDefault="00B9411A" w:rsidP="00F45F45">
      <w:pPr>
        <w:tabs>
          <w:tab w:val="left" w:pos="5220"/>
        </w:tabs>
        <w:spacing w:line="480" w:lineRule="auto"/>
        <w:jc w:val="both"/>
        <w:rPr>
          <w:rFonts w:ascii="Times New Roman" w:hAnsi="Times New Roman" w:cs="Times New Roman"/>
          <w:b/>
          <w:bCs/>
          <w:sz w:val="24"/>
          <w:szCs w:val="24"/>
        </w:rPr>
      </w:pPr>
      <w:r w:rsidRPr="00B9411A">
        <w:rPr>
          <w:rFonts w:ascii="Times New Roman" w:hAnsi="Times New Roman" w:cs="Times New Roman"/>
          <w:b/>
          <w:bCs/>
          <w:sz w:val="24"/>
          <w:szCs w:val="24"/>
        </w:rPr>
        <w:t>Risk factors</w:t>
      </w:r>
      <w:r w:rsidR="00F45F45">
        <w:rPr>
          <w:rFonts w:ascii="Times New Roman" w:hAnsi="Times New Roman" w:cs="Times New Roman"/>
          <w:b/>
          <w:bCs/>
          <w:sz w:val="24"/>
          <w:szCs w:val="24"/>
        </w:rPr>
        <w:tab/>
      </w:r>
    </w:p>
    <w:p w14:paraId="428D7716" w14:textId="77777777" w:rsidR="00B9411A" w:rsidRDefault="00566070" w:rsidP="00984521">
      <w:pPr>
        <w:spacing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66070">
        <w:rPr>
          <w:rFonts w:ascii="Times New Roman" w:hAnsi="Times New Roman" w:cs="Times New Roman"/>
          <w:bCs/>
          <w:sz w:val="24"/>
          <w:szCs w:val="24"/>
        </w:rPr>
        <w:t>Risk factors are elements or circumstances that raise the possibility of unknown or unfavorable outcomes in a project, investment, or circumstance (</w:t>
      </w:r>
      <w:proofErr w:type="spellStart"/>
      <w:r w:rsidRPr="00566070">
        <w:rPr>
          <w:rFonts w:ascii="Times New Roman" w:hAnsi="Times New Roman" w:cs="Times New Roman"/>
          <w:bCs/>
          <w:sz w:val="24"/>
          <w:szCs w:val="24"/>
        </w:rPr>
        <w:t>Subramanian</w:t>
      </w:r>
      <w:proofErr w:type="spellEnd"/>
      <w:r w:rsidRPr="00566070">
        <w:rPr>
          <w:rFonts w:ascii="Times New Roman" w:hAnsi="Times New Roman" w:cs="Times New Roman"/>
          <w:bCs/>
          <w:sz w:val="24"/>
          <w:szCs w:val="24"/>
        </w:rPr>
        <w:t>, et al., 2022). The Google Headquarters Project in London is a dynamic endeavor, and a key component of its eventual success is the identification and mitigation of risks. Our evaluation carefully examines every stage of the risk lifecycle, delving into the nuances of the risk management techniques used. This entails examining the process by which possible risks are not only recognized but also thoroughly evaluated in terms of their likelihood and potential impact. In assessing the proactive steps taken to manage external elements like regulatory changes, economic concerns, and unanticipated obstacles in construction, the effectiveness of mitigation methods assumes a central role. By means of this comprehensive study, we hope to guarantee that the project takes on a robust and flexible posture, reducing susceptibilities and arming itself against the multitude of risks that come with building projects of this magnitude.</w:t>
      </w:r>
    </w:p>
    <w:p w14:paraId="481E6A6C" w14:textId="77777777" w:rsidR="00B9411A" w:rsidRDefault="00B9411A" w:rsidP="00B9411A">
      <w:pPr>
        <w:spacing w:line="480" w:lineRule="auto"/>
        <w:jc w:val="both"/>
        <w:rPr>
          <w:rFonts w:ascii="Times New Roman" w:hAnsi="Times New Roman" w:cs="Times New Roman"/>
          <w:bCs/>
          <w:sz w:val="24"/>
          <w:szCs w:val="24"/>
        </w:rPr>
      </w:pPr>
    </w:p>
    <w:p w14:paraId="51E58C7F" w14:textId="77777777" w:rsidR="00B9411A" w:rsidRDefault="00984521" w:rsidP="00B9411A">
      <w:pPr>
        <w:spacing w:line="480" w:lineRule="auto"/>
        <w:jc w:val="both"/>
        <w:rPr>
          <w:rFonts w:ascii="Times New Roman" w:hAnsi="Times New Roman" w:cs="Times New Roman"/>
          <w:b/>
          <w:bCs/>
          <w:sz w:val="24"/>
          <w:szCs w:val="24"/>
        </w:rPr>
      </w:pPr>
      <w:r w:rsidRPr="00984521">
        <w:rPr>
          <w:rFonts w:ascii="Times New Roman" w:hAnsi="Times New Roman" w:cs="Times New Roman"/>
          <w:b/>
          <w:bCs/>
          <w:sz w:val="24"/>
          <w:szCs w:val="24"/>
        </w:rPr>
        <w:t>Evaluation of the project</w:t>
      </w:r>
    </w:p>
    <w:p w14:paraId="6E4BC71D" w14:textId="77777777" w:rsidR="00566070" w:rsidRPr="00566070" w:rsidRDefault="00566070" w:rsidP="00566070">
      <w:pPr>
        <w:spacing w:line="480" w:lineRule="auto"/>
        <w:ind w:firstLine="720"/>
        <w:jc w:val="both"/>
        <w:rPr>
          <w:rFonts w:ascii="Times New Roman" w:hAnsi="Times New Roman" w:cs="Times New Roman"/>
          <w:bCs/>
          <w:sz w:val="24"/>
          <w:szCs w:val="24"/>
        </w:rPr>
      </w:pPr>
      <w:r w:rsidRPr="00566070">
        <w:rPr>
          <w:rFonts w:ascii="Times New Roman" w:hAnsi="Times New Roman" w:cs="Times New Roman"/>
          <w:bCs/>
          <w:sz w:val="24"/>
          <w:szCs w:val="24"/>
        </w:rPr>
        <w:t>Analyzing results, performance, and adherence to goals and objectives is the process of evaluating a project in order to determine its efficacy, efficiency, and overall success (</w:t>
      </w:r>
      <w:proofErr w:type="spellStart"/>
      <w:r w:rsidRPr="00566070">
        <w:rPr>
          <w:rFonts w:ascii="Times New Roman" w:hAnsi="Times New Roman" w:cs="Times New Roman"/>
          <w:bCs/>
          <w:sz w:val="24"/>
          <w:szCs w:val="24"/>
        </w:rPr>
        <w:t>Vasseur</w:t>
      </w:r>
      <w:proofErr w:type="spellEnd"/>
      <w:r w:rsidRPr="00566070">
        <w:rPr>
          <w:rFonts w:ascii="Times New Roman" w:hAnsi="Times New Roman" w:cs="Times New Roman"/>
          <w:bCs/>
          <w:sz w:val="24"/>
          <w:szCs w:val="24"/>
        </w:rPr>
        <w:t xml:space="preserve"> et al., 2021). An review of the Google Headquarters Project's overall project plan is essential to a thorough assessment of the project in London. Our analysis explores the strategic framework that functions as the project's driving force. This analysis also looks at the project's goals' coherence and clarity, making sure that they are both clearly stated and smoothly integrated into the project's </w:t>
      </w:r>
      <w:r w:rsidRPr="00566070">
        <w:rPr>
          <w:rFonts w:ascii="Times New Roman" w:hAnsi="Times New Roman" w:cs="Times New Roman"/>
          <w:bCs/>
          <w:sz w:val="24"/>
          <w:szCs w:val="24"/>
        </w:rPr>
        <w:lastRenderedPageBreak/>
        <w:t>larger vision. We carefully evaluate how well the planning process worked, examining the techniques used to convert broad objectives into concrete actions. Our assessment includes the matching of resources to project goals as a crucial component. This entails a careful examination of the strategic allocation of financial, technological, and human resources in order to achieve the stated objectives. The effective distribution of resources becomes a central concern, guaranteeing that each component of the project plan works in concert to achieve its ultimate goal.</w:t>
      </w:r>
    </w:p>
    <w:p w14:paraId="6C22A1B6" w14:textId="77777777" w:rsidR="00984521" w:rsidRDefault="00566070" w:rsidP="00282718">
      <w:pPr>
        <w:spacing w:line="480" w:lineRule="auto"/>
        <w:ind w:firstLine="720"/>
        <w:jc w:val="both"/>
        <w:rPr>
          <w:rFonts w:ascii="Times New Roman" w:hAnsi="Times New Roman" w:cs="Times New Roman"/>
          <w:bCs/>
          <w:sz w:val="24"/>
          <w:szCs w:val="24"/>
        </w:rPr>
      </w:pPr>
      <w:r w:rsidRPr="00566070">
        <w:rPr>
          <w:rFonts w:ascii="Times New Roman" w:hAnsi="Times New Roman" w:cs="Times New Roman"/>
          <w:bCs/>
          <w:sz w:val="24"/>
          <w:szCs w:val="24"/>
        </w:rPr>
        <w:t>Furthermore, our evaluation includes pointing out any inconsistencies or places where the project plan would need to be adjusted. This entails closely examining any possible bottlenecks, holes in the planning procedure, or new issues that can affect the project's smooth completion. Not only do we want to draw attention to problem areas, but we also want to offer practical advice that helps to improve and streamline the project plan moving forward. To put it simply, our assessment of the project plan is a comprehensive investigation that goes beyond the obvious factors. This careful examination looks at the project's current status as well as potential future issues, predicting and planning for them in order to guarantee the project's strategic resilience. We want to provide insightful guidance that steers the project toward success and strengthens its connection with broader aims and objectives through this thorough evaluation.</w:t>
      </w:r>
    </w:p>
    <w:p w14:paraId="07A2BED4" w14:textId="77777777" w:rsidR="00984521" w:rsidRDefault="00984521" w:rsidP="00FD27B8">
      <w:pPr>
        <w:spacing w:line="480" w:lineRule="auto"/>
        <w:jc w:val="center"/>
        <w:rPr>
          <w:rFonts w:ascii="Times New Roman" w:hAnsi="Times New Roman" w:cs="Times New Roman"/>
          <w:b/>
          <w:bCs/>
          <w:sz w:val="24"/>
          <w:szCs w:val="24"/>
        </w:rPr>
      </w:pPr>
      <w:r w:rsidRPr="00984521">
        <w:rPr>
          <w:rFonts w:ascii="Times New Roman" w:hAnsi="Times New Roman" w:cs="Times New Roman"/>
          <w:b/>
          <w:bCs/>
          <w:sz w:val="24"/>
          <w:szCs w:val="24"/>
        </w:rPr>
        <w:t>Conclusion</w:t>
      </w:r>
    </w:p>
    <w:p w14:paraId="097F7A4D" w14:textId="77777777" w:rsidR="00984521" w:rsidRDefault="00566070" w:rsidP="00984521">
      <w:pPr>
        <w:spacing w:line="48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 W</w:t>
      </w:r>
      <w:r w:rsidRPr="00566070">
        <w:rPr>
          <w:rFonts w:ascii="Times New Roman" w:hAnsi="Times New Roman" w:cs="Times New Roman"/>
          <w:bCs/>
          <w:sz w:val="24"/>
          <w:szCs w:val="24"/>
        </w:rPr>
        <w:t xml:space="preserve">e have thoroughly examined a number of important aspects of the Google Headquarters Project in London, including the budget, time management, quality control, stakeholder involvement, risk considerations, and a thorough assessment of the project plan. The goal of this comprehensive analysis is to offer significant insights that support the project's continued success. Our proposals, derived from an extensive investigation, aim to tackle the difficulties that have been discovered and enhance the overall efficacy and efficiency of this historic project. By doing this, </w:t>
      </w:r>
      <w:r w:rsidRPr="00566070">
        <w:rPr>
          <w:rFonts w:ascii="Times New Roman" w:hAnsi="Times New Roman" w:cs="Times New Roman"/>
          <w:bCs/>
          <w:sz w:val="24"/>
          <w:szCs w:val="24"/>
        </w:rPr>
        <w:lastRenderedPageBreak/>
        <w:t>we highlight Google's commitment to sustainable development in the King's Cross neighborhood in addition to its commitment to innovation. This project, which is positioned at the nexus of technology, architecture, and community, is evidence of Google's ambition. Our evaluation aims to further bring this vision into line with implementation realities for a robust and successful result.</w:t>
      </w:r>
    </w:p>
    <w:p w14:paraId="7A8380AF" w14:textId="77777777" w:rsidR="00984521" w:rsidRDefault="00984521" w:rsidP="00984521">
      <w:pPr>
        <w:spacing w:line="480" w:lineRule="auto"/>
        <w:jc w:val="both"/>
        <w:rPr>
          <w:rFonts w:ascii="Times New Roman" w:hAnsi="Times New Roman" w:cs="Times New Roman"/>
          <w:bCs/>
          <w:sz w:val="24"/>
          <w:szCs w:val="24"/>
        </w:rPr>
      </w:pPr>
    </w:p>
    <w:p w14:paraId="21ECB9EE" w14:textId="77777777" w:rsidR="00984521" w:rsidRDefault="00984521" w:rsidP="00984521">
      <w:pPr>
        <w:spacing w:line="480" w:lineRule="auto"/>
        <w:jc w:val="both"/>
        <w:rPr>
          <w:rFonts w:ascii="Times New Roman" w:hAnsi="Times New Roman" w:cs="Times New Roman"/>
          <w:bCs/>
          <w:sz w:val="24"/>
          <w:szCs w:val="24"/>
        </w:rPr>
      </w:pPr>
    </w:p>
    <w:p w14:paraId="11A598C9" w14:textId="77777777" w:rsidR="00984521" w:rsidRDefault="00984521" w:rsidP="00984521">
      <w:pPr>
        <w:spacing w:line="480" w:lineRule="auto"/>
        <w:jc w:val="both"/>
        <w:rPr>
          <w:rFonts w:ascii="Times New Roman" w:hAnsi="Times New Roman" w:cs="Times New Roman"/>
          <w:bCs/>
          <w:sz w:val="24"/>
          <w:szCs w:val="24"/>
        </w:rPr>
      </w:pPr>
    </w:p>
    <w:p w14:paraId="18E308C6" w14:textId="77777777" w:rsidR="00984521" w:rsidRDefault="00984521" w:rsidP="00984521">
      <w:pPr>
        <w:spacing w:line="480" w:lineRule="auto"/>
        <w:jc w:val="both"/>
        <w:rPr>
          <w:rFonts w:ascii="Times New Roman" w:hAnsi="Times New Roman" w:cs="Times New Roman"/>
          <w:bCs/>
          <w:sz w:val="24"/>
          <w:szCs w:val="24"/>
        </w:rPr>
      </w:pPr>
    </w:p>
    <w:p w14:paraId="58D45EC8" w14:textId="77777777" w:rsidR="00984521" w:rsidRDefault="00984521" w:rsidP="00984521">
      <w:pPr>
        <w:spacing w:line="480" w:lineRule="auto"/>
        <w:jc w:val="both"/>
        <w:rPr>
          <w:rFonts w:ascii="Times New Roman" w:hAnsi="Times New Roman" w:cs="Times New Roman"/>
          <w:bCs/>
          <w:sz w:val="24"/>
          <w:szCs w:val="24"/>
        </w:rPr>
      </w:pPr>
    </w:p>
    <w:p w14:paraId="66450A1A" w14:textId="77777777" w:rsidR="00984521" w:rsidRDefault="00984521" w:rsidP="00984521">
      <w:pPr>
        <w:spacing w:line="480" w:lineRule="auto"/>
        <w:jc w:val="both"/>
        <w:rPr>
          <w:rFonts w:ascii="Times New Roman" w:hAnsi="Times New Roman" w:cs="Times New Roman"/>
          <w:bCs/>
          <w:sz w:val="24"/>
          <w:szCs w:val="24"/>
        </w:rPr>
      </w:pPr>
    </w:p>
    <w:p w14:paraId="01A1736C" w14:textId="77777777" w:rsidR="00984521" w:rsidRDefault="00984521" w:rsidP="00984521">
      <w:pPr>
        <w:spacing w:line="480" w:lineRule="auto"/>
        <w:jc w:val="both"/>
        <w:rPr>
          <w:rFonts w:ascii="Times New Roman" w:hAnsi="Times New Roman" w:cs="Times New Roman"/>
          <w:b/>
          <w:bCs/>
          <w:sz w:val="24"/>
          <w:szCs w:val="24"/>
        </w:rPr>
      </w:pPr>
    </w:p>
    <w:p w14:paraId="29D59FE5" w14:textId="77777777" w:rsidR="00FD27B8" w:rsidRDefault="00FD27B8" w:rsidP="00984521">
      <w:pPr>
        <w:spacing w:line="480" w:lineRule="auto"/>
        <w:jc w:val="both"/>
        <w:rPr>
          <w:rFonts w:ascii="Times New Roman" w:hAnsi="Times New Roman" w:cs="Times New Roman"/>
          <w:b/>
          <w:bCs/>
          <w:sz w:val="24"/>
          <w:szCs w:val="24"/>
        </w:rPr>
      </w:pPr>
    </w:p>
    <w:p w14:paraId="0363EDBC" w14:textId="77777777" w:rsidR="00FD27B8" w:rsidRDefault="00FD27B8" w:rsidP="00984521">
      <w:pPr>
        <w:spacing w:line="480" w:lineRule="auto"/>
        <w:jc w:val="both"/>
        <w:rPr>
          <w:rFonts w:ascii="Times New Roman" w:hAnsi="Times New Roman" w:cs="Times New Roman"/>
          <w:b/>
          <w:bCs/>
          <w:sz w:val="24"/>
          <w:szCs w:val="24"/>
        </w:rPr>
      </w:pPr>
    </w:p>
    <w:p w14:paraId="2BA40699" w14:textId="77777777" w:rsidR="00FD27B8" w:rsidRDefault="00FD27B8" w:rsidP="00984521">
      <w:pPr>
        <w:spacing w:line="480" w:lineRule="auto"/>
        <w:jc w:val="both"/>
        <w:rPr>
          <w:rFonts w:ascii="Times New Roman" w:hAnsi="Times New Roman" w:cs="Times New Roman"/>
          <w:b/>
          <w:bCs/>
          <w:sz w:val="24"/>
          <w:szCs w:val="24"/>
        </w:rPr>
      </w:pPr>
    </w:p>
    <w:p w14:paraId="4E9DEDBE" w14:textId="77777777" w:rsidR="00FD27B8" w:rsidRDefault="00FD27B8" w:rsidP="00984521">
      <w:pPr>
        <w:spacing w:line="480" w:lineRule="auto"/>
        <w:jc w:val="both"/>
        <w:rPr>
          <w:rFonts w:ascii="Times New Roman" w:hAnsi="Times New Roman" w:cs="Times New Roman"/>
          <w:b/>
          <w:bCs/>
          <w:sz w:val="24"/>
          <w:szCs w:val="24"/>
        </w:rPr>
      </w:pPr>
    </w:p>
    <w:p w14:paraId="1BB65F2A" w14:textId="77777777" w:rsidR="00FD27B8" w:rsidRDefault="00FD27B8" w:rsidP="00984521">
      <w:pPr>
        <w:spacing w:line="480" w:lineRule="auto"/>
        <w:jc w:val="both"/>
        <w:rPr>
          <w:rFonts w:ascii="Times New Roman" w:hAnsi="Times New Roman" w:cs="Times New Roman"/>
          <w:b/>
          <w:bCs/>
          <w:sz w:val="24"/>
          <w:szCs w:val="24"/>
        </w:rPr>
      </w:pPr>
    </w:p>
    <w:p w14:paraId="3E6D94EA" w14:textId="77777777" w:rsidR="00FD27B8" w:rsidRDefault="00FD27B8" w:rsidP="00984521">
      <w:pPr>
        <w:spacing w:line="480" w:lineRule="auto"/>
        <w:jc w:val="both"/>
        <w:rPr>
          <w:rFonts w:ascii="Times New Roman" w:hAnsi="Times New Roman" w:cs="Times New Roman"/>
          <w:b/>
          <w:bCs/>
          <w:sz w:val="24"/>
          <w:szCs w:val="24"/>
        </w:rPr>
      </w:pPr>
    </w:p>
    <w:p w14:paraId="0CF6B9DD" w14:textId="77777777" w:rsidR="00282718" w:rsidRDefault="00282718" w:rsidP="00A94289">
      <w:pPr>
        <w:spacing w:line="480" w:lineRule="auto"/>
        <w:jc w:val="center"/>
        <w:rPr>
          <w:rFonts w:ascii="Times New Roman" w:hAnsi="Times New Roman" w:cs="Times New Roman"/>
          <w:b/>
          <w:bCs/>
          <w:sz w:val="24"/>
          <w:szCs w:val="24"/>
        </w:rPr>
      </w:pPr>
    </w:p>
    <w:p w14:paraId="7045197E" w14:textId="77777777" w:rsidR="00282718" w:rsidRDefault="00282718" w:rsidP="00A94289">
      <w:pPr>
        <w:spacing w:line="480" w:lineRule="auto"/>
        <w:jc w:val="center"/>
        <w:rPr>
          <w:rFonts w:ascii="Times New Roman" w:hAnsi="Times New Roman" w:cs="Times New Roman"/>
          <w:b/>
          <w:bCs/>
          <w:sz w:val="24"/>
          <w:szCs w:val="24"/>
        </w:rPr>
      </w:pPr>
    </w:p>
    <w:p w14:paraId="25EFD82F" w14:textId="77777777" w:rsidR="00687098" w:rsidRPr="00282718" w:rsidRDefault="00984521" w:rsidP="00A94289">
      <w:pPr>
        <w:spacing w:line="480" w:lineRule="auto"/>
        <w:jc w:val="center"/>
        <w:rPr>
          <w:rFonts w:ascii="Times New Roman" w:hAnsi="Times New Roman" w:cs="Times New Roman"/>
          <w:bCs/>
          <w:sz w:val="24"/>
          <w:szCs w:val="24"/>
        </w:rPr>
      </w:pPr>
      <w:r w:rsidRPr="00282718">
        <w:rPr>
          <w:rFonts w:ascii="Times New Roman" w:hAnsi="Times New Roman" w:cs="Times New Roman"/>
          <w:bCs/>
          <w:sz w:val="24"/>
          <w:szCs w:val="24"/>
        </w:rPr>
        <w:lastRenderedPageBreak/>
        <w:t>Reference</w:t>
      </w:r>
      <w:r w:rsidR="00A94289" w:rsidRPr="00282718">
        <w:rPr>
          <w:rFonts w:ascii="Times New Roman" w:hAnsi="Times New Roman" w:cs="Times New Roman"/>
          <w:bCs/>
          <w:sz w:val="24"/>
          <w:szCs w:val="24"/>
        </w:rPr>
        <w:t>s</w:t>
      </w:r>
    </w:p>
    <w:p w14:paraId="7D453BA4" w14:textId="77777777" w:rsidR="00481D8B" w:rsidRDefault="00481D8B" w:rsidP="005D01B2">
      <w:pPr>
        <w:spacing w:line="480" w:lineRule="auto"/>
        <w:ind w:left="720" w:hanging="720"/>
        <w:jc w:val="both"/>
        <w:rPr>
          <w:rFonts w:ascii="Times New Roman" w:hAnsi="Times New Roman" w:cs="Times New Roman"/>
          <w:bCs/>
          <w:sz w:val="24"/>
          <w:szCs w:val="24"/>
        </w:rPr>
      </w:pPr>
      <w:r w:rsidRPr="007E7F74">
        <w:rPr>
          <w:rFonts w:ascii="Times New Roman" w:hAnsi="Times New Roman" w:cs="Times New Roman"/>
          <w:bCs/>
          <w:sz w:val="24"/>
          <w:szCs w:val="24"/>
        </w:rPr>
        <w:t xml:space="preserve">Bellucci, M., Simoni, L., </w:t>
      </w:r>
      <w:proofErr w:type="spellStart"/>
      <w:r w:rsidRPr="007E7F74">
        <w:rPr>
          <w:rFonts w:ascii="Times New Roman" w:hAnsi="Times New Roman" w:cs="Times New Roman"/>
          <w:bCs/>
          <w:sz w:val="24"/>
          <w:szCs w:val="24"/>
        </w:rPr>
        <w:t>Acuti</w:t>
      </w:r>
      <w:proofErr w:type="spellEnd"/>
      <w:r w:rsidRPr="007E7F74">
        <w:rPr>
          <w:rFonts w:ascii="Times New Roman" w:hAnsi="Times New Roman" w:cs="Times New Roman"/>
          <w:bCs/>
          <w:sz w:val="24"/>
          <w:szCs w:val="24"/>
        </w:rPr>
        <w:t xml:space="preserve">, D. and </w:t>
      </w:r>
      <w:proofErr w:type="spellStart"/>
      <w:r w:rsidRPr="007E7F74">
        <w:rPr>
          <w:rFonts w:ascii="Times New Roman" w:hAnsi="Times New Roman" w:cs="Times New Roman"/>
          <w:bCs/>
          <w:sz w:val="24"/>
          <w:szCs w:val="24"/>
        </w:rPr>
        <w:t>Manetti</w:t>
      </w:r>
      <w:proofErr w:type="spellEnd"/>
      <w:r w:rsidRPr="007E7F74">
        <w:rPr>
          <w:rFonts w:ascii="Times New Roman" w:hAnsi="Times New Roman" w:cs="Times New Roman"/>
          <w:bCs/>
          <w:sz w:val="24"/>
          <w:szCs w:val="24"/>
        </w:rPr>
        <w:t>, G., 2019. Stakeholder engagement and dialogic accounting: Empirical evidence in sustainability reporting. </w:t>
      </w:r>
      <w:r w:rsidRPr="007E7F74">
        <w:rPr>
          <w:rFonts w:ascii="Times New Roman" w:hAnsi="Times New Roman" w:cs="Times New Roman"/>
          <w:bCs/>
          <w:i/>
          <w:iCs/>
          <w:sz w:val="24"/>
          <w:szCs w:val="24"/>
        </w:rPr>
        <w:t>Accounting, Auditing &amp; Accountability Journal</w:t>
      </w:r>
      <w:r w:rsidRPr="007E7F74">
        <w:rPr>
          <w:rFonts w:ascii="Times New Roman" w:hAnsi="Times New Roman" w:cs="Times New Roman"/>
          <w:bCs/>
          <w:sz w:val="24"/>
          <w:szCs w:val="24"/>
        </w:rPr>
        <w:t>, </w:t>
      </w:r>
      <w:r w:rsidRPr="007E7F74">
        <w:rPr>
          <w:rFonts w:ascii="Times New Roman" w:hAnsi="Times New Roman" w:cs="Times New Roman"/>
          <w:bCs/>
          <w:i/>
          <w:iCs/>
          <w:sz w:val="24"/>
          <w:szCs w:val="24"/>
        </w:rPr>
        <w:t>32</w:t>
      </w:r>
      <w:r w:rsidRPr="007E7F74">
        <w:rPr>
          <w:rFonts w:ascii="Times New Roman" w:hAnsi="Times New Roman" w:cs="Times New Roman"/>
          <w:bCs/>
          <w:sz w:val="24"/>
          <w:szCs w:val="24"/>
        </w:rPr>
        <w:t>(5), pp.1467-1499.</w:t>
      </w:r>
    </w:p>
    <w:p w14:paraId="640E0819" w14:textId="77777777" w:rsidR="00481D8B" w:rsidRDefault="00481D8B" w:rsidP="005D01B2">
      <w:pPr>
        <w:spacing w:line="480" w:lineRule="auto"/>
        <w:ind w:left="720" w:hanging="720"/>
        <w:jc w:val="both"/>
        <w:rPr>
          <w:rFonts w:ascii="Times New Roman" w:hAnsi="Times New Roman" w:cs="Times New Roman"/>
          <w:bCs/>
          <w:sz w:val="24"/>
          <w:szCs w:val="24"/>
        </w:rPr>
      </w:pPr>
      <w:r w:rsidRPr="007E7F74">
        <w:rPr>
          <w:rFonts w:ascii="Times New Roman" w:hAnsi="Times New Roman" w:cs="Times New Roman"/>
          <w:bCs/>
          <w:sz w:val="24"/>
          <w:szCs w:val="24"/>
        </w:rPr>
        <w:t xml:space="preserve">Patel, H., Talbot, N., Salmond, J., Dirks, K., </w:t>
      </w:r>
      <w:proofErr w:type="spellStart"/>
      <w:r w:rsidRPr="007E7F74">
        <w:rPr>
          <w:rFonts w:ascii="Times New Roman" w:hAnsi="Times New Roman" w:cs="Times New Roman"/>
          <w:bCs/>
          <w:sz w:val="24"/>
          <w:szCs w:val="24"/>
        </w:rPr>
        <w:t>Xie</w:t>
      </w:r>
      <w:proofErr w:type="spellEnd"/>
      <w:r w:rsidRPr="007E7F74">
        <w:rPr>
          <w:rFonts w:ascii="Times New Roman" w:hAnsi="Times New Roman" w:cs="Times New Roman"/>
          <w:bCs/>
          <w:sz w:val="24"/>
          <w:szCs w:val="24"/>
        </w:rPr>
        <w:t>, S. and Davy, P., 2020. Implications for air quality management of changes in air quality during lockdown in Auckland (New Zealand) in response to the 2020 SARS-CoV-2 epidemic. </w:t>
      </w:r>
      <w:r w:rsidRPr="007E7F74">
        <w:rPr>
          <w:rFonts w:ascii="Times New Roman" w:hAnsi="Times New Roman" w:cs="Times New Roman"/>
          <w:bCs/>
          <w:i/>
          <w:iCs/>
          <w:sz w:val="24"/>
          <w:szCs w:val="24"/>
        </w:rPr>
        <w:t>Science of the Total Environment</w:t>
      </w:r>
      <w:r w:rsidRPr="007E7F74">
        <w:rPr>
          <w:rFonts w:ascii="Times New Roman" w:hAnsi="Times New Roman" w:cs="Times New Roman"/>
          <w:bCs/>
          <w:sz w:val="24"/>
          <w:szCs w:val="24"/>
        </w:rPr>
        <w:t>, </w:t>
      </w:r>
      <w:r w:rsidRPr="007E7F74">
        <w:rPr>
          <w:rFonts w:ascii="Times New Roman" w:hAnsi="Times New Roman" w:cs="Times New Roman"/>
          <w:bCs/>
          <w:i/>
          <w:iCs/>
          <w:sz w:val="24"/>
          <w:szCs w:val="24"/>
        </w:rPr>
        <w:t>746</w:t>
      </w:r>
      <w:r w:rsidRPr="007E7F74">
        <w:rPr>
          <w:rFonts w:ascii="Times New Roman" w:hAnsi="Times New Roman" w:cs="Times New Roman"/>
          <w:bCs/>
          <w:sz w:val="24"/>
          <w:szCs w:val="24"/>
        </w:rPr>
        <w:t>, p.141129.</w:t>
      </w:r>
    </w:p>
    <w:p w14:paraId="09599B26" w14:textId="77777777" w:rsidR="00481D8B" w:rsidRDefault="00481D8B" w:rsidP="005D01B2">
      <w:pPr>
        <w:spacing w:line="480" w:lineRule="auto"/>
        <w:ind w:left="720" w:hanging="720"/>
        <w:jc w:val="both"/>
        <w:rPr>
          <w:rFonts w:ascii="Times New Roman" w:hAnsi="Times New Roman" w:cs="Times New Roman"/>
          <w:bCs/>
          <w:sz w:val="24"/>
          <w:szCs w:val="24"/>
        </w:rPr>
      </w:pPr>
      <w:proofErr w:type="spellStart"/>
      <w:r w:rsidRPr="005D01B2">
        <w:rPr>
          <w:rFonts w:ascii="Times New Roman" w:hAnsi="Times New Roman" w:cs="Times New Roman"/>
          <w:bCs/>
          <w:sz w:val="24"/>
          <w:szCs w:val="24"/>
        </w:rPr>
        <w:t>Samaden</w:t>
      </w:r>
      <w:proofErr w:type="spellEnd"/>
      <w:r w:rsidRPr="005D01B2">
        <w:rPr>
          <w:rFonts w:ascii="Times New Roman" w:hAnsi="Times New Roman" w:cs="Times New Roman"/>
          <w:bCs/>
          <w:sz w:val="24"/>
          <w:szCs w:val="24"/>
        </w:rPr>
        <w:t>, I.S.B., 2021. Time element in the construct of special education teacher workload in Malaysia. </w:t>
      </w:r>
      <w:r w:rsidRPr="005D01B2">
        <w:rPr>
          <w:rFonts w:ascii="Times New Roman" w:hAnsi="Times New Roman" w:cs="Times New Roman"/>
          <w:bCs/>
          <w:i/>
          <w:iCs/>
          <w:sz w:val="24"/>
          <w:szCs w:val="24"/>
        </w:rPr>
        <w:t>Turkish Journal of Computer and Mathematics Education (</w:t>
      </w:r>
      <w:proofErr w:type="spellStart"/>
      <w:r w:rsidRPr="005D01B2">
        <w:rPr>
          <w:rFonts w:ascii="Times New Roman" w:hAnsi="Times New Roman" w:cs="Times New Roman"/>
          <w:bCs/>
          <w:i/>
          <w:iCs/>
          <w:sz w:val="24"/>
          <w:szCs w:val="24"/>
        </w:rPr>
        <w:t>TURCOMAT</w:t>
      </w:r>
      <w:proofErr w:type="spellEnd"/>
      <w:r w:rsidRPr="005D01B2">
        <w:rPr>
          <w:rFonts w:ascii="Times New Roman" w:hAnsi="Times New Roman" w:cs="Times New Roman"/>
          <w:bCs/>
          <w:i/>
          <w:iCs/>
          <w:sz w:val="24"/>
          <w:szCs w:val="24"/>
        </w:rPr>
        <w:t>)</w:t>
      </w:r>
      <w:r w:rsidRPr="005D01B2">
        <w:rPr>
          <w:rFonts w:ascii="Times New Roman" w:hAnsi="Times New Roman" w:cs="Times New Roman"/>
          <w:bCs/>
          <w:sz w:val="24"/>
          <w:szCs w:val="24"/>
        </w:rPr>
        <w:t>, </w:t>
      </w:r>
      <w:r w:rsidRPr="005D01B2">
        <w:rPr>
          <w:rFonts w:ascii="Times New Roman" w:hAnsi="Times New Roman" w:cs="Times New Roman"/>
          <w:bCs/>
          <w:i/>
          <w:iCs/>
          <w:sz w:val="24"/>
          <w:szCs w:val="24"/>
        </w:rPr>
        <w:t>12</w:t>
      </w:r>
      <w:r w:rsidRPr="005D01B2">
        <w:rPr>
          <w:rFonts w:ascii="Times New Roman" w:hAnsi="Times New Roman" w:cs="Times New Roman"/>
          <w:bCs/>
          <w:sz w:val="24"/>
          <w:szCs w:val="24"/>
        </w:rPr>
        <w:t>(11), pp.5141-5145.</w:t>
      </w:r>
    </w:p>
    <w:p w14:paraId="4DA1C224" w14:textId="77777777" w:rsidR="00481D8B" w:rsidRDefault="00481D8B" w:rsidP="005D01B2">
      <w:pPr>
        <w:spacing w:line="480" w:lineRule="auto"/>
        <w:ind w:left="720" w:hanging="720"/>
        <w:jc w:val="both"/>
        <w:rPr>
          <w:rFonts w:ascii="Times New Roman" w:hAnsi="Times New Roman" w:cs="Times New Roman"/>
          <w:bCs/>
          <w:sz w:val="24"/>
          <w:szCs w:val="24"/>
        </w:rPr>
      </w:pPr>
      <w:proofErr w:type="spellStart"/>
      <w:r w:rsidRPr="00687098">
        <w:rPr>
          <w:rFonts w:ascii="Times New Roman" w:hAnsi="Times New Roman" w:cs="Times New Roman"/>
          <w:bCs/>
          <w:sz w:val="24"/>
          <w:szCs w:val="24"/>
        </w:rPr>
        <w:t>Subramanian</w:t>
      </w:r>
      <w:proofErr w:type="spellEnd"/>
      <w:r w:rsidRPr="00687098">
        <w:rPr>
          <w:rFonts w:ascii="Times New Roman" w:hAnsi="Times New Roman" w:cs="Times New Roman"/>
          <w:bCs/>
          <w:sz w:val="24"/>
          <w:szCs w:val="24"/>
        </w:rPr>
        <w:t xml:space="preserve">, A., </w:t>
      </w:r>
      <w:proofErr w:type="spellStart"/>
      <w:r w:rsidRPr="00687098">
        <w:rPr>
          <w:rFonts w:ascii="Times New Roman" w:hAnsi="Times New Roman" w:cs="Times New Roman"/>
          <w:bCs/>
          <w:sz w:val="24"/>
          <w:szCs w:val="24"/>
        </w:rPr>
        <w:t>Nirantharakumar</w:t>
      </w:r>
      <w:proofErr w:type="spellEnd"/>
      <w:r w:rsidRPr="00687098">
        <w:rPr>
          <w:rFonts w:ascii="Times New Roman" w:hAnsi="Times New Roman" w:cs="Times New Roman"/>
          <w:bCs/>
          <w:sz w:val="24"/>
          <w:szCs w:val="24"/>
        </w:rPr>
        <w:t xml:space="preserve">, K., Hughes, S., Myles, P., Williams, T., </w:t>
      </w:r>
      <w:proofErr w:type="spellStart"/>
      <w:r w:rsidRPr="00687098">
        <w:rPr>
          <w:rFonts w:ascii="Times New Roman" w:hAnsi="Times New Roman" w:cs="Times New Roman"/>
          <w:bCs/>
          <w:sz w:val="24"/>
          <w:szCs w:val="24"/>
        </w:rPr>
        <w:t>Gokhale</w:t>
      </w:r>
      <w:proofErr w:type="spellEnd"/>
      <w:r w:rsidRPr="00687098">
        <w:rPr>
          <w:rFonts w:ascii="Times New Roman" w:hAnsi="Times New Roman" w:cs="Times New Roman"/>
          <w:bCs/>
          <w:sz w:val="24"/>
          <w:szCs w:val="24"/>
        </w:rPr>
        <w:t xml:space="preserve">, K.M., Taverner, T., </w:t>
      </w:r>
      <w:proofErr w:type="spellStart"/>
      <w:r w:rsidRPr="00687098">
        <w:rPr>
          <w:rFonts w:ascii="Times New Roman" w:hAnsi="Times New Roman" w:cs="Times New Roman"/>
          <w:bCs/>
          <w:sz w:val="24"/>
          <w:szCs w:val="24"/>
        </w:rPr>
        <w:t>Chandan</w:t>
      </w:r>
      <w:proofErr w:type="spellEnd"/>
      <w:r w:rsidRPr="00687098">
        <w:rPr>
          <w:rFonts w:ascii="Times New Roman" w:hAnsi="Times New Roman" w:cs="Times New Roman"/>
          <w:bCs/>
          <w:sz w:val="24"/>
          <w:szCs w:val="24"/>
        </w:rPr>
        <w:t>, J.S., Brown, K., Simms-Williams, N. and Shah, A.D., 2022. Symptoms and risk factors for long COVID in non-hospitalized adults. </w:t>
      </w:r>
      <w:r w:rsidRPr="00687098">
        <w:rPr>
          <w:rFonts w:ascii="Times New Roman" w:hAnsi="Times New Roman" w:cs="Times New Roman"/>
          <w:bCs/>
          <w:i/>
          <w:iCs/>
          <w:sz w:val="24"/>
          <w:szCs w:val="24"/>
        </w:rPr>
        <w:t>Nature medicine</w:t>
      </w:r>
      <w:r w:rsidRPr="00687098">
        <w:rPr>
          <w:rFonts w:ascii="Times New Roman" w:hAnsi="Times New Roman" w:cs="Times New Roman"/>
          <w:bCs/>
          <w:sz w:val="24"/>
          <w:szCs w:val="24"/>
        </w:rPr>
        <w:t>, </w:t>
      </w:r>
      <w:r w:rsidRPr="00687098">
        <w:rPr>
          <w:rFonts w:ascii="Times New Roman" w:hAnsi="Times New Roman" w:cs="Times New Roman"/>
          <w:bCs/>
          <w:i/>
          <w:iCs/>
          <w:sz w:val="24"/>
          <w:szCs w:val="24"/>
        </w:rPr>
        <w:t>28</w:t>
      </w:r>
      <w:r w:rsidRPr="00687098">
        <w:rPr>
          <w:rFonts w:ascii="Times New Roman" w:hAnsi="Times New Roman" w:cs="Times New Roman"/>
          <w:bCs/>
          <w:sz w:val="24"/>
          <w:szCs w:val="24"/>
        </w:rPr>
        <w:t>(8), pp.1706-1714.</w:t>
      </w:r>
    </w:p>
    <w:p w14:paraId="51A1C7E7" w14:textId="77777777" w:rsidR="00481D8B" w:rsidRDefault="00481D8B" w:rsidP="005D01B2">
      <w:pPr>
        <w:spacing w:line="480" w:lineRule="auto"/>
        <w:ind w:left="720" w:hanging="720"/>
        <w:jc w:val="both"/>
        <w:rPr>
          <w:rFonts w:ascii="Times New Roman" w:hAnsi="Times New Roman" w:cs="Times New Roman"/>
          <w:bCs/>
          <w:sz w:val="24"/>
          <w:szCs w:val="24"/>
        </w:rPr>
      </w:pPr>
      <w:proofErr w:type="spellStart"/>
      <w:r w:rsidRPr="007E7F74">
        <w:rPr>
          <w:rFonts w:ascii="Times New Roman" w:hAnsi="Times New Roman" w:cs="Times New Roman"/>
          <w:bCs/>
          <w:sz w:val="24"/>
          <w:szCs w:val="24"/>
        </w:rPr>
        <w:t>Vasseur</w:t>
      </w:r>
      <w:proofErr w:type="spellEnd"/>
      <w:r w:rsidRPr="007E7F74">
        <w:rPr>
          <w:rFonts w:ascii="Times New Roman" w:hAnsi="Times New Roman" w:cs="Times New Roman"/>
          <w:bCs/>
          <w:sz w:val="24"/>
          <w:szCs w:val="24"/>
        </w:rPr>
        <w:t xml:space="preserve">, A., </w:t>
      </w:r>
      <w:proofErr w:type="spellStart"/>
      <w:r w:rsidRPr="007E7F74">
        <w:rPr>
          <w:rFonts w:ascii="Times New Roman" w:hAnsi="Times New Roman" w:cs="Times New Roman"/>
          <w:bCs/>
          <w:sz w:val="24"/>
          <w:szCs w:val="24"/>
        </w:rPr>
        <w:t>Léger</w:t>
      </w:r>
      <w:proofErr w:type="spellEnd"/>
      <w:r w:rsidRPr="007E7F74">
        <w:rPr>
          <w:rFonts w:ascii="Times New Roman" w:hAnsi="Times New Roman" w:cs="Times New Roman"/>
          <w:bCs/>
          <w:sz w:val="24"/>
          <w:szCs w:val="24"/>
        </w:rPr>
        <w:t xml:space="preserve">, P.M., Courtemanche, F., </w:t>
      </w:r>
      <w:proofErr w:type="spellStart"/>
      <w:r w:rsidRPr="007E7F74">
        <w:rPr>
          <w:rFonts w:ascii="Times New Roman" w:hAnsi="Times New Roman" w:cs="Times New Roman"/>
          <w:bCs/>
          <w:sz w:val="24"/>
          <w:szCs w:val="24"/>
        </w:rPr>
        <w:t>Labonte-Lemoyne</w:t>
      </w:r>
      <w:proofErr w:type="spellEnd"/>
      <w:r w:rsidRPr="007E7F74">
        <w:rPr>
          <w:rFonts w:ascii="Times New Roman" w:hAnsi="Times New Roman" w:cs="Times New Roman"/>
          <w:bCs/>
          <w:sz w:val="24"/>
          <w:szCs w:val="24"/>
        </w:rPr>
        <w:t xml:space="preserve">, E., Georges, V., </w:t>
      </w:r>
      <w:proofErr w:type="spellStart"/>
      <w:r w:rsidRPr="007E7F74">
        <w:rPr>
          <w:rFonts w:ascii="Times New Roman" w:hAnsi="Times New Roman" w:cs="Times New Roman"/>
          <w:bCs/>
          <w:sz w:val="24"/>
          <w:szCs w:val="24"/>
        </w:rPr>
        <w:t>Valiquette</w:t>
      </w:r>
      <w:proofErr w:type="spellEnd"/>
      <w:r w:rsidRPr="007E7F74">
        <w:rPr>
          <w:rFonts w:ascii="Times New Roman" w:hAnsi="Times New Roman" w:cs="Times New Roman"/>
          <w:bCs/>
          <w:sz w:val="24"/>
          <w:szCs w:val="24"/>
        </w:rPr>
        <w:t xml:space="preserve">, A., </w:t>
      </w:r>
      <w:proofErr w:type="spellStart"/>
      <w:r w:rsidRPr="007E7F74">
        <w:rPr>
          <w:rFonts w:ascii="Times New Roman" w:hAnsi="Times New Roman" w:cs="Times New Roman"/>
          <w:bCs/>
          <w:sz w:val="24"/>
          <w:szCs w:val="24"/>
        </w:rPr>
        <w:t>Brieugne</w:t>
      </w:r>
      <w:proofErr w:type="spellEnd"/>
      <w:r w:rsidRPr="007E7F74">
        <w:rPr>
          <w:rFonts w:ascii="Times New Roman" w:hAnsi="Times New Roman" w:cs="Times New Roman"/>
          <w:bCs/>
          <w:sz w:val="24"/>
          <w:szCs w:val="24"/>
        </w:rPr>
        <w:t xml:space="preserve">, D., </w:t>
      </w:r>
      <w:proofErr w:type="spellStart"/>
      <w:r w:rsidRPr="007E7F74">
        <w:rPr>
          <w:rFonts w:ascii="Times New Roman" w:hAnsi="Times New Roman" w:cs="Times New Roman"/>
          <w:bCs/>
          <w:sz w:val="24"/>
          <w:szCs w:val="24"/>
        </w:rPr>
        <w:t>Rucco</w:t>
      </w:r>
      <w:proofErr w:type="spellEnd"/>
      <w:r w:rsidRPr="007E7F74">
        <w:rPr>
          <w:rFonts w:ascii="Times New Roman" w:hAnsi="Times New Roman" w:cs="Times New Roman"/>
          <w:bCs/>
          <w:sz w:val="24"/>
          <w:szCs w:val="24"/>
        </w:rPr>
        <w:t xml:space="preserve">, E., </w:t>
      </w:r>
      <w:proofErr w:type="spellStart"/>
      <w:r w:rsidRPr="007E7F74">
        <w:rPr>
          <w:rFonts w:ascii="Times New Roman" w:hAnsi="Times New Roman" w:cs="Times New Roman"/>
          <w:bCs/>
          <w:sz w:val="24"/>
          <w:szCs w:val="24"/>
        </w:rPr>
        <w:t>Coursaris</w:t>
      </w:r>
      <w:proofErr w:type="spellEnd"/>
      <w:r w:rsidRPr="007E7F74">
        <w:rPr>
          <w:rFonts w:ascii="Times New Roman" w:hAnsi="Times New Roman" w:cs="Times New Roman"/>
          <w:bCs/>
          <w:sz w:val="24"/>
          <w:szCs w:val="24"/>
        </w:rPr>
        <w:t xml:space="preserve">, C., </w:t>
      </w:r>
      <w:proofErr w:type="spellStart"/>
      <w:r w:rsidRPr="007E7F74">
        <w:rPr>
          <w:rFonts w:ascii="Times New Roman" w:hAnsi="Times New Roman" w:cs="Times New Roman"/>
          <w:bCs/>
          <w:sz w:val="24"/>
          <w:szCs w:val="24"/>
        </w:rPr>
        <w:t>Fredette</w:t>
      </w:r>
      <w:proofErr w:type="spellEnd"/>
      <w:r w:rsidRPr="007E7F74">
        <w:rPr>
          <w:rFonts w:ascii="Times New Roman" w:hAnsi="Times New Roman" w:cs="Times New Roman"/>
          <w:bCs/>
          <w:sz w:val="24"/>
          <w:szCs w:val="24"/>
        </w:rPr>
        <w:t xml:space="preserve">, M. and </w:t>
      </w:r>
      <w:proofErr w:type="spellStart"/>
      <w:r w:rsidRPr="007E7F74">
        <w:rPr>
          <w:rFonts w:ascii="Times New Roman" w:hAnsi="Times New Roman" w:cs="Times New Roman"/>
          <w:bCs/>
          <w:sz w:val="24"/>
          <w:szCs w:val="24"/>
        </w:rPr>
        <w:t>Sénécal</w:t>
      </w:r>
      <w:proofErr w:type="spellEnd"/>
      <w:r w:rsidRPr="007E7F74">
        <w:rPr>
          <w:rFonts w:ascii="Times New Roman" w:hAnsi="Times New Roman" w:cs="Times New Roman"/>
          <w:bCs/>
          <w:sz w:val="24"/>
          <w:szCs w:val="24"/>
        </w:rPr>
        <w:t>, S., 2021. Distributed remote psychophysiological data collection for UX evaluation: a pilot project. In </w:t>
      </w:r>
      <w:r w:rsidRPr="007E7F74">
        <w:rPr>
          <w:rFonts w:ascii="Times New Roman" w:hAnsi="Times New Roman" w:cs="Times New Roman"/>
          <w:bCs/>
          <w:i/>
          <w:iCs/>
          <w:sz w:val="24"/>
          <w:szCs w:val="24"/>
        </w:rPr>
        <w:t>Human-Computer Interaction. Theory, Methods and Tools: Thematic Area, HCI 2021, Held as Part of the 23rd HCI International Conference, HCII 2021, Virtual Event, July 24–29, 2021, Proceedings, Part I 23</w:t>
      </w:r>
      <w:r w:rsidRPr="007E7F74">
        <w:rPr>
          <w:rFonts w:ascii="Times New Roman" w:hAnsi="Times New Roman" w:cs="Times New Roman"/>
          <w:bCs/>
          <w:sz w:val="24"/>
          <w:szCs w:val="24"/>
        </w:rPr>
        <w:t> (pp. 255-267). Springer International Publishing.</w:t>
      </w:r>
    </w:p>
    <w:p w14:paraId="467EC72D" w14:textId="77777777" w:rsidR="005D01B2" w:rsidRDefault="005D01B2" w:rsidP="007E7F74">
      <w:pPr>
        <w:spacing w:line="480" w:lineRule="auto"/>
        <w:ind w:firstLine="720"/>
        <w:jc w:val="both"/>
        <w:rPr>
          <w:rFonts w:ascii="Times New Roman" w:hAnsi="Times New Roman" w:cs="Times New Roman"/>
          <w:bCs/>
          <w:sz w:val="24"/>
          <w:szCs w:val="24"/>
        </w:rPr>
      </w:pPr>
      <w:proofErr w:type="spellStart"/>
      <w:r w:rsidRPr="005D01B2">
        <w:rPr>
          <w:rFonts w:ascii="Times New Roman" w:hAnsi="Times New Roman" w:cs="Times New Roman"/>
          <w:bCs/>
          <w:sz w:val="24"/>
          <w:szCs w:val="24"/>
        </w:rPr>
        <w:lastRenderedPageBreak/>
        <w:t>Friedlingstein</w:t>
      </w:r>
      <w:proofErr w:type="spellEnd"/>
      <w:r w:rsidRPr="005D01B2">
        <w:rPr>
          <w:rFonts w:ascii="Times New Roman" w:hAnsi="Times New Roman" w:cs="Times New Roman"/>
          <w:bCs/>
          <w:sz w:val="24"/>
          <w:szCs w:val="24"/>
        </w:rPr>
        <w:t xml:space="preserve">, P., </w:t>
      </w:r>
      <w:proofErr w:type="spellStart"/>
      <w:r w:rsidRPr="005D01B2">
        <w:rPr>
          <w:rFonts w:ascii="Times New Roman" w:hAnsi="Times New Roman" w:cs="Times New Roman"/>
          <w:bCs/>
          <w:sz w:val="24"/>
          <w:szCs w:val="24"/>
        </w:rPr>
        <w:t>O'sullivan</w:t>
      </w:r>
      <w:proofErr w:type="spellEnd"/>
      <w:r w:rsidRPr="005D01B2">
        <w:rPr>
          <w:rFonts w:ascii="Times New Roman" w:hAnsi="Times New Roman" w:cs="Times New Roman"/>
          <w:bCs/>
          <w:sz w:val="24"/>
          <w:szCs w:val="24"/>
        </w:rPr>
        <w:t xml:space="preserve">, M., Jones, M.W., Andrew, R.M., </w:t>
      </w:r>
      <w:proofErr w:type="spellStart"/>
      <w:r w:rsidRPr="005D01B2">
        <w:rPr>
          <w:rFonts w:ascii="Times New Roman" w:hAnsi="Times New Roman" w:cs="Times New Roman"/>
          <w:bCs/>
          <w:sz w:val="24"/>
          <w:szCs w:val="24"/>
        </w:rPr>
        <w:t>Hauck</w:t>
      </w:r>
      <w:proofErr w:type="spellEnd"/>
      <w:r w:rsidRPr="005D01B2">
        <w:rPr>
          <w:rFonts w:ascii="Times New Roman" w:hAnsi="Times New Roman" w:cs="Times New Roman"/>
          <w:bCs/>
          <w:sz w:val="24"/>
          <w:szCs w:val="24"/>
        </w:rPr>
        <w:t xml:space="preserve">, J., Olsen, A., Peters, G.P., Peters, W., </w:t>
      </w:r>
      <w:proofErr w:type="spellStart"/>
      <w:r w:rsidRPr="005D01B2">
        <w:rPr>
          <w:rFonts w:ascii="Times New Roman" w:hAnsi="Times New Roman" w:cs="Times New Roman"/>
          <w:bCs/>
          <w:sz w:val="24"/>
          <w:szCs w:val="24"/>
        </w:rPr>
        <w:t>Pongratz</w:t>
      </w:r>
      <w:proofErr w:type="spellEnd"/>
      <w:r w:rsidRPr="005D01B2">
        <w:rPr>
          <w:rFonts w:ascii="Times New Roman" w:hAnsi="Times New Roman" w:cs="Times New Roman"/>
          <w:bCs/>
          <w:sz w:val="24"/>
          <w:szCs w:val="24"/>
        </w:rPr>
        <w:t xml:space="preserve">, J., </w:t>
      </w:r>
      <w:proofErr w:type="spellStart"/>
      <w:r w:rsidRPr="005D01B2">
        <w:rPr>
          <w:rFonts w:ascii="Times New Roman" w:hAnsi="Times New Roman" w:cs="Times New Roman"/>
          <w:bCs/>
          <w:sz w:val="24"/>
          <w:szCs w:val="24"/>
        </w:rPr>
        <w:t>Sitch</w:t>
      </w:r>
      <w:proofErr w:type="spellEnd"/>
      <w:r w:rsidRPr="005D01B2">
        <w:rPr>
          <w:rFonts w:ascii="Times New Roman" w:hAnsi="Times New Roman" w:cs="Times New Roman"/>
          <w:bCs/>
          <w:sz w:val="24"/>
          <w:szCs w:val="24"/>
        </w:rPr>
        <w:t xml:space="preserve">, S. and Le </w:t>
      </w:r>
      <w:proofErr w:type="spellStart"/>
      <w:r w:rsidRPr="005D01B2">
        <w:rPr>
          <w:rFonts w:ascii="Times New Roman" w:hAnsi="Times New Roman" w:cs="Times New Roman"/>
          <w:bCs/>
          <w:sz w:val="24"/>
          <w:szCs w:val="24"/>
        </w:rPr>
        <w:t>Quéré</w:t>
      </w:r>
      <w:proofErr w:type="spellEnd"/>
      <w:r w:rsidRPr="005D01B2">
        <w:rPr>
          <w:rFonts w:ascii="Times New Roman" w:hAnsi="Times New Roman" w:cs="Times New Roman"/>
          <w:bCs/>
          <w:sz w:val="24"/>
          <w:szCs w:val="24"/>
        </w:rPr>
        <w:t>, C., 2020. Global carbon budget 2020. </w:t>
      </w:r>
      <w:r w:rsidRPr="005D01B2">
        <w:rPr>
          <w:rFonts w:ascii="Times New Roman" w:hAnsi="Times New Roman" w:cs="Times New Roman"/>
          <w:bCs/>
          <w:i/>
          <w:iCs/>
          <w:sz w:val="24"/>
          <w:szCs w:val="24"/>
        </w:rPr>
        <w:t>Earth System Science Data Discussions</w:t>
      </w:r>
      <w:r w:rsidRPr="005D01B2">
        <w:rPr>
          <w:rFonts w:ascii="Times New Roman" w:hAnsi="Times New Roman" w:cs="Times New Roman"/>
          <w:bCs/>
          <w:sz w:val="24"/>
          <w:szCs w:val="24"/>
        </w:rPr>
        <w:t>, </w:t>
      </w:r>
      <w:r w:rsidRPr="005D01B2">
        <w:rPr>
          <w:rFonts w:ascii="Times New Roman" w:hAnsi="Times New Roman" w:cs="Times New Roman"/>
          <w:bCs/>
          <w:i/>
          <w:iCs/>
          <w:sz w:val="24"/>
          <w:szCs w:val="24"/>
        </w:rPr>
        <w:t>2020</w:t>
      </w:r>
      <w:r w:rsidRPr="005D01B2">
        <w:rPr>
          <w:rFonts w:ascii="Times New Roman" w:hAnsi="Times New Roman" w:cs="Times New Roman"/>
          <w:bCs/>
          <w:sz w:val="24"/>
          <w:szCs w:val="24"/>
        </w:rPr>
        <w:t>, pp.1-3.</w:t>
      </w:r>
    </w:p>
    <w:p w14:paraId="08ABF686" w14:textId="77777777" w:rsidR="007E7F74" w:rsidRPr="00687098" w:rsidRDefault="007E7F74" w:rsidP="00984521">
      <w:pPr>
        <w:spacing w:line="480" w:lineRule="auto"/>
        <w:jc w:val="both"/>
        <w:rPr>
          <w:rFonts w:ascii="Times New Roman" w:hAnsi="Times New Roman" w:cs="Times New Roman"/>
          <w:bCs/>
          <w:sz w:val="24"/>
          <w:szCs w:val="24"/>
        </w:rPr>
      </w:pPr>
    </w:p>
    <w:p w14:paraId="481D18BE" w14:textId="77777777" w:rsidR="00984521" w:rsidRPr="00984521" w:rsidRDefault="00984521" w:rsidP="00984521">
      <w:pPr>
        <w:spacing w:line="480" w:lineRule="auto"/>
        <w:jc w:val="both"/>
        <w:rPr>
          <w:rFonts w:ascii="Times New Roman" w:hAnsi="Times New Roman" w:cs="Times New Roman"/>
          <w:bCs/>
          <w:vanish/>
          <w:sz w:val="24"/>
          <w:szCs w:val="24"/>
        </w:rPr>
      </w:pPr>
      <w:r w:rsidRPr="00984521">
        <w:rPr>
          <w:rFonts w:ascii="Times New Roman" w:hAnsi="Times New Roman" w:cs="Times New Roman"/>
          <w:bCs/>
          <w:vanish/>
          <w:sz w:val="24"/>
          <w:szCs w:val="24"/>
        </w:rPr>
        <w:t>Top of Form</w:t>
      </w:r>
    </w:p>
    <w:p w14:paraId="1F4B155B" w14:textId="77777777" w:rsidR="00984521" w:rsidRPr="00984521" w:rsidRDefault="00984521" w:rsidP="00B9411A">
      <w:pPr>
        <w:spacing w:line="480" w:lineRule="auto"/>
        <w:jc w:val="both"/>
        <w:rPr>
          <w:rFonts w:ascii="Times New Roman" w:hAnsi="Times New Roman" w:cs="Times New Roman"/>
          <w:bCs/>
          <w:sz w:val="24"/>
          <w:szCs w:val="24"/>
        </w:rPr>
      </w:pPr>
    </w:p>
    <w:p w14:paraId="1E7EFFDB" w14:textId="77777777" w:rsidR="00B9411A" w:rsidRPr="00091E03" w:rsidRDefault="00B9411A" w:rsidP="00B9411A">
      <w:pPr>
        <w:spacing w:line="480" w:lineRule="auto"/>
        <w:jc w:val="both"/>
        <w:rPr>
          <w:rFonts w:ascii="Times New Roman" w:hAnsi="Times New Roman" w:cs="Times New Roman"/>
          <w:bCs/>
          <w:sz w:val="24"/>
          <w:szCs w:val="24"/>
        </w:rPr>
      </w:pPr>
    </w:p>
    <w:p w14:paraId="092A2617" w14:textId="77777777" w:rsidR="00091E03" w:rsidRPr="00091E03" w:rsidRDefault="00091E03" w:rsidP="00091E03">
      <w:pPr>
        <w:spacing w:line="480" w:lineRule="auto"/>
        <w:jc w:val="both"/>
        <w:rPr>
          <w:rFonts w:ascii="Times New Roman" w:hAnsi="Times New Roman" w:cs="Times New Roman"/>
          <w:bCs/>
          <w:sz w:val="24"/>
          <w:szCs w:val="24"/>
        </w:rPr>
      </w:pPr>
    </w:p>
    <w:p w14:paraId="3103F64E" w14:textId="77777777" w:rsidR="00091E03" w:rsidRPr="00091E03" w:rsidRDefault="00091E03" w:rsidP="00091E03">
      <w:pPr>
        <w:spacing w:line="480" w:lineRule="auto"/>
        <w:jc w:val="both"/>
        <w:rPr>
          <w:rFonts w:ascii="Times New Roman" w:hAnsi="Times New Roman" w:cs="Times New Roman"/>
          <w:bCs/>
          <w:sz w:val="24"/>
          <w:szCs w:val="24"/>
        </w:rPr>
      </w:pPr>
    </w:p>
    <w:p w14:paraId="000CDFCA" w14:textId="77777777" w:rsidR="00091E03" w:rsidRPr="00091E03" w:rsidRDefault="00091E03" w:rsidP="00091E03">
      <w:pPr>
        <w:spacing w:line="480" w:lineRule="auto"/>
        <w:jc w:val="both"/>
        <w:rPr>
          <w:rFonts w:ascii="Times New Roman" w:hAnsi="Times New Roman" w:cs="Times New Roman"/>
          <w:bCs/>
          <w:sz w:val="24"/>
          <w:szCs w:val="24"/>
        </w:rPr>
      </w:pPr>
    </w:p>
    <w:p w14:paraId="08F1E682" w14:textId="77777777" w:rsidR="00091E03" w:rsidRPr="00091E03" w:rsidRDefault="00091E03" w:rsidP="00265839">
      <w:pPr>
        <w:spacing w:line="480" w:lineRule="auto"/>
        <w:jc w:val="both"/>
        <w:rPr>
          <w:rFonts w:ascii="Times New Roman" w:hAnsi="Times New Roman" w:cs="Times New Roman"/>
          <w:bCs/>
          <w:sz w:val="24"/>
          <w:szCs w:val="24"/>
        </w:rPr>
      </w:pPr>
    </w:p>
    <w:p w14:paraId="4324BD74" w14:textId="77777777" w:rsidR="007030D4" w:rsidRPr="007030D4" w:rsidRDefault="007030D4" w:rsidP="007030D4"/>
    <w:p w14:paraId="7384E36C" w14:textId="77777777" w:rsidR="00000000" w:rsidRDefault="00000000"/>
    <w:sectPr w:rsidR="00942517">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A5880" w14:textId="77777777" w:rsidR="00113988" w:rsidRDefault="00113988" w:rsidP="00A94289">
      <w:pPr>
        <w:spacing w:after="0" w:line="240" w:lineRule="auto"/>
      </w:pPr>
      <w:r>
        <w:separator/>
      </w:r>
    </w:p>
  </w:endnote>
  <w:endnote w:type="continuationSeparator" w:id="0">
    <w:p w14:paraId="09C9CCAF" w14:textId="77777777" w:rsidR="00113988" w:rsidRDefault="00113988" w:rsidP="00A94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474D7" w14:textId="77777777" w:rsidR="00113988" w:rsidRDefault="00113988" w:rsidP="00A94289">
      <w:pPr>
        <w:spacing w:after="0" w:line="240" w:lineRule="auto"/>
      </w:pPr>
      <w:r>
        <w:separator/>
      </w:r>
    </w:p>
  </w:footnote>
  <w:footnote w:type="continuationSeparator" w:id="0">
    <w:p w14:paraId="37CAC152" w14:textId="77777777" w:rsidR="00113988" w:rsidRDefault="00113988" w:rsidP="00A942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7842504"/>
      <w:docPartObj>
        <w:docPartGallery w:val="Page Numbers (Top of Page)"/>
        <w:docPartUnique/>
      </w:docPartObj>
    </w:sdtPr>
    <w:sdtEndPr>
      <w:rPr>
        <w:noProof/>
      </w:rPr>
    </w:sdtEndPr>
    <w:sdtContent>
      <w:p w14:paraId="25D81EEC" w14:textId="77777777" w:rsidR="00A94289" w:rsidRDefault="00A94289">
        <w:pPr>
          <w:pStyle w:val="Header"/>
          <w:jc w:val="right"/>
        </w:pPr>
        <w:r>
          <w:fldChar w:fldCharType="begin"/>
        </w:r>
        <w:r>
          <w:instrText xml:space="preserve"> PAGE   \* MERGEFORMAT </w:instrText>
        </w:r>
        <w:r>
          <w:fldChar w:fldCharType="separate"/>
        </w:r>
        <w:r w:rsidR="00282718">
          <w:rPr>
            <w:noProof/>
          </w:rPr>
          <w:t>12</w:t>
        </w:r>
        <w:r>
          <w:rPr>
            <w:noProof/>
          </w:rPr>
          <w:fldChar w:fldCharType="end"/>
        </w:r>
      </w:p>
    </w:sdtContent>
  </w:sdt>
  <w:p w14:paraId="6F270CC9" w14:textId="77777777" w:rsidR="00A94289" w:rsidRDefault="00A942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0D4"/>
    <w:rsid w:val="0002530A"/>
    <w:rsid w:val="00091E03"/>
    <w:rsid w:val="00113988"/>
    <w:rsid w:val="00265839"/>
    <w:rsid w:val="00282718"/>
    <w:rsid w:val="002A23A7"/>
    <w:rsid w:val="003C352A"/>
    <w:rsid w:val="00481D8B"/>
    <w:rsid w:val="00566070"/>
    <w:rsid w:val="005815C1"/>
    <w:rsid w:val="005949F3"/>
    <w:rsid w:val="005D01B2"/>
    <w:rsid w:val="00613305"/>
    <w:rsid w:val="0068391E"/>
    <w:rsid w:val="00687098"/>
    <w:rsid w:val="00692A8F"/>
    <w:rsid w:val="007030D4"/>
    <w:rsid w:val="007471E5"/>
    <w:rsid w:val="007E7F74"/>
    <w:rsid w:val="00825481"/>
    <w:rsid w:val="008417D0"/>
    <w:rsid w:val="00984521"/>
    <w:rsid w:val="00A94289"/>
    <w:rsid w:val="00B9411A"/>
    <w:rsid w:val="00D337B7"/>
    <w:rsid w:val="00D50BAF"/>
    <w:rsid w:val="00F45F45"/>
    <w:rsid w:val="00FD2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260F"/>
  <w15:chartTrackingRefBased/>
  <w15:docId w15:val="{ABEA8F2F-2F6E-4404-AF87-FC8DB7055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37B7"/>
    <w:rPr>
      <w:rFonts w:ascii="Times New Roman" w:hAnsi="Times New Roman" w:cs="Times New Roman"/>
      <w:sz w:val="24"/>
      <w:szCs w:val="24"/>
    </w:rPr>
  </w:style>
  <w:style w:type="paragraph" w:styleId="Header">
    <w:name w:val="header"/>
    <w:basedOn w:val="Normal"/>
    <w:link w:val="HeaderChar"/>
    <w:uiPriority w:val="99"/>
    <w:unhideWhenUsed/>
    <w:rsid w:val="00A942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4289"/>
  </w:style>
  <w:style w:type="paragraph" w:styleId="Footer">
    <w:name w:val="footer"/>
    <w:basedOn w:val="Normal"/>
    <w:link w:val="FooterChar"/>
    <w:uiPriority w:val="99"/>
    <w:unhideWhenUsed/>
    <w:rsid w:val="00A942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4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70426">
      <w:bodyDiv w:val="1"/>
      <w:marLeft w:val="0"/>
      <w:marRight w:val="0"/>
      <w:marTop w:val="0"/>
      <w:marBottom w:val="0"/>
      <w:divBdr>
        <w:top w:val="none" w:sz="0" w:space="0" w:color="auto"/>
        <w:left w:val="none" w:sz="0" w:space="0" w:color="auto"/>
        <w:bottom w:val="none" w:sz="0" w:space="0" w:color="auto"/>
        <w:right w:val="none" w:sz="0" w:space="0" w:color="auto"/>
      </w:divBdr>
    </w:div>
    <w:div w:id="171605974">
      <w:bodyDiv w:val="1"/>
      <w:marLeft w:val="0"/>
      <w:marRight w:val="0"/>
      <w:marTop w:val="0"/>
      <w:marBottom w:val="0"/>
      <w:divBdr>
        <w:top w:val="none" w:sz="0" w:space="0" w:color="auto"/>
        <w:left w:val="none" w:sz="0" w:space="0" w:color="auto"/>
        <w:bottom w:val="none" w:sz="0" w:space="0" w:color="auto"/>
        <w:right w:val="none" w:sz="0" w:space="0" w:color="auto"/>
      </w:divBdr>
      <w:divsChild>
        <w:div w:id="1901288588">
          <w:marLeft w:val="0"/>
          <w:marRight w:val="0"/>
          <w:marTop w:val="0"/>
          <w:marBottom w:val="0"/>
          <w:divBdr>
            <w:top w:val="single" w:sz="2" w:space="0" w:color="D9D9E3"/>
            <w:left w:val="single" w:sz="2" w:space="0" w:color="D9D9E3"/>
            <w:bottom w:val="single" w:sz="2" w:space="0" w:color="D9D9E3"/>
            <w:right w:val="single" w:sz="2" w:space="0" w:color="D9D9E3"/>
          </w:divBdr>
          <w:divsChild>
            <w:div w:id="243950999">
              <w:marLeft w:val="0"/>
              <w:marRight w:val="0"/>
              <w:marTop w:val="0"/>
              <w:marBottom w:val="0"/>
              <w:divBdr>
                <w:top w:val="single" w:sz="2" w:space="0" w:color="D9D9E3"/>
                <w:left w:val="single" w:sz="2" w:space="0" w:color="D9D9E3"/>
                <w:bottom w:val="single" w:sz="2" w:space="0" w:color="D9D9E3"/>
                <w:right w:val="single" w:sz="2" w:space="0" w:color="D9D9E3"/>
              </w:divBdr>
              <w:divsChild>
                <w:div w:id="784036649">
                  <w:marLeft w:val="0"/>
                  <w:marRight w:val="0"/>
                  <w:marTop w:val="0"/>
                  <w:marBottom w:val="0"/>
                  <w:divBdr>
                    <w:top w:val="single" w:sz="2" w:space="0" w:color="D9D9E3"/>
                    <w:left w:val="single" w:sz="2" w:space="0" w:color="D9D9E3"/>
                    <w:bottom w:val="single" w:sz="2" w:space="0" w:color="D9D9E3"/>
                    <w:right w:val="single" w:sz="2" w:space="0" w:color="D9D9E3"/>
                  </w:divBdr>
                  <w:divsChild>
                    <w:div w:id="1703358805">
                      <w:marLeft w:val="0"/>
                      <w:marRight w:val="0"/>
                      <w:marTop w:val="0"/>
                      <w:marBottom w:val="0"/>
                      <w:divBdr>
                        <w:top w:val="single" w:sz="2" w:space="0" w:color="D9D9E3"/>
                        <w:left w:val="single" w:sz="2" w:space="0" w:color="D9D9E3"/>
                        <w:bottom w:val="single" w:sz="2" w:space="0" w:color="D9D9E3"/>
                        <w:right w:val="single" w:sz="2" w:space="0" w:color="D9D9E3"/>
                      </w:divBdr>
                      <w:divsChild>
                        <w:div w:id="842940086">
                          <w:marLeft w:val="0"/>
                          <w:marRight w:val="0"/>
                          <w:marTop w:val="0"/>
                          <w:marBottom w:val="0"/>
                          <w:divBdr>
                            <w:top w:val="single" w:sz="2" w:space="0" w:color="D9D9E3"/>
                            <w:left w:val="single" w:sz="2" w:space="0" w:color="D9D9E3"/>
                            <w:bottom w:val="single" w:sz="2" w:space="0" w:color="D9D9E3"/>
                            <w:right w:val="single" w:sz="2" w:space="0" w:color="D9D9E3"/>
                          </w:divBdr>
                          <w:divsChild>
                            <w:div w:id="1009217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331635881">
                                  <w:marLeft w:val="0"/>
                                  <w:marRight w:val="0"/>
                                  <w:marTop w:val="0"/>
                                  <w:marBottom w:val="0"/>
                                  <w:divBdr>
                                    <w:top w:val="single" w:sz="2" w:space="0" w:color="D9D9E3"/>
                                    <w:left w:val="single" w:sz="2" w:space="0" w:color="D9D9E3"/>
                                    <w:bottom w:val="single" w:sz="2" w:space="0" w:color="D9D9E3"/>
                                    <w:right w:val="single" w:sz="2" w:space="0" w:color="D9D9E3"/>
                                  </w:divBdr>
                                  <w:divsChild>
                                    <w:div w:id="484930330">
                                      <w:marLeft w:val="0"/>
                                      <w:marRight w:val="0"/>
                                      <w:marTop w:val="0"/>
                                      <w:marBottom w:val="0"/>
                                      <w:divBdr>
                                        <w:top w:val="single" w:sz="2" w:space="0" w:color="D9D9E3"/>
                                        <w:left w:val="single" w:sz="2" w:space="0" w:color="D9D9E3"/>
                                        <w:bottom w:val="single" w:sz="2" w:space="0" w:color="D9D9E3"/>
                                        <w:right w:val="single" w:sz="2" w:space="0" w:color="D9D9E3"/>
                                      </w:divBdr>
                                      <w:divsChild>
                                        <w:div w:id="1404836716">
                                          <w:marLeft w:val="0"/>
                                          <w:marRight w:val="0"/>
                                          <w:marTop w:val="0"/>
                                          <w:marBottom w:val="0"/>
                                          <w:divBdr>
                                            <w:top w:val="single" w:sz="2" w:space="0" w:color="D9D9E3"/>
                                            <w:left w:val="single" w:sz="2" w:space="0" w:color="D9D9E3"/>
                                            <w:bottom w:val="single" w:sz="2" w:space="0" w:color="D9D9E3"/>
                                            <w:right w:val="single" w:sz="2" w:space="0" w:color="D9D9E3"/>
                                          </w:divBdr>
                                          <w:divsChild>
                                            <w:div w:id="1987510291">
                                              <w:marLeft w:val="0"/>
                                              <w:marRight w:val="0"/>
                                              <w:marTop w:val="0"/>
                                              <w:marBottom w:val="0"/>
                                              <w:divBdr>
                                                <w:top w:val="single" w:sz="2" w:space="0" w:color="D9D9E3"/>
                                                <w:left w:val="single" w:sz="2" w:space="0" w:color="D9D9E3"/>
                                                <w:bottom w:val="single" w:sz="2" w:space="0" w:color="D9D9E3"/>
                                                <w:right w:val="single" w:sz="2" w:space="0" w:color="D9D9E3"/>
                                              </w:divBdr>
                                              <w:divsChild>
                                                <w:div w:id="1055198682">
                                                  <w:marLeft w:val="0"/>
                                                  <w:marRight w:val="0"/>
                                                  <w:marTop w:val="0"/>
                                                  <w:marBottom w:val="0"/>
                                                  <w:divBdr>
                                                    <w:top w:val="single" w:sz="2" w:space="0" w:color="D9D9E3"/>
                                                    <w:left w:val="single" w:sz="2" w:space="0" w:color="D9D9E3"/>
                                                    <w:bottom w:val="single" w:sz="2" w:space="0" w:color="D9D9E3"/>
                                                    <w:right w:val="single" w:sz="2" w:space="0" w:color="D9D9E3"/>
                                                  </w:divBdr>
                                                  <w:divsChild>
                                                    <w:div w:id="1708994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49684285">
          <w:marLeft w:val="0"/>
          <w:marRight w:val="0"/>
          <w:marTop w:val="0"/>
          <w:marBottom w:val="0"/>
          <w:divBdr>
            <w:top w:val="none" w:sz="0" w:space="0" w:color="auto"/>
            <w:left w:val="none" w:sz="0" w:space="0" w:color="auto"/>
            <w:bottom w:val="none" w:sz="0" w:space="0" w:color="auto"/>
            <w:right w:val="none" w:sz="0" w:space="0" w:color="auto"/>
          </w:divBdr>
        </w:div>
      </w:divsChild>
    </w:div>
    <w:div w:id="578906642">
      <w:bodyDiv w:val="1"/>
      <w:marLeft w:val="0"/>
      <w:marRight w:val="0"/>
      <w:marTop w:val="0"/>
      <w:marBottom w:val="0"/>
      <w:divBdr>
        <w:top w:val="none" w:sz="0" w:space="0" w:color="auto"/>
        <w:left w:val="none" w:sz="0" w:space="0" w:color="auto"/>
        <w:bottom w:val="none" w:sz="0" w:space="0" w:color="auto"/>
        <w:right w:val="none" w:sz="0" w:space="0" w:color="auto"/>
      </w:divBdr>
    </w:div>
    <w:div w:id="695816971">
      <w:bodyDiv w:val="1"/>
      <w:marLeft w:val="0"/>
      <w:marRight w:val="0"/>
      <w:marTop w:val="0"/>
      <w:marBottom w:val="0"/>
      <w:divBdr>
        <w:top w:val="none" w:sz="0" w:space="0" w:color="auto"/>
        <w:left w:val="none" w:sz="0" w:space="0" w:color="auto"/>
        <w:bottom w:val="none" w:sz="0" w:space="0" w:color="auto"/>
        <w:right w:val="none" w:sz="0" w:space="0" w:color="auto"/>
      </w:divBdr>
    </w:div>
    <w:div w:id="1006177482">
      <w:bodyDiv w:val="1"/>
      <w:marLeft w:val="0"/>
      <w:marRight w:val="0"/>
      <w:marTop w:val="0"/>
      <w:marBottom w:val="0"/>
      <w:divBdr>
        <w:top w:val="none" w:sz="0" w:space="0" w:color="auto"/>
        <w:left w:val="none" w:sz="0" w:space="0" w:color="auto"/>
        <w:bottom w:val="none" w:sz="0" w:space="0" w:color="auto"/>
        <w:right w:val="none" w:sz="0" w:space="0" w:color="auto"/>
      </w:divBdr>
    </w:div>
    <w:div w:id="1513108213">
      <w:bodyDiv w:val="1"/>
      <w:marLeft w:val="0"/>
      <w:marRight w:val="0"/>
      <w:marTop w:val="0"/>
      <w:marBottom w:val="0"/>
      <w:divBdr>
        <w:top w:val="none" w:sz="0" w:space="0" w:color="auto"/>
        <w:left w:val="none" w:sz="0" w:space="0" w:color="auto"/>
        <w:bottom w:val="none" w:sz="0" w:space="0" w:color="auto"/>
        <w:right w:val="none" w:sz="0" w:space="0" w:color="auto"/>
      </w:divBdr>
      <w:divsChild>
        <w:div w:id="749891859">
          <w:marLeft w:val="0"/>
          <w:marRight w:val="0"/>
          <w:marTop w:val="0"/>
          <w:marBottom w:val="0"/>
          <w:divBdr>
            <w:top w:val="single" w:sz="2" w:space="0" w:color="D9D9E3"/>
            <w:left w:val="single" w:sz="2" w:space="0" w:color="D9D9E3"/>
            <w:bottom w:val="single" w:sz="2" w:space="0" w:color="D9D9E3"/>
            <w:right w:val="single" w:sz="2" w:space="0" w:color="D9D9E3"/>
          </w:divBdr>
          <w:divsChild>
            <w:div w:id="1285385919">
              <w:marLeft w:val="0"/>
              <w:marRight w:val="0"/>
              <w:marTop w:val="0"/>
              <w:marBottom w:val="0"/>
              <w:divBdr>
                <w:top w:val="single" w:sz="2" w:space="0" w:color="D9D9E3"/>
                <w:left w:val="single" w:sz="2" w:space="0" w:color="D9D9E3"/>
                <w:bottom w:val="single" w:sz="2" w:space="0" w:color="D9D9E3"/>
                <w:right w:val="single" w:sz="2" w:space="0" w:color="D9D9E3"/>
              </w:divBdr>
              <w:divsChild>
                <w:div w:id="805123087">
                  <w:marLeft w:val="0"/>
                  <w:marRight w:val="0"/>
                  <w:marTop w:val="0"/>
                  <w:marBottom w:val="0"/>
                  <w:divBdr>
                    <w:top w:val="single" w:sz="2" w:space="0" w:color="D9D9E3"/>
                    <w:left w:val="single" w:sz="2" w:space="0" w:color="D9D9E3"/>
                    <w:bottom w:val="single" w:sz="2" w:space="0" w:color="D9D9E3"/>
                    <w:right w:val="single" w:sz="2" w:space="0" w:color="D9D9E3"/>
                  </w:divBdr>
                  <w:divsChild>
                    <w:div w:id="1122381485">
                      <w:marLeft w:val="0"/>
                      <w:marRight w:val="0"/>
                      <w:marTop w:val="0"/>
                      <w:marBottom w:val="0"/>
                      <w:divBdr>
                        <w:top w:val="single" w:sz="2" w:space="0" w:color="D9D9E3"/>
                        <w:left w:val="single" w:sz="2" w:space="0" w:color="D9D9E3"/>
                        <w:bottom w:val="single" w:sz="2" w:space="0" w:color="D9D9E3"/>
                        <w:right w:val="single" w:sz="2" w:space="0" w:color="D9D9E3"/>
                      </w:divBdr>
                      <w:divsChild>
                        <w:div w:id="72749135">
                          <w:marLeft w:val="0"/>
                          <w:marRight w:val="0"/>
                          <w:marTop w:val="0"/>
                          <w:marBottom w:val="0"/>
                          <w:divBdr>
                            <w:top w:val="single" w:sz="2" w:space="0" w:color="D9D9E3"/>
                            <w:left w:val="single" w:sz="2" w:space="0" w:color="D9D9E3"/>
                            <w:bottom w:val="single" w:sz="2" w:space="0" w:color="D9D9E3"/>
                            <w:right w:val="single" w:sz="2" w:space="0" w:color="D9D9E3"/>
                          </w:divBdr>
                          <w:divsChild>
                            <w:div w:id="704600364">
                              <w:marLeft w:val="0"/>
                              <w:marRight w:val="0"/>
                              <w:marTop w:val="100"/>
                              <w:marBottom w:val="100"/>
                              <w:divBdr>
                                <w:top w:val="single" w:sz="2" w:space="0" w:color="D9D9E3"/>
                                <w:left w:val="single" w:sz="2" w:space="0" w:color="D9D9E3"/>
                                <w:bottom w:val="single" w:sz="2" w:space="0" w:color="D9D9E3"/>
                                <w:right w:val="single" w:sz="2" w:space="0" w:color="D9D9E3"/>
                              </w:divBdr>
                              <w:divsChild>
                                <w:div w:id="141623751">
                                  <w:marLeft w:val="0"/>
                                  <w:marRight w:val="0"/>
                                  <w:marTop w:val="0"/>
                                  <w:marBottom w:val="0"/>
                                  <w:divBdr>
                                    <w:top w:val="single" w:sz="2" w:space="0" w:color="D9D9E3"/>
                                    <w:left w:val="single" w:sz="2" w:space="0" w:color="D9D9E3"/>
                                    <w:bottom w:val="single" w:sz="2" w:space="0" w:color="D9D9E3"/>
                                    <w:right w:val="single" w:sz="2" w:space="0" w:color="D9D9E3"/>
                                  </w:divBdr>
                                  <w:divsChild>
                                    <w:div w:id="585306133">
                                      <w:marLeft w:val="0"/>
                                      <w:marRight w:val="0"/>
                                      <w:marTop w:val="0"/>
                                      <w:marBottom w:val="0"/>
                                      <w:divBdr>
                                        <w:top w:val="single" w:sz="2" w:space="0" w:color="D9D9E3"/>
                                        <w:left w:val="single" w:sz="2" w:space="0" w:color="D9D9E3"/>
                                        <w:bottom w:val="single" w:sz="2" w:space="0" w:color="D9D9E3"/>
                                        <w:right w:val="single" w:sz="2" w:space="0" w:color="D9D9E3"/>
                                      </w:divBdr>
                                      <w:divsChild>
                                        <w:div w:id="2014019507">
                                          <w:marLeft w:val="0"/>
                                          <w:marRight w:val="0"/>
                                          <w:marTop w:val="0"/>
                                          <w:marBottom w:val="0"/>
                                          <w:divBdr>
                                            <w:top w:val="single" w:sz="2" w:space="0" w:color="D9D9E3"/>
                                            <w:left w:val="single" w:sz="2" w:space="0" w:color="D9D9E3"/>
                                            <w:bottom w:val="single" w:sz="2" w:space="0" w:color="D9D9E3"/>
                                            <w:right w:val="single" w:sz="2" w:space="0" w:color="D9D9E3"/>
                                          </w:divBdr>
                                          <w:divsChild>
                                            <w:div w:id="1705015224">
                                              <w:marLeft w:val="0"/>
                                              <w:marRight w:val="0"/>
                                              <w:marTop w:val="0"/>
                                              <w:marBottom w:val="0"/>
                                              <w:divBdr>
                                                <w:top w:val="single" w:sz="2" w:space="0" w:color="D9D9E3"/>
                                                <w:left w:val="single" w:sz="2" w:space="0" w:color="D9D9E3"/>
                                                <w:bottom w:val="single" w:sz="2" w:space="0" w:color="D9D9E3"/>
                                                <w:right w:val="single" w:sz="2" w:space="0" w:color="D9D9E3"/>
                                              </w:divBdr>
                                              <w:divsChild>
                                                <w:div w:id="887034924">
                                                  <w:marLeft w:val="0"/>
                                                  <w:marRight w:val="0"/>
                                                  <w:marTop w:val="0"/>
                                                  <w:marBottom w:val="0"/>
                                                  <w:divBdr>
                                                    <w:top w:val="single" w:sz="2" w:space="0" w:color="D9D9E3"/>
                                                    <w:left w:val="single" w:sz="2" w:space="0" w:color="D9D9E3"/>
                                                    <w:bottom w:val="single" w:sz="2" w:space="0" w:color="D9D9E3"/>
                                                    <w:right w:val="single" w:sz="2" w:space="0" w:color="D9D9E3"/>
                                                  </w:divBdr>
                                                  <w:divsChild>
                                                    <w:div w:id="393504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83992355">
          <w:marLeft w:val="0"/>
          <w:marRight w:val="0"/>
          <w:marTop w:val="0"/>
          <w:marBottom w:val="0"/>
          <w:divBdr>
            <w:top w:val="none" w:sz="0" w:space="0" w:color="auto"/>
            <w:left w:val="none" w:sz="0" w:space="0" w:color="auto"/>
            <w:bottom w:val="none" w:sz="0" w:space="0" w:color="auto"/>
            <w:right w:val="none" w:sz="0" w:space="0" w:color="auto"/>
          </w:divBdr>
        </w:div>
      </w:divsChild>
    </w:div>
    <w:div w:id="1601833701">
      <w:bodyDiv w:val="1"/>
      <w:marLeft w:val="0"/>
      <w:marRight w:val="0"/>
      <w:marTop w:val="0"/>
      <w:marBottom w:val="0"/>
      <w:divBdr>
        <w:top w:val="none" w:sz="0" w:space="0" w:color="auto"/>
        <w:left w:val="none" w:sz="0" w:space="0" w:color="auto"/>
        <w:bottom w:val="none" w:sz="0" w:space="0" w:color="auto"/>
        <w:right w:val="none" w:sz="0" w:space="0" w:color="auto"/>
      </w:divBdr>
    </w:div>
    <w:div w:id="166037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2902</Words>
  <Characters>16542</Characters>
  <Application>Microsoft Office Word</Application>
  <DocSecurity>0</DocSecurity>
  <Lines>137</Lines>
  <Paragraphs>38</Paragraphs>
  <ScaleCrop>false</ScaleCrop>
  <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 Slavov</cp:lastModifiedBy>
  <cp:revision>7</cp:revision>
  <dcterms:created xsi:type="dcterms:W3CDTF">2023-12-03T09:17:00Z</dcterms:created>
  <dcterms:modified xsi:type="dcterms:W3CDTF">2023-12-03T09:26:00Z</dcterms:modified>
</cp:coreProperties>
</file>