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2792D689" w:rsidR="009C337F" w:rsidRDefault="00771CC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Louise Davis</w:t>
            </w:r>
          </w:p>
          <w:p w14:paraId="0D93C520" w14:textId="77777777" w:rsidR="00771CCF" w:rsidRDefault="00771CC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86DCCBF" w:rsidR="00986B43" w:rsidRDefault="00771CCF" w:rsidP="005D3F07">
            <w:pPr>
              <w:overflowPunct/>
              <w:autoSpaceDE/>
              <w:autoSpaceDN/>
              <w:adjustRightInd/>
              <w:ind w:right="-957"/>
              <w:textAlignment w:val="auto"/>
              <w:rPr>
                <w:rFonts w:ascii="Times New Roman" w:hAnsi="Times New Roman" w:cs="Times New Roman"/>
                <w:b/>
                <w:color w:val="auto"/>
                <w:sz w:val="48"/>
              </w:rPr>
            </w:pPr>
            <w:hyperlink r:id="rId11" w:history="1">
              <w:r w:rsidRPr="00A5303E">
                <w:rPr>
                  <w:rStyle w:val="Hyperlink"/>
                  <w:rFonts w:ascii="Times New Roman" w:hAnsi="Times New Roman" w:cs="Times New Roman"/>
                  <w:b/>
                  <w:sz w:val="48"/>
                </w:rPr>
                <w:t>2433082@student.uwtsd.ac.uk</w:t>
              </w:r>
            </w:hyperlink>
          </w:p>
          <w:p w14:paraId="1A771183" w14:textId="77777777" w:rsidR="00771CCF" w:rsidRDefault="00771CCF"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28FA330" w:rsidR="0085230E" w:rsidRDefault="00771CC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2433082</w:t>
            </w:r>
          </w:p>
          <w:p w14:paraId="3450A44A" w14:textId="77777777" w:rsidR="00771CCF" w:rsidRPr="005D3F07" w:rsidRDefault="00771CCF"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51810F8D" w14:textId="77777777" w:rsidR="00771CCF" w:rsidRDefault="008420E1" w:rsidP="00771CC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EF984DF" w14:textId="16E7B114" w:rsidR="000D0BB6" w:rsidRPr="00771CCF" w:rsidRDefault="00337FEF" w:rsidP="00771CCF">
      <w:pPr>
        <w:overflowPunct/>
        <w:autoSpaceDE/>
        <w:autoSpaceDN/>
        <w:adjustRightInd/>
        <w:ind w:right="-957"/>
        <w:jc w:val="center"/>
        <w:textAlignment w:val="auto"/>
        <w:rPr>
          <w:rFonts w:ascii="Times New Roman" w:hAnsi="Times New Roman" w:cs="Times New Roman"/>
          <w:b/>
          <w:color w:val="auto"/>
          <w:sz w:val="4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022DCFAC" w14:textId="77777777" w:rsidR="00771CCF" w:rsidRPr="00771CCF" w:rsidRDefault="00771CCF" w:rsidP="00771CCF">
      <w:pPr>
        <w:jc w:val="both"/>
        <w:rPr>
          <w:sz w:val="24"/>
          <w:szCs w:val="24"/>
        </w:rPr>
      </w:pPr>
      <w:r w:rsidRPr="00771CCF">
        <w:rPr>
          <w:sz w:val="24"/>
          <w:szCs w:val="24"/>
        </w:rPr>
        <w:t>Since qualifying in October 2023, I have worked in a Local Authority (LA) Children’s Services in North Wales. In December 2025, I moved into the same LA’s Adult Mental Health Service, supporting adults with care and support needs that do not meet Statutory threshold. As this is a relatively new area of my practice, this reflection aims to demonstrate my developing understanding of the legislation, national and local policies, and organisational procedures that underpin adult safeguarding in Wales.</w:t>
      </w:r>
    </w:p>
    <w:p w14:paraId="18F6A937" w14:textId="77777777" w:rsidR="00771CCF" w:rsidRDefault="00771CCF" w:rsidP="00771CCF">
      <w:pPr>
        <w:jc w:val="both"/>
        <w:rPr>
          <w:sz w:val="24"/>
          <w:szCs w:val="24"/>
        </w:rPr>
      </w:pPr>
    </w:p>
    <w:p w14:paraId="3284A638" w14:textId="5A5EC65C" w:rsidR="00771CCF" w:rsidRPr="00771CCF" w:rsidRDefault="00771CCF" w:rsidP="00771CCF">
      <w:pPr>
        <w:jc w:val="both"/>
        <w:rPr>
          <w:sz w:val="24"/>
          <w:szCs w:val="24"/>
        </w:rPr>
      </w:pPr>
      <w:r w:rsidRPr="00771CCF">
        <w:rPr>
          <w:sz w:val="24"/>
          <w:szCs w:val="24"/>
        </w:rPr>
        <w:t>The Social Services and Well-being (Wales) Act 2014 (SSW(W)A</w:t>
      </w:r>
      <w:r>
        <w:rPr>
          <w:sz w:val="24"/>
          <w:szCs w:val="24"/>
        </w:rPr>
        <w:t>, 2014</w:t>
      </w:r>
      <w:r w:rsidRPr="00771CCF">
        <w:rPr>
          <w:sz w:val="24"/>
          <w:szCs w:val="24"/>
        </w:rPr>
        <w:t xml:space="preserve">) provides the main legislative framework for adult safeguarding. Part 7 places a duty on relevant partners to report concerns where an adult is at risk of abuse or neglect (s128) and requires the </w:t>
      </w:r>
      <w:r w:rsidR="00905F10">
        <w:rPr>
          <w:sz w:val="24"/>
          <w:szCs w:val="24"/>
        </w:rPr>
        <w:t>LA</w:t>
      </w:r>
      <w:r w:rsidRPr="00771CCF">
        <w:rPr>
          <w:sz w:val="24"/>
          <w:szCs w:val="24"/>
        </w:rPr>
        <w:t xml:space="preserve"> to make enquiries where there is reasonable cause to suspect risk (s126–s129). The SSW(W)A (2014) defines an “adult at risk” as someone aged 18 or over who has care and support needs, is experiencing or at risk of abuse or neglect, and is unable to protect themselves due to those needs (s126). Safeguarding Adult Boards and Adult Protection and Support Orders (s127) support multi-agency working while maintaining LA’s as the lead statutory body.</w:t>
      </w:r>
    </w:p>
    <w:p w14:paraId="51055DF7" w14:textId="77777777" w:rsidR="00771CCF" w:rsidRDefault="00771CCF" w:rsidP="00771CCF">
      <w:pPr>
        <w:jc w:val="both"/>
        <w:rPr>
          <w:sz w:val="24"/>
          <w:szCs w:val="24"/>
        </w:rPr>
      </w:pPr>
    </w:p>
    <w:p w14:paraId="087AD4DF" w14:textId="4E42F3D4" w:rsidR="00771CCF" w:rsidRPr="00771CCF" w:rsidRDefault="00771CCF" w:rsidP="00771CCF">
      <w:pPr>
        <w:jc w:val="both"/>
        <w:rPr>
          <w:sz w:val="24"/>
          <w:szCs w:val="24"/>
        </w:rPr>
      </w:pPr>
      <w:r w:rsidRPr="00771CCF">
        <w:rPr>
          <w:sz w:val="24"/>
          <w:szCs w:val="24"/>
        </w:rPr>
        <w:t>The SSW(W)A (2014) also sets out eligibility for care and support under Part 4 (s19–s24), based on assessed need and national eligibility criteria. This emphasis</w:t>
      </w:r>
      <w:r w:rsidR="00905F10">
        <w:rPr>
          <w:sz w:val="24"/>
          <w:szCs w:val="24"/>
        </w:rPr>
        <w:t xml:space="preserve">’ </w:t>
      </w:r>
      <w:r w:rsidRPr="00771CCF">
        <w:rPr>
          <w:sz w:val="24"/>
          <w:szCs w:val="24"/>
        </w:rPr>
        <w:t>wellbeing, prevention, and early intervention, ensuring support is provided before needs escalate.</w:t>
      </w:r>
      <w:r>
        <w:rPr>
          <w:sz w:val="24"/>
          <w:szCs w:val="24"/>
        </w:rPr>
        <w:t xml:space="preserve">  </w:t>
      </w:r>
      <w:r w:rsidRPr="00771CCF">
        <w:rPr>
          <w:sz w:val="24"/>
          <w:szCs w:val="24"/>
        </w:rPr>
        <w:t>At a national level, the Wales Safeguarding Procedures (2019) provide a robust framework for responding to safeguarding concerns. These procedures outline how concerns should be identified, recorded, referred, and progressed through multi-agency decision-making processes (Social Care Wales, 2019). The Code of Professional Practice for Social Care (2017) (COPP) further supports professional accountability by requiring practitioners to promote wellbeing, act on safeguarding concerns, maintain confidentiality, and share information appropriately.</w:t>
      </w:r>
    </w:p>
    <w:p w14:paraId="19EC0278" w14:textId="77777777" w:rsidR="00771CCF" w:rsidRDefault="00771CCF" w:rsidP="00771CCF">
      <w:pPr>
        <w:jc w:val="both"/>
        <w:rPr>
          <w:sz w:val="24"/>
          <w:szCs w:val="24"/>
        </w:rPr>
      </w:pPr>
    </w:p>
    <w:p w14:paraId="53E1C2C2" w14:textId="749415AF" w:rsidR="00771CCF" w:rsidRPr="00771CCF" w:rsidRDefault="00771CCF" w:rsidP="00771CCF">
      <w:pPr>
        <w:jc w:val="both"/>
        <w:rPr>
          <w:sz w:val="24"/>
          <w:szCs w:val="24"/>
        </w:rPr>
      </w:pPr>
      <w:r w:rsidRPr="00771CCF">
        <w:rPr>
          <w:sz w:val="24"/>
          <w:szCs w:val="24"/>
        </w:rPr>
        <w:t xml:space="preserve">At a local level, my LA safeguarding policy sets out clear internal procedures regarding safeguarding, including reporting concerns to line managers or safeguarding leads, completing </w:t>
      </w:r>
      <w:r w:rsidRPr="00771CCF">
        <w:rPr>
          <w:sz w:val="24"/>
          <w:szCs w:val="24"/>
        </w:rPr>
        <w:lastRenderedPageBreak/>
        <w:t>safeguarding referrals and escalating concerns where immediate risk is identified. In practice, safeguarding referrals are submitted to the duty team, screened, and may progress to</w:t>
      </w:r>
      <w:r w:rsidR="00905F10">
        <w:rPr>
          <w:sz w:val="24"/>
          <w:szCs w:val="24"/>
        </w:rPr>
        <w:t xml:space="preserve"> S</w:t>
      </w:r>
      <w:r w:rsidRPr="00771CCF">
        <w:rPr>
          <w:sz w:val="24"/>
          <w:szCs w:val="24"/>
        </w:rPr>
        <w:t>126 enquiries. Where appropriate, a strategy discussion is held involving multi-agency partners such as health and police to agree risk management and safeguarding actions.  These organisational procedures also emphasise recording standards, supervision, and escalation routes to ensure accountability and consistency in safeguarding practice.</w:t>
      </w:r>
      <w:r>
        <w:rPr>
          <w:sz w:val="24"/>
          <w:szCs w:val="24"/>
        </w:rPr>
        <w:t xml:space="preserve">  </w:t>
      </w:r>
      <w:r w:rsidRPr="00771CCF">
        <w:rPr>
          <w:sz w:val="24"/>
          <w:szCs w:val="24"/>
        </w:rPr>
        <w:t>The Social Care Institute for Excellence (SCIE, 2020) identifies indicators of risk including self-neglect, unexplained injury, emotional withdrawal, exploitation, and coercion. Recognising these signs is essential in fulfilling the statutory duty to report under s128.</w:t>
      </w:r>
    </w:p>
    <w:p w14:paraId="21939DB2" w14:textId="77777777" w:rsidR="00771CCF" w:rsidRDefault="00771CCF" w:rsidP="00771CCF">
      <w:pPr>
        <w:jc w:val="both"/>
        <w:rPr>
          <w:sz w:val="24"/>
          <w:szCs w:val="24"/>
        </w:rPr>
      </w:pPr>
    </w:p>
    <w:p w14:paraId="16F9656B" w14:textId="71280633" w:rsidR="00771CCF" w:rsidRPr="00771CCF" w:rsidRDefault="00771CCF" w:rsidP="00771CCF">
      <w:pPr>
        <w:jc w:val="both"/>
        <w:rPr>
          <w:sz w:val="24"/>
          <w:szCs w:val="24"/>
        </w:rPr>
      </w:pPr>
      <w:r w:rsidRPr="00771CCF">
        <w:rPr>
          <w:sz w:val="24"/>
          <w:szCs w:val="24"/>
        </w:rPr>
        <w:t xml:space="preserve">The Mental Capacity Act (2005) </w:t>
      </w:r>
      <w:r w:rsidR="00905F10">
        <w:rPr>
          <w:sz w:val="24"/>
          <w:szCs w:val="24"/>
        </w:rPr>
        <w:t xml:space="preserve"> (MCA, 2005) </w:t>
      </w:r>
      <w:r w:rsidRPr="00771CCF">
        <w:rPr>
          <w:sz w:val="24"/>
          <w:szCs w:val="24"/>
        </w:rPr>
        <w:t>is central to safeguarding practice. It requires practitioners to presume capacity unless proven otherwise and to take all practicable steps to support decision-making. Where capacity is lacking, decisions must be made in the person’s best interests. However, individuals with capacity retain the right to make unwise decisions, which must be respected within legal frameworks.</w:t>
      </w:r>
    </w:p>
    <w:p w14:paraId="38417222" w14:textId="77777777" w:rsidR="00771CCF" w:rsidRDefault="00771CCF" w:rsidP="00771CCF">
      <w:pPr>
        <w:jc w:val="both"/>
        <w:rPr>
          <w:sz w:val="24"/>
          <w:szCs w:val="24"/>
        </w:rPr>
      </w:pPr>
    </w:p>
    <w:p w14:paraId="6B7D2554" w14:textId="0497A219" w:rsidR="00771CCF" w:rsidRDefault="00771CCF" w:rsidP="00771CCF">
      <w:pPr>
        <w:jc w:val="both"/>
        <w:rPr>
          <w:sz w:val="24"/>
          <w:szCs w:val="24"/>
        </w:rPr>
      </w:pPr>
      <w:r w:rsidRPr="00771CCF">
        <w:rPr>
          <w:sz w:val="24"/>
          <w:szCs w:val="24"/>
        </w:rPr>
        <w:t>The SSW(W)A (2014) operates alongside other legislation, including the Violence Against Women, Domestic Abuse and Sexual Violence (Wales) (2015), Modern Slavery Act (2015), Safeguarding Vulnerable Groups Act (2006), and the Equality Act (2010).  Together they complete a comprehensive framework to protect adults from abuse, neglect, and exploitation</w:t>
      </w:r>
      <w:r w:rsidR="00905F10">
        <w:rPr>
          <w:sz w:val="24"/>
          <w:szCs w:val="24"/>
        </w:rPr>
        <w:t xml:space="preserve">, </w:t>
      </w:r>
      <w:r w:rsidR="00905F10" w:rsidRPr="00905F10">
        <w:rPr>
          <w:sz w:val="24"/>
          <w:szCs w:val="24"/>
        </w:rPr>
        <w:t xml:space="preserve">ensuring </w:t>
      </w:r>
      <w:r w:rsidR="00905F10">
        <w:rPr>
          <w:sz w:val="24"/>
          <w:szCs w:val="24"/>
        </w:rPr>
        <w:t xml:space="preserve">individual </w:t>
      </w:r>
      <w:r w:rsidR="00905F10" w:rsidRPr="00905F10">
        <w:rPr>
          <w:sz w:val="24"/>
          <w:szCs w:val="24"/>
        </w:rPr>
        <w:t>rights, safety, and wellbeing are upheld.</w:t>
      </w:r>
      <w:r w:rsidRPr="00771CCF">
        <w:rPr>
          <w:sz w:val="24"/>
          <w:szCs w:val="24"/>
        </w:rPr>
        <w:t xml:space="preserve"> </w:t>
      </w:r>
    </w:p>
    <w:p w14:paraId="22DB0025" w14:textId="77777777" w:rsidR="00771CCF" w:rsidRDefault="00771CCF" w:rsidP="00771CCF">
      <w:pPr>
        <w:jc w:val="both"/>
        <w:rPr>
          <w:sz w:val="24"/>
          <w:szCs w:val="24"/>
        </w:rPr>
      </w:pPr>
    </w:p>
    <w:p w14:paraId="1FC83FC7" w14:textId="6C5E1F9C" w:rsidR="00AA666E" w:rsidRPr="008B28E7" w:rsidRDefault="00771CCF" w:rsidP="00FF7EBB">
      <w:pPr>
        <w:jc w:val="both"/>
        <w:rPr>
          <w:sz w:val="24"/>
          <w:szCs w:val="24"/>
        </w:rPr>
      </w:pPr>
      <w:r w:rsidRPr="00771CCF">
        <w:rPr>
          <w:sz w:val="24"/>
          <w:szCs w:val="24"/>
        </w:rPr>
        <w:t>(5</w:t>
      </w:r>
      <w:r w:rsidR="00905F10">
        <w:rPr>
          <w:sz w:val="24"/>
          <w:szCs w:val="24"/>
        </w:rPr>
        <w:t>46</w:t>
      </w:r>
      <w:r w:rsidRPr="00771CCF">
        <w:rPr>
          <w:sz w:val="24"/>
          <w:szCs w:val="24"/>
        </w:rPr>
        <w:t>)</w:t>
      </w: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133DF838" w14:textId="77777777" w:rsidR="00771CCF" w:rsidRPr="00771CCF" w:rsidRDefault="00771CCF" w:rsidP="00771CCF">
      <w:pPr>
        <w:jc w:val="both"/>
        <w:rPr>
          <w:sz w:val="24"/>
          <w:szCs w:val="24"/>
        </w:rPr>
      </w:pPr>
      <w:r w:rsidRPr="00771CCF">
        <w:rPr>
          <w:sz w:val="24"/>
          <w:szCs w:val="24"/>
        </w:rPr>
        <w:t>Although adult and children’s safeguarding in Wales share many legislative frameworks and multi-agency procedures, there are fundamental differences in principle and practice.</w:t>
      </w:r>
    </w:p>
    <w:p w14:paraId="720D80A1" w14:textId="77777777" w:rsidR="00771CCF" w:rsidRDefault="00771CCF" w:rsidP="00771CCF">
      <w:pPr>
        <w:jc w:val="both"/>
        <w:rPr>
          <w:sz w:val="24"/>
          <w:szCs w:val="24"/>
        </w:rPr>
      </w:pPr>
    </w:p>
    <w:p w14:paraId="4B6843FA" w14:textId="62D07460" w:rsidR="00771CCF" w:rsidRPr="00771CCF" w:rsidRDefault="00771CCF" w:rsidP="00771CCF">
      <w:pPr>
        <w:jc w:val="both"/>
        <w:rPr>
          <w:sz w:val="24"/>
          <w:szCs w:val="24"/>
        </w:rPr>
      </w:pPr>
      <w:r w:rsidRPr="00771CCF">
        <w:rPr>
          <w:sz w:val="24"/>
          <w:szCs w:val="24"/>
        </w:rPr>
        <w:t>A key distinction in adult safeguarding is the principle of self-determination. Adults who have mental capacity are legally entitled to make their own decisions, even where those decisions involve risk. As a result, adults may choose to decline support or intervention, and professionals must respect this choice unless there is evidence of impaired capacity or risks to others, such as children within the same household. Adult safeguarding is therefore strongly grounded in empowerment, autonomy, and rights-based practice.</w:t>
      </w:r>
    </w:p>
    <w:p w14:paraId="7F71CCFA" w14:textId="77777777" w:rsidR="00771CCF" w:rsidRDefault="00771CCF" w:rsidP="00771CCF">
      <w:pPr>
        <w:jc w:val="both"/>
        <w:rPr>
          <w:sz w:val="24"/>
          <w:szCs w:val="24"/>
        </w:rPr>
      </w:pPr>
    </w:p>
    <w:p w14:paraId="7A049A2B" w14:textId="150ECD94" w:rsidR="00771CCF" w:rsidRPr="00771CCF" w:rsidRDefault="00771CCF" w:rsidP="00771CCF">
      <w:pPr>
        <w:jc w:val="both"/>
        <w:rPr>
          <w:sz w:val="24"/>
          <w:szCs w:val="24"/>
        </w:rPr>
      </w:pPr>
      <w:r w:rsidRPr="00771CCF">
        <w:rPr>
          <w:sz w:val="24"/>
          <w:szCs w:val="24"/>
        </w:rPr>
        <w:t>The Mental Capacity Act (2005) (s1(3)) (MCA, 2005) underpins this approach by stating that a</w:t>
      </w:r>
      <w:r w:rsidR="00905F10">
        <w:rPr>
          <w:sz w:val="24"/>
          <w:szCs w:val="24"/>
        </w:rPr>
        <w:t xml:space="preserve">n adult </w:t>
      </w:r>
      <w:r w:rsidRPr="00771CCF">
        <w:rPr>
          <w:sz w:val="24"/>
          <w:szCs w:val="24"/>
        </w:rPr>
        <w:t xml:space="preserve">must not be treated as unable to make a decision unless all practicable steps to support them have been taken without success. Capacity assessments consider whether an individual can understand, retain, use or weigh information, and communicate their decision. Practitioners are required to clearly evidence their rationale when determining capacity, ensuring that any </w:t>
      </w:r>
      <w:r w:rsidRPr="00771CCF">
        <w:rPr>
          <w:sz w:val="24"/>
          <w:szCs w:val="24"/>
        </w:rPr>
        <w:lastRenderedPageBreak/>
        <w:t>restriction of autonomy is legally justified. This highlights the balance in adult safeguarding between protecting individuals from harm and respecting their right to make unwise decisions.</w:t>
      </w:r>
    </w:p>
    <w:p w14:paraId="41304871" w14:textId="77777777" w:rsidR="00771CCF" w:rsidRDefault="00771CCF" w:rsidP="00771CCF">
      <w:pPr>
        <w:jc w:val="both"/>
        <w:rPr>
          <w:sz w:val="24"/>
          <w:szCs w:val="24"/>
        </w:rPr>
      </w:pPr>
    </w:p>
    <w:p w14:paraId="696D170D" w14:textId="45D9DAFA" w:rsidR="00771CCF" w:rsidRPr="00771CCF" w:rsidRDefault="00771CCF" w:rsidP="00771CCF">
      <w:pPr>
        <w:jc w:val="both"/>
        <w:rPr>
          <w:sz w:val="24"/>
          <w:szCs w:val="24"/>
        </w:rPr>
      </w:pPr>
      <w:r w:rsidRPr="00771CCF">
        <w:rPr>
          <w:sz w:val="24"/>
          <w:szCs w:val="24"/>
        </w:rPr>
        <w:t>In contrast, children’s safeguarding operates within a more dominant legal framework. Under S47 of the Children Act (1989), LA’s have a statutory duty to investigate where there is reasonable cause to suspect that a child is suffering, or is likely to suffer, significant harm. This duty allows professionals to act without parental or child consent and, where necessary, apply to the courts to remove a child from harm. In urgent situations, police also have powers to remove a child to a place of safety to ensure immediate protection.</w:t>
      </w:r>
      <w:r>
        <w:rPr>
          <w:sz w:val="24"/>
          <w:szCs w:val="24"/>
        </w:rPr>
        <w:t xml:space="preserve">  </w:t>
      </w:r>
      <w:r w:rsidR="00905F10" w:rsidRPr="00905F10">
        <w:rPr>
          <w:sz w:val="24"/>
          <w:szCs w:val="24"/>
        </w:rPr>
        <w:t xml:space="preserve">Although children's safeguarding </w:t>
      </w:r>
      <w:r w:rsidR="00905F10">
        <w:rPr>
          <w:sz w:val="24"/>
          <w:szCs w:val="24"/>
        </w:rPr>
        <w:t xml:space="preserve">does </w:t>
      </w:r>
      <w:r w:rsidR="004F5469" w:rsidRPr="00905F10">
        <w:rPr>
          <w:sz w:val="24"/>
          <w:szCs w:val="24"/>
        </w:rPr>
        <w:t>recognise</w:t>
      </w:r>
      <w:r w:rsidR="00905F10" w:rsidRPr="00905F10">
        <w:rPr>
          <w:sz w:val="24"/>
          <w:szCs w:val="24"/>
        </w:rPr>
        <w:t xml:space="preserve"> autonomy through the principle </w:t>
      </w:r>
      <w:r w:rsidR="004F5469">
        <w:rPr>
          <w:sz w:val="24"/>
          <w:szCs w:val="24"/>
        </w:rPr>
        <w:t xml:space="preserve">of </w:t>
      </w:r>
      <w:r w:rsidR="00905F10" w:rsidRPr="00905F10">
        <w:rPr>
          <w:sz w:val="24"/>
          <w:szCs w:val="24"/>
        </w:rPr>
        <w:t>Gillick v West Norfolk and Wisbech Area Health Authority (1986), whereby children under the age of 16 may be deemed capable of making informed decisions (NSPCC, 2019), professionals may override a child's wishes where there is a risk of significant harm. This overriding duty to safeguard the child's welfare, ensur</w:t>
      </w:r>
      <w:r w:rsidR="004F5469">
        <w:rPr>
          <w:sz w:val="24"/>
          <w:szCs w:val="24"/>
        </w:rPr>
        <w:t>es</w:t>
      </w:r>
      <w:r w:rsidR="00905F10" w:rsidRPr="00905F10">
        <w:rPr>
          <w:sz w:val="24"/>
          <w:szCs w:val="24"/>
        </w:rPr>
        <w:t xml:space="preserve"> that their best interests remain the primary consideration.</w:t>
      </w:r>
    </w:p>
    <w:p w14:paraId="1D9B6759" w14:textId="191A42D7" w:rsidR="00771CCF" w:rsidRPr="00771CCF" w:rsidRDefault="00771CCF" w:rsidP="00771CCF">
      <w:pPr>
        <w:jc w:val="both"/>
        <w:rPr>
          <w:sz w:val="24"/>
          <w:szCs w:val="24"/>
        </w:rPr>
      </w:pPr>
    </w:p>
    <w:p w14:paraId="6DD88165" w14:textId="16B99A1C" w:rsidR="00771CCF" w:rsidRPr="00771CCF" w:rsidRDefault="00771CCF" w:rsidP="00771CCF">
      <w:pPr>
        <w:jc w:val="both"/>
        <w:rPr>
          <w:sz w:val="24"/>
          <w:szCs w:val="24"/>
        </w:rPr>
      </w:pPr>
      <w:r w:rsidRPr="00771CCF">
        <w:rPr>
          <w:sz w:val="24"/>
          <w:szCs w:val="24"/>
        </w:rPr>
        <w:t xml:space="preserve">Adult safeguarding does not provide an equivalent automatic investigative or removal power. As already discussed, </w:t>
      </w:r>
      <w:r>
        <w:rPr>
          <w:sz w:val="24"/>
          <w:szCs w:val="24"/>
        </w:rPr>
        <w:t>i</w:t>
      </w:r>
      <w:r w:rsidRPr="00771CCF">
        <w:rPr>
          <w:sz w:val="24"/>
          <w:szCs w:val="24"/>
        </w:rPr>
        <w:t xml:space="preserve">ntervention is only justified where an adult lacks capacity, or where other legal frameworks apply, such as the </w:t>
      </w:r>
      <w:r w:rsidR="004F5469">
        <w:rPr>
          <w:sz w:val="24"/>
          <w:szCs w:val="24"/>
        </w:rPr>
        <w:t xml:space="preserve">Mental Health Act </w:t>
      </w:r>
      <w:r w:rsidRPr="00771CCF">
        <w:rPr>
          <w:sz w:val="24"/>
          <w:szCs w:val="24"/>
        </w:rPr>
        <w:t>(1983). This reinforces the legal presumption that adults are autonomous unless proven otherwise.</w:t>
      </w:r>
    </w:p>
    <w:p w14:paraId="37C6E1C9" w14:textId="77777777" w:rsidR="00771CCF" w:rsidRDefault="00771CCF" w:rsidP="00771CCF">
      <w:pPr>
        <w:jc w:val="both"/>
        <w:rPr>
          <w:sz w:val="24"/>
          <w:szCs w:val="24"/>
        </w:rPr>
      </w:pPr>
    </w:p>
    <w:p w14:paraId="72AB942E" w14:textId="77777777" w:rsidR="00771CCF" w:rsidRPr="00771CCF" w:rsidRDefault="00771CCF" w:rsidP="00771CCF">
      <w:pPr>
        <w:jc w:val="both"/>
        <w:rPr>
          <w:sz w:val="24"/>
          <w:szCs w:val="24"/>
        </w:rPr>
      </w:pPr>
      <w:r w:rsidRPr="00771CCF">
        <w:rPr>
          <w:sz w:val="24"/>
          <w:szCs w:val="24"/>
        </w:rPr>
        <w:t>Overall, children’s safeguarding is primarily protection and intervention led, prioritising the prevention of harm. In contrast, adult safeguarding is rights-based and capacity-driven, requiring practitioners to balance protection with respect for autonomy, choice, and dignity, intervening only within clearly defined legal thresholds.</w:t>
      </w:r>
    </w:p>
    <w:p w14:paraId="44AAAD8B" w14:textId="77777777" w:rsidR="00771CCF" w:rsidRDefault="00771CCF" w:rsidP="00771CCF">
      <w:pPr>
        <w:jc w:val="both"/>
        <w:rPr>
          <w:sz w:val="24"/>
          <w:szCs w:val="24"/>
        </w:rPr>
      </w:pPr>
    </w:p>
    <w:p w14:paraId="3B609D73" w14:textId="45D01BA6" w:rsidR="00771CCF" w:rsidRPr="00771CCF" w:rsidRDefault="00771CCF" w:rsidP="00771CCF">
      <w:pPr>
        <w:jc w:val="both"/>
        <w:rPr>
          <w:sz w:val="24"/>
          <w:szCs w:val="24"/>
        </w:rPr>
      </w:pPr>
      <w:r w:rsidRPr="00771CCF">
        <w:rPr>
          <w:sz w:val="24"/>
          <w:szCs w:val="24"/>
        </w:rPr>
        <w:t>(4</w:t>
      </w:r>
      <w:r w:rsidR="004F5469">
        <w:rPr>
          <w:sz w:val="24"/>
          <w:szCs w:val="24"/>
        </w:rPr>
        <w:t>40</w:t>
      </w:r>
      <w:r w:rsidRPr="00771CCF">
        <w:rPr>
          <w:sz w:val="24"/>
          <w:szCs w:val="24"/>
        </w:rPr>
        <w:t>)</w:t>
      </w:r>
    </w:p>
    <w:p w14:paraId="2C4E6FB1" w14:textId="77777777" w:rsidR="00771CCF" w:rsidRDefault="00771CCF" w:rsidP="00771CCF">
      <w:pPr>
        <w:jc w:val="both"/>
        <w:rPr>
          <w:sz w:val="24"/>
          <w:szCs w:val="24"/>
        </w:rPr>
      </w:pPr>
    </w:p>
    <w:sectPr w:rsidR="00771CCF" w:rsidSect="00F15354">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12E"/>
    <w:rsid w:val="00354B6D"/>
    <w:rsid w:val="00355210"/>
    <w:rsid w:val="00355CFD"/>
    <w:rsid w:val="003619AE"/>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4A6D"/>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469"/>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5BA4"/>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CCF"/>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1B6"/>
    <w:rsid w:val="00902A65"/>
    <w:rsid w:val="00903932"/>
    <w:rsid w:val="00905F10"/>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546"/>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97E"/>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71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33082@student.uwtsd.ac.uk"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1188</Words>
  <Characters>7089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M Davis</cp:lastModifiedBy>
  <cp:revision>4</cp:revision>
  <cp:lastPrinted>2020-02-11T19:20:00Z</cp:lastPrinted>
  <dcterms:created xsi:type="dcterms:W3CDTF">2026-07-06T11:07:00Z</dcterms:created>
  <dcterms:modified xsi:type="dcterms:W3CDTF">2026-07-10T09:42:00Z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