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1DDF61" w14:textId="77777777" w:rsidR="00241938" w:rsidRDefault="00241938" w:rsidP="00241938">
      <w:pPr>
        <w:pStyle w:val="Heading2"/>
        <w:jc w:val="both"/>
        <w:rPr>
          <w:rFonts w:ascii="Times New Roman" w:hAnsi="Times New Roman" w:cs="Times New Roman"/>
          <w:sz w:val="24"/>
          <w:szCs w:val="24"/>
        </w:rPr>
      </w:pPr>
      <w:r>
        <w:rPr>
          <w:rFonts w:ascii="Times New Roman" w:hAnsi="Times New Roman" w:cs="Times New Roman"/>
          <w:sz w:val="24"/>
          <w:szCs w:val="24"/>
        </w:rPr>
        <w:t>Introduction</w:t>
      </w:r>
    </w:p>
    <w:p w14:paraId="1B0F693A" w14:textId="77777777" w:rsidR="00241938" w:rsidRDefault="00241938" w:rsidP="00241938">
      <w:pPr>
        <w:rPr>
          <w:rFonts w:ascii="Times New Roman" w:hAnsi="Times New Roman" w:cs="Times New Roman"/>
          <w:szCs w:val="24"/>
        </w:rPr>
      </w:pPr>
    </w:p>
    <w:p w14:paraId="39449982" w14:textId="77777777" w:rsidR="00241938" w:rsidRDefault="00241938" w:rsidP="00241938">
      <w:pPr>
        <w:pStyle w:val="Heading2"/>
        <w:ind w:firstLine="720"/>
        <w:jc w:val="both"/>
        <w:rPr>
          <w:rFonts w:ascii="Times New Roman" w:eastAsiaTheme="minorHAnsi" w:hAnsi="Times New Roman" w:cs="Times New Roman"/>
          <w:b w:val="0"/>
          <w:color w:val="auto"/>
          <w:sz w:val="24"/>
          <w:szCs w:val="24"/>
        </w:rPr>
      </w:pPr>
      <w:r>
        <w:rPr>
          <w:rFonts w:ascii="Times New Roman" w:eastAsiaTheme="minorHAnsi" w:hAnsi="Times New Roman" w:cs="Times New Roman"/>
          <w:b w:val="0"/>
          <w:color w:val="auto"/>
          <w:sz w:val="24"/>
          <w:szCs w:val="24"/>
        </w:rPr>
        <w:t xml:space="preserve">This critical reflection focuses on the aspect derived from part 1, Marking Work. The section discusses how during my teaching experience I followed my placement schools marking policy using marking codes, different colored highlighters, and providing the students with formative feedback. Therefore, this critical reflection and discussion will focus predominantly on teachers written feedback. </w:t>
      </w:r>
    </w:p>
    <w:p w14:paraId="17C1D5FD" w14:textId="77777777" w:rsidR="00241938" w:rsidRDefault="00241938" w:rsidP="00241938">
      <w:pPr>
        <w:pStyle w:val="Heading2"/>
        <w:jc w:val="center"/>
        <w:rPr>
          <w:rFonts w:ascii="Times New Roman" w:eastAsiaTheme="minorHAnsi" w:hAnsi="Times New Roman" w:cs="Times New Roman"/>
          <w:b w:val="0"/>
          <w:color w:val="auto"/>
          <w:sz w:val="24"/>
          <w:szCs w:val="24"/>
        </w:rPr>
      </w:pPr>
    </w:p>
    <w:p w14:paraId="023B0283" w14:textId="77777777" w:rsidR="00241938" w:rsidRDefault="00241938" w:rsidP="00241938">
      <w:pPr>
        <w:pStyle w:val="Heading2"/>
        <w:jc w:val="center"/>
        <w:rPr>
          <w:rFonts w:ascii="Times New Roman" w:eastAsiaTheme="minorHAnsi" w:hAnsi="Times New Roman" w:cs="Times New Roman"/>
          <w:b w:val="0"/>
          <w:color w:val="auto"/>
          <w:sz w:val="24"/>
          <w:szCs w:val="24"/>
        </w:rPr>
      </w:pPr>
      <w:r>
        <w:rPr>
          <w:rFonts w:ascii="Times New Roman" w:eastAsiaTheme="minorHAnsi" w:hAnsi="Times New Roman" w:cs="Times New Roman"/>
          <w:b w:val="0"/>
          <w:color w:val="auto"/>
          <w:sz w:val="24"/>
          <w:szCs w:val="24"/>
        </w:rPr>
        <w:t>“Smarter marking could save valuable teachers’ time while improving standards. This can make a real difference to how pupils learn and to teachers’ workload.”</w:t>
      </w:r>
    </w:p>
    <w:p w14:paraId="2CDC0686" w14:textId="77777777" w:rsidR="00241938" w:rsidRDefault="00241938" w:rsidP="00241938">
      <w:pPr>
        <w:jc w:val="right"/>
        <w:rPr>
          <w:rFonts w:ascii="Times New Roman" w:hAnsi="Times New Roman" w:cs="Times New Roman"/>
          <w:szCs w:val="24"/>
        </w:rPr>
      </w:pPr>
      <w:r>
        <w:rPr>
          <w:rFonts w:ascii="Times New Roman" w:hAnsi="Times New Roman" w:cs="Times New Roman"/>
          <w:szCs w:val="24"/>
        </w:rPr>
        <w:t>(Little evidence to show which types of marking improve pupil progress, 2016).</w:t>
      </w:r>
    </w:p>
    <w:p w14:paraId="0FF31F99" w14:textId="77777777" w:rsidR="00241938" w:rsidRDefault="00241938" w:rsidP="00241938">
      <w:pPr>
        <w:pStyle w:val="Heading2"/>
        <w:jc w:val="both"/>
        <w:rPr>
          <w:rFonts w:ascii="Times New Roman" w:eastAsiaTheme="minorHAnsi" w:hAnsi="Times New Roman" w:cs="Times New Roman"/>
          <w:b w:val="0"/>
          <w:color w:val="auto"/>
          <w:sz w:val="24"/>
          <w:szCs w:val="24"/>
        </w:rPr>
      </w:pPr>
    </w:p>
    <w:p w14:paraId="7D0FDDAF" w14:textId="77777777" w:rsidR="00241938" w:rsidRDefault="00241938" w:rsidP="00241938">
      <w:pPr>
        <w:rPr>
          <w:rFonts w:ascii="Times New Roman" w:hAnsi="Times New Roman" w:cs="Times New Roman"/>
          <w:szCs w:val="24"/>
        </w:rPr>
      </w:pPr>
      <w:r>
        <w:rPr>
          <w:rFonts w:ascii="Times New Roman" w:hAnsi="Times New Roman" w:cs="Times New Roman"/>
          <w:szCs w:val="24"/>
        </w:rPr>
        <w:t>The statement above rings true for many teachers across the UK with 53% of teachers believing that the depth and amount of necessary marking is taxing, (Independent Teacher Workload Review Group, 2016). It is</w:t>
      </w:r>
      <w:r>
        <w:rPr>
          <w:rFonts w:ascii="Times New Roman" w:hAnsi="Times New Roman" w:cs="Times New Roman"/>
          <w:b/>
          <w:szCs w:val="24"/>
        </w:rPr>
        <w:t xml:space="preserve"> </w:t>
      </w:r>
      <w:r>
        <w:rPr>
          <w:rFonts w:ascii="Times New Roman" w:hAnsi="Times New Roman" w:cs="Times New Roman"/>
          <w:bCs/>
          <w:szCs w:val="24"/>
        </w:rPr>
        <w:t>however,</w:t>
      </w:r>
      <w:r>
        <w:rPr>
          <w:rFonts w:ascii="Times New Roman" w:hAnsi="Times New Roman" w:cs="Times New Roman"/>
          <w:szCs w:val="24"/>
        </w:rPr>
        <w:t xml:space="preserve"> believed that effective marking and feedback is essential to the learning process and a vital aspect of teaching practice, (Independent Teacher Workload Review Group, 2016), as it has the power to enhance learning, (Coe, et al., 2020).</w:t>
      </w:r>
    </w:p>
    <w:p w14:paraId="64B8901D" w14:textId="77777777" w:rsidR="00241938" w:rsidRDefault="00241938" w:rsidP="00241938">
      <w:pPr>
        <w:rPr>
          <w:rFonts w:ascii="Times New Roman" w:hAnsi="Times New Roman" w:cs="Times New Roman"/>
          <w:szCs w:val="24"/>
        </w:rPr>
      </w:pPr>
      <w:r>
        <w:rPr>
          <w:rFonts w:ascii="Times New Roman" w:hAnsi="Times New Roman" w:cs="Times New Roman"/>
          <w:szCs w:val="24"/>
        </w:rPr>
        <w:t>Promoting independence is a key feature in the Welsh Curriculum, (Education Wales, 2020)</w:t>
      </w:r>
      <w:r>
        <w:rPr>
          <w:rFonts w:ascii="Times New Roman" w:hAnsi="Times New Roman" w:cs="Times New Roman"/>
          <w:b/>
          <w:szCs w:val="24"/>
        </w:rPr>
        <w:t>,</w:t>
      </w:r>
      <w:r>
        <w:rPr>
          <w:rFonts w:ascii="Times New Roman" w:hAnsi="Times New Roman" w:cs="Times New Roman"/>
          <w:szCs w:val="24"/>
        </w:rPr>
        <w:t xml:space="preserve"> specifically as part of the four purposes. This is important to note when considering providing children with formative feedback as it has the potential to help children become independent learners, (Eriksson, 2018, p. 189-205). According to Hargreaves, (2014, p. 259-309) teacher feedback can potentially have an immediate and long-term impact on a Childs development, independence, and critical inquiry. There are many different types of feedback and a range of ways feedback can be presented. Gipps, McCallum &amp; Hargreaves, (2000, p. 91-110) state that feedback can be presented verbally, written or both at the same time. This discussion will focus predominantly on written feedback. </w:t>
      </w:r>
    </w:p>
    <w:p w14:paraId="177D8706" w14:textId="77777777" w:rsidR="00241938" w:rsidRDefault="00241938" w:rsidP="00241938">
      <w:pPr>
        <w:pStyle w:val="Heading2"/>
        <w:jc w:val="both"/>
        <w:rPr>
          <w:rFonts w:ascii="Times New Roman" w:eastAsiaTheme="minorHAnsi" w:hAnsi="Times New Roman" w:cs="Times New Roman"/>
          <w:b w:val="0"/>
          <w:color w:val="auto"/>
          <w:sz w:val="24"/>
          <w:szCs w:val="24"/>
        </w:rPr>
      </w:pPr>
      <w:r>
        <w:rPr>
          <w:rFonts w:ascii="Times New Roman" w:eastAsiaTheme="minorHAnsi" w:hAnsi="Times New Roman" w:cs="Times New Roman"/>
          <w:b w:val="0"/>
          <w:color w:val="auto"/>
          <w:sz w:val="24"/>
          <w:szCs w:val="24"/>
        </w:rPr>
        <w:t xml:space="preserve">I aim to have a positive impact on Childrens lives by supporting them to achieve to the best of their abilities. I believe part of that is through effective formative assessment. </w:t>
      </w:r>
    </w:p>
    <w:p w14:paraId="45B1A687" w14:textId="77777777" w:rsidR="00241938" w:rsidRDefault="00241938" w:rsidP="00241938"/>
    <w:p w14:paraId="4B4E6F78" w14:textId="77777777" w:rsidR="00241938" w:rsidRDefault="00241938" w:rsidP="00241938">
      <w:pPr>
        <w:pStyle w:val="Heading2"/>
        <w:jc w:val="both"/>
        <w:rPr>
          <w:rFonts w:ascii="Times New Roman" w:hAnsi="Times New Roman" w:cs="Times New Roman"/>
          <w:sz w:val="24"/>
          <w:szCs w:val="24"/>
        </w:rPr>
      </w:pPr>
      <w:r>
        <w:rPr>
          <w:rFonts w:ascii="Times New Roman" w:hAnsi="Times New Roman" w:cs="Times New Roman"/>
          <w:sz w:val="24"/>
          <w:szCs w:val="24"/>
        </w:rPr>
        <w:t>Critical Discussion of Chosen Aspect</w:t>
      </w:r>
    </w:p>
    <w:p w14:paraId="1B17340D" w14:textId="77777777" w:rsidR="00241938" w:rsidRDefault="00241938" w:rsidP="00241938">
      <w:pPr>
        <w:jc w:val="both"/>
        <w:rPr>
          <w:rFonts w:ascii="Times New Roman" w:hAnsi="Times New Roman" w:cs="Times New Roman"/>
          <w:b/>
          <w:bCs/>
          <w:szCs w:val="24"/>
        </w:rPr>
      </w:pPr>
    </w:p>
    <w:p w14:paraId="643487F3" w14:textId="77777777" w:rsidR="00241938" w:rsidRDefault="00241938" w:rsidP="00241938">
      <w:pPr>
        <w:jc w:val="both"/>
        <w:rPr>
          <w:rFonts w:ascii="Times New Roman" w:hAnsi="Times New Roman" w:cs="Times New Roman"/>
          <w:b/>
          <w:bCs/>
          <w:szCs w:val="24"/>
        </w:rPr>
      </w:pPr>
      <w:r>
        <w:rPr>
          <w:rFonts w:ascii="Times New Roman" w:hAnsi="Times New Roman" w:cs="Times New Roman"/>
          <w:b/>
          <w:bCs/>
          <w:szCs w:val="24"/>
        </w:rPr>
        <w:t xml:space="preserve">Feedback </w:t>
      </w:r>
    </w:p>
    <w:p w14:paraId="4E505C14"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lastRenderedPageBreak/>
        <w:t xml:space="preserve">Gipps, McCallum &amp; Hargreaves, (2000, p. 91-110) define feedback as when a teacher imparts a judgement of a child, their strategies, skills, attainment, or work product and provide them with information on the judgement. They believe that feedback can be split into two categories, evaluative feedback; a critical, judgmental approach, and descriptive feedback; specific to the child, relating to their achievements or improvements that can be made. Feedback, (2021) define feedback as information that is provided to the student in relation to their performance regarding goals or outcomes. </w:t>
      </w:r>
    </w:p>
    <w:p w14:paraId="7BE94D32" w14:textId="77777777" w:rsidR="00241938" w:rsidRDefault="00241938" w:rsidP="00241938">
      <w:pPr>
        <w:rPr>
          <w:rFonts w:ascii="Times New Roman" w:hAnsi="Times New Roman" w:cs="Times New Roman"/>
          <w:szCs w:val="24"/>
        </w:rPr>
      </w:pPr>
      <w:r>
        <w:rPr>
          <w:rFonts w:ascii="Times New Roman" w:hAnsi="Times New Roman" w:cs="Times New Roman"/>
          <w:szCs w:val="24"/>
        </w:rPr>
        <w:tab/>
      </w:r>
      <w:proofErr w:type="spellStart"/>
      <w:r>
        <w:rPr>
          <w:rFonts w:ascii="Times New Roman" w:hAnsi="Times New Roman" w:cs="Times New Roman"/>
          <w:szCs w:val="24"/>
        </w:rPr>
        <w:t>Otnes</w:t>
      </w:r>
      <w:proofErr w:type="spellEnd"/>
      <w:r>
        <w:rPr>
          <w:rFonts w:ascii="Times New Roman" w:hAnsi="Times New Roman" w:cs="Times New Roman"/>
          <w:szCs w:val="24"/>
        </w:rPr>
        <w:t xml:space="preserve"> and Solheim, (2019, p. 700-720) believe that written feedback often focuses on the wrong things by highlighting spelling, punctuation, and grammatical errors, with emphasis on fault finding rather than being meaningful or helping a student improve. This is a common perspective across literature with Clarke, (2003) agreeing but additionally stating that although feedback is an essential tool in assessment, it is regularly associated with bad practice, allowing children to lose self-esteem and motivation. Little evidence to show which types of marking improve pupil progress, (2016) conclude that there is little evidence to prove what feedback strategies impact pupil progress. </w:t>
      </w:r>
    </w:p>
    <w:p w14:paraId="40436083" w14:textId="77777777" w:rsidR="00241938" w:rsidRDefault="00241938" w:rsidP="00241938">
      <w:pPr>
        <w:rPr>
          <w:rFonts w:ascii="Times New Roman" w:hAnsi="Times New Roman" w:cs="Times New Roman"/>
          <w:szCs w:val="24"/>
        </w:rPr>
      </w:pPr>
      <w:r>
        <w:rPr>
          <w:rFonts w:ascii="Times New Roman" w:hAnsi="Times New Roman" w:cs="Times New Roman"/>
          <w:szCs w:val="24"/>
        </w:rPr>
        <w:tab/>
        <w:t xml:space="preserve">Many studies disagree with this claim by stating that feedback can promote and encourage independence, (Eriksson, 2018, p. 189-205) and (Hargreaves, 2014, p. 259-309). Eriksson, (2018, p. 189-205) </w:t>
      </w:r>
    </w:p>
    <w:p w14:paraId="73DA6A69" w14:textId="77777777" w:rsidR="00241938" w:rsidRDefault="00241938" w:rsidP="00241938">
      <w:pPr>
        <w:rPr>
          <w:rFonts w:ascii="Times New Roman" w:hAnsi="Times New Roman" w:cs="Times New Roman"/>
          <w:szCs w:val="24"/>
        </w:rPr>
      </w:pPr>
      <w:r>
        <w:rPr>
          <w:rFonts w:ascii="Times New Roman" w:hAnsi="Times New Roman" w:cs="Times New Roman"/>
          <w:szCs w:val="24"/>
        </w:rPr>
        <w:t xml:space="preserve"> also believes that feedback is closely linked with learning outcomes, can inspire children to achieve academic excellence and can be a tool for meeting needs. These are important considerations for teachers in Wales due to the curriculum having a greater focus on independent learners and child centered practice, (Education Wales, 2020).  </w:t>
      </w:r>
    </w:p>
    <w:p w14:paraId="1D3142C5"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 xml:space="preserve">Although </w:t>
      </w:r>
      <w:proofErr w:type="spellStart"/>
      <w:r>
        <w:rPr>
          <w:rFonts w:ascii="Times New Roman" w:hAnsi="Times New Roman" w:cs="Times New Roman"/>
          <w:szCs w:val="24"/>
        </w:rPr>
        <w:t>Otnes</w:t>
      </w:r>
      <w:proofErr w:type="spellEnd"/>
      <w:r>
        <w:rPr>
          <w:rFonts w:ascii="Times New Roman" w:hAnsi="Times New Roman" w:cs="Times New Roman"/>
          <w:szCs w:val="24"/>
        </w:rPr>
        <w:t xml:space="preserve"> and Solheim, (2019, p. 700-720) believe that teacher feedback is often negative they show a realization throughout the study of the many benefits it can have on the learner such as developing their capabilities and the child taking responsibility for their work. </w:t>
      </w:r>
    </w:p>
    <w:p w14:paraId="05DB4687"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 xml:space="preserve">Feedback can also influence teaching practice however, due to the complexity of written feedback there is no simple way of providing feedback, (Coe, et al., 2020) and it is a common grievance for teachers and a task of which they dread, (The key to effective marking and feedback in schools, 2016). It is deemed as a time-consuming process that takes away from teaching, (Independent teacher workload review group, 2016). This, however, does not remove the fact that it is an important aspect of teaching as it helps to form future lesson plans, (Cohen et al., 2010, p. 387-411) and helps create and maintain a comprehensive, day-to-day record of a Childs achievement in accordance with the national curriculum, (Clarke, 1998, p. 68-80). It </w:t>
      </w:r>
      <w:r>
        <w:rPr>
          <w:rFonts w:ascii="Times New Roman" w:hAnsi="Times New Roman" w:cs="Times New Roman"/>
          <w:szCs w:val="24"/>
        </w:rPr>
        <w:lastRenderedPageBreak/>
        <w:t xml:space="preserve">can also be a powerful tool for supporting students to further achieve, (Cohen et al., 2010, p. 387-411). </w:t>
      </w:r>
    </w:p>
    <w:p w14:paraId="482D5D0B" w14:textId="77777777" w:rsidR="00241938" w:rsidRDefault="00241938" w:rsidP="00241938">
      <w:pPr>
        <w:rPr>
          <w:rFonts w:ascii="Times New Roman" w:hAnsi="Times New Roman" w:cs="Times New Roman"/>
          <w:szCs w:val="24"/>
        </w:rPr>
      </w:pPr>
      <w:r>
        <w:rPr>
          <w:rFonts w:ascii="Times New Roman" w:hAnsi="Times New Roman" w:cs="Times New Roman"/>
          <w:szCs w:val="24"/>
        </w:rPr>
        <w:tab/>
        <w:t xml:space="preserve">It is also important to consider what impact our practice has on the children. A range of studies conclude that although there are many ways of giving feedback, certain feedback such as grading is ineffective and has little impact on student improvement, (Cohen et al., 2010, p. 387-411). </w:t>
      </w:r>
      <w:proofErr w:type="spellStart"/>
      <w:r>
        <w:rPr>
          <w:rFonts w:ascii="Times New Roman" w:hAnsi="Times New Roman" w:cs="Times New Roman"/>
          <w:szCs w:val="24"/>
        </w:rPr>
        <w:t>Wiliam</w:t>
      </w:r>
      <w:proofErr w:type="spellEnd"/>
      <w:r>
        <w:rPr>
          <w:rFonts w:ascii="Times New Roman" w:hAnsi="Times New Roman" w:cs="Times New Roman"/>
          <w:szCs w:val="24"/>
        </w:rPr>
        <w:t xml:space="preserve">, (2011, p.108-109) believes that grading Childrens work detrimentally impacts their achievement. A number of </w:t>
      </w:r>
      <w:proofErr w:type="gramStart"/>
      <w:r>
        <w:rPr>
          <w:rFonts w:ascii="Times New Roman" w:hAnsi="Times New Roman" w:cs="Times New Roman"/>
          <w:szCs w:val="24"/>
        </w:rPr>
        <w:t>literature</w:t>
      </w:r>
      <w:proofErr w:type="gramEnd"/>
      <w:r>
        <w:rPr>
          <w:rFonts w:ascii="Times New Roman" w:hAnsi="Times New Roman" w:cs="Times New Roman"/>
          <w:szCs w:val="24"/>
        </w:rPr>
        <w:t xml:space="preserve"> also suggests how feedback can negatively affect a student’s self-esteem and learning particularly on occasions when work is graded or all errors including grammar and spelling are corrected, (Eriksson, 2018, p. 189-205), (</w:t>
      </w:r>
      <w:proofErr w:type="spellStart"/>
      <w:r>
        <w:rPr>
          <w:rFonts w:ascii="Times New Roman" w:hAnsi="Times New Roman" w:cs="Times New Roman"/>
          <w:szCs w:val="24"/>
        </w:rPr>
        <w:t>Otnes</w:t>
      </w:r>
      <w:proofErr w:type="spellEnd"/>
      <w:r>
        <w:rPr>
          <w:rFonts w:ascii="Times New Roman" w:hAnsi="Times New Roman" w:cs="Times New Roman"/>
          <w:szCs w:val="24"/>
        </w:rPr>
        <w:t xml:space="preserve"> and Solheim, 2019, p. 700-720) and (Clarke, 2003). </w:t>
      </w:r>
    </w:p>
    <w:p w14:paraId="0F574B16" w14:textId="77777777" w:rsidR="00241938" w:rsidRDefault="00241938" w:rsidP="00241938">
      <w:pPr>
        <w:rPr>
          <w:rFonts w:ascii="Times New Roman" w:hAnsi="Times New Roman" w:cs="Times New Roman"/>
          <w:szCs w:val="24"/>
        </w:rPr>
      </w:pPr>
      <w:r>
        <w:rPr>
          <w:rFonts w:ascii="Times New Roman" w:hAnsi="Times New Roman" w:cs="Times New Roman"/>
          <w:szCs w:val="24"/>
        </w:rPr>
        <w:tab/>
        <w:t>Although a range of literature suggests that providing feedback can have a negative impact on a child the literature additionally discusses the ways in which feedback, when done well, can have a positive impact on the child and their intellectual development and capabilities, (Eriksson, 2018, p. 189-205) and (</w:t>
      </w:r>
      <w:proofErr w:type="spellStart"/>
      <w:r>
        <w:rPr>
          <w:rFonts w:ascii="Times New Roman" w:hAnsi="Times New Roman" w:cs="Times New Roman"/>
          <w:szCs w:val="24"/>
        </w:rPr>
        <w:t>Otnes</w:t>
      </w:r>
      <w:proofErr w:type="spellEnd"/>
      <w:r>
        <w:rPr>
          <w:rFonts w:ascii="Times New Roman" w:hAnsi="Times New Roman" w:cs="Times New Roman"/>
          <w:szCs w:val="24"/>
        </w:rPr>
        <w:t xml:space="preserve"> and Solheim, 2019, p. 700-720). As previously mentioned, literature regularly discusses how feedback promotes the independence of our learners, (</w:t>
      </w:r>
      <w:proofErr w:type="spellStart"/>
      <w:r>
        <w:rPr>
          <w:rFonts w:ascii="Times New Roman" w:hAnsi="Times New Roman" w:cs="Times New Roman"/>
          <w:szCs w:val="24"/>
        </w:rPr>
        <w:t>Otnes</w:t>
      </w:r>
      <w:proofErr w:type="spellEnd"/>
      <w:r>
        <w:rPr>
          <w:rFonts w:ascii="Times New Roman" w:hAnsi="Times New Roman" w:cs="Times New Roman"/>
          <w:szCs w:val="24"/>
        </w:rPr>
        <w:t xml:space="preserve"> and Solheim, 2019, p. 700-720) and (Hargreaves, 2014, p. 259-309). Other benefits of feedback include, developing a </w:t>
      </w:r>
      <w:proofErr w:type="gramStart"/>
      <w:r>
        <w:rPr>
          <w:rFonts w:ascii="Times New Roman" w:hAnsi="Times New Roman" w:cs="Times New Roman"/>
          <w:szCs w:val="24"/>
        </w:rPr>
        <w:t>Childs critical thinking skills</w:t>
      </w:r>
      <w:proofErr w:type="gramEnd"/>
      <w:r>
        <w:rPr>
          <w:rFonts w:ascii="Times New Roman" w:hAnsi="Times New Roman" w:cs="Times New Roman"/>
          <w:szCs w:val="24"/>
        </w:rPr>
        <w:t>, (Hargreaves, 2014, p. 259-309), developing their own capabilities, (</w:t>
      </w:r>
      <w:proofErr w:type="spellStart"/>
      <w:r>
        <w:rPr>
          <w:rFonts w:ascii="Times New Roman" w:hAnsi="Times New Roman" w:cs="Times New Roman"/>
          <w:szCs w:val="24"/>
        </w:rPr>
        <w:t>Otnes</w:t>
      </w:r>
      <w:proofErr w:type="spellEnd"/>
      <w:r>
        <w:rPr>
          <w:rFonts w:ascii="Times New Roman" w:hAnsi="Times New Roman" w:cs="Times New Roman"/>
          <w:szCs w:val="24"/>
        </w:rPr>
        <w:t xml:space="preserve"> and Solheim, 2019, p. 700-720) and promoting learner reflection, (Cohen et al., 2010, p. 387-411). The feedback that tends to derive the more positive learner results tends to be one where the teacher involves the child, (Clarke, 2003) and states exactly what they can do to improve, (Gipps, McCallum &amp; Hargreaves, 2000, p. 91-110). This often leads to teachers leaving long detailed comments on student work. The key to effective marking and feedback in schools, (2016) states that this again has little impact on pupil progress.  </w:t>
      </w:r>
    </w:p>
    <w:p w14:paraId="22E84789" w14:textId="77777777" w:rsidR="00241938" w:rsidRDefault="00241938" w:rsidP="00241938">
      <w:pPr>
        <w:jc w:val="both"/>
        <w:rPr>
          <w:rFonts w:ascii="Times New Roman" w:hAnsi="Times New Roman" w:cs="Times New Roman"/>
          <w:szCs w:val="24"/>
        </w:rPr>
      </w:pPr>
    </w:p>
    <w:p w14:paraId="440D239E" w14:textId="77777777" w:rsidR="00241938" w:rsidRDefault="00241938" w:rsidP="00241938">
      <w:pPr>
        <w:jc w:val="both"/>
        <w:rPr>
          <w:rFonts w:ascii="Times New Roman" w:hAnsi="Times New Roman" w:cs="Times New Roman"/>
          <w:b/>
          <w:bCs/>
          <w:szCs w:val="24"/>
        </w:rPr>
      </w:pPr>
      <w:r>
        <w:rPr>
          <w:rFonts w:ascii="Times New Roman" w:hAnsi="Times New Roman" w:cs="Times New Roman"/>
          <w:b/>
          <w:bCs/>
          <w:szCs w:val="24"/>
        </w:rPr>
        <w:t>Formative Feedback Strategies</w:t>
      </w:r>
    </w:p>
    <w:p w14:paraId="471C3DDD" w14:textId="77777777" w:rsidR="00241938" w:rsidRDefault="00241938" w:rsidP="00241938">
      <w:pPr>
        <w:ind w:firstLine="720"/>
        <w:jc w:val="both"/>
        <w:rPr>
          <w:rFonts w:ascii="Times New Roman" w:hAnsi="Times New Roman" w:cs="Times New Roman"/>
          <w:szCs w:val="24"/>
        </w:rPr>
      </w:pPr>
      <w:r>
        <w:rPr>
          <w:rFonts w:ascii="Times New Roman" w:hAnsi="Times New Roman" w:cs="Times New Roman"/>
          <w:szCs w:val="24"/>
        </w:rPr>
        <w:t>During my PTE experience I was not expected to leave large comments on students work or provide them with grades. I instead used a range of literacy and numeracy codes to help the children to improve their work. We also used pink and green highlighters on parts that need improvement or are completed well.</w:t>
      </w:r>
    </w:p>
    <w:p w14:paraId="217E1C7B" w14:textId="77777777" w:rsidR="00241938" w:rsidRDefault="00241938" w:rsidP="00241938">
      <w:pPr>
        <w:ind w:firstLine="720"/>
        <w:jc w:val="both"/>
        <w:rPr>
          <w:rFonts w:ascii="Times New Roman" w:hAnsi="Times New Roman" w:cs="Times New Roman"/>
          <w:szCs w:val="24"/>
        </w:rPr>
      </w:pPr>
      <w:r>
        <w:rPr>
          <w:rFonts w:ascii="Times New Roman" w:hAnsi="Times New Roman" w:cs="Times New Roman"/>
          <w:szCs w:val="24"/>
        </w:rPr>
        <w:t xml:space="preserve">Literature and studies recommend a range of different strategies to provide effective formative feedback however, this critical discussion will focus solely on the strategies recommended in Welsh government guidance: How to develop thinking and assessment for learning in the classroom, (2010). </w:t>
      </w:r>
    </w:p>
    <w:p w14:paraId="7E176250" w14:textId="77777777" w:rsidR="00241938" w:rsidRDefault="00241938" w:rsidP="00241938">
      <w:pPr>
        <w:ind w:firstLine="720"/>
        <w:jc w:val="both"/>
        <w:rPr>
          <w:rFonts w:ascii="Times New Roman" w:hAnsi="Times New Roman" w:cs="Times New Roman"/>
          <w:b/>
          <w:bCs/>
          <w:szCs w:val="24"/>
        </w:rPr>
      </w:pPr>
    </w:p>
    <w:p w14:paraId="622389C7" w14:textId="77777777" w:rsidR="00241938" w:rsidRDefault="00241938" w:rsidP="00241938">
      <w:pPr>
        <w:jc w:val="both"/>
        <w:rPr>
          <w:rFonts w:ascii="Times New Roman" w:hAnsi="Times New Roman" w:cs="Times New Roman"/>
          <w:b/>
          <w:bCs/>
          <w:szCs w:val="24"/>
        </w:rPr>
      </w:pPr>
      <w:r>
        <w:rPr>
          <w:rFonts w:ascii="Times New Roman" w:hAnsi="Times New Roman" w:cs="Times New Roman"/>
          <w:b/>
          <w:bCs/>
          <w:szCs w:val="24"/>
        </w:rPr>
        <w:t>Closing the Gap</w:t>
      </w:r>
    </w:p>
    <w:p w14:paraId="086974BB"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 xml:space="preserve">This feedback is </w:t>
      </w:r>
      <w:proofErr w:type="gramStart"/>
      <w:r>
        <w:rPr>
          <w:rFonts w:ascii="Times New Roman" w:hAnsi="Times New Roman" w:cs="Times New Roman"/>
          <w:szCs w:val="24"/>
        </w:rPr>
        <w:t>similar to</w:t>
      </w:r>
      <w:proofErr w:type="gramEnd"/>
      <w:r>
        <w:rPr>
          <w:rFonts w:ascii="Times New Roman" w:hAnsi="Times New Roman" w:cs="Times New Roman"/>
          <w:szCs w:val="24"/>
        </w:rPr>
        <w:t xml:space="preserve"> the marking I have done, it focuses on the child’s achievements and highlights areas needing improvement. It is slightly different as it can provide the necessary scaffolding to help them achieve more, (Young Wales, 2010). It provides the learner with specific information and support to help the child to close the gap, (Young Wales, 2010). </w:t>
      </w:r>
    </w:p>
    <w:p w14:paraId="50AFF0D1"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r>
      <w:proofErr w:type="spellStart"/>
      <w:r>
        <w:rPr>
          <w:rFonts w:ascii="Times New Roman" w:hAnsi="Times New Roman" w:cs="Times New Roman"/>
          <w:szCs w:val="24"/>
        </w:rPr>
        <w:t>Egelandsdal</w:t>
      </w:r>
      <w:proofErr w:type="spellEnd"/>
      <w:r>
        <w:rPr>
          <w:rFonts w:ascii="Times New Roman" w:hAnsi="Times New Roman" w:cs="Times New Roman"/>
          <w:szCs w:val="24"/>
        </w:rPr>
        <w:t xml:space="preserve"> and </w:t>
      </w:r>
      <w:proofErr w:type="spellStart"/>
      <w:r>
        <w:rPr>
          <w:rFonts w:ascii="Times New Roman" w:hAnsi="Times New Roman" w:cs="Times New Roman"/>
          <w:szCs w:val="24"/>
        </w:rPr>
        <w:t>Riese</w:t>
      </w:r>
      <w:proofErr w:type="spellEnd"/>
      <w:r>
        <w:rPr>
          <w:rFonts w:ascii="Times New Roman" w:hAnsi="Times New Roman" w:cs="Times New Roman"/>
          <w:szCs w:val="24"/>
        </w:rPr>
        <w:t>, (2020, p. 91-104) believe that closing the gap as a formative assessment approach is destructive and assumes learning is a linear process that functions only to get a child to reach a predetermined destination. The article describes how it can limit the achievements of a child and force them to conform. It is described as a theoretical weakness that has a negative impact on the Childs identity and self-esteem, (</w:t>
      </w:r>
      <w:proofErr w:type="spellStart"/>
      <w:r>
        <w:rPr>
          <w:rFonts w:ascii="Times New Roman" w:hAnsi="Times New Roman" w:cs="Times New Roman"/>
          <w:szCs w:val="24"/>
        </w:rPr>
        <w:t>Egelandsdal</w:t>
      </w:r>
      <w:proofErr w:type="spellEnd"/>
      <w:r>
        <w:rPr>
          <w:rFonts w:ascii="Times New Roman" w:hAnsi="Times New Roman" w:cs="Times New Roman"/>
          <w:szCs w:val="24"/>
        </w:rPr>
        <w:t xml:space="preserve"> and </w:t>
      </w:r>
      <w:proofErr w:type="spellStart"/>
      <w:r>
        <w:rPr>
          <w:rFonts w:ascii="Times New Roman" w:hAnsi="Times New Roman" w:cs="Times New Roman"/>
          <w:szCs w:val="24"/>
        </w:rPr>
        <w:t>Riese</w:t>
      </w:r>
      <w:proofErr w:type="spellEnd"/>
      <w:r>
        <w:rPr>
          <w:rFonts w:ascii="Times New Roman" w:hAnsi="Times New Roman" w:cs="Times New Roman"/>
          <w:szCs w:val="24"/>
        </w:rPr>
        <w:t>, 2020, p. 91-104). They believe that this derives from a lack of connection between what there is potential to learn and the learning focus, (</w:t>
      </w:r>
      <w:proofErr w:type="spellStart"/>
      <w:r>
        <w:rPr>
          <w:rFonts w:ascii="Times New Roman" w:hAnsi="Times New Roman" w:cs="Times New Roman"/>
          <w:szCs w:val="24"/>
        </w:rPr>
        <w:t>Egelandsdal</w:t>
      </w:r>
      <w:proofErr w:type="spellEnd"/>
      <w:r>
        <w:rPr>
          <w:rFonts w:ascii="Times New Roman" w:hAnsi="Times New Roman" w:cs="Times New Roman"/>
          <w:szCs w:val="24"/>
        </w:rPr>
        <w:t xml:space="preserve"> and </w:t>
      </w:r>
      <w:proofErr w:type="spellStart"/>
      <w:r>
        <w:rPr>
          <w:rFonts w:ascii="Times New Roman" w:hAnsi="Times New Roman" w:cs="Times New Roman"/>
          <w:szCs w:val="24"/>
        </w:rPr>
        <w:t>Riese</w:t>
      </w:r>
      <w:proofErr w:type="spellEnd"/>
      <w:r>
        <w:rPr>
          <w:rFonts w:ascii="Times New Roman" w:hAnsi="Times New Roman" w:cs="Times New Roman"/>
          <w:szCs w:val="24"/>
        </w:rPr>
        <w:t xml:space="preserve">, 2020, p. 91-104). </w:t>
      </w:r>
    </w:p>
    <w:p w14:paraId="08B65553"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 xml:space="preserve">Gan and Leung, (2020, p. 10-19) however, believe that the approach helps to formulate effective questioning and discussion, helping to understand the topic better. It is also a useful tool for scaffolding and provides the teacher with a greater understanding of what a child needs to improve their learning, (Gan and Leung, 2020, p. 10-19). </w:t>
      </w:r>
      <w:proofErr w:type="spellStart"/>
      <w:r>
        <w:rPr>
          <w:rFonts w:ascii="Times New Roman" w:hAnsi="Times New Roman" w:cs="Times New Roman"/>
          <w:szCs w:val="24"/>
        </w:rPr>
        <w:t>Grosas</w:t>
      </w:r>
      <w:proofErr w:type="spellEnd"/>
      <w:r>
        <w:rPr>
          <w:rFonts w:ascii="Times New Roman" w:hAnsi="Times New Roman" w:cs="Times New Roman"/>
          <w:szCs w:val="24"/>
        </w:rPr>
        <w:t xml:space="preserve">, et al., (2014, p. 1595-1611) focuses on how using the approach can help a teacher to scaffold work in a way that supports the child to achieve higher levels. Dann, (2014, p. 149-166) believes that it is essential for both parties to recognize what/where the students’ gap is, for them to be able to progress. </w:t>
      </w:r>
    </w:p>
    <w:p w14:paraId="55F40AFF" w14:textId="77777777" w:rsidR="00241938" w:rsidRDefault="00241938" w:rsidP="00241938">
      <w:pPr>
        <w:jc w:val="both"/>
        <w:rPr>
          <w:rFonts w:ascii="Times New Roman" w:hAnsi="Times New Roman" w:cs="Times New Roman"/>
          <w:szCs w:val="24"/>
        </w:rPr>
      </w:pPr>
    </w:p>
    <w:p w14:paraId="0E56BB2C" w14:textId="77777777" w:rsidR="00241938" w:rsidRDefault="00241938" w:rsidP="00241938">
      <w:pPr>
        <w:jc w:val="both"/>
        <w:rPr>
          <w:rFonts w:ascii="Times New Roman" w:hAnsi="Times New Roman" w:cs="Times New Roman"/>
          <w:b/>
          <w:bCs/>
          <w:szCs w:val="24"/>
        </w:rPr>
      </w:pPr>
      <w:r>
        <w:rPr>
          <w:rFonts w:ascii="Times New Roman" w:hAnsi="Times New Roman" w:cs="Times New Roman"/>
          <w:b/>
          <w:bCs/>
          <w:szCs w:val="24"/>
        </w:rPr>
        <w:t>Next steps - Showing how to improve.</w:t>
      </w:r>
    </w:p>
    <w:p w14:paraId="305734FE" w14:textId="77777777" w:rsidR="00241938" w:rsidRDefault="00241938" w:rsidP="00241938">
      <w:pPr>
        <w:ind w:firstLine="720"/>
        <w:jc w:val="both"/>
        <w:rPr>
          <w:rFonts w:ascii="Times New Roman" w:hAnsi="Times New Roman" w:cs="Times New Roman"/>
          <w:szCs w:val="24"/>
        </w:rPr>
      </w:pPr>
      <w:r>
        <w:rPr>
          <w:rFonts w:ascii="Times New Roman" w:hAnsi="Times New Roman" w:cs="Times New Roman"/>
          <w:szCs w:val="24"/>
        </w:rPr>
        <w:t xml:space="preserve">This approach requires the teacher to provide the student with a next step or goal and most importantly give the child the necessary instruction on how to achieve the goal, (Young Wales, 2010). It is helpful when the goal is presented by starting with an imperative such as add, remove, tell, etc., (Young Wales, 2010). </w:t>
      </w:r>
    </w:p>
    <w:p w14:paraId="1C98BBFB"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 xml:space="preserve">Nicol and Macfarlane-Dick, (2006, p.199-218) suggests that teachers highlighting next steps are often requested by students. It also helps students to reflect upon their work and engage in their feedback and develop some knowledge around how they can improve. Clarke, (1998, p. 68-80) states that target setting is an important aspect of formative feedback however, it is a time-consuming process so should only be conducted occasionally and children should instead be trained to create and manage their own targets. Gipps, McCallum &amp; Hargreaves, (2000, p. 91-110) state that setting personalized targets for children can allow the teacher to </w:t>
      </w:r>
      <w:r>
        <w:rPr>
          <w:rFonts w:ascii="Times New Roman" w:hAnsi="Times New Roman" w:cs="Times New Roman"/>
          <w:szCs w:val="24"/>
        </w:rPr>
        <w:lastRenderedPageBreak/>
        <w:t xml:space="preserve">give the child constructive criticism in a way that can be positive and how this approach is best used in situations that allow the child to act immediately. </w:t>
      </w:r>
    </w:p>
    <w:p w14:paraId="2A705F81" w14:textId="77777777" w:rsidR="00241938" w:rsidRDefault="00241938" w:rsidP="00241938">
      <w:pPr>
        <w:jc w:val="both"/>
        <w:rPr>
          <w:rFonts w:ascii="Times New Roman" w:hAnsi="Times New Roman" w:cs="Times New Roman"/>
          <w:b/>
          <w:bCs/>
          <w:szCs w:val="24"/>
        </w:rPr>
      </w:pPr>
    </w:p>
    <w:p w14:paraId="340CB11B" w14:textId="77777777" w:rsidR="00241938" w:rsidRDefault="00241938" w:rsidP="00241938">
      <w:pPr>
        <w:jc w:val="both"/>
        <w:rPr>
          <w:rFonts w:ascii="Times New Roman" w:hAnsi="Times New Roman" w:cs="Times New Roman"/>
          <w:szCs w:val="24"/>
        </w:rPr>
      </w:pPr>
    </w:p>
    <w:p w14:paraId="65F31918" w14:textId="77777777" w:rsidR="00241938" w:rsidRDefault="00241938" w:rsidP="00241938">
      <w:pPr>
        <w:jc w:val="both"/>
        <w:rPr>
          <w:rFonts w:ascii="Times New Roman" w:hAnsi="Times New Roman" w:cs="Times New Roman"/>
          <w:szCs w:val="24"/>
        </w:rPr>
      </w:pPr>
    </w:p>
    <w:p w14:paraId="3A16A814" w14:textId="77777777" w:rsidR="00241938" w:rsidRDefault="00241938" w:rsidP="00241938">
      <w:pPr>
        <w:pStyle w:val="Heading2"/>
        <w:jc w:val="both"/>
        <w:rPr>
          <w:rFonts w:ascii="Times New Roman" w:hAnsi="Times New Roman" w:cs="Times New Roman"/>
          <w:sz w:val="24"/>
          <w:szCs w:val="24"/>
        </w:rPr>
      </w:pPr>
      <w:r>
        <w:rPr>
          <w:rFonts w:ascii="Times New Roman" w:hAnsi="Times New Roman" w:cs="Times New Roman"/>
          <w:sz w:val="24"/>
          <w:szCs w:val="24"/>
        </w:rPr>
        <w:t>Conclusion</w:t>
      </w:r>
    </w:p>
    <w:p w14:paraId="123AD27F"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 xml:space="preserve">Although written feedback is a controversial subject across literature it is something I will be doing throughout my career. My placement gave me the opportunity to mark several pieces of work across a range of topics/AoLE’s, for pupils of various abilities. I provided the children with marking codes most of which were to correct spelling errors or to correct a wrong answer. I also used highlighters to note what was done well or needed improvement. On the surface this was a great strategy, it was quick, and I believed that my marking was purposeful, I realize now that it was not. My strategy was lacking. I did not provide next steps, scaffold, or give the children the tools they needed to further improve. My marking was superficial at best. </w:t>
      </w:r>
    </w:p>
    <w:p w14:paraId="75AA13B2"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 xml:space="preserve">There are, however, </w:t>
      </w:r>
      <w:proofErr w:type="gramStart"/>
      <w:r>
        <w:rPr>
          <w:rFonts w:ascii="Times New Roman" w:hAnsi="Times New Roman" w:cs="Times New Roman"/>
          <w:szCs w:val="24"/>
        </w:rPr>
        <w:t>a number of</w:t>
      </w:r>
      <w:proofErr w:type="gramEnd"/>
      <w:r>
        <w:rPr>
          <w:rFonts w:ascii="Times New Roman" w:hAnsi="Times New Roman" w:cs="Times New Roman"/>
          <w:szCs w:val="24"/>
        </w:rPr>
        <w:t xml:space="preserve"> ways of improving my marking and making it meaningful. I can do this by implementing several formative feedback strategies discussed in Welsh government guidance: How to develop thinking and assessment for learning in the classroom. </w:t>
      </w:r>
    </w:p>
    <w:p w14:paraId="18C29165"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 xml:space="preserve">The first strategy I would like to implement is Closing the Gap, (Young Wales, 2010). As discussed previously this strategy is </w:t>
      </w:r>
      <w:proofErr w:type="gramStart"/>
      <w:r>
        <w:rPr>
          <w:rFonts w:ascii="Times New Roman" w:hAnsi="Times New Roman" w:cs="Times New Roman"/>
          <w:szCs w:val="24"/>
        </w:rPr>
        <w:t>similar to</w:t>
      </w:r>
      <w:proofErr w:type="gramEnd"/>
      <w:r>
        <w:rPr>
          <w:rFonts w:ascii="Times New Roman" w:hAnsi="Times New Roman" w:cs="Times New Roman"/>
          <w:szCs w:val="24"/>
        </w:rPr>
        <w:t xml:space="preserve"> what I have done previously except this approach requires the teacher to pay attention to where improvements can be made and how the child can make them, the teacher should then translate that to the child in a way they can understand through the use of scaffolding, (Young Wales, 2010). </w:t>
      </w:r>
    </w:p>
    <w:p w14:paraId="7B50A1BC"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To do this I need to pay more attention to the learning intention and success criteria of each task. This will allow me to understand what the child has achieved and what they need to do to improve. I can then use this information to provide the children with marking that they can engage with and help them to improve. I would also need to provide the children with time to make any improvements, this is another strategy discussed in Welsh government guidance: How to develop thinking and assessment for learning in the classroom, (2010).</w:t>
      </w:r>
    </w:p>
    <w:p w14:paraId="5F59A587"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 xml:space="preserve">I can also implement the next steps approach. Again, I would need to focus on the learning intention and success criteria so that I can set meaningful goals for the child. This approach will allow me to focus on the academic content and on the individual Childs needs. </w:t>
      </w:r>
    </w:p>
    <w:p w14:paraId="0D300C2E"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lastRenderedPageBreak/>
        <w:tab/>
        <w:t xml:space="preserve">Young Wales, (2010) discusses a range of other strategies that could be beneficial to use in the classroom. Unfortunately, the restrictions of this essay mean that I am unable to discuss them in detail. They are, however, worth mentioning as I believe that they may become valuable during my career. These strategies include the use of wrong answers, to dispose of any misconceptions, (Young Wales, 2010), and three stars and a wish, to provide positive feedback and feedback to help push the child further, (Young Wales, 2010). </w:t>
      </w:r>
    </w:p>
    <w:p w14:paraId="074FF5EA" w14:textId="77777777" w:rsidR="00241938" w:rsidRDefault="00241938" w:rsidP="00241938">
      <w:pPr>
        <w:jc w:val="both"/>
        <w:rPr>
          <w:rFonts w:ascii="Times New Roman" w:hAnsi="Times New Roman" w:cs="Times New Roman"/>
          <w:szCs w:val="24"/>
        </w:rPr>
      </w:pPr>
      <w:r>
        <w:rPr>
          <w:rFonts w:ascii="Times New Roman" w:hAnsi="Times New Roman" w:cs="Times New Roman"/>
          <w:szCs w:val="24"/>
        </w:rPr>
        <w:tab/>
        <w:t xml:space="preserve">I believe that by using a combination of approaches and having a renewed focus on learning intentions and success criteria I will be able to meet the needs of individual children and support them to further improve their outcomes. I believe that writing this essay has given me the opportunity to reflect on my marking and find </w:t>
      </w:r>
      <w:proofErr w:type="gramStart"/>
      <w:r>
        <w:rPr>
          <w:rFonts w:ascii="Times New Roman" w:hAnsi="Times New Roman" w:cs="Times New Roman"/>
          <w:szCs w:val="24"/>
        </w:rPr>
        <w:t>a number of</w:t>
      </w:r>
      <w:proofErr w:type="gramEnd"/>
      <w:r>
        <w:rPr>
          <w:rFonts w:ascii="Times New Roman" w:hAnsi="Times New Roman" w:cs="Times New Roman"/>
          <w:szCs w:val="24"/>
        </w:rPr>
        <w:t xml:space="preserve"> ways to make it meaningful. It has also given me the necessary knowledge to understand how my marking impacts both my teaching practice and the children.</w:t>
      </w:r>
    </w:p>
    <w:p w14:paraId="2199C423" w14:textId="77777777" w:rsidR="00241938" w:rsidRDefault="00241938" w:rsidP="00241938">
      <w:pPr>
        <w:spacing w:line="240" w:lineRule="auto"/>
        <w:jc w:val="both"/>
        <w:rPr>
          <w:rFonts w:ascii="Times New Roman" w:eastAsiaTheme="majorEastAsia" w:hAnsi="Times New Roman" w:cs="Times New Roman"/>
          <w:color w:val="1F3864" w:themeColor="accent1" w:themeShade="80"/>
          <w:szCs w:val="24"/>
        </w:rPr>
      </w:pPr>
      <w:r>
        <w:rPr>
          <w:rFonts w:ascii="Times New Roman" w:hAnsi="Times New Roman" w:cs="Times New Roman"/>
          <w:szCs w:val="24"/>
        </w:rPr>
        <w:br w:type="page"/>
      </w:r>
    </w:p>
    <w:p w14:paraId="23063A0C" w14:textId="77777777" w:rsidR="00241938" w:rsidRDefault="00241938" w:rsidP="00241938">
      <w:pPr>
        <w:pStyle w:val="Heading1"/>
        <w:jc w:val="both"/>
        <w:rPr>
          <w:rFonts w:ascii="Times New Roman" w:hAnsi="Times New Roman" w:cs="Times New Roman"/>
          <w:sz w:val="24"/>
          <w:szCs w:val="24"/>
        </w:rPr>
      </w:pPr>
      <w:r>
        <w:rPr>
          <w:rFonts w:ascii="Times New Roman" w:hAnsi="Times New Roman" w:cs="Times New Roman"/>
          <w:sz w:val="24"/>
          <w:szCs w:val="24"/>
        </w:rPr>
        <w:lastRenderedPageBreak/>
        <w:t>Reference List</w:t>
      </w:r>
    </w:p>
    <w:p w14:paraId="40EDB534" w14:textId="77777777" w:rsidR="00241938" w:rsidRDefault="00241938" w:rsidP="00241938">
      <w:pPr>
        <w:spacing w:line="276" w:lineRule="auto"/>
        <w:jc w:val="both"/>
        <w:rPr>
          <w:rFonts w:ascii="Times New Roman" w:hAnsi="Times New Roman" w:cs="Times New Roman"/>
          <w:b/>
          <w:bCs/>
          <w:szCs w:val="24"/>
          <w:u w:val="single"/>
        </w:rPr>
      </w:pPr>
      <w:r>
        <w:rPr>
          <w:rFonts w:ascii="Times New Roman" w:hAnsi="Times New Roman" w:cs="Times New Roman"/>
          <w:b/>
          <w:bCs/>
          <w:szCs w:val="24"/>
          <w:u w:val="single"/>
        </w:rPr>
        <w:t>Part 1</w:t>
      </w:r>
    </w:p>
    <w:p w14:paraId="7A4D535E" w14:textId="77777777" w:rsidR="00241938" w:rsidRDefault="00241938" w:rsidP="00241938">
      <w:pPr>
        <w:pStyle w:val="NormalWeb"/>
        <w:spacing w:before="240" w:beforeAutospacing="0" w:after="240" w:afterAutospacing="0" w:line="276" w:lineRule="auto"/>
        <w:jc w:val="both"/>
      </w:pPr>
      <w:r>
        <w:t xml:space="preserve">Black, Paul &amp; </w:t>
      </w:r>
      <w:proofErr w:type="spellStart"/>
      <w:r>
        <w:t>Wiliam</w:t>
      </w:r>
      <w:proofErr w:type="spellEnd"/>
      <w:r>
        <w:t xml:space="preserve">, Dylan. (2010). Inside the Black Box Raising Standards Through Classroom Assessment. </w:t>
      </w:r>
      <w:hyperlink r:id="rId4" w:tgtFrame="_blank" w:history="1">
        <w:r>
          <w:rPr>
            <w:rStyle w:val="Hyperlink"/>
            <w:rFonts w:eastAsiaTheme="majorEastAsia"/>
          </w:rPr>
          <w:t>http://lst-iiep.iiep-unesco.org/cgi-bin/wwwi32.exe/[in=epidoc1.in]/?t2000=022921/(100).</w:t>
        </w:r>
      </w:hyperlink>
      <w:r>
        <w:t xml:space="preserve"> 80. 10.1177/003172171009200119. </w:t>
      </w:r>
    </w:p>
    <w:p w14:paraId="0384484B" w14:textId="77777777" w:rsidR="00241938" w:rsidRDefault="00241938" w:rsidP="00241938">
      <w:pPr>
        <w:pStyle w:val="NormalWeb"/>
        <w:spacing w:before="240" w:beforeAutospacing="0" w:after="240" w:afterAutospacing="0" w:line="276" w:lineRule="auto"/>
        <w:jc w:val="both"/>
      </w:pPr>
      <w:r>
        <w:t xml:space="preserve">Coe, R. </w:t>
      </w:r>
      <w:proofErr w:type="spellStart"/>
      <w:r>
        <w:t>Rouch</w:t>
      </w:r>
      <w:proofErr w:type="spellEnd"/>
      <w:r>
        <w:t xml:space="preserve">, C.J., </w:t>
      </w:r>
      <w:proofErr w:type="spellStart"/>
      <w:r>
        <w:t>Kime</w:t>
      </w:r>
      <w:proofErr w:type="spellEnd"/>
      <w:r>
        <w:t>, S., Singleton, D. (2020) Great Teaching Toolkit: Evidence Review</w:t>
      </w:r>
    </w:p>
    <w:p w14:paraId="04D62490" w14:textId="77777777" w:rsidR="00241938" w:rsidRDefault="00241938" w:rsidP="00241938">
      <w:pPr>
        <w:spacing w:before="240" w:after="240" w:line="276" w:lineRule="auto"/>
        <w:jc w:val="both"/>
        <w:rPr>
          <w:rFonts w:ascii="Times New Roman" w:eastAsia="Times New Roman" w:hAnsi="Times New Roman" w:cs="Times New Roman"/>
          <w:szCs w:val="24"/>
          <w:lang w:val="en-GB" w:eastAsia="en-GB"/>
        </w:rPr>
      </w:pPr>
      <w:r>
        <w:rPr>
          <w:rFonts w:ascii="Times New Roman" w:eastAsia="Times New Roman" w:hAnsi="Times New Roman" w:cs="Times New Roman"/>
          <w:color w:val="000000"/>
          <w:szCs w:val="24"/>
          <w:shd w:val="clear" w:color="auto" w:fill="FFFFFF"/>
          <w:lang w:val="en-GB" w:eastAsia="en-GB"/>
        </w:rPr>
        <w:t>Kaylor, S., 2014. Preventing Information Overload: Cognitive Load Theory as an Instructional Framework for Teaching Pharmacology. </w:t>
      </w:r>
      <w:r>
        <w:rPr>
          <w:rFonts w:ascii="Times New Roman" w:eastAsia="Times New Roman" w:hAnsi="Times New Roman" w:cs="Times New Roman"/>
          <w:i/>
          <w:iCs/>
          <w:color w:val="000000"/>
          <w:szCs w:val="24"/>
          <w:lang w:val="en-GB" w:eastAsia="en-GB"/>
        </w:rPr>
        <w:t>Journal of Nursing Education</w:t>
      </w:r>
      <w:r>
        <w:rPr>
          <w:rFonts w:ascii="Times New Roman" w:eastAsia="Times New Roman" w:hAnsi="Times New Roman" w:cs="Times New Roman"/>
          <w:color w:val="000000"/>
          <w:szCs w:val="24"/>
          <w:shd w:val="clear" w:color="auto" w:fill="FFFFFF"/>
          <w:lang w:val="en-GB" w:eastAsia="en-GB"/>
        </w:rPr>
        <w:t>, [online] 53(2), pp.108-111. Available at: &lt;https://search-proquest-com.ezproxy.uwtsd.ac.uk/docview/1494065020/abstract/9B370A9D82994B88PQ/1?accountid=130472&gt; [Accessed 26 February 2021].</w:t>
      </w:r>
      <w:r>
        <w:rPr>
          <w:rFonts w:ascii="Times New Roman" w:eastAsia="Times New Roman" w:hAnsi="Times New Roman" w:cs="Times New Roman"/>
          <w:szCs w:val="24"/>
          <w:lang w:val="en-GB" w:eastAsia="en-GB"/>
        </w:rPr>
        <w:t xml:space="preserve"> </w:t>
      </w:r>
    </w:p>
    <w:p w14:paraId="26456E73" w14:textId="77777777" w:rsidR="00241938" w:rsidRDefault="00241938" w:rsidP="00241938">
      <w:pPr>
        <w:pStyle w:val="NormalWeb"/>
        <w:spacing w:before="240" w:beforeAutospacing="0" w:after="240" w:afterAutospacing="0" w:line="276" w:lineRule="auto"/>
        <w:jc w:val="both"/>
      </w:pPr>
      <w:r>
        <w:t>Marshall, B. and Jane Drummond, M., 2006. How teachers engage with Assessment for Learning: lessons from the classroom. </w:t>
      </w:r>
      <w:r>
        <w:rPr>
          <w:rStyle w:val="Emphasis"/>
          <w:rFonts w:eastAsiaTheme="majorEastAsia"/>
          <w:color w:val="000000"/>
        </w:rPr>
        <w:t>Research Papers in Education</w:t>
      </w:r>
      <w:r>
        <w:t>, 21(2), pp.133-149.</w:t>
      </w:r>
    </w:p>
    <w:p w14:paraId="50AAE5DA" w14:textId="77777777" w:rsidR="00241938" w:rsidRDefault="00241938" w:rsidP="00241938">
      <w:pPr>
        <w:pStyle w:val="NormalWeb"/>
        <w:spacing w:before="240" w:beforeAutospacing="0" w:after="240" w:afterAutospacing="0" w:line="276" w:lineRule="auto"/>
        <w:jc w:val="both"/>
      </w:pPr>
      <w:r>
        <w:rPr>
          <w:color w:val="000000"/>
          <w:shd w:val="clear" w:color="auto" w:fill="FFFFFF"/>
        </w:rPr>
        <w:t xml:space="preserve">McKeen, H., 2019. The Impact of Grade Level Flexible Grouping on Math Achievement Scores. </w:t>
      </w:r>
      <w:r>
        <w:rPr>
          <w:rStyle w:val="Emphasis"/>
          <w:rFonts w:eastAsiaTheme="majorEastAsia"/>
          <w:color w:val="000000"/>
        </w:rPr>
        <w:t>Georgia Educational Researcher</w:t>
      </w:r>
      <w:r>
        <w:rPr>
          <w:color w:val="000000"/>
          <w:shd w:val="clear" w:color="auto" w:fill="FFFFFF"/>
        </w:rPr>
        <w:t xml:space="preserve">, [online] 16(1). Available at: &lt; </w:t>
      </w:r>
      <w:hyperlink r:id="rId5" w:tgtFrame="_blank" w:history="1">
        <w:r>
          <w:rPr>
            <w:rStyle w:val="Hyperlink"/>
            <w:rFonts w:eastAsiaTheme="majorEastAsia"/>
            <w:shd w:val="clear" w:color="auto" w:fill="FFFFFF"/>
          </w:rPr>
          <w:t>https://digitalcommons.georgiasouthern.edu/cgi/viewcontent.cgi?article=1143&amp;context=gerjournal&gt;.</w:t>
        </w:r>
      </w:hyperlink>
    </w:p>
    <w:p w14:paraId="4740BF40" w14:textId="77777777" w:rsidR="00241938" w:rsidRDefault="00241938" w:rsidP="00241938">
      <w:pPr>
        <w:spacing w:before="240" w:after="240" w:line="276" w:lineRule="auto"/>
        <w:jc w:val="both"/>
        <w:rPr>
          <w:rFonts w:ascii="Times New Roman" w:eastAsia="Times New Roman" w:hAnsi="Times New Roman" w:cs="Times New Roman"/>
          <w:szCs w:val="24"/>
          <w:lang w:val="en-GB" w:eastAsia="en-GB"/>
        </w:rPr>
      </w:pPr>
      <w:proofErr w:type="spellStart"/>
      <w:r>
        <w:rPr>
          <w:rFonts w:ascii="Times New Roman" w:eastAsia="Times New Roman" w:hAnsi="Times New Roman" w:cs="Times New Roman"/>
          <w:color w:val="000000"/>
          <w:szCs w:val="24"/>
          <w:shd w:val="clear" w:color="auto" w:fill="FFFFFF"/>
          <w:lang w:val="en-GB" w:eastAsia="en-GB"/>
        </w:rPr>
        <w:t>Streubel</w:t>
      </w:r>
      <w:proofErr w:type="spellEnd"/>
      <w:r>
        <w:rPr>
          <w:rFonts w:ascii="Times New Roman" w:eastAsia="Times New Roman" w:hAnsi="Times New Roman" w:cs="Times New Roman"/>
          <w:color w:val="000000"/>
          <w:szCs w:val="24"/>
          <w:shd w:val="clear" w:color="auto" w:fill="FFFFFF"/>
          <w:lang w:val="en-GB" w:eastAsia="en-GB"/>
        </w:rPr>
        <w:t xml:space="preserve">, B., </w:t>
      </w:r>
      <w:proofErr w:type="spellStart"/>
      <w:r>
        <w:rPr>
          <w:rFonts w:ascii="Times New Roman" w:eastAsia="Times New Roman" w:hAnsi="Times New Roman" w:cs="Times New Roman"/>
          <w:color w:val="000000"/>
          <w:szCs w:val="24"/>
          <w:shd w:val="clear" w:color="auto" w:fill="FFFFFF"/>
          <w:lang w:val="en-GB" w:eastAsia="en-GB"/>
        </w:rPr>
        <w:t>Gunzenhauser</w:t>
      </w:r>
      <w:proofErr w:type="spellEnd"/>
      <w:r>
        <w:rPr>
          <w:rFonts w:ascii="Times New Roman" w:eastAsia="Times New Roman" w:hAnsi="Times New Roman" w:cs="Times New Roman"/>
          <w:color w:val="000000"/>
          <w:szCs w:val="24"/>
          <w:shd w:val="clear" w:color="auto" w:fill="FFFFFF"/>
          <w:lang w:val="en-GB" w:eastAsia="en-GB"/>
        </w:rPr>
        <w:t xml:space="preserve">, C., Grosse, G. and </w:t>
      </w:r>
      <w:proofErr w:type="spellStart"/>
      <w:r>
        <w:rPr>
          <w:rFonts w:ascii="Times New Roman" w:eastAsia="Times New Roman" w:hAnsi="Times New Roman" w:cs="Times New Roman"/>
          <w:color w:val="000000"/>
          <w:szCs w:val="24"/>
          <w:shd w:val="clear" w:color="auto" w:fill="FFFFFF"/>
          <w:lang w:val="en-GB" w:eastAsia="en-GB"/>
        </w:rPr>
        <w:t>Saalbach</w:t>
      </w:r>
      <w:proofErr w:type="spellEnd"/>
      <w:r>
        <w:rPr>
          <w:rFonts w:ascii="Times New Roman" w:eastAsia="Times New Roman" w:hAnsi="Times New Roman" w:cs="Times New Roman"/>
          <w:color w:val="000000"/>
          <w:szCs w:val="24"/>
          <w:shd w:val="clear" w:color="auto" w:fill="FFFFFF"/>
          <w:lang w:val="en-GB" w:eastAsia="en-GB"/>
        </w:rPr>
        <w:t>, H., 2020. Emotion-specific vocabulary and its contribution to emotion understanding in 4- to 9-year-old children. </w:t>
      </w:r>
      <w:r>
        <w:rPr>
          <w:rFonts w:ascii="Times New Roman" w:eastAsia="Times New Roman" w:hAnsi="Times New Roman" w:cs="Times New Roman"/>
          <w:i/>
          <w:iCs/>
          <w:color w:val="000000"/>
          <w:szCs w:val="24"/>
          <w:lang w:val="en-GB" w:eastAsia="en-GB"/>
        </w:rPr>
        <w:t>Journal of Experimental Child Psychology</w:t>
      </w:r>
      <w:r>
        <w:rPr>
          <w:rFonts w:ascii="Times New Roman" w:eastAsia="Times New Roman" w:hAnsi="Times New Roman" w:cs="Times New Roman"/>
          <w:color w:val="000000"/>
          <w:szCs w:val="24"/>
          <w:shd w:val="clear" w:color="auto" w:fill="FFFFFF"/>
          <w:lang w:val="en-GB" w:eastAsia="en-GB"/>
        </w:rPr>
        <w:t>, [online] 193, p.104790. Available at: &lt;https://www-sciencedirect-com.ezproxy.uwtsd.ac.uk/science/article/pii/S0022096519304229&gt;.</w:t>
      </w:r>
      <w:r>
        <w:rPr>
          <w:rFonts w:ascii="Times New Roman" w:eastAsia="Times New Roman" w:hAnsi="Times New Roman" w:cs="Times New Roman"/>
          <w:szCs w:val="24"/>
          <w:lang w:val="en-GB" w:eastAsia="en-GB"/>
        </w:rPr>
        <w:t xml:space="preserve"> </w:t>
      </w:r>
    </w:p>
    <w:p w14:paraId="19F5D909" w14:textId="77777777" w:rsidR="00241938" w:rsidRDefault="00241938" w:rsidP="00241938">
      <w:pPr>
        <w:pStyle w:val="NormalWeb"/>
        <w:spacing w:before="240" w:beforeAutospacing="0" w:after="240" w:afterAutospacing="0" w:line="276" w:lineRule="auto"/>
        <w:jc w:val="both"/>
      </w:pPr>
      <w:r>
        <w:t xml:space="preserve">Timperley, H., Wilson, A., </w:t>
      </w:r>
      <w:proofErr w:type="spellStart"/>
      <w:r>
        <w:t>Barrar</w:t>
      </w:r>
      <w:proofErr w:type="spellEnd"/>
      <w:r>
        <w:t>, H. and Fung, I., 2008.</w:t>
      </w:r>
      <w:r>
        <w:rPr>
          <w:rStyle w:val="Emphasis"/>
          <w:rFonts w:eastAsiaTheme="majorEastAsia"/>
        </w:rPr>
        <w:t>Teacher Professional Learning and Development.</w:t>
      </w:r>
      <w:r>
        <w:t xml:space="preserve"> Brussels: International Academy of Education (IAE). Available at:  </w:t>
      </w:r>
      <w:hyperlink r:id="rId6" w:history="1">
        <w:r>
          <w:rPr>
            <w:rStyle w:val="Hyperlink"/>
            <w:rFonts w:eastAsiaTheme="majorEastAsia"/>
          </w:rPr>
          <w:t>http://www.ibe.unesco.org/sites/default/files/resources/edu-practices_18_eng.pdf</w:t>
        </w:r>
      </w:hyperlink>
      <w:r>
        <w:t xml:space="preserve"> [Accessed 10/12/2020]</w:t>
      </w:r>
    </w:p>
    <w:p w14:paraId="0793FF7F" w14:textId="77777777" w:rsidR="00241938" w:rsidRDefault="00241938" w:rsidP="00241938">
      <w:pPr>
        <w:pStyle w:val="NormalWeb"/>
        <w:spacing w:before="240" w:beforeAutospacing="0" w:after="240" w:afterAutospacing="0" w:line="276" w:lineRule="auto"/>
        <w:jc w:val="both"/>
      </w:pPr>
      <w:r>
        <w:rPr>
          <w:color w:val="000000"/>
          <w:shd w:val="clear" w:color="auto" w:fill="FFFFFF"/>
        </w:rPr>
        <w:t xml:space="preserve">Towers, E., Taylor, B., Tereshchenko, A. and </w:t>
      </w:r>
      <w:proofErr w:type="spellStart"/>
      <w:r>
        <w:rPr>
          <w:color w:val="000000"/>
          <w:shd w:val="clear" w:color="auto" w:fill="FFFFFF"/>
        </w:rPr>
        <w:t>Mazenod</w:t>
      </w:r>
      <w:proofErr w:type="spellEnd"/>
      <w:r>
        <w:rPr>
          <w:color w:val="000000"/>
          <w:shd w:val="clear" w:color="auto" w:fill="FFFFFF"/>
        </w:rPr>
        <w:t xml:space="preserve">, A., 2019. ‘The reality is complex’: teachers’ and school leaders’ accounts and justifications of grouping practices in the English key stage 2 classroom. </w:t>
      </w:r>
      <w:r>
        <w:rPr>
          <w:rStyle w:val="Emphasis"/>
          <w:rFonts w:eastAsiaTheme="majorEastAsia"/>
          <w:color w:val="000000"/>
        </w:rPr>
        <w:t>Education 3-13</w:t>
      </w:r>
      <w:r>
        <w:rPr>
          <w:color w:val="000000"/>
          <w:shd w:val="clear" w:color="auto" w:fill="FFFFFF"/>
        </w:rPr>
        <w:t xml:space="preserve">, [online] 48(1), pp.22-36. Available at: &lt; </w:t>
      </w:r>
      <w:hyperlink r:id="rId7" w:tgtFrame="_blank" w:history="1">
        <w:r>
          <w:rPr>
            <w:rStyle w:val="Hyperlink"/>
            <w:rFonts w:eastAsiaTheme="majorEastAsia"/>
            <w:shd w:val="clear" w:color="auto" w:fill="FFFFFF"/>
          </w:rPr>
          <w:t>https://www-tandfonline-com.ezproxy.uwtsd.ac.uk/doi/pdf/10.1080/03004279.2019.1569707?needAccess=true&gt;.</w:t>
        </w:r>
      </w:hyperlink>
      <w:r>
        <w:t xml:space="preserve"> ​​​​​​​</w:t>
      </w:r>
    </w:p>
    <w:p w14:paraId="53BD5AB7" w14:textId="77777777" w:rsidR="00241938" w:rsidRDefault="00241938" w:rsidP="00241938">
      <w:pPr>
        <w:spacing w:before="240" w:after="240" w:line="276" w:lineRule="auto"/>
        <w:jc w:val="both"/>
        <w:rPr>
          <w:rFonts w:ascii="Times New Roman" w:hAnsi="Times New Roman" w:cs="Times New Roman"/>
          <w:b/>
          <w:bCs/>
          <w:szCs w:val="24"/>
          <w:u w:val="single"/>
        </w:rPr>
      </w:pPr>
    </w:p>
    <w:p w14:paraId="224E056F" w14:textId="77777777" w:rsidR="00241938" w:rsidRDefault="00241938" w:rsidP="00241938">
      <w:pPr>
        <w:spacing w:before="240" w:after="240" w:line="276" w:lineRule="auto"/>
        <w:jc w:val="both"/>
        <w:rPr>
          <w:rFonts w:ascii="Times New Roman" w:hAnsi="Times New Roman" w:cs="Times New Roman"/>
          <w:b/>
          <w:bCs/>
          <w:szCs w:val="24"/>
          <w:u w:val="single"/>
        </w:rPr>
      </w:pPr>
      <w:r>
        <w:rPr>
          <w:rFonts w:ascii="Times New Roman" w:hAnsi="Times New Roman" w:cs="Times New Roman"/>
          <w:b/>
          <w:bCs/>
          <w:szCs w:val="24"/>
          <w:u w:val="single"/>
        </w:rPr>
        <w:t>Part 2</w:t>
      </w:r>
    </w:p>
    <w:p w14:paraId="26333CD5"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Clarke. (2003) </w:t>
      </w:r>
      <w:r>
        <w:rPr>
          <w:rFonts w:ascii="Times New Roman" w:hAnsi="Times New Roman" w:cs="Times New Roman"/>
          <w:i/>
          <w:iCs/>
          <w:szCs w:val="24"/>
        </w:rPr>
        <w:t xml:space="preserve">Enriching feedback in the primary classroom. </w:t>
      </w:r>
      <w:r>
        <w:rPr>
          <w:rFonts w:ascii="Times New Roman" w:hAnsi="Times New Roman" w:cs="Times New Roman"/>
          <w:szCs w:val="24"/>
        </w:rPr>
        <w:t xml:space="preserve">Oxon: </w:t>
      </w:r>
      <w:proofErr w:type="spellStart"/>
      <w:r>
        <w:rPr>
          <w:rFonts w:ascii="Times New Roman" w:hAnsi="Times New Roman" w:cs="Times New Roman"/>
          <w:szCs w:val="24"/>
        </w:rPr>
        <w:t>Bookpoint</w:t>
      </w:r>
      <w:proofErr w:type="spellEnd"/>
      <w:r>
        <w:rPr>
          <w:rFonts w:ascii="Times New Roman" w:hAnsi="Times New Roman" w:cs="Times New Roman"/>
          <w:szCs w:val="24"/>
        </w:rPr>
        <w:t xml:space="preserve"> Ltd</w:t>
      </w:r>
    </w:p>
    <w:p w14:paraId="16B17220"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lastRenderedPageBreak/>
        <w:t xml:space="preserve">Clarke. (1998) </w:t>
      </w:r>
      <w:r>
        <w:rPr>
          <w:rFonts w:ascii="Times New Roman" w:hAnsi="Times New Roman" w:cs="Times New Roman"/>
          <w:i/>
          <w:iCs/>
          <w:szCs w:val="24"/>
        </w:rPr>
        <w:t xml:space="preserve">Targeting Assessment in the Primary Classroom. </w:t>
      </w:r>
      <w:r>
        <w:rPr>
          <w:rFonts w:ascii="Times New Roman" w:hAnsi="Times New Roman" w:cs="Times New Roman"/>
          <w:szCs w:val="24"/>
        </w:rPr>
        <w:t xml:space="preserve">Great Britain: Hodder and Stoughton Educational. </w:t>
      </w:r>
    </w:p>
    <w:p w14:paraId="3073F8B0"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Coe, Rauch, </w:t>
      </w:r>
      <w:proofErr w:type="spellStart"/>
      <w:r>
        <w:rPr>
          <w:rFonts w:ascii="Times New Roman" w:hAnsi="Times New Roman" w:cs="Times New Roman"/>
          <w:szCs w:val="24"/>
        </w:rPr>
        <w:t>Kime</w:t>
      </w:r>
      <w:proofErr w:type="spellEnd"/>
      <w:r>
        <w:rPr>
          <w:rFonts w:ascii="Times New Roman" w:hAnsi="Times New Roman" w:cs="Times New Roman"/>
          <w:szCs w:val="24"/>
        </w:rPr>
        <w:t xml:space="preserve"> &amp; singleton, (2020) </w:t>
      </w:r>
      <w:r>
        <w:rPr>
          <w:rFonts w:ascii="Times New Roman" w:hAnsi="Times New Roman" w:cs="Times New Roman"/>
          <w:i/>
          <w:iCs/>
          <w:szCs w:val="24"/>
        </w:rPr>
        <w:t xml:space="preserve">The Great Teaching Toolkit Evidence Review, </w:t>
      </w:r>
      <w:r>
        <w:rPr>
          <w:rFonts w:ascii="Times New Roman" w:hAnsi="Times New Roman" w:cs="Times New Roman"/>
          <w:szCs w:val="24"/>
        </w:rPr>
        <w:t xml:space="preserve">Cambridge: Evidence Based Education, Available at: </w:t>
      </w:r>
      <w:hyperlink r:id="rId8" w:history="1">
        <w:r>
          <w:rPr>
            <w:rStyle w:val="Hyperlink"/>
            <w:rFonts w:ascii="Times New Roman" w:hAnsi="Times New Roman" w:cs="Times New Roman"/>
            <w:szCs w:val="24"/>
          </w:rPr>
          <w:t>https://assets.website-files.com/5ee28729f7b4a5fa99bef2b3/5ee9f507021911ae35ac6c4d_EBE_GTT_EVIDENCE%20REVIEW_DIGITAL.pdf?utm_referrer=https%3A%2F%2Fwww.greatteaching.com%2F</w:t>
        </w:r>
      </w:hyperlink>
      <w:r>
        <w:rPr>
          <w:rFonts w:ascii="Times New Roman" w:hAnsi="Times New Roman" w:cs="Times New Roman"/>
          <w:szCs w:val="24"/>
        </w:rPr>
        <w:t xml:space="preserve">, (Accessed: 05.03.2021) </w:t>
      </w:r>
    </w:p>
    <w:p w14:paraId="6C184137"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Cohen, et al. (2010) </w:t>
      </w:r>
      <w:r>
        <w:rPr>
          <w:rFonts w:ascii="Times New Roman" w:hAnsi="Times New Roman" w:cs="Times New Roman"/>
          <w:i/>
          <w:iCs/>
          <w:szCs w:val="24"/>
        </w:rPr>
        <w:t xml:space="preserve">A guide to teaching practice. </w:t>
      </w:r>
      <w:r>
        <w:rPr>
          <w:rFonts w:ascii="Times New Roman" w:hAnsi="Times New Roman" w:cs="Times New Roman"/>
          <w:szCs w:val="24"/>
        </w:rPr>
        <w:t>Revised 5</w:t>
      </w:r>
      <w:r>
        <w:rPr>
          <w:rFonts w:ascii="Times New Roman" w:hAnsi="Times New Roman" w:cs="Times New Roman"/>
          <w:szCs w:val="24"/>
          <w:vertAlign w:val="superscript"/>
        </w:rPr>
        <w:t>th</w:t>
      </w:r>
      <w:r>
        <w:rPr>
          <w:rFonts w:ascii="Times New Roman" w:hAnsi="Times New Roman" w:cs="Times New Roman"/>
          <w:szCs w:val="24"/>
        </w:rPr>
        <w:t xml:space="preserve"> </w:t>
      </w:r>
      <w:proofErr w:type="spellStart"/>
      <w:r>
        <w:rPr>
          <w:rFonts w:ascii="Times New Roman" w:hAnsi="Times New Roman" w:cs="Times New Roman"/>
          <w:szCs w:val="24"/>
        </w:rPr>
        <w:t>edn</w:t>
      </w:r>
      <w:proofErr w:type="spellEnd"/>
      <w:r>
        <w:rPr>
          <w:rFonts w:ascii="Times New Roman" w:hAnsi="Times New Roman" w:cs="Times New Roman"/>
          <w:szCs w:val="24"/>
        </w:rPr>
        <w:t>. Oxon: Routledge</w:t>
      </w:r>
    </w:p>
    <w:p w14:paraId="798ACD8B"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Dann, (2014), ‘Assessment as learning: blurring the boundaries of assessment and learning for theory, policy and practice, </w:t>
      </w:r>
      <w:r>
        <w:rPr>
          <w:rFonts w:ascii="Times New Roman" w:hAnsi="Times New Roman" w:cs="Times New Roman"/>
          <w:i/>
          <w:iCs/>
          <w:szCs w:val="24"/>
        </w:rPr>
        <w:t xml:space="preserve">Assessment in Education: Principles, Policy &amp; Practice, </w:t>
      </w:r>
      <w:r>
        <w:rPr>
          <w:rFonts w:ascii="Times New Roman" w:hAnsi="Times New Roman" w:cs="Times New Roman"/>
          <w:szCs w:val="24"/>
        </w:rPr>
        <w:t>21(2), pp. 149-166, DOI: 10.1080/0969594X.2014.898128</w:t>
      </w:r>
    </w:p>
    <w:p w14:paraId="5CFC435B"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Education Endowment Foundation, (2016), </w:t>
      </w:r>
      <w:r>
        <w:rPr>
          <w:rFonts w:ascii="Times New Roman" w:hAnsi="Times New Roman" w:cs="Times New Roman"/>
          <w:i/>
          <w:iCs/>
          <w:szCs w:val="24"/>
        </w:rPr>
        <w:t>Little evidence to show which types of marking improve pupil progress,</w:t>
      </w:r>
      <w:r>
        <w:rPr>
          <w:rFonts w:ascii="Times New Roman" w:hAnsi="Times New Roman" w:cs="Times New Roman"/>
          <w:szCs w:val="24"/>
        </w:rPr>
        <w:t xml:space="preserve"> Available at: </w:t>
      </w:r>
      <w:hyperlink r:id="rId9" w:anchor=":~:text=Little%20evidence%20to%20show%20which%20types%20of%20marking,published%20by%20the%20Education%20Endowment%20Foundation%20(EEF)%20today" w:history="1">
        <w:r>
          <w:rPr>
            <w:rStyle w:val="Hyperlink"/>
            <w:rFonts w:ascii="Times New Roman" w:hAnsi="Times New Roman" w:cs="Times New Roman"/>
            <w:szCs w:val="24"/>
          </w:rPr>
          <w:t>https://educationendowmentfoundation.org.uk/news/little-evidence-to-show-which-types-of-marking-improve-pupil-progress/#:~:text=Little%20evidence%20to%20show%20which%20types%20of%20marking,published%20by%20the%20Education%20Endowment%20Foundation%20(EEF)%20today</w:t>
        </w:r>
      </w:hyperlink>
      <w:r>
        <w:rPr>
          <w:rFonts w:ascii="Times New Roman" w:hAnsi="Times New Roman" w:cs="Times New Roman"/>
          <w:szCs w:val="24"/>
        </w:rPr>
        <w:t xml:space="preserve">, (Accessed: 05.03.2021) </w:t>
      </w:r>
    </w:p>
    <w:p w14:paraId="54B0EF9F"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Education Endowment Foundation, (2021), </w:t>
      </w:r>
      <w:r>
        <w:rPr>
          <w:rFonts w:ascii="Times New Roman" w:hAnsi="Times New Roman" w:cs="Times New Roman"/>
          <w:i/>
          <w:iCs/>
          <w:szCs w:val="24"/>
        </w:rPr>
        <w:t>Feedback</w:t>
      </w:r>
      <w:r>
        <w:rPr>
          <w:rFonts w:ascii="Times New Roman" w:hAnsi="Times New Roman" w:cs="Times New Roman"/>
          <w:szCs w:val="24"/>
        </w:rPr>
        <w:t xml:space="preserve">, Available at: </w:t>
      </w:r>
      <w:hyperlink r:id="rId10" w:history="1">
        <w:r>
          <w:rPr>
            <w:rStyle w:val="Hyperlink"/>
            <w:rFonts w:ascii="Times New Roman" w:hAnsi="Times New Roman" w:cs="Times New Roman"/>
            <w:szCs w:val="24"/>
          </w:rPr>
          <w:t>https://educationendowmentfoundation.org.uk/evidence-summaries/teaching-learning-toolkit/feedback/</w:t>
        </w:r>
      </w:hyperlink>
      <w:r>
        <w:rPr>
          <w:rFonts w:ascii="Times New Roman" w:hAnsi="Times New Roman" w:cs="Times New Roman"/>
          <w:szCs w:val="24"/>
        </w:rPr>
        <w:t xml:space="preserve">, (Accessed: 06.03.2021) </w:t>
      </w:r>
    </w:p>
    <w:p w14:paraId="22E58061"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Education Wales, (2020), </w:t>
      </w:r>
      <w:r>
        <w:rPr>
          <w:rFonts w:ascii="Times New Roman" w:hAnsi="Times New Roman" w:cs="Times New Roman"/>
          <w:i/>
          <w:iCs/>
          <w:szCs w:val="24"/>
        </w:rPr>
        <w:t xml:space="preserve">Curriculum for Wales guidance, </w:t>
      </w:r>
      <w:r>
        <w:rPr>
          <w:rFonts w:ascii="Times New Roman" w:hAnsi="Times New Roman" w:cs="Times New Roman"/>
          <w:szCs w:val="24"/>
        </w:rPr>
        <w:t xml:space="preserve">Online: Welsh Government, Available at: </w:t>
      </w:r>
      <w:hyperlink r:id="rId11" w:history="1">
        <w:r>
          <w:rPr>
            <w:rStyle w:val="Hyperlink"/>
            <w:rFonts w:ascii="Times New Roman" w:hAnsi="Times New Roman" w:cs="Times New Roman"/>
            <w:szCs w:val="24"/>
          </w:rPr>
          <w:t>https://hwb.gov.wales/api/storage/afca43eb-5c50-4846-9c2d-0d56fbffba09/curriculum-for-wales-guidance-120320.pdf</w:t>
        </w:r>
      </w:hyperlink>
      <w:r>
        <w:rPr>
          <w:rFonts w:ascii="Times New Roman" w:hAnsi="Times New Roman" w:cs="Times New Roman"/>
          <w:szCs w:val="24"/>
        </w:rPr>
        <w:t>, (Accessed: 05.03.2021)</w:t>
      </w:r>
    </w:p>
    <w:p w14:paraId="597AC601" w14:textId="77777777" w:rsidR="00241938" w:rsidRDefault="00241938" w:rsidP="00241938">
      <w:pPr>
        <w:spacing w:before="240" w:after="240" w:line="276" w:lineRule="auto"/>
        <w:jc w:val="both"/>
        <w:rPr>
          <w:rFonts w:ascii="Times New Roman" w:hAnsi="Times New Roman" w:cs="Times New Roman"/>
          <w:szCs w:val="24"/>
        </w:rPr>
      </w:pPr>
      <w:proofErr w:type="spellStart"/>
      <w:r>
        <w:rPr>
          <w:rFonts w:ascii="Times New Roman" w:hAnsi="Times New Roman" w:cs="Times New Roman"/>
          <w:szCs w:val="24"/>
        </w:rPr>
        <w:t>Egelandsdal</w:t>
      </w:r>
      <w:proofErr w:type="spellEnd"/>
      <w:r>
        <w:rPr>
          <w:rFonts w:ascii="Times New Roman" w:hAnsi="Times New Roman" w:cs="Times New Roman"/>
          <w:szCs w:val="24"/>
        </w:rPr>
        <w:t xml:space="preserve"> and </w:t>
      </w:r>
      <w:proofErr w:type="spellStart"/>
      <w:r>
        <w:rPr>
          <w:rFonts w:ascii="Times New Roman" w:hAnsi="Times New Roman" w:cs="Times New Roman"/>
          <w:szCs w:val="24"/>
        </w:rPr>
        <w:t>Riese</w:t>
      </w:r>
      <w:proofErr w:type="spellEnd"/>
      <w:r>
        <w:rPr>
          <w:rFonts w:ascii="Times New Roman" w:hAnsi="Times New Roman" w:cs="Times New Roman"/>
          <w:szCs w:val="24"/>
        </w:rPr>
        <w:t xml:space="preserve">, (2020), ‘Never mind the gap: Formative assessment confronted with Dewey’s and Gadamer’s concept of experience’, </w:t>
      </w:r>
      <w:r>
        <w:rPr>
          <w:rFonts w:ascii="Times New Roman" w:hAnsi="Times New Roman" w:cs="Times New Roman"/>
          <w:i/>
          <w:iCs/>
          <w:szCs w:val="24"/>
        </w:rPr>
        <w:t xml:space="preserve">European Journal of Education, </w:t>
      </w:r>
      <w:r>
        <w:rPr>
          <w:rFonts w:ascii="Times New Roman" w:hAnsi="Times New Roman" w:cs="Times New Roman"/>
          <w:szCs w:val="24"/>
        </w:rPr>
        <w:t>55(1), pp. 92-104, DOI: 10.1111/ejed.12378</w:t>
      </w:r>
    </w:p>
    <w:p w14:paraId="560AFA1D"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Eriksson, (2018), ‘A qualitative study of primary teachers’ classroom feedback rationales’, </w:t>
      </w:r>
      <w:r>
        <w:rPr>
          <w:rFonts w:ascii="Times New Roman" w:hAnsi="Times New Roman" w:cs="Times New Roman"/>
          <w:i/>
          <w:iCs/>
          <w:szCs w:val="24"/>
        </w:rPr>
        <w:t xml:space="preserve">Educational Research, </w:t>
      </w:r>
      <w:r>
        <w:rPr>
          <w:rFonts w:ascii="Times New Roman" w:hAnsi="Times New Roman" w:cs="Times New Roman"/>
          <w:szCs w:val="24"/>
        </w:rPr>
        <w:t xml:space="preserve">60(2), pp. 189-205, DOI: 10.1080/00131881.2018.1451759 </w:t>
      </w:r>
    </w:p>
    <w:p w14:paraId="7E2A1DFF"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Gan and Leung, (2020), ‘Illustrating formative assessment in task-based language teaching’, </w:t>
      </w:r>
      <w:r>
        <w:rPr>
          <w:rFonts w:ascii="Times New Roman" w:hAnsi="Times New Roman" w:cs="Times New Roman"/>
          <w:i/>
          <w:iCs/>
          <w:szCs w:val="24"/>
        </w:rPr>
        <w:t xml:space="preserve">ELT, </w:t>
      </w:r>
      <w:r>
        <w:rPr>
          <w:rFonts w:ascii="Times New Roman" w:hAnsi="Times New Roman" w:cs="Times New Roman"/>
          <w:szCs w:val="24"/>
        </w:rPr>
        <w:t xml:space="preserve">74(1), pp. 10-19, Available at: </w:t>
      </w:r>
      <w:hyperlink r:id="rId12" w:history="1">
        <w:r>
          <w:rPr>
            <w:rStyle w:val="Hyperlink"/>
            <w:rFonts w:ascii="Times New Roman" w:hAnsi="Times New Roman" w:cs="Times New Roman"/>
            <w:szCs w:val="24"/>
          </w:rPr>
          <w:t>https://academic.oup.com/eltj/article/74/1/10/5650703</w:t>
        </w:r>
      </w:hyperlink>
      <w:r>
        <w:rPr>
          <w:rFonts w:ascii="Times New Roman" w:hAnsi="Times New Roman" w:cs="Times New Roman"/>
          <w:szCs w:val="24"/>
        </w:rPr>
        <w:t xml:space="preserve"> (Accessed: 06/03/2021)</w:t>
      </w:r>
    </w:p>
    <w:p w14:paraId="30CDBC52"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Gipps, McCallum &amp; Hargreaves. (2000) </w:t>
      </w:r>
      <w:r>
        <w:rPr>
          <w:rFonts w:ascii="Times New Roman" w:hAnsi="Times New Roman" w:cs="Times New Roman"/>
          <w:i/>
          <w:iCs/>
          <w:szCs w:val="24"/>
        </w:rPr>
        <w:t xml:space="preserve">What Makes A Good Primary School Teacher? Expert Classroom Strategies. </w:t>
      </w:r>
      <w:proofErr w:type="spellStart"/>
      <w:proofErr w:type="gramStart"/>
      <w:r>
        <w:rPr>
          <w:rFonts w:ascii="Times New Roman" w:hAnsi="Times New Roman" w:cs="Times New Roman"/>
          <w:szCs w:val="24"/>
        </w:rPr>
        <w:t>London:RoutledgeFalmer</w:t>
      </w:r>
      <w:proofErr w:type="spellEnd"/>
      <w:proofErr w:type="gramEnd"/>
    </w:p>
    <w:p w14:paraId="5FBE52DB" w14:textId="77777777" w:rsidR="00241938" w:rsidRDefault="00241938" w:rsidP="00241938">
      <w:pPr>
        <w:spacing w:before="240" w:after="240" w:line="276" w:lineRule="auto"/>
        <w:jc w:val="both"/>
        <w:rPr>
          <w:rFonts w:ascii="Times New Roman" w:hAnsi="Times New Roman" w:cs="Times New Roman"/>
          <w:szCs w:val="24"/>
        </w:rPr>
      </w:pPr>
      <w:proofErr w:type="spellStart"/>
      <w:r>
        <w:rPr>
          <w:rFonts w:ascii="Times New Roman" w:hAnsi="Times New Roman" w:cs="Times New Roman"/>
          <w:szCs w:val="24"/>
        </w:rPr>
        <w:lastRenderedPageBreak/>
        <w:t>Grosas</w:t>
      </w:r>
      <w:proofErr w:type="spellEnd"/>
      <w:r>
        <w:rPr>
          <w:rFonts w:ascii="Times New Roman" w:hAnsi="Times New Roman" w:cs="Times New Roman"/>
          <w:szCs w:val="24"/>
        </w:rPr>
        <w:t xml:space="preserve">, Raju, </w:t>
      </w:r>
      <w:proofErr w:type="spellStart"/>
      <w:r>
        <w:rPr>
          <w:rFonts w:ascii="Times New Roman" w:hAnsi="Times New Roman" w:cs="Times New Roman"/>
          <w:szCs w:val="24"/>
        </w:rPr>
        <w:t>Schuett</w:t>
      </w:r>
      <w:proofErr w:type="spellEnd"/>
      <w:r>
        <w:rPr>
          <w:rFonts w:ascii="Times New Roman" w:hAnsi="Times New Roman" w:cs="Times New Roman"/>
          <w:szCs w:val="24"/>
        </w:rPr>
        <w:t xml:space="preserve">, Chuck &amp; Millar, (2014), ‘Determining if active learning through a formative assessment process translates to better performance in summative assessment’, </w:t>
      </w:r>
      <w:r>
        <w:rPr>
          <w:rFonts w:ascii="Times New Roman" w:hAnsi="Times New Roman" w:cs="Times New Roman"/>
          <w:i/>
          <w:iCs/>
          <w:szCs w:val="24"/>
        </w:rPr>
        <w:t xml:space="preserve">Studies in Higher Education, </w:t>
      </w:r>
      <w:r>
        <w:rPr>
          <w:rFonts w:ascii="Times New Roman" w:hAnsi="Times New Roman" w:cs="Times New Roman"/>
          <w:szCs w:val="24"/>
        </w:rPr>
        <w:t>41(9), pp. 1595-1611, DOI: 10.1080/03075079.2014.988704</w:t>
      </w:r>
    </w:p>
    <w:p w14:paraId="237D76D3"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Hargreaves, (2014), ‘The Practice of Promoting Primary Pupils’ Autonomy: Examples of Teacher Feedback, </w:t>
      </w:r>
      <w:r>
        <w:rPr>
          <w:rFonts w:ascii="Times New Roman" w:hAnsi="Times New Roman" w:cs="Times New Roman"/>
          <w:i/>
          <w:iCs/>
          <w:szCs w:val="24"/>
        </w:rPr>
        <w:t xml:space="preserve">Educational Research, </w:t>
      </w:r>
      <w:r>
        <w:rPr>
          <w:rFonts w:ascii="Times New Roman" w:hAnsi="Times New Roman" w:cs="Times New Roman"/>
          <w:szCs w:val="24"/>
        </w:rPr>
        <w:t>56(6), pp. 259-309</w:t>
      </w:r>
    </w:p>
    <w:p w14:paraId="1F443946"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Independent Teacher Workload Review Group, (2016), </w:t>
      </w:r>
      <w:r>
        <w:rPr>
          <w:rFonts w:ascii="Times New Roman" w:hAnsi="Times New Roman" w:cs="Times New Roman"/>
          <w:i/>
          <w:iCs/>
          <w:szCs w:val="24"/>
        </w:rPr>
        <w:t xml:space="preserve">Eliminating unnecessary workload around marking, </w:t>
      </w:r>
      <w:r>
        <w:rPr>
          <w:rFonts w:ascii="Times New Roman" w:hAnsi="Times New Roman" w:cs="Times New Roman"/>
          <w:szCs w:val="24"/>
        </w:rPr>
        <w:t xml:space="preserve">Online: Gov.uk, Available at: </w:t>
      </w:r>
      <w:hyperlink r:id="rId13" w:anchor=":~:text=Eliminating%20unnecessary%20workload%20around%20marking%20As%20the%20workload,There%20is%20no%20single%20reason%20behind%20excessive%20workload" w:history="1">
        <w:r>
          <w:rPr>
            <w:rStyle w:val="Hyperlink"/>
            <w:rFonts w:ascii="Times New Roman" w:hAnsi="Times New Roman" w:cs="Times New Roman"/>
            <w:szCs w:val="24"/>
          </w:rPr>
          <w:t>https://assets.publishing.service.gov.uk/government/uploads/system/uploads/attachment_data/file/511256/Eliminating-unnecessary-workload-around-marking.pdf#:~:text=Eliminating%20unnecessary%20workload%20around%20marking%20As%20the%20workload,There%20is%20no%20single%20reason%20behind%20excessive%20workload</w:t>
        </w:r>
      </w:hyperlink>
      <w:r>
        <w:rPr>
          <w:rFonts w:ascii="Times New Roman" w:hAnsi="Times New Roman" w:cs="Times New Roman"/>
          <w:szCs w:val="24"/>
        </w:rPr>
        <w:t xml:space="preserve">, (Accessed 05.03.2021) </w:t>
      </w:r>
    </w:p>
    <w:p w14:paraId="1755E3E3"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Nicol and Macfarlane-Dick, (2006), ‘Formative assessment and self-regulated learning: a model and seven principles of good feedback practice’,</w:t>
      </w:r>
      <w:r>
        <w:rPr>
          <w:rFonts w:ascii="Times New Roman" w:hAnsi="Times New Roman" w:cs="Times New Roman"/>
          <w:i/>
          <w:iCs/>
          <w:szCs w:val="24"/>
        </w:rPr>
        <w:t xml:space="preserve"> Studies in Higher Education, </w:t>
      </w:r>
      <w:r>
        <w:rPr>
          <w:rFonts w:ascii="Times New Roman" w:hAnsi="Times New Roman" w:cs="Times New Roman"/>
          <w:szCs w:val="24"/>
        </w:rPr>
        <w:t>31(2), pp.199-218. DOI: 10.1080/03075070600572090</w:t>
      </w:r>
    </w:p>
    <w:p w14:paraId="55142A72" w14:textId="77777777" w:rsidR="00241938" w:rsidRDefault="00241938" w:rsidP="00241938">
      <w:pPr>
        <w:spacing w:before="240" w:after="240" w:line="276" w:lineRule="auto"/>
        <w:jc w:val="both"/>
        <w:rPr>
          <w:rFonts w:ascii="Times New Roman" w:hAnsi="Times New Roman" w:cs="Times New Roman"/>
          <w:szCs w:val="24"/>
        </w:rPr>
      </w:pPr>
      <w:proofErr w:type="spellStart"/>
      <w:r>
        <w:rPr>
          <w:rFonts w:ascii="Times New Roman" w:hAnsi="Times New Roman" w:cs="Times New Roman"/>
          <w:szCs w:val="24"/>
        </w:rPr>
        <w:t>Otnes</w:t>
      </w:r>
      <w:proofErr w:type="spellEnd"/>
      <w:r>
        <w:rPr>
          <w:rFonts w:ascii="Times New Roman" w:hAnsi="Times New Roman" w:cs="Times New Roman"/>
          <w:szCs w:val="24"/>
        </w:rPr>
        <w:t xml:space="preserve"> and Solheim, (2019), ‘Acts of responding. Teachers’ written comments and students’ text revisions, </w:t>
      </w:r>
      <w:r>
        <w:rPr>
          <w:rFonts w:ascii="Times New Roman" w:hAnsi="Times New Roman" w:cs="Times New Roman"/>
          <w:i/>
          <w:iCs/>
          <w:szCs w:val="24"/>
        </w:rPr>
        <w:t xml:space="preserve">Assessment in Education: Principles, Policy &amp; Practice, </w:t>
      </w:r>
      <w:r>
        <w:rPr>
          <w:rFonts w:ascii="Times New Roman" w:hAnsi="Times New Roman" w:cs="Times New Roman"/>
          <w:szCs w:val="24"/>
        </w:rPr>
        <w:t>26(6), pp. 700-720, DOI: 10.1080/0969594X.2019.1595524</w:t>
      </w:r>
    </w:p>
    <w:p w14:paraId="01AD2CFC"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TES, (2016), </w:t>
      </w:r>
      <w:r>
        <w:rPr>
          <w:rFonts w:ascii="Times New Roman" w:hAnsi="Times New Roman" w:cs="Times New Roman"/>
          <w:i/>
          <w:iCs/>
          <w:szCs w:val="24"/>
        </w:rPr>
        <w:t xml:space="preserve">The key to effective marking and feedback in schools, </w:t>
      </w:r>
      <w:r>
        <w:rPr>
          <w:rFonts w:ascii="Times New Roman" w:hAnsi="Times New Roman" w:cs="Times New Roman"/>
          <w:szCs w:val="24"/>
        </w:rPr>
        <w:t xml:space="preserve">Available at: </w:t>
      </w:r>
      <w:hyperlink r:id="rId14" w:history="1">
        <w:r>
          <w:rPr>
            <w:rStyle w:val="Hyperlink"/>
            <w:rFonts w:ascii="Times New Roman" w:hAnsi="Times New Roman" w:cs="Times New Roman"/>
            <w:szCs w:val="24"/>
          </w:rPr>
          <w:t>https://www.tes.com/institute/blog/article/key-effective-marking-and-feedback-schools</w:t>
        </w:r>
      </w:hyperlink>
      <w:r>
        <w:rPr>
          <w:rFonts w:ascii="Times New Roman" w:hAnsi="Times New Roman" w:cs="Times New Roman"/>
          <w:szCs w:val="24"/>
        </w:rPr>
        <w:t xml:space="preserve">, (Accessed: 05.03.2021) </w:t>
      </w:r>
    </w:p>
    <w:p w14:paraId="6BA383A8" w14:textId="77777777" w:rsidR="00241938" w:rsidRDefault="00241938" w:rsidP="00241938">
      <w:pPr>
        <w:spacing w:before="240" w:after="240" w:line="276" w:lineRule="auto"/>
        <w:jc w:val="both"/>
        <w:rPr>
          <w:rFonts w:ascii="Times New Roman" w:hAnsi="Times New Roman" w:cs="Times New Roman"/>
          <w:szCs w:val="24"/>
        </w:rPr>
      </w:pPr>
      <w:proofErr w:type="spellStart"/>
      <w:r>
        <w:rPr>
          <w:rFonts w:ascii="Times New Roman" w:hAnsi="Times New Roman" w:cs="Times New Roman"/>
          <w:szCs w:val="24"/>
        </w:rPr>
        <w:t>Wiliam</w:t>
      </w:r>
      <w:proofErr w:type="spellEnd"/>
      <w:r>
        <w:rPr>
          <w:rFonts w:ascii="Times New Roman" w:hAnsi="Times New Roman" w:cs="Times New Roman"/>
          <w:szCs w:val="24"/>
        </w:rPr>
        <w:t xml:space="preserve">. (2011) </w:t>
      </w:r>
      <w:r>
        <w:rPr>
          <w:rFonts w:ascii="Times New Roman" w:hAnsi="Times New Roman" w:cs="Times New Roman"/>
          <w:i/>
          <w:iCs/>
          <w:szCs w:val="24"/>
        </w:rPr>
        <w:t xml:space="preserve">Embedded formative assessment. </w:t>
      </w:r>
      <w:r>
        <w:rPr>
          <w:rFonts w:ascii="Times New Roman" w:hAnsi="Times New Roman" w:cs="Times New Roman"/>
          <w:szCs w:val="24"/>
        </w:rPr>
        <w:t>Bloomington: Solution Tree Press</w:t>
      </w:r>
    </w:p>
    <w:p w14:paraId="7AFEA224" w14:textId="77777777" w:rsidR="00241938" w:rsidRDefault="00241938" w:rsidP="00241938">
      <w:pPr>
        <w:spacing w:before="240" w:after="240" w:line="276" w:lineRule="auto"/>
        <w:jc w:val="both"/>
        <w:rPr>
          <w:rFonts w:ascii="Times New Roman" w:hAnsi="Times New Roman" w:cs="Times New Roman"/>
          <w:szCs w:val="24"/>
        </w:rPr>
      </w:pPr>
      <w:r>
        <w:rPr>
          <w:rFonts w:ascii="Times New Roman" w:hAnsi="Times New Roman" w:cs="Times New Roman"/>
          <w:szCs w:val="24"/>
        </w:rPr>
        <w:t xml:space="preserve">Young Wales, (2010), </w:t>
      </w:r>
      <w:r>
        <w:rPr>
          <w:rFonts w:ascii="Times New Roman" w:hAnsi="Times New Roman" w:cs="Times New Roman"/>
          <w:i/>
          <w:iCs/>
          <w:szCs w:val="24"/>
        </w:rPr>
        <w:t xml:space="preserve">How to develop thinking and assessment for learning in the classroom, </w:t>
      </w:r>
      <w:r>
        <w:rPr>
          <w:rFonts w:ascii="Times New Roman" w:hAnsi="Times New Roman" w:cs="Times New Roman"/>
          <w:szCs w:val="24"/>
        </w:rPr>
        <w:t xml:space="preserve">Online: Welsh Assembly Government, Available at: </w:t>
      </w:r>
      <w:hyperlink r:id="rId15" w:history="1">
        <w:r>
          <w:rPr>
            <w:rStyle w:val="Hyperlink"/>
            <w:rFonts w:ascii="Times New Roman" w:hAnsi="Times New Roman" w:cs="Times New Roman"/>
            <w:szCs w:val="24"/>
          </w:rPr>
          <w:t>https://hwb.gov.wales/api/storage/663d00fd-9c3b-4003-9a1f-0012bad39fad/how-to-develop-thinking-and-assessment-for-learning-in-the-classroom.pdf</w:t>
        </w:r>
      </w:hyperlink>
      <w:r>
        <w:rPr>
          <w:rFonts w:ascii="Times New Roman" w:hAnsi="Times New Roman" w:cs="Times New Roman"/>
          <w:szCs w:val="24"/>
        </w:rPr>
        <w:t xml:space="preserve">, (Accessed: 05.03.2021) </w:t>
      </w:r>
    </w:p>
    <w:p w14:paraId="67F78B4D" w14:textId="77777777" w:rsidR="00BC33FC" w:rsidRDefault="00BC33FC"/>
    <w:sectPr w:rsidR="00BC33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938"/>
    <w:rsid w:val="00241938"/>
    <w:rsid w:val="00BC33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FF7CDA"/>
  <w15:chartTrackingRefBased/>
  <w15:docId w15:val="{5B52DAB1-67D7-479C-80B7-D516005A3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938"/>
    <w:pPr>
      <w:spacing w:after="0" w:line="360" w:lineRule="auto"/>
    </w:pPr>
    <w:rPr>
      <w:sz w:val="24"/>
      <w:lang w:val="en-US"/>
    </w:rPr>
  </w:style>
  <w:style w:type="paragraph" w:styleId="Heading1">
    <w:name w:val="heading 1"/>
    <w:basedOn w:val="Normal"/>
    <w:next w:val="Normal"/>
    <w:link w:val="Heading1Char"/>
    <w:uiPriority w:val="9"/>
    <w:qFormat/>
    <w:rsid w:val="00241938"/>
    <w:pPr>
      <w:keepNext/>
      <w:keepLines/>
      <w:spacing w:before="240"/>
      <w:outlineLvl w:val="0"/>
    </w:pPr>
    <w:rPr>
      <w:rFonts w:asciiTheme="majorHAnsi" w:eastAsiaTheme="majorEastAsia" w:hAnsiTheme="majorHAnsi" w:cstheme="majorBidi"/>
      <w:color w:val="1F3864" w:themeColor="accent1" w:themeShade="80"/>
      <w:sz w:val="32"/>
      <w:szCs w:val="32"/>
    </w:rPr>
  </w:style>
  <w:style w:type="paragraph" w:styleId="Heading2">
    <w:name w:val="heading 2"/>
    <w:basedOn w:val="Normal"/>
    <w:next w:val="Normal"/>
    <w:link w:val="Heading2Char"/>
    <w:uiPriority w:val="9"/>
    <w:semiHidden/>
    <w:unhideWhenUsed/>
    <w:qFormat/>
    <w:rsid w:val="00241938"/>
    <w:pPr>
      <w:keepNext/>
      <w:keepLines/>
      <w:spacing w:before="40"/>
      <w:outlineLvl w:val="1"/>
    </w:pPr>
    <w:rPr>
      <w:rFonts w:asciiTheme="majorHAnsi" w:eastAsiaTheme="majorEastAsia" w:hAnsiTheme="majorHAnsi" w:cstheme="majorBidi"/>
      <w:b/>
      <w:color w:val="1F3864" w:themeColor="accent1" w:themeShade="8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1938"/>
    <w:rPr>
      <w:rFonts w:asciiTheme="majorHAnsi" w:eastAsiaTheme="majorEastAsia" w:hAnsiTheme="majorHAnsi" w:cstheme="majorBidi"/>
      <w:color w:val="1F3864" w:themeColor="accent1" w:themeShade="80"/>
      <w:sz w:val="32"/>
      <w:szCs w:val="32"/>
      <w:lang w:val="en-US"/>
    </w:rPr>
  </w:style>
  <w:style w:type="character" w:customStyle="1" w:styleId="Heading2Char">
    <w:name w:val="Heading 2 Char"/>
    <w:basedOn w:val="DefaultParagraphFont"/>
    <w:link w:val="Heading2"/>
    <w:uiPriority w:val="9"/>
    <w:semiHidden/>
    <w:rsid w:val="00241938"/>
    <w:rPr>
      <w:rFonts w:asciiTheme="majorHAnsi" w:eastAsiaTheme="majorEastAsia" w:hAnsiTheme="majorHAnsi" w:cstheme="majorBidi"/>
      <w:b/>
      <w:color w:val="1F3864" w:themeColor="accent1" w:themeShade="80"/>
      <w:sz w:val="28"/>
      <w:szCs w:val="26"/>
      <w:lang w:val="en-US"/>
    </w:rPr>
  </w:style>
  <w:style w:type="character" w:styleId="Hyperlink">
    <w:name w:val="Hyperlink"/>
    <w:basedOn w:val="DefaultParagraphFont"/>
    <w:uiPriority w:val="99"/>
    <w:semiHidden/>
    <w:unhideWhenUsed/>
    <w:rsid w:val="00241938"/>
    <w:rPr>
      <w:color w:val="1F3864" w:themeColor="accent1" w:themeShade="80"/>
      <w:u w:val="single"/>
    </w:rPr>
  </w:style>
  <w:style w:type="paragraph" w:styleId="NormalWeb">
    <w:name w:val="Normal (Web)"/>
    <w:basedOn w:val="Normal"/>
    <w:uiPriority w:val="99"/>
    <w:semiHidden/>
    <w:unhideWhenUsed/>
    <w:rsid w:val="0024193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Emphasis">
    <w:name w:val="Emphasis"/>
    <w:basedOn w:val="DefaultParagraphFont"/>
    <w:uiPriority w:val="20"/>
    <w:qFormat/>
    <w:rsid w:val="0024193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5254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website-files.com/5ee28729f7b4a5fa99bef2b3/5ee9f507021911ae35ac6c4d_EBE_GTT_EVIDENCE%20REVIEW_DIGITAL.pdf?utm_referrer=https%3A%2F%2Fwww.greatteaching.com%2F" TargetMode="External"/><Relationship Id="rId13" Type="http://schemas.openxmlformats.org/officeDocument/2006/relationships/hyperlink" Target="https://assets.publishing.service.gov.uk/government/uploads/system/uploads/attachment_data/file/511256/Eliminating-unnecessary-workload-around-marking.pdf" TargetMode="External"/><Relationship Id="rId3" Type="http://schemas.openxmlformats.org/officeDocument/2006/relationships/webSettings" Target="webSettings.xml"/><Relationship Id="rId7" Type="http://schemas.openxmlformats.org/officeDocument/2006/relationships/hyperlink" Target="https://www-tandfonline-com.ezproxy.uwtsd.ac.uk/doi/pdf/10.1080/03004279.2019.1569707?needAccess=true%3e." TargetMode="External"/><Relationship Id="rId12" Type="http://schemas.openxmlformats.org/officeDocument/2006/relationships/hyperlink" Target="https://academic.oup.com/eltj/article/74/1/10/565070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ibe.unesco.org/sites/default/files/resources/edu-practices_18_eng.pdf" TargetMode="External"/><Relationship Id="rId11" Type="http://schemas.openxmlformats.org/officeDocument/2006/relationships/hyperlink" Target="https://hwb.gov.wales/api/storage/afca43eb-5c50-4846-9c2d-0d56fbffba09/curriculum-for-wales-guidance-120320.pdf" TargetMode="External"/><Relationship Id="rId5" Type="http://schemas.openxmlformats.org/officeDocument/2006/relationships/hyperlink" Target="https://digitalcommons.georgiasouthern.edu/cgi/viewcontent.cgi?article=1143&amp;context=gerjournal%3e." TargetMode="External"/><Relationship Id="rId15" Type="http://schemas.openxmlformats.org/officeDocument/2006/relationships/hyperlink" Target="https://hwb.gov.wales/api/storage/663d00fd-9c3b-4003-9a1f-0012bad39fad/how-to-develop-thinking-and-assessment-for-learning-in-the-classroom.pdf" TargetMode="External"/><Relationship Id="rId10" Type="http://schemas.openxmlformats.org/officeDocument/2006/relationships/hyperlink" Target="https://educationendowmentfoundation.org.uk/evidence-summaries/teaching-learning-toolkit/feedback/" TargetMode="External"/><Relationship Id="rId4" Type="http://schemas.openxmlformats.org/officeDocument/2006/relationships/hyperlink" Target="http://lst-iiep.iiep-unesco.org/cgi-bin/wwwi32.exe/%5bin=epidoc1.in%5d/?t2000=022921/(100)." TargetMode="External"/><Relationship Id="rId9" Type="http://schemas.openxmlformats.org/officeDocument/2006/relationships/hyperlink" Target="https://educationendowmentfoundation.org.uk/news/little-evidence-to-show-which-types-of-marking-improve-pupil-progress/" TargetMode="External"/><Relationship Id="rId14" Type="http://schemas.openxmlformats.org/officeDocument/2006/relationships/hyperlink" Target="https://www.tes.com/institute/blog/article/key-effective-marking-and-feedback-schoo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3286</Words>
  <Characters>18734</Characters>
  <Application>Microsoft Office Word</Application>
  <DocSecurity>0</DocSecurity>
  <Lines>156</Lines>
  <Paragraphs>43</Paragraphs>
  <ScaleCrop>false</ScaleCrop>
  <Company/>
  <LinksUpToDate>false</LinksUpToDate>
  <CharactersWithSpaces>21977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Thomas</dc:creator>
  <cp:keywords/>
  <dc:description/>
  <cp:lastModifiedBy>Melissa Thomas</cp:lastModifiedBy>
  <cp:revision>1</cp:revision>
  <dcterms:created xsi:type="dcterms:W3CDTF">2021-03-07T21:37:00Z</dcterms:created>
  <dcterms:modified xsi:type="dcterms:W3CDTF">2021-03-07T21:37:00Z</dcterms:modified>
</cp:coreProperties>
</file>