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5546C4" w:rsidRPr="00897C34" w:rsidRDefault="00610559" w:rsidP="00897C34">
      <w:pPr>
        <w:jc w:val="center"/>
        <w:rPr>
          <w:u w:val="single"/>
        </w:rPr>
      </w:pPr>
      <w:r w:rsidRPr="00897C34">
        <w:rPr>
          <w:u w:val="single"/>
        </w:rPr>
        <w:t xml:space="preserve">Critically discuss and </w:t>
      </w:r>
      <w:proofErr w:type="spellStart"/>
      <w:r w:rsidRPr="00897C34">
        <w:rPr>
          <w:u w:val="single"/>
        </w:rPr>
        <w:t>analyse</w:t>
      </w:r>
      <w:proofErr w:type="spellEnd"/>
      <w:r w:rsidRPr="00897C34">
        <w:rPr>
          <w:u w:val="single"/>
        </w:rPr>
        <w:t xml:space="preserve"> the gendered portrayal of male characters in the Homeric Hymn to Demeter</w:t>
      </w:r>
    </w:p>
    <w:p w14:paraId="00000002" w14:textId="77777777" w:rsidR="005546C4" w:rsidRDefault="005546C4"/>
    <w:p w14:paraId="00000003" w14:textId="0991CF9F" w:rsidR="005546C4" w:rsidRDefault="00610559">
      <w:r>
        <w:t xml:space="preserve">The </w:t>
      </w:r>
      <w:r w:rsidR="00897C34">
        <w:t>H</w:t>
      </w:r>
      <w:r>
        <w:t>omeric hymn to Demeter is a piece of ancient Greek poetry from an unknown author that follows the activities of Demeter after the abduction of her daughter, Persephone.</w:t>
      </w:r>
      <w:r w:rsidR="00897C34">
        <w:rPr>
          <w:rStyle w:val="FootnoteReference"/>
        </w:rPr>
        <w:footnoteReference w:id="1"/>
      </w:r>
      <w:r>
        <w:t xml:space="preserve"> This poem would have originally been part of an oral tradition, spoken to audience</w:t>
      </w:r>
      <w:r>
        <w:t>s rather than read.</w:t>
      </w:r>
      <w:r w:rsidR="00897C34">
        <w:rPr>
          <w:rStyle w:val="FootnoteReference"/>
        </w:rPr>
        <w:footnoteReference w:id="2"/>
      </w:r>
      <w:r>
        <w:t xml:space="preserve"> This needs to be </w:t>
      </w:r>
      <w:proofErr w:type="gramStart"/>
      <w:r>
        <w:t>taken into account</w:t>
      </w:r>
      <w:proofErr w:type="gramEnd"/>
      <w:r>
        <w:t xml:space="preserve"> when considering the author within any critical discussion.</w:t>
      </w:r>
    </w:p>
    <w:p w14:paraId="00000004" w14:textId="77777777" w:rsidR="005546C4" w:rsidRDefault="005546C4"/>
    <w:p w14:paraId="00000005" w14:textId="312BF3CB" w:rsidR="005546C4" w:rsidRDefault="00610559">
      <w:r>
        <w:t xml:space="preserve">Whereas </w:t>
      </w:r>
      <w:proofErr w:type="gramStart"/>
      <w:r>
        <w:t>the majority of</w:t>
      </w:r>
      <w:proofErr w:type="gramEnd"/>
      <w:r>
        <w:t xml:space="preserve"> poetry and literature from the ancient </w:t>
      </w:r>
      <w:r w:rsidR="00897C34">
        <w:t>G</w:t>
      </w:r>
      <w:r>
        <w:t>reek world is presented from the male perspective, the hymn to Demeter is a</w:t>
      </w:r>
      <w:r>
        <w:t xml:space="preserve"> rare example of a poem from the female perspective. This means we have a different way of understanding both male and female characters. Like many societies, Ancient Greece was patriarchal. Although it </w:t>
      </w:r>
      <w:proofErr w:type="gramStart"/>
      <w:r>
        <w:t>was seen as</w:t>
      </w:r>
      <w:proofErr w:type="gramEnd"/>
      <w:r>
        <w:t xml:space="preserve"> a democracy, this was limited to male cit</w:t>
      </w:r>
      <w:r>
        <w:t>izens.</w:t>
      </w:r>
      <w:r w:rsidR="00897C34">
        <w:rPr>
          <w:rStyle w:val="FootnoteReference"/>
        </w:rPr>
        <w:footnoteReference w:id="3"/>
      </w:r>
      <w:r>
        <w:t xml:space="preserve"> Women were under the authority of their male guardian. Typically viewed as a “man’s world”, the sources we have about the society of ancient Greece are largely male produced and therefore present the male perspective.</w:t>
      </w:r>
    </w:p>
    <w:p w14:paraId="00000006" w14:textId="77777777" w:rsidR="005546C4" w:rsidRDefault="005546C4"/>
    <w:p w14:paraId="00000007" w14:textId="63C8F2AA" w:rsidR="005546C4" w:rsidRDefault="00610559">
      <w:r>
        <w:t xml:space="preserve">One significant question that </w:t>
      </w:r>
      <w:r>
        <w:t xml:space="preserve">comes with the </w:t>
      </w:r>
      <w:r w:rsidR="00897C34">
        <w:t>H</w:t>
      </w:r>
      <w:r>
        <w:t xml:space="preserve">omeric hymn to Demeter is to do with the author. Since the hymn is part of an oral tradition it is unknown who the original author is as the narrative is likely to have developed from </w:t>
      </w:r>
      <w:proofErr w:type="gramStart"/>
      <w:r>
        <w:t>a number of</w:t>
      </w:r>
      <w:proofErr w:type="gramEnd"/>
      <w:r>
        <w:t xml:space="preserve"> threads within a shared tradition. Speculati</w:t>
      </w:r>
      <w:r>
        <w:t>on that comes from this unknown has led to the idea that the hymn to Demeter may have been composed by a woman or women, perhaps telling the story within the domestic sphere before being committed to text. Much scholarship for the Hymn to Demeter makes use</w:t>
      </w:r>
      <w:r>
        <w:t xml:space="preserve"> of feminist readings and critiques because of the subject matter and based on the assumption that it is a piece of male-produced literature.</w:t>
      </w:r>
      <w:r w:rsidR="00897C34">
        <w:rPr>
          <w:rStyle w:val="FootnoteReference"/>
        </w:rPr>
        <w:footnoteReference w:id="4"/>
      </w:r>
      <w:r>
        <w:t xml:space="preserve"> However, is it possible that the author could have been a woman and if so, how does this impact the understanding </w:t>
      </w:r>
      <w:r>
        <w:t>of the portrayal of the male characters?</w:t>
      </w:r>
    </w:p>
    <w:p w14:paraId="00000008" w14:textId="77777777" w:rsidR="005546C4" w:rsidRDefault="005546C4"/>
    <w:p w14:paraId="00000009" w14:textId="77777777" w:rsidR="005546C4" w:rsidRDefault="00610559">
      <w:r>
        <w:t>Beyond this contention the gender of the author does not need to dominate the discussion of the characters or the poem in general. Consideration of the reader response and reception of the poem can be useful approa</w:t>
      </w:r>
      <w:r>
        <w:t>ches regardless of the author’s gender. Traditional narrative critique can also ask questions of the portrayal of male characters. What is unusual about the portrayal of the male characters in this poem is that they are not the central subject of the poem.</w:t>
      </w:r>
      <w:r>
        <w:t xml:space="preserve"> They still maintain authority within the poem although they are not central characters, however this authority is challenged.</w:t>
      </w:r>
    </w:p>
    <w:p w14:paraId="0000000A" w14:textId="77777777" w:rsidR="005546C4" w:rsidRDefault="005546C4"/>
    <w:p w14:paraId="0000000B" w14:textId="77777777" w:rsidR="005546C4" w:rsidRDefault="00610559">
      <w:r>
        <w:t>Myths are a special genre of literature and the forms and features of myths must also be considered. The mythic form affects the</w:t>
      </w:r>
      <w:r>
        <w:t xml:space="preserve"> purpose of the story; myths provide a backstory to society and often take the form of origin stories explaining the nature of the world. Myths are different to other pieces of literature with their relevance being unquestioned.</w:t>
      </w:r>
    </w:p>
    <w:p w14:paraId="0000000C" w14:textId="77777777" w:rsidR="005546C4" w:rsidRDefault="005546C4"/>
    <w:p w14:paraId="0000000D" w14:textId="19A2F89B" w:rsidR="005546C4" w:rsidRDefault="00610559">
      <w:r>
        <w:lastRenderedPageBreak/>
        <w:t>In this rare example of li</w:t>
      </w:r>
      <w:r>
        <w:t>terature presenting a female perspective, the portrayal of male characters shows them in typical patriarchal positions of authority however they are forced to have a supporting, peripheral role with the female characters taking a central and active positio</w:t>
      </w:r>
      <w:r>
        <w:t>n.</w:t>
      </w:r>
      <w:r w:rsidR="00897C34">
        <w:t xml:space="preserve"> </w:t>
      </w:r>
      <w:r>
        <w:t>There are a number of literary techniques used to achieve the contentious gender dynamic within the text.</w:t>
      </w:r>
    </w:p>
    <w:p w14:paraId="0000000E" w14:textId="77777777" w:rsidR="005546C4" w:rsidRDefault="005546C4"/>
    <w:p w14:paraId="0000000F" w14:textId="7A096DAA" w:rsidR="005546C4" w:rsidRDefault="00610559">
      <w:r>
        <w:t xml:space="preserve">The use of direct and indirect speech in the Homeric Hymn to Demeter </w:t>
      </w:r>
      <w:proofErr w:type="gramStart"/>
      <w:r>
        <w:t>has an effect on</w:t>
      </w:r>
      <w:proofErr w:type="gramEnd"/>
      <w:r>
        <w:t xml:space="preserve"> the way the audience understands the characters in different </w:t>
      </w:r>
      <w:r>
        <w:t xml:space="preserve">ways. </w:t>
      </w:r>
      <w:r w:rsidRPr="00897C34">
        <w:rPr>
          <w:bCs/>
        </w:rPr>
        <w:t>Deborah Beck</w:t>
      </w:r>
      <w:r w:rsidR="00897C34">
        <w:rPr>
          <w:b/>
        </w:rPr>
        <w:t xml:space="preserve"> </w:t>
      </w:r>
      <w:r>
        <w:t>examines the use of direct and indirect speech as a literary technique to place characters in relation to each other.</w:t>
      </w:r>
      <w:r w:rsidR="00897C34">
        <w:rPr>
          <w:rStyle w:val="FootnoteReference"/>
        </w:rPr>
        <w:footnoteReference w:id="5"/>
      </w:r>
      <w:r>
        <w:t xml:space="preserve"> At the start of the hymn when Persephone is abducted, the incident is explained </w:t>
      </w:r>
      <w:proofErr w:type="gramStart"/>
      <w:r>
        <w:t>through the use of</w:t>
      </w:r>
      <w:proofErr w:type="gramEnd"/>
      <w:r>
        <w:t xml:space="preserve"> indirect speec</w:t>
      </w:r>
      <w:r>
        <w:t>h.</w:t>
      </w:r>
      <w:r w:rsidR="00897C34">
        <w:rPr>
          <w:rStyle w:val="FootnoteReference"/>
        </w:rPr>
        <w:footnoteReference w:id="6"/>
      </w:r>
      <w:r>
        <w:t xml:space="preserve"> On line 21 the text reads “Then she cried out shrilly with her voice”.</w:t>
      </w:r>
      <w:r w:rsidR="00897C34">
        <w:rPr>
          <w:rStyle w:val="FootnoteReference"/>
        </w:rPr>
        <w:footnoteReference w:id="7"/>
      </w:r>
      <w:r>
        <w:t xml:space="preserve"> This use of indirect speech shows the audience how helpless Persephone is to stop the abduction from taking place as it explains the situation as a retelling of the event rather than</w:t>
      </w:r>
      <w:r>
        <w:t xml:space="preserve"> explaining as the incident </w:t>
      </w:r>
      <w:r w:rsidR="00897C34">
        <w:t>occurred</w:t>
      </w:r>
      <w:r>
        <w:t xml:space="preserve">. This </w:t>
      </w:r>
      <w:proofErr w:type="gramStart"/>
      <w:r>
        <w:t>is in contrast to</w:t>
      </w:r>
      <w:proofErr w:type="gramEnd"/>
      <w:r>
        <w:t xml:space="preserve"> the end of the hymn where Persephone uses direct speech to give her perspective on the abduction.</w:t>
      </w:r>
      <w:r>
        <w:rPr>
          <w:b/>
        </w:rPr>
        <w:t xml:space="preserve"> </w:t>
      </w:r>
      <w:r>
        <w:t xml:space="preserve">On line 433 we see the same </w:t>
      </w:r>
      <w:r w:rsidR="00897C34">
        <w:t>line,</w:t>
      </w:r>
      <w:r>
        <w:t xml:space="preserve"> but it is written in a speech given by Persephone. It reads: “the</w:t>
      </w:r>
      <w:r>
        <w:t>n I cried with a shrill cry”.</w:t>
      </w:r>
      <w:r w:rsidR="00897C34">
        <w:rPr>
          <w:rStyle w:val="FootnoteReference"/>
        </w:rPr>
        <w:footnoteReference w:id="8"/>
      </w:r>
      <w:r>
        <w:t xml:space="preserve"> As it comes from direct speech it is much more personal and active within the scene. This parallel between the two displays how </w:t>
      </w:r>
      <w:r w:rsidR="00897C34">
        <w:t>Persephone</w:t>
      </w:r>
      <w:r>
        <w:t xml:space="preserve"> has</w:t>
      </w:r>
      <w:r>
        <w:t xml:space="preserve"> matured from child-like maiden to married woman. Demeter’s use of direct speech ch</w:t>
      </w:r>
      <w:r>
        <w:t>anges as she learns about the abduction of her daughter.</w:t>
      </w:r>
      <w:r w:rsidR="00897C34">
        <w:rPr>
          <w:rStyle w:val="FootnoteReference"/>
        </w:rPr>
        <w:footnoteReference w:id="9"/>
      </w:r>
      <w:r>
        <w:t xml:space="preserve"> The more she learns about what has happened the more direct speech is used. This reflects her gaining more understanding and information. In comparison, when we are first introduced to </w:t>
      </w:r>
      <w:r w:rsidR="00897C34">
        <w:t>Helios,</w:t>
      </w:r>
      <w:r>
        <w:t xml:space="preserve"> he uses</w:t>
      </w:r>
      <w:r>
        <w:t xml:space="preserve"> direct speech to inform Demeter of what has happened.</w:t>
      </w:r>
      <w:r w:rsidR="00317A3E">
        <w:rPr>
          <w:rStyle w:val="FootnoteReference"/>
        </w:rPr>
        <w:footnoteReference w:id="10"/>
      </w:r>
      <w:r>
        <w:t xml:space="preserve"> This could reflect how he heard and knew what had happened to Persephone. The use of direct speech shows how the characters are active within the narrative. The perspective of Zeus is written in indire</w:t>
      </w:r>
      <w:r>
        <w:t>ct speech. Beck suggests this is to show how he does not wish to be involved with the situation.</w:t>
      </w:r>
      <w:r w:rsidR="00897C34">
        <w:rPr>
          <w:rStyle w:val="FootnoteReference"/>
        </w:rPr>
        <w:footnoteReference w:id="11"/>
      </w:r>
      <w:r>
        <w:t xml:space="preserve"> On line 28 it reads: </w:t>
      </w:r>
      <w:r>
        <w:rPr>
          <w:rFonts w:ascii="Georgia" w:eastAsia="Georgia" w:hAnsi="Georgia" w:cs="Georgia"/>
        </w:rPr>
        <w:t>“</w:t>
      </w:r>
      <w:r>
        <w:t>But he was sitting aloof, apart from the gods”.</w:t>
      </w:r>
      <w:r w:rsidR="00897C34">
        <w:rPr>
          <w:rStyle w:val="FootnoteReference"/>
        </w:rPr>
        <w:footnoteReference w:id="12"/>
      </w:r>
      <w:r>
        <w:t xml:space="preserve"> This displays distance in two ways. The first, and more obvious way, is the description o</w:t>
      </w:r>
      <w:r>
        <w:t>f the physical distance. By him sitting away from the gods it shows he is more concerned with himself than by what is happening, even though it is his doing. The second way distance is displayed is by using indirect speech. By describing Zeus as distant an</w:t>
      </w:r>
      <w:r>
        <w:t>d aloof it gives him a more passive presence in the story and indicates his position on the abduction.</w:t>
      </w:r>
    </w:p>
    <w:p w14:paraId="00000010" w14:textId="77777777" w:rsidR="005546C4" w:rsidRDefault="005546C4"/>
    <w:p w14:paraId="00000011" w14:textId="4E96E2B3" w:rsidR="005546C4" w:rsidRDefault="00610559">
      <w:r>
        <w:t xml:space="preserve">The literary technique used in direct and indirect speech guides the audience to place the characters in particular relationships with each other. </w:t>
      </w:r>
      <w:r w:rsidRPr="00897C34">
        <w:rPr>
          <w:bCs/>
        </w:rPr>
        <w:t>Beck</w:t>
      </w:r>
      <w:r>
        <w:t xml:space="preserve"> </w:t>
      </w:r>
      <w:r>
        <w:t>described how direct speech is used to show the importance of the mother/child bond and is placed in direct contrast to indirect speech, which is used to show the unemotional response from male relatives.</w:t>
      </w:r>
      <w:r w:rsidR="00897C34">
        <w:rPr>
          <w:rStyle w:val="FootnoteReference"/>
        </w:rPr>
        <w:footnoteReference w:id="13"/>
      </w:r>
      <w:r>
        <w:t xml:space="preserve"> This works, </w:t>
      </w:r>
      <w:r>
        <w:lastRenderedPageBreak/>
        <w:t>perhaps, because of the collective unde</w:t>
      </w:r>
      <w:r>
        <w:t xml:space="preserve">rstanding of the gender dynamic within </w:t>
      </w:r>
      <w:r w:rsidR="00897C34">
        <w:t>G</w:t>
      </w:r>
      <w:r>
        <w:t>reek society. The relationship between women, such as that between a mother and daughter, would have been a significant relation. This can be seen with the hymn when Demeter’s relationship with Persephone is mentione</w:t>
      </w:r>
      <w:r>
        <w:t xml:space="preserve">d as well as when Demeter </w:t>
      </w:r>
      <w:proofErr w:type="gramStart"/>
      <w:r>
        <w:t>comes into contact with</w:t>
      </w:r>
      <w:proofErr w:type="gramEnd"/>
      <w:r>
        <w:t xml:space="preserve"> the daughters of </w:t>
      </w:r>
      <w:proofErr w:type="spellStart"/>
      <w:r>
        <w:t>Celeus</w:t>
      </w:r>
      <w:proofErr w:type="spellEnd"/>
      <w:r>
        <w:t>. The use of direct speech to reflect this relationship can be clearly seen on line 120 where Demeter talks to the daughters saying “Hail, dear children, whosoever you are of woman-ki</w:t>
      </w:r>
      <w:r>
        <w:t>nd”.</w:t>
      </w:r>
      <w:r w:rsidR="00897C34">
        <w:rPr>
          <w:rStyle w:val="FootnoteReference"/>
        </w:rPr>
        <w:footnoteReference w:id="14"/>
      </w:r>
      <w:r>
        <w:t xml:space="preserve"> Her speech to the girls displays the type of relationship we may expect to see between women. This is a contrast to how Demeter and other female characters talk to the male characters. As seen in line 295</w:t>
      </w:r>
      <w:r>
        <w:rPr>
          <w:rFonts w:ascii="Georgia" w:eastAsia="Georgia" w:hAnsi="Georgia" w:cs="Georgia"/>
        </w:rPr>
        <w:t xml:space="preserve"> (“</w:t>
      </w:r>
      <w:r>
        <w:t xml:space="preserve">they told powerful </w:t>
      </w:r>
      <w:proofErr w:type="spellStart"/>
      <w:r>
        <w:t>Celeus</w:t>
      </w:r>
      <w:proofErr w:type="spellEnd"/>
      <w:r>
        <w:t xml:space="preserve"> all things without</w:t>
      </w:r>
      <w:r>
        <w:t xml:space="preserve"> fail”) where Demeter’s commands are delivered as a retelling of what Demeter has said rather than as a direct quote.</w:t>
      </w:r>
      <w:r w:rsidR="00897C34">
        <w:rPr>
          <w:rStyle w:val="FootnoteReference"/>
        </w:rPr>
        <w:footnoteReference w:id="15"/>
      </w:r>
      <w:r>
        <w:t xml:space="preserve"> This shows that the relationships between male and female characters were not held in the same importance as the inter-female relationship</w:t>
      </w:r>
      <w:r>
        <w:t>s and further presents the authority of men without having to openly state it.</w:t>
      </w:r>
    </w:p>
    <w:p w14:paraId="00000012" w14:textId="77777777" w:rsidR="005546C4" w:rsidRDefault="005546C4"/>
    <w:p w14:paraId="00000013" w14:textId="347E7359" w:rsidR="005546C4" w:rsidRDefault="00610559">
      <w:r>
        <w:t xml:space="preserve">It is important to remember how myth </w:t>
      </w:r>
      <w:proofErr w:type="spellStart"/>
      <w:r>
        <w:t>legitimises</w:t>
      </w:r>
      <w:proofErr w:type="spellEnd"/>
      <w:r>
        <w:t xml:space="preserve"> the perspectives and actions in society, and in this case the hymn to Demeter presents a patriarchal society that is mirrored a</w:t>
      </w:r>
      <w:r>
        <w:t xml:space="preserve">nd validated in the world of the gods. While the Greek audience would </w:t>
      </w:r>
      <w:proofErr w:type="spellStart"/>
      <w:r>
        <w:t>recognise</w:t>
      </w:r>
      <w:proofErr w:type="spellEnd"/>
      <w:r>
        <w:t xml:space="preserve"> the gender dynamic, they are not a homogenous group and women hearing the story would be unlikely to have the same response as men hearing the story. With this idea in </w:t>
      </w:r>
      <w:r w:rsidR="00897C34">
        <w:t>mind,</w:t>
      </w:r>
      <w:r>
        <w:t xml:space="preserve"> it </w:t>
      </w:r>
      <w:r>
        <w:t>is useful to use reader response theory to create an understanding of the text and the portrayal of the characters. It is the reader's response to what is written that can produce meaning for the text.</w:t>
      </w:r>
      <w:r w:rsidR="00FF671F">
        <w:rPr>
          <w:rStyle w:val="FootnoteReference"/>
        </w:rPr>
        <w:footnoteReference w:id="16"/>
      </w:r>
      <w:r>
        <w:t xml:space="preserve"> As </w:t>
      </w:r>
      <w:r w:rsidRPr="00FF671F">
        <w:rPr>
          <w:bCs/>
        </w:rPr>
        <w:t>Stanley Fish</w:t>
      </w:r>
      <w:r>
        <w:t xml:space="preserve"> explains, a reader will never approach</w:t>
      </w:r>
      <w:r>
        <w:t xml:space="preserve"> a piece of literature in isolation.</w:t>
      </w:r>
      <w:r w:rsidR="00FF671F">
        <w:rPr>
          <w:rStyle w:val="FootnoteReference"/>
        </w:rPr>
        <w:footnoteReference w:id="17"/>
      </w:r>
      <w:r>
        <w:t xml:space="preserve"> The reader is part of a wider community and for</w:t>
      </w:r>
      <w:r>
        <w:rPr>
          <w:b/>
        </w:rPr>
        <w:t xml:space="preserve"> </w:t>
      </w:r>
      <w:r w:rsidRPr="00FF671F">
        <w:rPr>
          <w:bCs/>
        </w:rPr>
        <w:t>Fish</w:t>
      </w:r>
      <w:r>
        <w:t xml:space="preserve"> it is this community that produces the meaning of text, not the text itself.</w:t>
      </w:r>
      <w:r w:rsidR="00FF671F">
        <w:rPr>
          <w:rStyle w:val="FootnoteReference"/>
        </w:rPr>
        <w:footnoteReference w:id="18"/>
      </w:r>
      <w:r>
        <w:t xml:space="preserve"> Taking this into account, it is possible to apply this theory to ancient Greek society. I</w:t>
      </w:r>
      <w:r>
        <w:t xml:space="preserve">f the meaning of a story is produced by a community then the meaning of the hymn would be produced by ancient Greek society and the social norms that are a part of it. </w:t>
      </w:r>
      <w:proofErr w:type="spellStart"/>
      <w:r w:rsidRPr="00FF671F">
        <w:rPr>
          <w:bCs/>
        </w:rPr>
        <w:t>DeBloois</w:t>
      </w:r>
      <w:proofErr w:type="spellEnd"/>
      <w:r>
        <w:t xml:space="preserve"> shows how an awareness of different gendered interpretative communities who wou</w:t>
      </w:r>
      <w:r>
        <w:t>ld form the audience is demonstrated in the twin themes of marriage and death that run concurrently through the hymn.</w:t>
      </w:r>
      <w:r w:rsidR="00FF671F">
        <w:rPr>
          <w:rStyle w:val="FootnoteReference"/>
        </w:rPr>
        <w:footnoteReference w:id="19"/>
      </w:r>
      <w:r>
        <w:t xml:space="preserve"> Gender stereotypes can clearly be seen throughout the hymn in the depictions of the male characters and in contrast to the female characte</w:t>
      </w:r>
      <w:r>
        <w:t xml:space="preserve">rs. This links to </w:t>
      </w:r>
      <w:r w:rsidRPr="00FF671F">
        <w:rPr>
          <w:bCs/>
        </w:rPr>
        <w:t>Judith Butler</w:t>
      </w:r>
      <w:r w:rsidRPr="00FF671F">
        <w:rPr>
          <w:bCs/>
        </w:rPr>
        <w:t xml:space="preserve">’s </w:t>
      </w:r>
      <w:r>
        <w:t>ideas concerning hetero-normative stereotypes, such as male authority and lack of relationship between fathers and daughters.</w:t>
      </w:r>
      <w:r w:rsidR="00FF671F">
        <w:rPr>
          <w:rStyle w:val="FootnoteReference"/>
        </w:rPr>
        <w:footnoteReference w:id="20"/>
      </w:r>
      <w:r>
        <w:t xml:space="preserve"> Children listening to the story may </w:t>
      </w:r>
      <w:proofErr w:type="spellStart"/>
      <w:r>
        <w:t>recognise</w:t>
      </w:r>
      <w:proofErr w:type="spellEnd"/>
      <w:r>
        <w:t xml:space="preserve"> their own gender position within the story.</w:t>
      </w:r>
    </w:p>
    <w:p w14:paraId="00000014" w14:textId="77777777" w:rsidR="005546C4" w:rsidRDefault="005546C4"/>
    <w:p w14:paraId="00000015" w14:textId="5BFC819E" w:rsidR="005546C4" w:rsidRDefault="00610559">
      <w:r>
        <w:t>The s</w:t>
      </w:r>
      <w:r>
        <w:t xml:space="preserve">tory shows the different realms in which the gods operate. </w:t>
      </w:r>
      <w:r w:rsidRPr="00FF671F">
        <w:rPr>
          <w:bCs/>
        </w:rPr>
        <w:t>Roberta Gilchrist</w:t>
      </w:r>
      <w:r>
        <w:rPr>
          <w:b/>
        </w:rPr>
        <w:t xml:space="preserve"> </w:t>
      </w:r>
      <w:r>
        <w:t xml:space="preserve">provides the concept of gendered space within her work </w:t>
      </w:r>
      <w:r>
        <w:rPr>
          <w:i/>
        </w:rPr>
        <w:t>Gender and Archeology</w:t>
      </w:r>
      <w:r>
        <w:t xml:space="preserve"> in which she explains how men and women operate in different areas within a home.</w:t>
      </w:r>
      <w:r w:rsidR="00FF671F">
        <w:rPr>
          <w:rStyle w:val="FootnoteReference"/>
        </w:rPr>
        <w:footnoteReference w:id="21"/>
      </w:r>
      <w:r>
        <w:t xml:space="preserve"> This concept can be </w:t>
      </w:r>
      <w:r>
        <w:t xml:space="preserve">expanded to </w:t>
      </w:r>
      <w:r>
        <w:lastRenderedPageBreak/>
        <w:t xml:space="preserve">incorporate wider society and the realm of the gods within the ancient Greek world. During the </w:t>
      </w:r>
      <w:proofErr w:type="spellStart"/>
      <w:r>
        <w:t>Eliseusian</w:t>
      </w:r>
      <w:proofErr w:type="spellEnd"/>
      <w:r>
        <w:t xml:space="preserve"> episode of the hymn Demeter distances herself from the gods in every way she can, going as far as to not drink wine she is offered </w:t>
      </w:r>
      <w:proofErr w:type="gramStart"/>
      <w:r>
        <w:t>as a wa</w:t>
      </w:r>
      <w:r>
        <w:t>y to</w:t>
      </w:r>
      <w:proofErr w:type="gramEnd"/>
      <w:r>
        <w:t xml:space="preserve"> show separation from aspects of life she has no control over.</w:t>
      </w:r>
      <w:r w:rsidR="00FF671F">
        <w:rPr>
          <w:rStyle w:val="FootnoteReference"/>
        </w:rPr>
        <w:footnoteReference w:id="22"/>
      </w:r>
      <w:r>
        <w:t xml:space="preserve"> This is a direct parallel to earlier in the hymn when Zeus has distanced himself from the gods.</w:t>
      </w:r>
      <w:r w:rsidR="00FF671F">
        <w:rPr>
          <w:rStyle w:val="FootnoteReference"/>
        </w:rPr>
        <w:footnoteReference w:id="23"/>
      </w:r>
      <w:r>
        <w:t xml:space="preserve"> In Demeter’s situation she is distancing herself due to her pain from losing her daughter and</w:t>
      </w:r>
      <w:r>
        <w:t xml:space="preserve"> places herself into the female sphere, interacting with the mother of the household and her daughters. Whereas in the case of Zeus, he places himself in his temple where he receives prayers and offerings. This reflects the different areas of life that men</w:t>
      </w:r>
      <w:r>
        <w:t xml:space="preserve"> and women held control over. This concept is shown further through Demeter moving from the female to the male sphere. During her time in </w:t>
      </w:r>
      <w:proofErr w:type="spellStart"/>
      <w:r>
        <w:t>Celeus</w:t>
      </w:r>
      <w:proofErr w:type="spellEnd"/>
      <w:r>
        <w:t xml:space="preserve">’ household she resides within the domestic sphere, under the care of </w:t>
      </w:r>
      <w:proofErr w:type="spellStart"/>
      <w:r>
        <w:t>Metaneira</w:t>
      </w:r>
      <w:proofErr w:type="spellEnd"/>
      <w:r>
        <w:t>.</w:t>
      </w:r>
      <w:r w:rsidR="00FF671F">
        <w:rPr>
          <w:rStyle w:val="FootnoteReference"/>
        </w:rPr>
        <w:footnoteReference w:id="24"/>
      </w:r>
      <w:r>
        <w:t xml:space="preserve"> </w:t>
      </w:r>
      <w:r w:rsidR="00FF671F">
        <w:t>However,</w:t>
      </w:r>
      <w:r>
        <w:t xml:space="preserve"> when she reveals hersel</w:t>
      </w:r>
      <w:r>
        <w:t xml:space="preserve">f to be a goddess her demands are given to </w:t>
      </w:r>
      <w:proofErr w:type="spellStart"/>
      <w:r>
        <w:t>Celeus</w:t>
      </w:r>
      <w:proofErr w:type="spellEnd"/>
      <w:r>
        <w:t xml:space="preserve"> as the duty of carrying them out would come under his control.</w:t>
      </w:r>
      <w:r w:rsidR="00FF671F">
        <w:rPr>
          <w:rStyle w:val="FootnoteReference"/>
        </w:rPr>
        <w:footnoteReference w:id="25"/>
      </w:r>
    </w:p>
    <w:p w14:paraId="00000016" w14:textId="77777777" w:rsidR="005546C4" w:rsidRDefault="005546C4"/>
    <w:p w14:paraId="00000017" w14:textId="1D9546BA" w:rsidR="005546C4" w:rsidRDefault="00610559">
      <w:r>
        <w:t xml:space="preserve">The relationship between male and female gods and between gods and humans is shown through the narrative. </w:t>
      </w:r>
      <w:r w:rsidRPr="00FF671F">
        <w:rPr>
          <w:bCs/>
        </w:rPr>
        <w:t>Stocking</w:t>
      </w:r>
      <w:r>
        <w:t xml:space="preserve"> explains how Demeter bargai</w:t>
      </w:r>
      <w:r>
        <w:t>ning with Zeus by withholding the crops shows that she is not without leverage.</w:t>
      </w:r>
      <w:r w:rsidR="00FF671F">
        <w:rPr>
          <w:rStyle w:val="FootnoteReference"/>
        </w:rPr>
        <w:footnoteReference w:id="26"/>
      </w:r>
      <w:r>
        <w:t xml:space="preserve"> Up until this point her pleading is ignored and it is only when she threatens to take the fertility of the land away that her demands are listened to. While ultimately the fema</w:t>
      </w:r>
      <w:r>
        <w:t xml:space="preserve">le gods </w:t>
      </w:r>
      <w:proofErr w:type="gramStart"/>
      <w:r>
        <w:t>have to</w:t>
      </w:r>
      <w:proofErr w:type="gramEnd"/>
      <w:r>
        <w:t xml:space="preserve"> bend the will of the male gods, this shows how the patriarchy is dependent upon female cooperation for access to fertility. The narrative clearly portrays the male characters as having different areas of interest when compared to the female</w:t>
      </w:r>
      <w:r>
        <w:t xml:space="preserve"> characters.</w:t>
      </w:r>
    </w:p>
    <w:p w14:paraId="00000018" w14:textId="77777777" w:rsidR="005546C4" w:rsidRDefault="005546C4"/>
    <w:p w14:paraId="00000019" w14:textId="6A020616" w:rsidR="005546C4" w:rsidRDefault="00610559">
      <w:r>
        <w:t xml:space="preserve">A changing of the active and passive elements in the narratives can give a different understanding to the hymn. There has been a lot of feminist work done on the hymn to Demeter. </w:t>
      </w:r>
      <w:r w:rsidRPr="00FF671F">
        <w:rPr>
          <w:bCs/>
        </w:rPr>
        <w:t>Suter</w:t>
      </w:r>
      <w:r>
        <w:t xml:space="preserve"> explains how this work has, however, been conducted with </w:t>
      </w:r>
      <w:r>
        <w:t xml:space="preserve">a wider patriarchal framework within the study of classics that assumed </w:t>
      </w:r>
      <w:proofErr w:type="gramStart"/>
      <w:r>
        <w:t>the majority of</w:t>
      </w:r>
      <w:proofErr w:type="gramEnd"/>
      <w:r>
        <w:t xml:space="preserve"> written work was produced by me</w:t>
      </w:r>
      <w:r w:rsidR="00FF671F">
        <w:t>n</w:t>
      </w:r>
      <w:r>
        <w:t xml:space="preserve"> and also saw Hades and Zeus as the active participants and Persephone as a helpless victim and Demeter as fighting against male control.</w:t>
      </w:r>
      <w:r w:rsidR="00FF671F">
        <w:rPr>
          <w:rStyle w:val="FootnoteReference"/>
        </w:rPr>
        <w:footnoteReference w:id="27"/>
      </w:r>
      <w:r>
        <w:t xml:space="preserve"> This work has also focused on marriage as a patriarchal model where the woman is exchanged from one man to another (in this case from Zeus to Hades). She views the hymn in a different light in which Persephone actively participates in the hymns events and</w:t>
      </w:r>
      <w:r>
        <w:t xml:space="preserve"> Hades is a reactor to what Persephone is doing.</w:t>
      </w:r>
      <w:r w:rsidR="00FF671F">
        <w:rPr>
          <w:rStyle w:val="FootnoteReference"/>
        </w:rPr>
        <w:footnoteReference w:id="28"/>
      </w:r>
      <w:r>
        <w:t xml:space="preserve"> According to </w:t>
      </w:r>
      <w:r w:rsidRPr="00FF671F">
        <w:rPr>
          <w:bCs/>
        </w:rPr>
        <w:t>Suter</w:t>
      </w:r>
      <w:r>
        <w:t xml:space="preserve">, when Persephone picks the narcissus </w:t>
      </w:r>
      <w:r w:rsidR="00FF671F">
        <w:t>flower,</w:t>
      </w:r>
      <w:r>
        <w:t xml:space="preserve"> she initiates the hymns narrative.</w:t>
      </w:r>
      <w:r w:rsidR="00FF671F">
        <w:rPr>
          <w:rStyle w:val="FootnoteReference"/>
        </w:rPr>
        <w:footnoteReference w:id="29"/>
      </w:r>
      <w:r>
        <w:t xml:space="preserve"> This is further backed up by Persephone not accepting the pomegranate seed from Hades until after a deal is s</w:t>
      </w:r>
      <w:r>
        <w:t xml:space="preserve">truck for her to return to her mother. However, all of this does take place at the will of Zeus, meaning that it is still a man who is in control of the overarching situation. </w:t>
      </w:r>
      <w:r w:rsidRPr="00FF671F">
        <w:rPr>
          <w:bCs/>
        </w:rPr>
        <w:t>Showalter</w:t>
      </w:r>
      <w:r>
        <w:t xml:space="preserve">’s discussion of feminist </w:t>
      </w:r>
      <w:r w:rsidR="000A66F5">
        <w:t>critique</w:t>
      </w:r>
      <w:r>
        <w:t xml:space="preserve"> gives ways to </w:t>
      </w:r>
      <w:proofErr w:type="spellStart"/>
      <w:r>
        <w:t>analyse</w:t>
      </w:r>
      <w:proofErr w:type="spellEnd"/>
      <w:r>
        <w:t xml:space="preserve"> a piece of lite</w:t>
      </w:r>
      <w:r>
        <w:t xml:space="preserve">rature </w:t>
      </w:r>
      <w:r>
        <w:lastRenderedPageBreak/>
        <w:t>with the understanding that it is written from the perspective where woman is the reader of male-produced literature.</w:t>
      </w:r>
      <w:r w:rsidR="00FF671F">
        <w:rPr>
          <w:rStyle w:val="FootnoteReference"/>
        </w:rPr>
        <w:footnoteReference w:id="30"/>
      </w:r>
      <w:r>
        <w:t xml:space="preserve"> She also introduces the concept of </w:t>
      </w:r>
      <w:proofErr w:type="spellStart"/>
      <w:r>
        <w:t>gynocritque</w:t>
      </w:r>
      <w:proofErr w:type="spellEnd"/>
      <w:r>
        <w:t xml:space="preserve"> where women is the reader of female-produced literature.</w:t>
      </w:r>
      <w:r w:rsidR="00FF671F">
        <w:rPr>
          <w:rStyle w:val="FootnoteReference"/>
        </w:rPr>
        <w:footnoteReference w:id="31"/>
      </w:r>
      <w:r>
        <w:t xml:space="preserve"> The discussion of the autho</w:t>
      </w:r>
      <w:r>
        <w:t xml:space="preserve">r being </w:t>
      </w:r>
      <w:r w:rsidR="00FF671F">
        <w:t>male,</w:t>
      </w:r>
      <w:r>
        <w:t xml:space="preserve"> or female could impact the way in which character portrayal is understood as it could influence which type of critique is believed best to use in an analysis of the text.</w:t>
      </w:r>
    </w:p>
    <w:p w14:paraId="0000001A" w14:textId="77777777" w:rsidR="005546C4" w:rsidRDefault="005546C4"/>
    <w:p w14:paraId="0000001B" w14:textId="6477F341" w:rsidR="005546C4" w:rsidRDefault="00FF671F">
      <w:r>
        <w:t>Within the hymn, the</w:t>
      </w:r>
      <w:r w:rsidR="00610559">
        <w:t xml:space="preserve"> male characters are </w:t>
      </w:r>
      <w:r>
        <w:t>peripheral,</w:t>
      </w:r>
      <w:r w:rsidR="00610559">
        <w:t xml:space="preserve"> and the female characters are centra</w:t>
      </w:r>
      <w:r w:rsidR="00610559">
        <w:t xml:space="preserve">l. This is unusual as it is the opposite of the typical “hero cycle” and there is a gender subversion with Demeter fulfilling many of the aspects that are common to the hero narrative. </w:t>
      </w:r>
      <w:r w:rsidR="00610559" w:rsidRPr="00FF671F">
        <w:rPr>
          <w:bCs/>
        </w:rPr>
        <w:t>Joseph Campbell</w:t>
      </w:r>
      <w:r w:rsidR="00610559" w:rsidRPr="00FF671F">
        <w:rPr>
          <w:bCs/>
        </w:rPr>
        <w:t xml:space="preserve">’s </w:t>
      </w:r>
      <w:r w:rsidR="00610559">
        <w:t>concept of the hero cycle gives the typical narrative</w:t>
      </w:r>
      <w:r w:rsidR="00610559">
        <w:t xml:space="preserve"> that is seen within epic myth.</w:t>
      </w:r>
      <w:r>
        <w:rPr>
          <w:rStyle w:val="FootnoteReference"/>
        </w:rPr>
        <w:footnoteReference w:id="32"/>
      </w:r>
      <w:r w:rsidR="00610559">
        <w:t xml:space="preserve"> The cycle explains how the hero moves through the story and the obstacles they encounter along the way.</w:t>
      </w:r>
      <w:r>
        <w:rPr>
          <w:rStyle w:val="FootnoteReference"/>
        </w:rPr>
        <w:footnoteReference w:id="33"/>
      </w:r>
      <w:r w:rsidR="00610559">
        <w:t xml:space="preserve"> Although not epic poetry, the hymn to Demeter does fit within the hero cycle as she travels on a journey to restore her </w:t>
      </w:r>
      <w:r w:rsidR="00610559">
        <w:t xml:space="preserve">life to as it was before Persephone was abducted. Demeter becoming the central hero makes the male characters peripheral. This demonstrates the female perspective of the world where men are peripheral and the relationships between women are more important </w:t>
      </w:r>
      <w:r w:rsidR="00610559">
        <w:t xml:space="preserve">central concerns. This supports the idea that the hymn could be composed by a female author or have female influence within the oral shared origins of the story as a woman would understand the feelings of being in Demeter’s position. </w:t>
      </w:r>
    </w:p>
    <w:p w14:paraId="0000001C" w14:textId="77777777" w:rsidR="005546C4" w:rsidRDefault="005546C4"/>
    <w:p w14:paraId="0000001D" w14:textId="31863532" w:rsidR="005546C4" w:rsidRDefault="00610559">
      <w:r>
        <w:t xml:space="preserve">From the aspects of literary techniques used within the Homeric Hymn to Demeter, especially the use of direct and indirect speech, we can see how the presentation of characters can impact the understanding of them. The use of speech in this way displays a </w:t>
      </w:r>
      <w:r>
        <w:t>perspective and understanding of male portrayal that is not often seen in other pieces of ancient literature. As well as this the different spaces in which the gods act is also significant as it shows how the relationship between male and female characters</w:t>
      </w:r>
      <w:r>
        <w:t xml:space="preserve"> is reflected in the positions of the gods. The difference in space also shows the relationship between gods and humans and how the gender dynamic can differ depending on the presence the gods wish to display. This reflection of gendered spaces within myth</w:t>
      </w:r>
      <w:r>
        <w:t xml:space="preserve"> can further </w:t>
      </w:r>
      <w:proofErr w:type="spellStart"/>
      <w:r>
        <w:t>legitimise</w:t>
      </w:r>
      <w:proofErr w:type="spellEnd"/>
      <w:r>
        <w:t xml:space="preserve"> the perspective and actions that may take place within ancient Greek society. However, a changing in the way the hymn is understood could further develop the understanding of male portrayal and the perspective that the hymn gives. O</w:t>
      </w:r>
      <w:r>
        <w:t>verall</w:t>
      </w:r>
      <w:r w:rsidR="00FF671F">
        <w:t>,</w:t>
      </w:r>
      <w:r>
        <w:t xml:space="preserve"> this hymn displays an unusual perspective from a woman and gives an insight into how men may be understood from a woman’s point of view. This </w:t>
      </w:r>
      <w:proofErr w:type="spellStart"/>
      <w:r>
        <w:t>centralisation</w:t>
      </w:r>
      <w:proofErr w:type="spellEnd"/>
      <w:r>
        <w:t xml:space="preserve"> of the female perspective reflects how the patriarchal control of men is ever present within</w:t>
      </w:r>
      <w:r>
        <w:t xml:space="preserve"> society, even when the men are pushed into a side role to the woman’s central concerns.</w:t>
      </w:r>
    </w:p>
    <w:p w14:paraId="04B38E4B" w14:textId="77667F87" w:rsidR="00FF671F" w:rsidRDefault="00FF671F"/>
    <w:p w14:paraId="3237454C" w14:textId="0D6A33C7" w:rsidR="00FF671F" w:rsidRDefault="00FF671F"/>
    <w:p w14:paraId="3E51117D" w14:textId="4718CB17" w:rsidR="00FF671F" w:rsidRDefault="00FF671F"/>
    <w:p w14:paraId="1D3413AA" w14:textId="71E32038" w:rsidR="00FF671F" w:rsidRDefault="00FF671F"/>
    <w:p w14:paraId="52BC31FD" w14:textId="061C9719" w:rsidR="00FF671F" w:rsidRDefault="00FF671F"/>
    <w:p w14:paraId="11DD4C23" w14:textId="77777777" w:rsidR="00314225" w:rsidRDefault="00314225"/>
    <w:p w14:paraId="7967F3D5" w14:textId="7BD73156" w:rsidR="00FF671F" w:rsidRDefault="00FF671F">
      <w:pPr>
        <w:rPr>
          <w:u w:val="single"/>
        </w:rPr>
      </w:pPr>
      <w:r w:rsidRPr="00FF671F">
        <w:rPr>
          <w:u w:val="single"/>
        </w:rPr>
        <w:lastRenderedPageBreak/>
        <w:t>Bibliography</w:t>
      </w:r>
    </w:p>
    <w:p w14:paraId="3E89D001" w14:textId="77777777" w:rsidR="000A66F5" w:rsidRDefault="000A66F5"/>
    <w:p w14:paraId="213146C8" w14:textId="47FD9872" w:rsidR="000A66F5" w:rsidRDefault="000A66F5">
      <w:r>
        <w:t xml:space="preserve">Anonymous, </w:t>
      </w:r>
      <w:r w:rsidRPr="00F2283D">
        <w:rPr>
          <w:i/>
          <w:iCs/>
        </w:rPr>
        <w:t>Homeric Hymn to Demeter</w:t>
      </w:r>
      <w:r>
        <w:t>, H.G. Evelyn-White (trans.), 1914, London: Harvard University Press</w:t>
      </w:r>
    </w:p>
    <w:p w14:paraId="66CE1E56" w14:textId="77777777" w:rsidR="000A66F5" w:rsidRDefault="000A66F5"/>
    <w:p w14:paraId="7A7522BF" w14:textId="0C6EA9AE" w:rsidR="000A66F5" w:rsidRDefault="000A66F5">
      <w:r>
        <w:t xml:space="preserve">Beck, D. (2001) ‘Direct and Indirect Speech in the Homeric “Hymn to Demeter”’, </w:t>
      </w:r>
      <w:r>
        <w:rPr>
          <w:i/>
          <w:iCs/>
        </w:rPr>
        <w:t xml:space="preserve">Transactions of the American Philological Association, </w:t>
      </w:r>
      <w:r>
        <w:t>131, pp.53-74</w:t>
      </w:r>
    </w:p>
    <w:p w14:paraId="0C7022EC" w14:textId="77777777" w:rsidR="000A66F5" w:rsidRDefault="000A66F5"/>
    <w:p w14:paraId="7AC2ED26" w14:textId="44F87FBE" w:rsidR="000A66F5" w:rsidRDefault="000A66F5">
      <w:r>
        <w:t xml:space="preserve">Butler, J. (1990) </w:t>
      </w:r>
      <w:r>
        <w:rPr>
          <w:i/>
          <w:iCs/>
        </w:rPr>
        <w:t xml:space="preserve">Gender Trouble: Feminism and the Subversion of Identity, </w:t>
      </w:r>
      <w:r>
        <w:t>New York: Routledge</w:t>
      </w:r>
    </w:p>
    <w:p w14:paraId="0C4964DB" w14:textId="77777777" w:rsidR="000A66F5" w:rsidRDefault="000A66F5"/>
    <w:p w14:paraId="2310BD13" w14:textId="76AEEE50" w:rsidR="000A66F5" w:rsidRDefault="000A66F5">
      <w:r>
        <w:t xml:space="preserve">Campbell, J. (2008) </w:t>
      </w:r>
      <w:r>
        <w:rPr>
          <w:i/>
          <w:iCs/>
        </w:rPr>
        <w:t xml:space="preserve">The Hero with A Thousand Faces, </w:t>
      </w:r>
      <w:r>
        <w:t>San Francisco: New World Library</w:t>
      </w:r>
    </w:p>
    <w:p w14:paraId="2FF95B37" w14:textId="77777777" w:rsidR="000A66F5" w:rsidRDefault="000A66F5"/>
    <w:p w14:paraId="54323587" w14:textId="0C2D130B" w:rsidR="000A66F5" w:rsidRDefault="000A66F5">
      <w:proofErr w:type="spellStart"/>
      <w:r>
        <w:t>DeBloois</w:t>
      </w:r>
      <w:proofErr w:type="spellEnd"/>
      <w:r>
        <w:t xml:space="preserve">, N. (1997) ‘Rape, Marriage or Death? Gender Perspectives in the Homeric Hymn to Demeter’, </w:t>
      </w:r>
      <w:r>
        <w:rPr>
          <w:i/>
          <w:iCs/>
        </w:rPr>
        <w:t xml:space="preserve">Philological Quarterly, </w:t>
      </w:r>
      <w:r>
        <w:t>76(3), pp.245-262</w:t>
      </w:r>
    </w:p>
    <w:p w14:paraId="38403A1B" w14:textId="77777777" w:rsidR="000A66F5" w:rsidRDefault="000A66F5"/>
    <w:p w14:paraId="253C5BA7" w14:textId="1301DEA0" w:rsidR="000A66F5" w:rsidRDefault="000A66F5">
      <w:r>
        <w:t xml:space="preserve">Fish, S. (1980) </w:t>
      </w:r>
      <w:r>
        <w:rPr>
          <w:i/>
          <w:iCs/>
        </w:rPr>
        <w:t xml:space="preserve">Is There A Text In This </w:t>
      </w:r>
      <w:proofErr w:type="gramStart"/>
      <w:r>
        <w:rPr>
          <w:i/>
          <w:iCs/>
        </w:rPr>
        <w:t>Class?:</w:t>
      </w:r>
      <w:proofErr w:type="gramEnd"/>
      <w:r>
        <w:rPr>
          <w:i/>
          <w:iCs/>
        </w:rPr>
        <w:t xml:space="preserve"> The Authority of Interpretive Communities, </w:t>
      </w:r>
      <w:r>
        <w:t>Cambridge: Harvard University Press</w:t>
      </w:r>
    </w:p>
    <w:p w14:paraId="49C6582C" w14:textId="77777777" w:rsidR="000A66F5" w:rsidRDefault="000A66F5"/>
    <w:p w14:paraId="1794E6D1" w14:textId="77777777" w:rsidR="000A66F5" w:rsidRDefault="000A66F5">
      <w:r>
        <w:t xml:space="preserve">Gilchrist, R. (1999) </w:t>
      </w:r>
      <w:r>
        <w:rPr>
          <w:i/>
          <w:iCs/>
        </w:rPr>
        <w:t xml:space="preserve">Gender and Archeology: Contesting the Past, </w:t>
      </w:r>
      <w:r>
        <w:t>London: Routledge</w:t>
      </w:r>
    </w:p>
    <w:p w14:paraId="4667AEE6" w14:textId="593164BA" w:rsidR="000A66F5" w:rsidRDefault="000A66F5">
      <w:r>
        <w:t xml:space="preserve">Harvard University Press (2020) </w:t>
      </w:r>
      <w:r>
        <w:rPr>
          <w:i/>
          <w:iCs/>
        </w:rPr>
        <w:t xml:space="preserve">Is There A Text In This </w:t>
      </w:r>
      <w:proofErr w:type="gramStart"/>
      <w:r>
        <w:rPr>
          <w:i/>
          <w:iCs/>
        </w:rPr>
        <w:t>Class?,</w:t>
      </w:r>
      <w:proofErr w:type="gramEnd"/>
      <w:r>
        <w:rPr>
          <w:i/>
          <w:iCs/>
        </w:rPr>
        <w:t xml:space="preserve"> </w:t>
      </w:r>
      <w:r>
        <w:t xml:space="preserve">Available at: </w:t>
      </w:r>
      <w:hyperlink r:id="rId7" w:history="1">
        <w:r w:rsidRPr="00254986">
          <w:rPr>
            <w:rStyle w:val="Hyperlink"/>
          </w:rPr>
          <w:t>https://www.hup.harvard.edu/catalog.php?isbn=9780674467262</w:t>
        </w:r>
      </w:hyperlink>
      <w:r>
        <w:t xml:space="preserve"> (Accessed: 19/01/21)</w:t>
      </w:r>
    </w:p>
    <w:p w14:paraId="56F21E1E" w14:textId="77777777" w:rsidR="000A66F5" w:rsidRDefault="000A66F5"/>
    <w:p w14:paraId="12AD98A1" w14:textId="217A49FB" w:rsidR="000A66F5" w:rsidRDefault="000A66F5">
      <w:r>
        <w:t xml:space="preserve">Ober, J. (1999) </w:t>
      </w:r>
      <w:r>
        <w:rPr>
          <w:i/>
          <w:iCs/>
        </w:rPr>
        <w:t xml:space="preserve">The Athenian Revolution: Essays on Ancient Greek Democracy and Political Theory, </w:t>
      </w:r>
      <w:r>
        <w:t>Chichester: Princeton University Press</w:t>
      </w:r>
    </w:p>
    <w:p w14:paraId="6B74D6EE" w14:textId="77777777" w:rsidR="000A66F5" w:rsidRPr="000A66F5" w:rsidRDefault="000A66F5"/>
    <w:p w14:paraId="28C5219F" w14:textId="7C6663DD" w:rsidR="000A66F5" w:rsidRDefault="000A66F5">
      <w:r>
        <w:t xml:space="preserve">Showalter, E. (1997) ‘Towards A Feminist Poetics’, in Newton, K.C., (ed.) </w:t>
      </w:r>
      <w:r>
        <w:rPr>
          <w:i/>
          <w:iCs/>
        </w:rPr>
        <w:t xml:space="preserve">Twentieth-Century Literary Theory, </w:t>
      </w:r>
      <w:r>
        <w:t>New York: St Martin’s Press</w:t>
      </w:r>
    </w:p>
    <w:p w14:paraId="7F121BC7" w14:textId="77777777" w:rsidR="000A66F5" w:rsidRDefault="000A66F5"/>
    <w:p w14:paraId="2DA78F07" w14:textId="74C0A34A" w:rsidR="000A66F5" w:rsidRDefault="000A66F5">
      <w:r>
        <w:t xml:space="preserve">Stocking, C.H. (2017) </w:t>
      </w:r>
      <w:r>
        <w:rPr>
          <w:i/>
          <w:iCs/>
        </w:rPr>
        <w:t xml:space="preserve">The Politics of Sacrifice in Early Greek Myth and Poetry, </w:t>
      </w:r>
      <w:r>
        <w:t>Cambridge: Cambridge University Press</w:t>
      </w:r>
    </w:p>
    <w:p w14:paraId="1D4553C8" w14:textId="77777777" w:rsidR="000A66F5" w:rsidRDefault="000A66F5"/>
    <w:p w14:paraId="1026D736" w14:textId="07ABE9EA" w:rsidR="000A66F5" w:rsidRDefault="000A66F5">
      <w:r>
        <w:t xml:space="preserve">Stratton, B.J. (1995) </w:t>
      </w:r>
      <w:r>
        <w:rPr>
          <w:i/>
          <w:iCs/>
        </w:rPr>
        <w:t xml:space="preserve">Out of Eden: Reading, Rhetoric and Ideology in Genesis 2-3, </w:t>
      </w:r>
      <w:r>
        <w:t>London: A&amp;C Black</w:t>
      </w:r>
    </w:p>
    <w:p w14:paraId="693969B5" w14:textId="77777777" w:rsidR="000A66F5" w:rsidRDefault="000A66F5"/>
    <w:p w14:paraId="3D1AFA06" w14:textId="5A992B54" w:rsidR="000A66F5" w:rsidRDefault="000A66F5">
      <w:r>
        <w:t xml:space="preserve">Suter, A. (2005) ‘Beyond the Limits of Lyric. The Female Poet of the Hymn to Demeter’, </w:t>
      </w:r>
      <w:proofErr w:type="spellStart"/>
      <w:r>
        <w:rPr>
          <w:i/>
          <w:iCs/>
        </w:rPr>
        <w:t>Kernos</w:t>
      </w:r>
      <w:proofErr w:type="spellEnd"/>
      <w:r>
        <w:rPr>
          <w:i/>
          <w:iCs/>
        </w:rPr>
        <w:t xml:space="preserve">. Revue </w:t>
      </w:r>
      <w:proofErr w:type="spellStart"/>
      <w:r>
        <w:rPr>
          <w:i/>
          <w:iCs/>
        </w:rPr>
        <w:t>internatinale</w:t>
      </w:r>
      <w:proofErr w:type="spellEnd"/>
      <w:r>
        <w:rPr>
          <w:i/>
          <w:iCs/>
        </w:rPr>
        <w:t xml:space="preserve"> et </w:t>
      </w:r>
      <w:proofErr w:type="spellStart"/>
      <w:r>
        <w:rPr>
          <w:i/>
          <w:iCs/>
        </w:rPr>
        <w:t>pluridisciplinaire</w:t>
      </w:r>
      <w:proofErr w:type="spellEnd"/>
      <w:r>
        <w:rPr>
          <w:i/>
          <w:iCs/>
        </w:rPr>
        <w:t xml:space="preserve"> de religion grecque antique, </w:t>
      </w:r>
      <w:r>
        <w:t>18, pp.17-41</w:t>
      </w:r>
    </w:p>
    <w:p w14:paraId="412028E8" w14:textId="77777777" w:rsidR="000A66F5" w:rsidRDefault="000A66F5"/>
    <w:p w14:paraId="4EF695FD" w14:textId="77777777" w:rsidR="000A66F5" w:rsidRDefault="000A66F5">
      <w:r>
        <w:t xml:space="preserve">Woodard, R. (2007) </w:t>
      </w:r>
      <w:r>
        <w:rPr>
          <w:i/>
          <w:iCs/>
        </w:rPr>
        <w:t xml:space="preserve">The Cambridge Companion to Greek Mythology, </w:t>
      </w:r>
      <w:r>
        <w:t>New York: Cambridge University Press</w:t>
      </w:r>
    </w:p>
    <w:sectPr w:rsidR="000A66F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B3ADB0" w14:textId="77777777" w:rsidR="00610559" w:rsidRDefault="00610559" w:rsidP="00897C34">
      <w:pPr>
        <w:spacing w:line="240" w:lineRule="auto"/>
      </w:pPr>
      <w:r>
        <w:separator/>
      </w:r>
    </w:p>
  </w:endnote>
  <w:endnote w:type="continuationSeparator" w:id="0">
    <w:p w14:paraId="1A9CC98E" w14:textId="77777777" w:rsidR="00610559" w:rsidRDefault="00610559" w:rsidP="00897C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AFDBA6" w14:textId="77777777" w:rsidR="00610559" w:rsidRDefault="00610559" w:rsidP="00897C34">
      <w:pPr>
        <w:spacing w:line="240" w:lineRule="auto"/>
      </w:pPr>
      <w:r>
        <w:separator/>
      </w:r>
    </w:p>
  </w:footnote>
  <w:footnote w:type="continuationSeparator" w:id="0">
    <w:p w14:paraId="37D43A3A" w14:textId="77777777" w:rsidR="00610559" w:rsidRDefault="00610559" w:rsidP="00897C34">
      <w:pPr>
        <w:spacing w:line="240" w:lineRule="auto"/>
      </w:pPr>
      <w:r>
        <w:continuationSeparator/>
      </w:r>
    </w:p>
  </w:footnote>
  <w:footnote w:id="1">
    <w:p w14:paraId="7DB5795A" w14:textId="22C10A5F" w:rsidR="00897C34" w:rsidRPr="00897C34" w:rsidRDefault="00897C34">
      <w:pPr>
        <w:pStyle w:val="FootnoteText"/>
        <w:rPr>
          <w:lang w:val="en-GB"/>
        </w:rPr>
      </w:pPr>
      <w:r>
        <w:rPr>
          <w:rStyle w:val="FootnoteReference"/>
        </w:rPr>
        <w:footnoteRef/>
      </w:r>
      <w:r>
        <w:t xml:space="preserve"> </w:t>
      </w:r>
      <w:proofErr w:type="spellStart"/>
      <w:r>
        <w:rPr>
          <w:lang w:val="en-GB"/>
        </w:rPr>
        <w:t>H</w:t>
      </w:r>
      <w:r w:rsidR="004B5361">
        <w:rPr>
          <w:lang w:val="en-GB"/>
        </w:rPr>
        <w:t>om</w:t>
      </w:r>
      <w:proofErr w:type="spellEnd"/>
      <w:r w:rsidR="004B5361">
        <w:rPr>
          <w:lang w:val="en-GB"/>
        </w:rPr>
        <w:t>. Hymn Dem.</w:t>
      </w:r>
    </w:p>
  </w:footnote>
  <w:footnote w:id="2">
    <w:p w14:paraId="39D6BA63" w14:textId="6EB3D53D" w:rsidR="00897C34" w:rsidRPr="00897C34" w:rsidRDefault="00897C34">
      <w:pPr>
        <w:pStyle w:val="FootnoteText"/>
        <w:rPr>
          <w:lang w:val="en-GB"/>
        </w:rPr>
      </w:pPr>
      <w:r>
        <w:rPr>
          <w:rStyle w:val="FootnoteReference"/>
        </w:rPr>
        <w:footnoteRef/>
      </w:r>
      <w:r>
        <w:t xml:space="preserve"> </w:t>
      </w:r>
      <w:r w:rsidR="00FF671F">
        <w:rPr>
          <w:lang w:val="en-GB"/>
        </w:rPr>
        <w:t>Woodard</w:t>
      </w:r>
      <w:r w:rsidR="00A65F91">
        <w:rPr>
          <w:lang w:val="en-GB"/>
        </w:rPr>
        <w:t>,</w:t>
      </w:r>
      <w:r w:rsidR="00922BAF">
        <w:rPr>
          <w:lang w:val="en-GB"/>
        </w:rPr>
        <w:t xml:space="preserve"> 2007,</w:t>
      </w:r>
      <w:r w:rsidR="00A65F91">
        <w:rPr>
          <w:lang w:val="en-GB"/>
        </w:rPr>
        <w:t xml:space="preserve"> p</w:t>
      </w:r>
      <w:r w:rsidR="00317A3E">
        <w:rPr>
          <w:lang w:val="en-GB"/>
        </w:rPr>
        <w:t>.1</w:t>
      </w:r>
      <w:r w:rsidR="00A65F91">
        <w:rPr>
          <w:lang w:val="en-GB"/>
        </w:rPr>
        <w:t>9</w:t>
      </w:r>
    </w:p>
  </w:footnote>
  <w:footnote w:id="3">
    <w:p w14:paraId="2B741B2F" w14:textId="6C13407F" w:rsidR="00897C34" w:rsidRPr="00897C34" w:rsidRDefault="00897C34">
      <w:pPr>
        <w:pStyle w:val="FootnoteText"/>
        <w:rPr>
          <w:lang w:val="en-GB"/>
        </w:rPr>
      </w:pPr>
      <w:r>
        <w:rPr>
          <w:rStyle w:val="FootnoteReference"/>
        </w:rPr>
        <w:footnoteRef/>
      </w:r>
      <w:r>
        <w:t xml:space="preserve"> </w:t>
      </w:r>
      <w:r w:rsidR="00A65F91">
        <w:rPr>
          <w:lang w:val="en-GB"/>
        </w:rPr>
        <w:t>Ober,</w:t>
      </w:r>
      <w:r w:rsidR="00922BAF">
        <w:rPr>
          <w:lang w:val="en-GB"/>
        </w:rPr>
        <w:t xml:space="preserve"> 1999,</w:t>
      </w:r>
      <w:r w:rsidR="00A65F91">
        <w:rPr>
          <w:lang w:val="en-GB"/>
        </w:rPr>
        <w:t xml:space="preserve"> p.20</w:t>
      </w:r>
    </w:p>
  </w:footnote>
  <w:footnote w:id="4">
    <w:p w14:paraId="2F1241B8" w14:textId="04087E8C" w:rsidR="00897C34" w:rsidRPr="00897C34" w:rsidRDefault="00897C34">
      <w:pPr>
        <w:pStyle w:val="FootnoteText"/>
        <w:rPr>
          <w:lang w:val="en-GB"/>
        </w:rPr>
      </w:pPr>
      <w:r>
        <w:rPr>
          <w:rStyle w:val="FootnoteReference"/>
        </w:rPr>
        <w:footnoteRef/>
      </w:r>
      <w:r>
        <w:t xml:space="preserve"> </w:t>
      </w:r>
      <w:r>
        <w:rPr>
          <w:lang w:val="en-GB"/>
        </w:rPr>
        <w:t>Suter</w:t>
      </w:r>
      <w:r w:rsidR="00922BAF">
        <w:rPr>
          <w:lang w:val="en-GB"/>
        </w:rPr>
        <w:t>, 2005, p.21</w:t>
      </w:r>
    </w:p>
  </w:footnote>
  <w:footnote w:id="5">
    <w:p w14:paraId="47BD52D2" w14:textId="2B3011DE" w:rsidR="00897C34" w:rsidRPr="00897C34" w:rsidRDefault="00897C34">
      <w:pPr>
        <w:pStyle w:val="FootnoteText"/>
        <w:rPr>
          <w:lang w:val="en-GB"/>
        </w:rPr>
      </w:pPr>
      <w:r>
        <w:rPr>
          <w:rStyle w:val="FootnoteReference"/>
        </w:rPr>
        <w:footnoteRef/>
      </w:r>
      <w:r>
        <w:t xml:space="preserve"> </w:t>
      </w:r>
      <w:r>
        <w:rPr>
          <w:lang w:val="en-GB"/>
        </w:rPr>
        <w:t>Beck</w:t>
      </w:r>
      <w:r w:rsidR="00317A3E">
        <w:rPr>
          <w:lang w:val="en-GB"/>
        </w:rPr>
        <w:t>, 2001, p.57</w:t>
      </w:r>
    </w:p>
  </w:footnote>
  <w:footnote w:id="6">
    <w:p w14:paraId="396720CB" w14:textId="0366D991" w:rsidR="00897C34" w:rsidRPr="00897C34" w:rsidRDefault="00897C34">
      <w:pPr>
        <w:pStyle w:val="FootnoteText"/>
        <w:rPr>
          <w:lang w:val="en-GB"/>
        </w:rPr>
      </w:pPr>
      <w:r>
        <w:rPr>
          <w:rStyle w:val="FootnoteReference"/>
        </w:rPr>
        <w:footnoteRef/>
      </w:r>
      <w:r>
        <w:t xml:space="preserve"> </w:t>
      </w:r>
      <w:r>
        <w:rPr>
          <w:lang w:val="en-GB"/>
        </w:rPr>
        <w:t>Beck</w:t>
      </w:r>
      <w:r w:rsidR="00317A3E">
        <w:rPr>
          <w:lang w:val="en-GB"/>
        </w:rPr>
        <w:t>, 2001, p.58</w:t>
      </w:r>
    </w:p>
  </w:footnote>
  <w:footnote w:id="7">
    <w:p w14:paraId="4575BC0F" w14:textId="69586F3F" w:rsidR="00897C34" w:rsidRPr="00897C34" w:rsidRDefault="00897C34">
      <w:pPr>
        <w:pStyle w:val="FootnoteText"/>
        <w:rPr>
          <w:lang w:val="en-GB"/>
        </w:rPr>
      </w:pPr>
      <w:r>
        <w:rPr>
          <w:rStyle w:val="FootnoteReference"/>
        </w:rPr>
        <w:footnoteRef/>
      </w:r>
      <w:r>
        <w:t xml:space="preserve"> </w:t>
      </w:r>
      <w:proofErr w:type="spellStart"/>
      <w:r>
        <w:rPr>
          <w:lang w:val="en-GB"/>
        </w:rPr>
        <w:t>H</w:t>
      </w:r>
      <w:r w:rsidR="004B5361">
        <w:rPr>
          <w:lang w:val="en-GB"/>
        </w:rPr>
        <w:t>om</w:t>
      </w:r>
      <w:proofErr w:type="spellEnd"/>
      <w:r w:rsidR="004B5361">
        <w:rPr>
          <w:lang w:val="en-GB"/>
        </w:rPr>
        <w:t>. Hymn Dem., 21</w:t>
      </w:r>
    </w:p>
  </w:footnote>
  <w:footnote w:id="8">
    <w:p w14:paraId="59A52F47" w14:textId="7EA63FB7" w:rsidR="00897C34" w:rsidRPr="00897C34" w:rsidRDefault="00897C34">
      <w:pPr>
        <w:pStyle w:val="FootnoteText"/>
        <w:rPr>
          <w:lang w:val="en-GB"/>
        </w:rPr>
      </w:pPr>
      <w:r>
        <w:rPr>
          <w:rStyle w:val="FootnoteReference"/>
        </w:rPr>
        <w:footnoteRef/>
      </w:r>
      <w:r>
        <w:t xml:space="preserve"> </w:t>
      </w:r>
      <w:proofErr w:type="spellStart"/>
      <w:r>
        <w:t>H</w:t>
      </w:r>
      <w:r w:rsidR="004B5361">
        <w:t>om</w:t>
      </w:r>
      <w:proofErr w:type="spellEnd"/>
      <w:r w:rsidR="004B5361">
        <w:t>. Hymn Dem., 433</w:t>
      </w:r>
    </w:p>
  </w:footnote>
  <w:footnote w:id="9">
    <w:p w14:paraId="7533F2CA" w14:textId="53B8F7DB" w:rsidR="00897C34" w:rsidRPr="00897C34" w:rsidRDefault="00897C34">
      <w:pPr>
        <w:pStyle w:val="FootnoteText"/>
        <w:rPr>
          <w:lang w:val="en-GB"/>
        </w:rPr>
      </w:pPr>
      <w:r>
        <w:rPr>
          <w:rStyle w:val="FootnoteReference"/>
        </w:rPr>
        <w:footnoteRef/>
      </w:r>
      <w:r>
        <w:t xml:space="preserve"> </w:t>
      </w:r>
      <w:r>
        <w:rPr>
          <w:lang w:val="en-GB"/>
        </w:rPr>
        <w:t>Beck</w:t>
      </w:r>
      <w:r w:rsidR="00317A3E">
        <w:rPr>
          <w:lang w:val="en-GB"/>
        </w:rPr>
        <w:t>, 2001, p.59</w:t>
      </w:r>
    </w:p>
  </w:footnote>
  <w:footnote w:id="10">
    <w:p w14:paraId="56C0FC2E" w14:textId="7001E73B" w:rsidR="00317A3E" w:rsidRPr="00317A3E" w:rsidRDefault="00317A3E">
      <w:pPr>
        <w:pStyle w:val="FootnoteText"/>
        <w:rPr>
          <w:lang w:val="en-GB"/>
        </w:rPr>
      </w:pPr>
      <w:r>
        <w:rPr>
          <w:rStyle w:val="FootnoteReference"/>
        </w:rPr>
        <w:footnoteRef/>
      </w:r>
      <w:r>
        <w:t xml:space="preserve"> </w:t>
      </w:r>
      <w:r>
        <w:rPr>
          <w:lang w:val="en-GB"/>
        </w:rPr>
        <w:t>Beck, 2001, p.61</w:t>
      </w:r>
    </w:p>
  </w:footnote>
  <w:footnote w:id="11">
    <w:p w14:paraId="378D1018" w14:textId="31BD36A1" w:rsidR="00897C34" w:rsidRPr="00897C34" w:rsidRDefault="00897C34">
      <w:pPr>
        <w:pStyle w:val="FootnoteText"/>
        <w:rPr>
          <w:lang w:val="en-GB"/>
        </w:rPr>
      </w:pPr>
      <w:r>
        <w:rPr>
          <w:rStyle w:val="FootnoteReference"/>
        </w:rPr>
        <w:footnoteRef/>
      </w:r>
      <w:r>
        <w:t xml:space="preserve"> </w:t>
      </w:r>
      <w:r>
        <w:rPr>
          <w:lang w:val="en-GB"/>
        </w:rPr>
        <w:t>Beck</w:t>
      </w:r>
      <w:r w:rsidR="00317A3E">
        <w:rPr>
          <w:lang w:val="en-GB"/>
        </w:rPr>
        <w:t>, 2001, p.58</w:t>
      </w:r>
    </w:p>
  </w:footnote>
  <w:footnote w:id="12">
    <w:p w14:paraId="66DD110E" w14:textId="2D58DD57" w:rsidR="00897C34" w:rsidRPr="00897C34" w:rsidRDefault="00897C34">
      <w:pPr>
        <w:pStyle w:val="FootnoteText"/>
        <w:rPr>
          <w:lang w:val="en-GB"/>
        </w:rPr>
      </w:pPr>
      <w:r>
        <w:rPr>
          <w:rStyle w:val="FootnoteReference"/>
        </w:rPr>
        <w:footnoteRef/>
      </w:r>
      <w:r>
        <w:t xml:space="preserve"> </w:t>
      </w:r>
      <w:proofErr w:type="spellStart"/>
      <w:r>
        <w:rPr>
          <w:lang w:val="en-GB"/>
        </w:rPr>
        <w:t>H</w:t>
      </w:r>
      <w:r w:rsidR="004B5361">
        <w:rPr>
          <w:lang w:val="en-GB"/>
        </w:rPr>
        <w:t>om</w:t>
      </w:r>
      <w:proofErr w:type="spellEnd"/>
      <w:r w:rsidR="004B5361">
        <w:rPr>
          <w:lang w:val="en-GB"/>
        </w:rPr>
        <w:t xml:space="preserve">. Hymn Dem., </w:t>
      </w:r>
      <w:r w:rsidR="00FB1DB0">
        <w:rPr>
          <w:lang w:val="en-GB"/>
        </w:rPr>
        <w:t>28</w:t>
      </w:r>
    </w:p>
  </w:footnote>
  <w:footnote w:id="13">
    <w:p w14:paraId="34698249" w14:textId="11F05368" w:rsidR="00897C34" w:rsidRPr="00897C34" w:rsidRDefault="00897C34">
      <w:pPr>
        <w:pStyle w:val="FootnoteText"/>
        <w:rPr>
          <w:lang w:val="en-GB"/>
        </w:rPr>
      </w:pPr>
      <w:r>
        <w:rPr>
          <w:rStyle w:val="FootnoteReference"/>
        </w:rPr>
        <w:footnoteRef/>
      </w:r>
      <w:r>
        <w:t xml:space="preserve"> </w:t>
      </w:r>
      <w:r>
        <w:rPr>
          <w:lang w:val="en-GB"/>
        </w:rPr>
        <w:t>Beck</w:t>
      </w:r>
      <w:r w:rsidR="00317A3E">
        <w:rPr>
          <w:lang w:val="en-GB"/>
        </w:rPr>
        <w:t>, 2001, p.58</w:t>
      </w:r>
    </w:p>
  </w:footnote>
  <w:footnote w:id="14">
    <w:p w14:paraId="45A55143" w14:textId="7F7B6BDA" w:rsidR="00897C34" w:rsidRPr="00897C34" w:rsidRDefault="00897C34">
      <w:pPr>
        <w:pStyle w:val="FootnoteText"/>
        <w:rPr>
          <w:lang w:val="en-GB"/>
        </w:rPr>
      </w:pPr>
      <w:r>
        <w:rPr>
          <w:rStyle w:val="FootnoteReference"/>
        </w:rPr>
        <w:footnoteRef/>
      </w:r>
      <w:r>
        <w:t xml:space="preserve"> </w:t>
      </w:r>
      <w:proofErr w:type="spellStart"/>
      <w:r>
        <w:rPr>
          <w:lang w:val="en-GB"/>
        </w:rPr>
        <w:t>H</w:t>
      </w:r>
      <w:r w:rsidR="00FB1DB0">
        <w:rPr>
          <w:lang w:val="en-GB"/>
        </w:rPr>
        <w:t>om</w:t>
      </w:r>
      <w:proofErr w:type="spellEnd"/>
      <w:r w:rsidR="00FB1DB0">
        <w:rPr>
          <w:lang w:val="en-GB"/>
        </w:rPr>
        <w:t>. Hymn Dem., 120</w:t>
      </w:r>
    </w:p>
  </w:footnote>
  <w:footnote w:id="15">
    <w:p w14:paraId="0D83D27C" w14:textId="151BA95E" w:rsidR="00897C34" w:rsidRPr="00897C34" w:rsidRDefault="00897C34">
      <w:pPr>
        <w:pStyle w:val="FootnoteText"/>
        <w:rPr>
          <w:lang w:val="en-GB"/>
        </w:rPr>
      </w:pPr>
      <w:r>
        <w:rPr>
          <w:rStyle w:val="FootnoteReference"/>
        </w:rPr>
        <w:footnoteRef/>
      </w:r>
      <w:r>
        <w:t xml:space="preserve"> </w:t>
      </w:r>
      <w:proofErr w:type="spellStart"/>
      <w:r>
        <w:rPr>
          <w:lang w:val="en-GB"/>
        </w:rPr>
        <w:t>H</w:t>
      </w:r>
      <w:r w:rsidR="00FB1DB0">
        <w:rPr>
          <w:lang w:val="en-GB"/>
        </w:rPr>
        <w:t>om</w:t>
      </w:r>
      <w:proofErr w:type="spellEnd"/>
      <w:r w:rsidR="00FB1DB0">
        <w:rPr>
          <w:lang w:val="en-GB"/>
        </w:rPr>
        <w:t>. Hymn Dem., 295</w:t>
      </w:r>
    </w:p>
  </w:footnote>
  <w:footnote w:id="16">
    <w:p w14:paraId="34ABAA0F" w14:textId="700BDF95" w:rsidR="00FF671F" w:rsidRPr="00FF671F" w:rsidRDefault="00FF671F">
      <w:pPr>
        <w:pStyle w:val="FootnoteText"/>
        <w:rPr>
          <w:lang w:val="en-GB"/>
        </w:rPr>
      </w:pPr>
      <w:r>
        <w:rPr>
          <w:rStyle w:val="FootnoteReference"/>
        </w:rPr>
        <w:footnoteRef/>
      </w:r>
      <w:r>
        <w:t xml:space="preserve"> </w:t>
      </w:r>
      <w:r w:rsidR="00A65F91">
        <w:rPr>
          <w:lang w:val="en-GB"/>
        </w:rPr>
        <w:t>Stratton</w:t>
      </w:r>
      <w:r w:rsidR="00317A3E">
        <w:rPr>
          <w:lang w:val="en-GB"/>
        </w:rPr>
        <w:t>, 1995, p.</w:t>
      </w:r>
      <w:r w:rsidR="006A6AB5">
        <w:rPr>
          <w:lang w:val="en-GB"/>
        </w:rPr>
        <w:t>21</w:t>
      </w:r>
    </w:p>
  </w:footnote>
  <w:footnote w:id="17">
    <w:p w14:paraId="4788DED6" w14:textId="6C7E6677" w:rsidR="00FF671F" w:rsidRPr="00FF671F" w:rsidRDefault="00FF671F">
      <w:pPr>
        <w:pStyle w:val="FootnoteText"/>
        <w:rPr>
          <w:lang w:val="en-GB"/>
        </w:rPr>
      </w:pPr>
      <w:r>
        <w:rPr>
          <w:rStyle w:val="FootnoteReference"/>
        </w:rPr>
        <w:footnoteRef/>
      </w:r>
      <w:r>
        <w:t xml:space="preserve"> </w:t>
      </w:r>
      <w:r>
        <w:rPr>
          <w:lang w:val="en-GB"/>
        </w:rPr>
        <w:t>Fish</w:t>
      </w:r>
      <w:r w:rsidR="006A6AB5">
        <w:rPr>
          <w:lang w:val="en-GB"/>
        </w:rPr>
        <w:t>, 1980, p.171</w:t>
      </w:r>
    </w:p>
  </w:footnote>
  <w:footnote w:id="18">
    <w:p w14:paraId="2197D861" w14:textId="0C4666C7" w:rsidR="00FF671F" w:rsidRPr="00FF671F" w:rsidRDefault="00FF671F">
      <w:pPr>
        <w:pStyle w:val="FootnoteText"/>
        <w:rPr>
          <w:lang w:val="en-GB"/>
        </w:rPr>
      </w:pPr>
      <w:r>
        <w:rPr>
          <w:rStyle w:val="FootnoteReference"/>
        </w:rPr>
        <w:footnoteRef/>
      </w:r>
      <w:r>
        <w:t xml:space="preserve"> </w:t>
      </w:r>
      <w:r w:rsidR="006A6AB5">
        <w:rPr>
          <w:lang w:val="en-GB"/>
        </w:rPr>
        <w:t>Harvard University Press, 2020</w:t>
      </w:r>
    </w:p>
  </w:footnote>
  <w:footnote w:id="19">
    <w:p w14:paraId="2764125D" w14:textId="7AC22497" w:rsidR="00FF671F" w:rsidRPr="00FF671F" w:rsidRDefault="00FF671F">
      <w:pPr>
        <w:pStyle w:val="FootnoteText"/>
        <w:rPr>
          <w:lang w:val="en-GB"/>
        </w:rPr>
      </w:pPr>
      <w:r>
        <w:rPr>
          <w:rStyle w:val="FootnoteReference"/>
        </w:rPr>
        <w:footnoteRef/>
      </w:r>
      <w:r>
        <w:t xml:space="preserve"> </w:t>
      </w:r>
      <w:proofErr w:type="spellStart"/>
      <w:r>
        <w:rPr>
          <w:lang w:val="en-GB"/>
        </w:rPr>
        <w:t>DeBloois</w:t>
      </w:r>
      <w:proofErr w:type="spellEnd"/>
      <w:r w:rsidR="00E37D1B">
        <w:rPr>
          <w:lang w:val="en-GB"/>
        </w:rPr>
        <w:t>, 1997, p.248</w:t>
      </w:r>
    </w:p>
  </w:footnote>
  <w:footnote w:id="20">
    <w:p w14:paraId="721BF5F8" w14:textId="39B5A21D" w:rsidR="00FF671F" w:rsidRPr="00FF671F" w:rsidRDefault="00FF671F">
      <w:pPr>
        <w:pStyle w:val="FootnoteText"/>
        <w:rPr>
          <w:lang w:val="en-GB"/>
        </w:rPr>
      </w:pPr>
      <w:r>
        <w:rPr>
          <w:rStyle w:val="FootnoteReference"/>
        </w:rPr>
        <w:footnoteRef/>
      </w:r>
      <w:r>
        <w:t xml:space="preserve"> </w:t>
      </w:r>
      <w:r>
        <w:rPr>
          <w:lang w:val="en-GB"/>
        </w:rPr>
        <w:t>Butler</w:t>
      </w:r>
      <w:r w:rsidR="00E37D1B">
        <w:rPr>
          <w:lang w:val="en-GB"/>
        </w:rPr>
        <w:t>, 1990, p.187</w:t>
      </w:r>
    </w:p>
  </w:footnote>
  <w:footnote w:id="21">
    <w:p w14:paraId="67EE6E98" w14:textId="122F58FC" w:rsidR="00FF671F" w:rsidRPr="00FF671F" w:rsidRDefault="00FF671F">
      <w:pPr>
        <w:pStyle w:val="FootnoteText"/>
        <w:rPr>
          <w:lang w:val="en-GB"/>
        </w:rPr>
      </w:pPr>
      <w:r>
        <w:rPr>
          <w:rStyle w:val="FootnoteReference"/>
        </w:rPr>
        <w:footnoteRef/>
      </w:r>
      <w:r>
        <w:t xml:space="preserve"> </w:t>
      </w:r>
      <w:r>
        <w:rPr>
          <w:lang w:val="en-GB"/>
        </w:rPr>
        <w:t>Gilchrist</w:t>
      </w:r>
      <w:r w:rsidR="00E37D1B">
        <w:rPr>
          <w:lang w:val="en-GB"/>
        </w:rPr>
        <w:t>, 1999</w:t>
      </w:r>
    </w:p>
  </w:footnote>
  <w:footnote w:id="22">
    <w:p w14:paraId="4DE9FEC9" w14:textId="195FDBCF" w:rsidR="00FF671F" w:rsidRPr="00FF671F" w:rsidRDefault="00FF671F">
      <w:pPr>
        <w:pStyle w:val="FootnoteText"/>
        <w:rPr>
          <w:lang w:val="en-GB"/>
        </w:rPr>
      </w:pPr>
      <w:r>
        <w:rPr>
          <w:rStyle w:val="FootnoteReference"/>
        </w:rPr>
        <w:footnoteRef/>
      </w:r>
      <w:r>
        <w:t xml:space="preserve"> </w:t>
      </w:r>
      <w:proofErr w:type="spellStart"/>
      <w:r>
        <w:rPr>
          <w:lang w:val="en-GB"/>
        </w:rPr>
        <w:t>H</w:t>
      </w:r>
      <w:r w:rsidR="00FB1DB0">
        <w:rPr>
          <w:lang w:val="en-GB"/>
        </w:rPr>
        <w:t>om</w:t>
      </w:r>
      <w:proofErr w:type="spellEnd"/>
      <w:r w:rsidR="00FB1DB0">
        <w:rPr>
          <w:lang w:val="en-GB"/>
        </w:rPr>
        <w:t>. Hymn Dem., 206-210</w:t>
      </w:r>
    </w:p>
  </w:footnote>
  <w:footnote w:id="23">
    <w:p w14:paraId="4EFBB8DC" w14:textId="033937BB" w:rsidR="00FF671F" w:rsidRPr="00FF671F" w:rsidRDefault="00FF671F">
      <w:pPr>
        <w:pStyle w:val="FootnoteText"/>
        <w:rPr>
          <w:lang w:val="en-GB"/>
        </w:rPr>
      </w:pPr>
      <w:r>
        <w:rPr>
          <w:rStyle w:val="FootnoteReference"/>
        </w:rPr>
        <w:footnoteRef/>
      </w:r>
      <w:r>
        <w:t xml:space="preserve"> </w:t>
      </w:r>
      <w:proofErr w:type="spellStart"/>
      <w:r>
        <w:rPr>
          <w:lang w:val="en-GB"/>
        </w:rPr>
        <w:t>H</w:t>
      </w:r>
      <w:r w:rsidR="00FB1DB0">
        <w:rPr>
          <w:lang w:val="en-GB"/>
        </w:rPr>
        <w:t>om</w:t>
      </w:r>
      <w:proofErr w:type="spellEnd"/>
      <w:r w:rsidR="00FB1DB0">
        <w:rPr>
          <w:lang w:val="en-GB"/>
        </w:rPr>
        <w:t>. Hymn Dem., 28</w:t>
      </w:r>
    </w:p>
  </w:footnote>
  <w:footnote w:id="24">
    <w:p w14:paraId="1428601D" w14:textId="3BE42ADB" w:rsidR="00FF671F" w:rsidRPr="00FF671F" w:rsidRDefault="00FF671F">
      <w:pPr>
        <w:pStyle w:val="FootnoteText"/>
        <w:rPr>
          <w:lang w:val="en-GB"/>
        </w:rPr>
      </w:pPr>
      <w:r>
        <w:rPr>
          <w:rStyle w:val="FootnoteReference"/>
        </w:rPr>
        <w:footnoteRef/>
      </w:r>
      <w:r>
        <w:t xml:space="preserve"> </w:t>
      </w:r>
      <w:proofErr w:type="spellStart"/>
      <w:r>
        <w:rPr>
          <w:lang w:val="en-GB"/>
        </w:rPr>
        <w:t>H</w:t>
      </w:r>
      <w:r w:rsidR="00FB1DB0">
        <w:rPr>
          <w:lang w:val="en-GB"/>
        </w:rPr>
        <w:t>om</w:t>
      </w:r>
      <w:proofErr w:type="spellEnd"/>
      <w:r w:rsidR="00FB1DB0">
        <w:rPr>
          <w:lang w:val="en-GB"/>
        </w:rPr>
        <w:t xml:space="preserve">. </w:t>
      </w:r>
      <w:r>
        <w:rPr>
          <w:lang w:val="en-GB"/>
        </w:rPr>
        <w:t>H</w:t>
      </w:r>
      <w:r w:rsidR="00FB1DB0">
        <w:rPr>
          <w:lang w:val="en-GB"/>
        </w:rPr>
        <w:t xml:space="preserve">ymn </w:t>
      </w:r>
      <w:r>
        <w:rPr>
          <w:lang w:val="en-GB"/>
        </w:rPr>
        <w:t>D</w:t>
      </w:r>
      <w:r w:rsidR="00FB1DB0">
        <w:rPr>
          <w:lang w:val="en-GB"/>
        </w:rPr>
        <w:t>em., 185-235</w:t>
      </w:r>
    </w:p>
  </w:footnote>
  <w:footnote w:id="25">
    <w:p w14:paraId="01055F26" w14:textId="270501A3" w:rsidR="00FF671F" w:rsidRPr="00FF671F" w:rsidRDefault="00FF671F">
      <w:pPr>
        <w:pStyle w:val="FootnoteText"/>
        <w:rPr>
          <w:lang w:val="en-GB"/>
        </w:rPr>
      </w:pPr>
      <w:r>
        <w:rPr>
          <w:rStyle w:val="FootnoteReference"/>
        </w:rPr>
        <w:footnoteRef/>
      </w:r>
      <w:r>
        <w:t xml:space="preserve"> </w:t>
      </w:r>
      <w:proofErr w:type="spellStart"/>
      <w:r>
        <w:rPr>
          <w:lang w:val="en-GB"/>
        </w:rPr>
        <w:t>H</w:t>
      </w:r>
      <w:r w:rsidR="00FB1DB0">
        <w:rPr>
          <w:lang w:val="en-GB"/>
        </w:rPr>
        <w:t>om</w:t>
      </w:r>
      <w:proofErr w:type="spellEnd"/>
      <w:r w:rsidR="00FB1DB0">
        <w:rPr>
          <w:lang w:val="en-GB"/>
        </w:rPr>
        <w:t xml:space="preserve">. </w:t>
      </w:r>
      <w:r>
        <w:rPr>
          <w:lang w:val="en-GB"/>
        </w:rPr>
        <w:t>H</w:t>
      </w:r>
      <w:r w:rsidR="00FB1DB0">
        <w:rPr>
          <w:lang w:val="en-GB"/>
        </w:rPr>
        <w:t xml:space="preserve">ymn </w:t>
      </w:r>
      <w:r>
        <w:rPr>
          <w:lang w:val="en-GB"/>
        </w:rPr>
        <w:t>D</w:t>
      </w:r>
      <w:r w:rsidR="00FB1DB0">
        <w:rPr>
          <w:lang w:val="en-GB"/>
        </w:rPr>
        <w:t xml:space="preserve">em., </w:t>
      </w:r>
      <w:r w:rsidR="00314225">
        <w:rPr>
          <w:lang w:val="en-GB"/>
        </w:rPr>
        <w:t>295-300</w:t>
      </w:r>
    </w:p>
  </w:footnote>
  <w:footnote w:id="26">
    <w:p w14:paraId="02C70219" w14:textId="1846BCF7" w:rsidR="00FF671F" w:rsidRPr="00FF671F" w:rsidRDefault="00FF671F">
      <w:pPr>
        <w:pStyle w:val="FootnoteText"/>
        <w:rPr>
          <w:lang w:val="en-GB"/>
        </w:rPr>
      </w:pPr>
      <w:r>
        <w:rPr>
          <w:rStyle w:val="FootnoteReference"/>
        </w:rPr>
        <w:footnoteRef/>
      </w:r>
      <w:r>
        <w:t xml:space="preserve"> </w:t>
      </w:r>
      <w:r>
        <w:rPr>
          <w:lang w:val="en-GB"/>
        </w:rPr>
        <w:t>Stocking</w:t>
      </w:r>
      <w:r w:rsidR="00A92608">
        <w:rPr>
          <w:lang w:val="en-GB"/>
        </w:rPr>
        <w:t>, 2017, p.74</w:t>
      </w:r>
    </w:p>
  </w:footnote>
  <w:footnote w:id="27">
    <w:p w14:paraId="69FB6AB8" w14:textId="7511AC98" w:rsidR="00FF671F" w:rsidRPr="00FF671F" w:rsidRDefault="00FF671F">
      <w:pPr>
        <w:pStyle w:val="FootnoteText"/>
        <w:rPr>
          <w:lang w:val="en-GB"/>
        </w:rPr>
      </w:pPr>
      <w:r>
        <w:rPr>
          <w:rStyle w:val="FootnoteReference"/>
        </w:rPr>
        <w:footnoteRef/>
      </w:r>
      <w:r>
        <w:t xml:space="preserve"> </w:t>
      </w:r>
      <w:r>
        <w:rPr>
          <w:lang w:val="en-GB"/>
        </w:rPr>
        <w:t>Suter</w:t>
      </w:r>
      <w:r w:rsidR="00A92608">
        <w:rPr>
          <w:lang w:val="en-GB"/>
        </w:rPr>
        <w:t>, 2005, p.21</w:t>
      </w:r>
    </w:p>
  </w:footnote>
  <w:footnote w:id="28">
    <w:p w14:paraId="36484C0D" w14:textId="0D5DF2AA" w:rsidR="00FF671F" w:rsidRPr="00FF671F" w:rsidRDefault="00FF671F">
      <w:pPr>
        <w:pStyle w:val="FootnoteText"/>
        <w:rPr>
          <w:lang w:val="en-GB"/>
        </w:rPr>
      </w:pPr>
      <w:r>
        <w:rPr>
          <w:rStyle w:val="FootnoteReference"/>
        </w:rPr>
        <w:footnoteRef/>
      </w:r>
      <w:r>
        <w:t xml:space="preserve"> </w:t>
      </w:r>
      <w:r>
        <w:rPr>
          <w:lang w:val="en-GB"/>
        </w:rPr>
        <w:t>Suter</w:t>
      </w:r>
      <w:r w:rsidR="00A92608">
        <w:rPr>
          <w:lang w:val="en-GB"/>
        </w:rPr>
        <w:t>, 2005, pp.21-22</w:t>
      </w:r>
    </w:p>
  </w:footnote>
  <w:footnote w:id="29">
    <w:p w14:paraId="7EB9C69E" w14:textId="77A3A18D" w:rsidR="00FF671F" w:rsidRPr="00FF671F" w:rsidRDefault="00FF671F">
      <w:pPr>
        <w:pStyle w:val="FootnoteText"/>
        <w:rPr>
          <w:lang w:val="en-GB"/>
        </w:rPr>
      </w:pPr>
      <w:r>
        <w:rPr>
          <w:rStyle w:val="FootnoteReference"/>
        </w:rPr>
        <w:footnoteRef/>
      </w:r>
      <w:r>
        <w:t xml:space="preserve"> </w:t>
      </w:r>
      <w:r>
        <w:rPr>
          <w:lang w:val="en-GB"/>
        </w:rPr>
        <w:t>Suter</w:t>
      </w:r>
      <w:r w:rsidR="00A92608">
        <w:rPr>
          <w:lang w:val="en-GB"/>
        </w:rPr>
        <w:t>, 2005, p.22</w:t>
      </w:r>
    </w:p>
  </w:footnote>
  <w:footnote w:id="30">
    <w:p w14:paraId="41F0EE64" w14:textId="62FFD37F" w:rsidR="00FF671F" w:rsidRPr="00FF671F" w:rsidRDefault="00FF671F">
      <w:pPr>
        <w:pStyle w:val="FootnoteText"/>
        <w:rPr>
          <w:lang w:val="en-GB"/>
        </w:rPr>
      </w:pPr>
      <w:r>
        <w:rPr>
          <w:rStyle w:val="FootnoteReference"/>
        </w:rPr>
        <w:footnoteRef/>
      </w:r>
      <w:r>
        <w:t xml:space="preserve"> </w:t>
      </w:r>
      <w:r>
        <w:rPr>
          <w:lang w:val="en-GB"/>
        </w:rPr>
        <w:t>Showalter</w:t>
      </w:r>
      <w:r w:rsidR="004B5361">
        <w:rPr>
          <w:lang w:val="en-GB"/>
        </w:rPr>
        <w:t>, 1997, p.216</w:t>
      </w:r>
    </w:p>
  </w:footnote>
  <w:footnote w:id="31">
    <w:p w14:paraId="602D9D65" w14:textId="559E9153" w:rsidR="00FF671F" w:rsidRPr="00FF671F" w:rsidRDefault="00FF671F">
      <w:pPr>
        <w:pStyle w:val="FootnoteText"/>
        <w:rPr>
          <w:lang w:val="en-GB"/>
        </w:rPr>
      </w:pPr>
      <w:r>
        <w:rPr>
          <w:rStyle w:val="FootnoteReference"/>
        </w:rPr>
        <w:footnoteRef/>
      </w:r>
      <w:r>
        <w:t xml:space="preserve"> </w:t>
      </w:r>
      <w:r>
        <w:rPr>
          <w:lang w:val="en-GB"/>
        </w:rPr>
        <w:t>Showalter</w:t>
      </w:r>
      <w:r w:rsidR="004B5361">
        <w:rPr>
          <w:lang w:val="en-GB"/>
        </w:rPr>
        <w:t>, 1997, p.216</w:t>
      </w:r>
    </w:p>
  </w:footnote>
  <w:footnote w:id="32">
    <w:p w14:paraId="7E9DC466" w14:textId="735CB9DC" w:rsidR="00FF671F" w:rsidRPr="00FF671F" w:rsidRDefault="00FF671F">
      <w:pPr>
        <w:pStyle w:val="FootnoteText"/>
        <w:rPr>
          <w:lang w:val="en-GB"/>
        </w:rPr>
      </w:pPr>
      <w:r>
        <w:rPr>
          <w:rStyle w:val="FootnoteReference"/>
        </w:rPr>
        <w:footnoteRef/>
      </w:r>
      <w:r>
        <w:t xml:space="preserve"> </w:t>
      </w:r>
      <w:r>
        <w:rPr>
          <w:lang w:val="en-GB"/>
        </w:rPr>
        <w:t>Campbell</w:t>
      </w:r>
      <w:r w:rsidR="00A92608">
        <w:rPr>
          <w:lang w:val="en-GB"/>
        </w:rPr>
        <w:t xml:space="preserve">, </w:t>
      </w:r>
      <w:r w:rsidR="004B5361">
        <w:rPr>
          <w:lang w:val="en-GB"/>
        </w:rPr>
        <w:t>2008</w:t>
      </w:r>
    </w:p>
  </w:footnote>
  <w:footnote w:id="33">
    <w:p w14:paraId="68BBFF58" w14:textId="5EB9946A" w:rsidR="00FF671F" w:rsidRPr="00FF671F" w:rsidRDefault="00FF671F">
      <w:pPr>
        <w:pStyle w:val="FootnoteText"/>
        <w:rPr>
          <w:lang w:val="en-GB"/>
        </w:rPr>
      </w:pPr>
      <w:r>
        <w:rPr>
          <w:rStyle w:val="FootnoteReference"/>
        </w:rPr>
        <w:footnoteRef/>
      </w:r>
      <w:r>
        <w:t xml:space="preserve"> </w:t>
      </w:r>
      <w:r>
        <w:rPr>
          <w:lang w:val="en-GB"/>
        </w:rPr>
        <w:t>Campbell</w:t>
      </w:r>
      <w:r w:rsidR="00A92608">
        <w:rPr>
          <w:lang w:val="en-GB"/>
        </w:rPr>
        <w:t xml:space="preserve">, </w:t>
      </w:r>
      <w:r w:rsidR="004B5361">
        <w:rPr>
          <w:lang w:val="en-GB"/>
        </w:rPr>
        <w:t>2008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6C4"/>
    <w:rsid w:val="000A66F5"/>
    <w:rsid w:val="00314225"/>
    <w:rsid w:val="00317A3E"/>
    <w:rsid w:val="0037125F"/>
    <w:rsid w:val="003F4BD5"/>
    <w:rsid w:val="004B5361"/>
    <w:rsid w:val="005546C4"/>
    <w:rsid w:val="00610559"/>
    <w:rsid w:val="006A6AB5"/>
    <w:rsid w:val="00897C34"/>
    <w:rsid w:val="00922BAF"/>
    <w:rsid w:val="00A65F91"/>
    <w:rsid w:val="00A92608"/>
    <w:rsid w:val="00E37D1B"/>
    <w:rsid w:val="00F2283D"/>
    <w:rsid w:val="00FB1DB0"/>
    <w:rsid w:val="00FF6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47111"/>
  <w15:docId w15:val="{03090539-BD32-4978-846A-EEC46F60B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897C34"/>
    <w:pPr>
      <w:spacing w:line="240" w:lineRule="auto"/>
    </w:pPr>
    <w:rPr>
      <w:sz w:val="20"/>
      <w:szCs w:val="20"/>
    </w:rPr>
  </w:style>
  <w:style w:type="character" w:customStyle="1" w:styleId="FootnoteTextChar">
    <w:name w:val="Footnote Text Char"/>
    <w:basedOn w:val="DefaultParagraphFont"/>
    <w:link w:val="FootnoteText"/>
    <w:uiPriority w:val="99"/>
    <w:semiHidden/>
    <w:rsid w:val="00897C34"/>
    <w:rPr>
      <w:sz w:val="20"/>
      <w:szCs w:val="20"/>
    </w:rPr>
  </w:style>
  <w:style w:type="character" w:styleId="FootnoteReference">
    <w:name w:val="footnote reference"/>
    <w:basedOn w:val="DefaultParagraphFont"/>
    <w:uiPriority w:val="99"/>
    <w:semiHidden/>
    <w:unhideWhenUsed/>
    <w:rsid w:val="00897C34"/>
    <w:rPr>
      <w:vertAlign w:val="superscript"/>
    </w:rPr>
  </w:style>
  <w:style w:type="character" w:styleId="Hyperlink">
    <w:name w:val="Hyperlink"/>
    <w:basedOn w:val="DefaultParagraphFont"/>
    <w:uiPriority w:val="99"/>
    <w:unhideWhenUsed/>
    <w:rsid w:val="0037125F"/>
    <w:rPr>
      <w:color w:val="0000FF" w:themeColor="hyperlink"/>
      <w:u w:val="single"/>
    </w:rPr>
  </w:style>
  <w:style w:type="character" w:styleId="UnresolvedMention">
    <w:name w:val="Unresolved Mention"/>
    <w:basedOn w:val="DefaultParagraphFont"/>
    <w:uiPriority w:val="99"/>
    <w:semiHidden/>
    <w:unhideWhenUsed/>
    <w:rsid w:val="00371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up.harvard.edu/catalog.php?isbn=978067446726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F2D1D-1E86-40AD-B108-520342547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6</Pages>
  <Words>2521</Words>
  <Characters>14373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Rio Watts-Robinson</cp:lastModifiedBy>
  <cp:revision>2</cp:revision>
  <dcterms:created xsi:type="dcterms:W3CDTF">2021-01-22T13:49:00Z</dcterms:created>
  <dcterms:modified xsi:type="dcterms:W3CDTF">2021-01-22T16:31:00Z</dcterms:modified>
</cp:coreProperties>
</file>