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DE0" w:rsidRDefault="009D6DE0" w:rsidP="009D6DE0">
      <w:pPr>
        <w:pStyle w:val="BodyText"/>
        <w:ind w:left="720" w:hanging="720"/>
        <w:rPr>
          <w:rFonts w:ascii="Palatino Linotype" w:hAnsi="Palatino Linotype"/>
        </w:rPr>
      </w:pPr>
      <w:r>
        <w:rPr>
          <w:rFonts w:ascii="Palatino Linotype" w:hAnsi="Palatino Linotype"/>
        </w:rPr>
        <w:t>Modern Orthodox Theologians</w:t>
      </w:r>
    </w:p>
    <w:p w:rsidR="009D6DE0" w:rsidRDefault="009D6DE0" w:rsidP="009D6DE0">
      <w:pPr>
        <w:pStyle w:val="BodyText"/>
        <w:ind w:left="720" w:hanging="720"/>
        <w:rPr>
          <w:rFonts w:ascii="Palatino Linotype" w:hAnsi="Palatino Linotype"/>
        </w:rPr>
      </w:pPr>
      <w:r>
        <w:rPr>
          <w:rFonts w:ascii="Palatino Linotype" w:hAnsi="Palatino Linotype"/>
        </w:rPr>
        <w:t>TRDL7081</w:t>
      </w:r>
    </w:p>
    <w:p w:rsidR="009D6DE0" w:rsidRDefault="009D6DE0" w:rsidP="009D6DE0">
      <w:pPr>
        <w:pStyle w:val="BodyText"/>
        <w:ind w:left="720" w:hanging="720"/>
        <w:rPr>
          <w:rFonts w:ascii="Palatino Linotype" w:hAnsi="Palatino Linotype"/>
        </w:rPr>
      </w:pPr>
      <w:r>
        <w:rPr>
          <w:rFonts w:ascii="Palatino Linotype" w:hAnsi="Palatino Linotype"/>
        </w:rPr>
        <w:t>Unit Five</w:t>
      </w:r>
    </w:p>
    <w:p w:rsidR="009D6DE0" w:rsidRPr="007D40B2" w:rsidRDefault="009D6DE0" w:rsidP="009D6DE0">
      <w:pPr>
        <w:pStyle w:val="BodyText"/>
        <w:ind w:left="720" w:hanging="720"/>
        <w:rPr>
          <w:rFonts w:ascii="Palatino Linotype" w:hAnsi="Palatino Linotype"/>
        </w:rPr>
      </w:pPr>
    </w:p>
    <w:p w:rsidR="009D6DE0" w:rsidRPr="007D40B2" w:rsidRDefault="009D6DE0" w:rsidP="009D6DE0">
      <w:pPr>
        <w:jc w:val="center"/>
        <w:rPr>
          <w:rFonts w:ascii="Palatino Linotype" w:hAnsi="Palatino Linotype"/>
          <w:i/>
          <w:iCs/>
        </w:rPr>
      </w:pPr>
      <w:r w:rsidRPr="007D40B2">
        <w:rPr>
          <w:rFonts w:ascii="Palatino Linotype" w:hAnsi="Palatino Linotype"/>
          <w:i/>
          <w:iCs/>
        </w:rPr>
        <w:t>Encountering God: The Divine energies:</w:t>
      </w:r>
    </w:p>
    <w:p w:rsidR="009D6DE0" w:rsidRPr="007D40B2" w:rsidRDefault="009D6DE0" w:rsidP="009D6DE0">
      <w:pPr>
        <w:jc w:val="center"/>
        <w:rPr>
          <w:rFonts w:ascii="Palatino Linotype" w:hAnsi="Palatino Linotype"/>
          <w:i/>
          <w:iCs/>
        </w:rPr>
      </w:pPr>
      <w:r w:rsidRPr="007D40B2">
        <w:rPr>
          <w:rFonts w:ascii="Palatino Linotype" w:hAnsi="Palatino Linotype"/>
          <w:i/>
          <w:iCs/>
        </w:rPr>
        <w:t>John Meyendorff and Pavel Florensky</w:t>
      </w:r>
    </w:p>
    <w:p w:rsidR="009D6DE0" w:rsidRPr="007D40B2" w:rsidRDefault="009D6DE0" w:rsidP="009D6DE0">
      <w:pPr>
        <w:pStyle w:val="BodyText"/>
        <w:ind w:left="720" w:hanging="720"/>
        <w:rPr>
          <w:rFonts w:ascii="Palatino Linotype" w:hAnsi="Palatino Linotype"/>
        </w:rPr>
      </w:pPr>
    </w:p>
    <w:p w:rsidR="009D6DE0" w:rsidRPr="007D40B2" w:rsidRDefault="009D6DE0" w:rsidP="009D6DE0">
      <w:pPr>
        <w:pStyle w:val="BodyText"/>
        <w:ind w:left="720" w:hanging="720"/>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t xml:space="preserve">The publication in 1782 of the </w:t>
      </w:r>
      <w:r w:rsidRPr="007D40B2">
        <w:rPr>
          <w:rFonts w:ascii="Palatino Linotype" w:hAnsi="Palatino Linotype"/>
          <w:i/>
          <w:iCs/>
        </w:rPr>
        <w:t xml:space="preserve">Philokalia </w:t>
      </w:r>
      <w:r w:rsidRPr="007D40B2">
        <w:rPr>
          <w:rFonts w:ascii="Palatino Linotype" w:hAnsi="Palatino Linotype"/>
        </w:rPr>
        <w:t xml:space="preserve">has already been mentioned as one meaningful point at which modern Orthodox theology can be said to have begun. One major theologian whose works are transmitted in that anthology, and whose name has already been mentioned several times in this </w:t>
      </w:r>
      <w:r>
        <w:rPr>
          <w:rFonts w:ascii="Palatino Linotype" w:hAnsi="Palatino Linotype"/>
        </w:rPr>
        <w:t>module</w:t>
      </w:r>
      <w:r w:rsidRPr="007D40B2">
        <w:rPr>
          <w:rFonts w:ascii="Palatino Linotype" w:hAnsi="Palatino Linotype"/>
        </w:rPr>
        <w:t xml:space="preserve">, is St Gregory Palamas (1296-1359), archbishop of Thessalonica and advocate of monastic hesychasm. The cultivation of hesychasm (from the Greek word for ‘stillness’) is a central theme in authors represented in the </w:t>
      </w:r>
      <w:r w:rsidRPr="007D40B2">
        <w:rPr>
          <w:rFonts w:ascii="Palatino Linotype" w:hAnsi="Palatino Linotype"/>
          <w:i/>
          <w:iCs/>
        </w:rPr>
        <w:t>Philokalia</w:t>
      </w:r>
      <w:r w:rsidRPr="007D40B2">
        <w:rPr>
          <w:rFonts w:ascii="Palatino Linotype" w:hAnsi="Palatino Linotype"/>
        </w:rPr>
        <w:t xml:space="preserve"> and since Palamas is arguably the pre-eminent theologian of the hesychast movement, he has become so to speak the patron saint of modern Orthodox theology in the eyes of many contemporary Orthodox. A key theme in Palamas’s advocacy of the hesychast monks was his insistence that they were right to claim that they came into direct, physical contact with God when they prayed. Palamas’ account of how this could be possible turns on the distinction between God’s being (or essence: </w:t>
      </w:r>
      <w:r w:rsidRPr="007D40B2">
        <w:rPr>
          <w:rFonts w:ascii="Palatino Linotype" w:hAnsi="Palatino Linotype"/>
          <w:i/>
          <w:iCs/>
        </w:rPr>
        <w:t>ousia</w:t>
      </w:r>
      <w:r w:rsidRPr="007D40B2">
        <w:rPr>
          <w:rFonts w:ascii="Palatino Linotype" w:hAnsi="Palatino Linotype"/>
        </w:rPr>
        <w:t xml:space="preserve">) and God’s energies (or activities: </w:t>
      </w:r>
      <w:r w:rsidRPr="007D40B2">
        <w:rPr>
          <w:rFonts w:ascii="Palatino Linotype" w:hAnsi="Palatino Linotype"/>
          <w:i/>
          <w:iCs/>
        </w:rPr>
        <w:t>energeiai</w:t>
      </w:r>
      <w:r w:rsidRPr="007D40B2">
        <w:rPr>
          <w:rFonts w:ascii="Palatino Linotype" w:hAnsi="Palatino Linotype"/>
        </w:rPr>
        <w:t xml:space="preserve">). (This distinction was already well established by Palamas’ time, though whether it meant the same thing for Basil the Great (e.g.) as it meant for Palamas is a question that has been sharply debated from Palamas’ day to now.) At the risk of oversimplification, what Palamas asserted was that God’s activities manifest God’s essence in such a way that the experience of God’s activities is the experience of God. </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t xml:space="preserve">During his lifetime, Palamas was attacked by at least three distinct waves of criticism: first, by Barlaam the Calabrian; then, by Gregory Akindynos; finally, by Nicephorus Gregoras. He was ultimately vindicated by a series of councils who were sympathetic to hesychasm and was proclaimed a saint in 1368, but this was less than a century before the fall of </w:t>
      </w:r>
      <w:smartTag w:uri="urn:schemas-microsoft-com:office:smarttags" w:element="place">
        <w:r w:rsidRPr="007D40B2">
          <w:rPr>
            <w:rFonts w:ascii="Palatino Linotype" w:hAnsi="Palatino Linotype"/>
          </w:rPr>
          <w:t>Constantinople</w:t>
        </w:r>
      </w:smartTag>
      <w:r w:rsidRPr="007D40B2">
        <w:rPr>
          <w:rFonts w:ascii="Palatino Linotype" w:hAnsi="Palatino Linotype"/>
        </w:rPr>
        <w:t xml:space="preserve"> to the Seljuk Turks. Monastic practice continued to be very important after the fall of the empire, but theological discussion of Palamas was muted by events, until he was ‘rediscovered’ in the Twentieth Century. Again, Palamas’ theology became controversial. Contemporary theologians such as Martin Jugie, Dorothea Wendebourg and Juan Nadal Cañellas have all subjected his theological writings to great scrutiny and claimed that they are seriously wanting. In response, a virtual industry of Orthodox theology has emerged and re-asserted the importance of Palamas’ ‘energies-essence distinction’ together with the basic claim about real contact with God which that distinction is meant to safeguard.</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lastRenderedPageBreak/>
        <w:t xml:space="preserve">John (or Jean) Meyendorff, born in </w:t>
      </w:r>
      <w:smartTag w:uri="urn:schemas-microsoft-com:office:smarttags" w:element="place">
        <w:smartTag w:uri="urn:schemas-microsoft-com:office:smarttags" w:element="City">
          <w:r w:rsidRPr="007D40B2">
            <w:rPr>
              <w:rFonts w:ascii="Palatino Linotype" w:hAnsi="Palatino Linotype"/>
            </w:rPr>
            <w:t>Neuilly-sur-Seine</w:t>
          </w:r>
        </w:smartTag>
        <w:r w:rsidRPr="007D40B2">
          <w:rPr>
            <w:rFonts w:ascii="Palatino Linotype" w:hAnsi="Palatino Linotype"/>
          </w:rPr>
          <w:t xml:space="preserve">, </w:t>
        </w:r>
        <w:smartTag w:uri="urn:schemas-microsoft-com:office:smarttags" w:element="country-region">
          <w:r w:rsidRPr="007D40B2">
            <w:rPr>
              <w:rFonts w:ascii="Palatino Linotype" w:hAnsi="Palatino Linotype"/>
            </w:rPr>
            <w:t>France</w:t>
          </w:r>
        </w:smartTag>
      </w:smartTag>
      <w:r w:rsidRPr="007D40B2">
        <w:rPr>
          <w:rFonts w:ascii="Palatino Linotype" w:hAnsi="Palatino Linotype"/>
        </w:rPr>
        <w:t xml:space="preserve"> (17 Feb. 1926) to emigrant parents, was an eminent scholar of the writings and theology of Gregory Palamas. He was educated in Paris, both at St. Serge and at the Sorbonne, by which institution he was awarded the degree </w:t>
      </w:r>
      <w:r w:rsidRPr="007D40B2">
        <w:rPr>
          <w:rFonts w:ascii="Palatino Linotype" w:hAnsi="Palatino Linotype"/>
          <w:i/>
          <w:iCs/>
        </w:rPr>
        <w:t xml:space="preserve">Doctor-ès-Lettres </w:t>
      </w:r>
      <w:r w:rsidRPr="007D40B2">
        <w:rPr>
          <w:rFonts w:ascii="Palatino Linotype" w:hAnsi="Palatino Linotype"/>
        </w:rPr>
        <w:t xml:space="preserve">(in 1958) for his critical edition with French translation of Palamas’ </w:t>
      </w:r>
      <w:r w:rsidRPr="007D40B2">
        <w:rPr>
          <w:rFonts w:ascii="Palatino Linotype" w:hAnsi="Palatino Linotype"/>
          <w:i/>
          <w:iCs/>
        </w:rPr>
        <w:t>Triads in defence of the holy Hesychasts</w:t>
      </w:r>
      <w:r w:rsidRPr="007D40B2">
        <w:rPr>
          <w:rFonts w:ascii="Palatino Linotype" w:hAnsi="Palatino Linotype"/>
        </w:rPr>
        <w:t>, which was published a year later, along with a popular presentation of Palamas and a scholarly monograph on Palamas.</w:t>
      </w:r>
      <w:r w:rsidRPr="007D40B2">
        <w:rPr>
          <w:rFonts w:ascii="Palatino Linotype" w:hAnsi="Palatino Linotype"/>
          <w:i/>
          <w:iCs/>
        </w:rPr>
        <w:t xml:space="preserve"> </w:t>
      </w:r>
      <w:r w:rsidRPr="007D40B2">
        <w:rPr>
          <w:rFonts w:ascii="Palatino Linotype" w:hAnsi="Palatino Linotype"/>
        </w:rPr>
        <w:t xml:space="preserve">The latter, his </w:t>
      </w:r>
      <w:r w:rsidRPr="007D40B2">
        <w:rPr>
          <w:rFonts w:ascii="Palatino Linotype" w:hAnsi="Palatino Linotype"/>
          <w:i/>
          <w:iCs/>
        </w:rPr>
        <w:t xml:space="preserve">A Study of Gregory Palamas </w:t>
      </w:r>
      <w:r w:rsidRPr="007D40B2">
        <w:rPr>
          <w:rFonts w:ascii="Palatino Linotype" w:hAnsi="Palatino Linotype"/>
        </w:rPr>
        <w:t xml:space="preserve">(the title of the English translation, published in 1964), remains the standard introduction to Palamas for English speakers. Meyendorff taught briefly at St. Serge before being recruited to St Vladimir’s Seminary in 1959, as Professor of Church History and Patristics. He held joint appointments at Dumbarton Oaks (a major research centre for Byzantine Studies, under the aegis of Harvard University) and </w:t>
      </w:r>
      <w:smartTag w:uri="urn:schemas-microsoft-com:office:smarttags" w:element="place">
        <w:smartTag w:uri="urn:schemas-microsoft-com:office:smarttags" w:element="PlaceName">
          <w:r w:rsidRPr="007D40B2">
            <w:rPr>
              <w:rFonts w:ascii="Palatino Linotype" w:hAnsi="Palatino Linotype"/>
            </w:rPr>
            <w:t>Fordham</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University</w:t>
          </w:r>
        </w:smartTag>
      </w:smartTag>
      <w:r w:rsidRPr="007D40B2">
        <w:rPr>
          <w:rFonts w:ascii="Palatino Linotype" w:hAnsi="Palatino Linotype"/>
        </w:rPr>
        <w:t xml:space="preserve">, where he was Professor of Byzantine History. He was also an adjunct professor in </w:t>
      </w:r>
      <w:smartTag w:uri="urn:schemas-microsoft-com:office:smarttags" w:element="place">
        <w:smartTag w:uri="urn:schemas-microsoft-com:office:smarttags" w:element="PlaceName">
          <w:r w:rsidRPr="007D40B2">
            <w:rPr>
              <w:rFonts w:ascii="Palatino Linotype" w:hAnsi="Palatino Linotype"/>
            </w:rPr>
            <w:t>Columbia</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University</w:t>
          </w:r>
        </w:smartTag>
      </w:smartTag>
      <w:r w:rsidRPr="007D40B2">
        <w:rPr>
          <w:rFonts w:ascii="Palatino Linotype" w:hAnsi="Palatino Linotype"/>
        </w:rPr>
        <w:t xml:space="preserve"> and Union Theological Seminary. Meyendorff was installed as Dean of St Vladimir’s in 1984, succeeding both Georges Florovsky and Alexander Schmemann in that role. His academic work was recognised through many prestigious awards. These include a fellowship from the National Endowment for the Humanities and a Guggenheim Fellowship, as well as honorary doctorates from General Theological Seminary and the University </w:t>
      </w:r>
      <w:proofErr w:type="gramStart"/>
      <w:r w:rsidRPr="007D40B2">
        <w:rPr>
          <w:rFonts w:ascii="Palatino Linotype" w:hAnsi="Palatino Linotype"/>
        </w:rPr>
        <w:t>of</w:t>
      </w:r>
      <w:proofErr w:type="gramEnd"/>
      <w:r w:rsidRPr="007D40B2">
        <w:rPr>
          <w:rFonts w:ascii="Palatino Linotype" w:hAnsi="Palatino Linotype"/>
        </w:rPr>
        <w:t xml:space="preserve"> Notre Dame; he was also a Corresponding Fellow of the </w:t>
      </w:r>
      <w:smartTag w:uri="urn:schemas-microsoft-com:office:smarttags" w:element="place">
        <w:smartTag w:uri="urn:schemas-microsoft-com:office:smarttags" w:element="PlaceName">
          <w:r w:rsidRPr="007D40B2">
            <w:rPr>
              <w:rFonts w:ascii="Palatino Linotype" w:hAnsi="Palatino Linotype"/>
            </w:rPr>
            <w:t>British</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Academy</w:t>
          </w:r>
        </w:smartTag>
      </w:smartTag>
      <w:r w:rsidRPr="007D40B2">
        <w:rPr>
          <w:rFonts w:ascii="Palatino Linotype" w:hAnsi="Palatino Linotype"/>
        </w:rPr>
        <w:t xml:space="preserve"> and, in 1991, Patriarch Aleksy of Moscow awarded him the Order of St Vladimir, 2nd Class. In June 1992, Meyendorff retired as Dean of St Vladimir’s and the following month (22 July 1992) he died.</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t xml:space="preserve">Meyendorff’s work on Palamas can be seen as implementing Georges Florovsky’s call for a return to Christian Hellenism. His scholarly publications, while not beyond reproach, are characterised by meticulous research and an exacting study of the sources; the fruits of his scholarship were also made available to a wider readership through numerous popular publications on a wide array of subjects. The excerpt given below is taken from his major work in historical theology, </w:t>
      </w:r>
      <w:r w:rsidRPr="007D40B2">
        <w:rPr>
          <w:rFonts w:ascii="Palatino Linotype" w:hAnsi="Palatino Linotype"/>
          <w:i/>
          <w:iCs/>
        </w:rPr>
        <w:t>Byzantine Theology</w:t>
      </w:r>
      <w:r w:rsidRPr="007D40B2">
        <w:rPr>
          <w:rFonts w:ascii="Palatino Linotype" w:hAnsi="Palatino Linotype"/>
        </w:rPr>
        <w:t>. In ‘Monastic Theology,’ Meyendorff sketches the course of monastic contributions to Orthodox Christology. This account culminates in a presentation of Palamite theology, with its characteristic distinction of essence and energies, and can therefore be profitably read as a history of the development of Orthodox theology from a Palamite perspective.</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t xml:space="preserve">A rather different redeployment of themes familiar from Palamas’ theology is found in our second reading, which is taken from Pavel Alexandrovich Florensky’s monumental </w:t>
      </w:r>
      <w:r w:rsidRPr="007D40B2">
        <w:rPr>
          <w:rFonts w:ascii="Palatino Linotype" w:hAnsi="Palatino Linotype"/>
          <w:i/>
          <w:iCs/>
        </w:rPr>
        <w:t>The Pillar and Ground of Truth</w:t>
      </w:r>
      <w:r w:rsidRPr="007D40B2">
        <w:rPr>
          <w:rFonts w:ascii="Palatino Linotype" w:hAnsi="Palatino Linotype"/>
        </w:rPr>
        <w:t xml:space="preserve">. Florensky (21 Jan. 1882 </w:t>
      </w:r>
      <w:proofErr w:type="gramStart"/>
      <w:r w:rsidRPr="007D40B2">
        <w:rPr>
          <w:rFonts w:ascii="Palatino Linotype" w:hAnsi="Palatino Linotype"/>
        </w:rPr>
        <w:t>– ?</w:t>
      </w:r>
      <w:proofErr w:type="gramEnd"/>
      <w:r w:rsidRPr="007D40B2">
        <w:rPr>
          <w:rFonts w:ascii="Palatino Linotype" w:hAnsi="Palatino Linotype"/>
        </w:rPr>
        <w:t xml:space="preserve"> Dec. 1937) was a polymath who, in addition to his theological work, made substantial contributions to philosophical logic, art theory, mathematics and electrodynamics. After studying mathematics at </w:t>
      </w:r>
      <w:smartTag w:uri="urn:schemas-microsoft-com:office:smarttags" w:element="place">
        <w:smartTag w:uri="urn:schemas-microsoft-com:office:smarttags" w:element="PlaceName">
          <w:r w:rsidRPr="007D40B2">
            <w:rPr>
              <w:rFonts w:ascii="Palatino Linotype" w:hAnsi="Palatino Linotype"/>
            </w:rPr>
            <w:t>Moscow</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State</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University</w:t>
          </w:r>
        </w:smartTag>
      </w:smartTag>
      <w:r w:rsidRPr="007D40B2">
        <w:rPr>
          <w:rFonts w:ascii="Palatino Linotype" w:hAnsi="Palatino Linotype"/>
        </w:rPr>
        <w:t xml:space="preserve">, he went to study theology at Sergey Posad in 1904. During his time as a theological student, Florensky wrote his massive </w:t>
      </w:r>
      <w:r w:rsidRPr="007D40B2">
        <w:rPr>
          <w:rFonts w:ascii="Palatino Linotype" w:hAnsi="Palatino Linotype"/>
          <w:i/>
          <w:iCs/>
        </w:rPr>
        <w:t>The Pillar and Ground of Truth</w:t>
      </w:r>
      <w:r w:rsidRPr="007D40B2">
        <w:rPr>
          <w:rFonts w:ascii="Palatino Linotype" w:hAnsi="Palatino Linotype"/>
        </w:rPr>
        <w:t xml:space="preserve">, which was completed by 1908 but only published in 1924. </w:t>
      </w:r>
      <w:r w:rsidRPr="007D40B2">
        <w:rPr>
          <w:rFonts w:ascii="Palatino Linotype" w:hAnsi="Palatino Linotype"/>
        </w:rPr>
        <w:lastRenderedPageBreak/>
        <w:t>Around this time, he read the works of Solovyev. Florensky was interested in the literary features of Solovyev’s writings no less than their theological content: along with Andrei Biely (whose father had taught Florensky mathematics)</w:t>
      </w:r>
      <w:proofErr w:type="gramStart"/>
      <w:r w:rsidRPr="007D40B2">
        <w:rPr>
          <w:rFonts w:ascii="Palatino Linotype" w:hAnsi="Palatino Linotype"/>
        </w:rPr>
        <w:t>,</w:t>
      </w:r>
      <w:proofErr w:type="gramEnd"/>
      <w:r w:rsidRPr="007D40B2">
        <w:rPr>
          <w:rFonts w:ascii="Palatino Linotype" w:hAnsi="Palatino Linotype"/>
        </w:rPr>
        <w:t xml:space="preserve"> he became one of the chief figures in the Symbolist movement in Russian literature.</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t xml:space="preserve">Florensky taught philosophy at the </w:t>
      </w:r>
      <w:smartTag w:uri="urn:schemas-microsoft-com:office:smarttags" w:element="place">
        <w:smartTag w:uri="urn:schemas-microsoft-com:office:smarttags" w:element="PlaceName">
          <w:r w:rsidRPr="007D40B2">
            <w:rPr>
              <w:rFonts w:ascii="Palatino Linotype" w:hAnsi="Palatino Linotype"/>
            </w:rPr>
            <w:t>Theological</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Academy</w:t>
          </w:r>
        </w:smartTag>
      </w:smartTag>
      <w:r w:rsidRPr="007D40B2">
        <w:rPr>
          <w:rFonts w:ascii="Palatino Linotype" w:hAnsi="Palatino Linotype"/>
        </w:rPr>
        <w:t xml:space="preserve"> in Sergey Posad after graduation and lived nearby in the Troitse-Sergiyeva Lavra. He was ordained priest in 1911, and served in the church at Sergey Posad until the Bolshevik authorities closed down the Lavra (in 1918) and the church (in 1921). Florensky then took up work in applied science, working on the State Plan for the Electrification of Russia, and over the next several years published many works in pure science in addition to his studies in art history. All the while, however, Florensky maintained his public profile as an Orthodox priest.</w:t>
      </w:r>
    </w:p>
    <w:p w:rsidR="009D6DE0" w:rsidRPr="007D40B2" w:rsidRDefault="009D6DE0" w:rsidP="009D6DE0">
      <w:pPr>
        <w:pStyle w:val="BodyText"/>
        <w:rPr>
          <w:rFonts w:ascii="Palatino Linotype" w:hAnsi="Palatino Linotype"/>
        </w:rPr>
      </w:pPr>
    </w:p>
    <w:p w:rsidR="009D6DE0" w:rsidRPr="007D40B2" w:rsidRDefault="009D6DE0" w:rsidP="009D6DE0">
      <w:pPr>
        <w:pStyle w:val="NormalWeb"/>
        <w:shd w:val="clear" w:color="auto" w:fill="F8FCFF"/>
        <w:spacing w:before="0" w:beforeAutospacing="0" w:after="0" w:afterAutospacing="0"/>
        <w:jc w:val="both"/>
        <w:rPr>
          <w:rFonts w:ascii="Palatino Linotype" w:hAnsi="Palatino Linotype"/>
        </w:rPr>
      </w:pPr>
      <w:r w:rsidRPr="007D40B2">
        <w:rPr>
          <w:rFonts w:ascii="Palatino Linotype" w:hAnsi="Palatino Linotype"/>
        </w:rPr>
        <w:t xml:space="preserve">Florensky was exiled in 1928, but recalled to </w:t>
      </w:r>
      <w:smartTag w:uri="urn:schemas-microsoft-com:office:smarttags" w:element="City">
        <w:smartTag w:uri="urn:schemas-microsoft-com:office:smarttags" w:element="place">
          <w:r w:rsidRPr="007D40B2">
            <w:rPr>
              <w:rFonts w:ascii="Palatino Linotype" w:hAnsi="Palatino Linotype"/>
            </w:rPr>
            <w:t>Moscow</w:t>
          </w:r>
        </w:smartTag>
      </w:smartTag>
      <w:r w:rsidRPr="007D40B2">
        <w:rPr>
          <w:rFonts w:ascii="Palatino Linotype" w:hAnsi="Palatino Linotype"/>
        </w:rPr>
        <w:t xml:space="preserve">. In 1933, he was sentenced to a decade in the labour camps. He was moved to Solovki, an ancient island monastery turned gulag, from 1934 to 1937, when he was transferred again – this time, to </w:t>
      </w:r>
      <w:smartTag w:uri="urn:schemas-microsoft-com:office:smarttags" w:element="City">
        <w:r w:rsidRPr="007D40B2">
          <w:rPr>
            <w:rFonts w:ascii="Palatino Linotype" w:hAnsi="Palatino Linotype"/>
          </w:rPr>
          <w:t>Leningrad</w:t>
        </w:r>
      </w:smartTag>
      <w:r w:rsidRPr="007D40B2">
        <w:rPr>
          <w:rFonts w:ascii="Palatino Linotype" w:hAnsi="Palatino Linotype"/>
        </w:rPr>
        <w:t xml:space="preserve"> (</w:t>
      </w:r>
      <w:smartTag w:uri="urn:schemas-microsoft-com:office:smarttags" w:element="City">
        <w:smartTag w:uri="urn:schemas-microsoft-com:office:smarttags" w:element="place">
          <w:r w:rsidRPr="007D40B2">
            <w:rPr>
              <w:rFonts w:ascii="Palatino Linotype" w:hAnsi="Palatino Linotype"/>
            </w:rPr>
            <w:t>St Petersburg</w:t>
          </w:r>
        </w:smartTag>
      </w:smartTag>
      <w:r w:rsidRPr="007D40B2">
        <w:rPr>
          <w:rFonts w:ascii="Palatino Linotype" w:hAnsi="Palatino Linotype"/>
        </w:rPr>
        <w:t>). There he was sentenced to execution and, though official records give the date of his execution as 8 Dec. 1943, it seems instead that he was shot shortly after sentence was handed down in December 1937.</w:t>
      </w:r>
    </w:p>
    <w:p w:rsidR="009D6DE0" w:rsidRPr="007D40B2" w:rsidRDefault="009D6DE0" w:rsidP="009D6DE0">
      <w:pPr>
        <w:pStyle w:val="NormalWeb"/>
        <w:shd w:val="clear" w:color="auto" w:fill="F8FCFF"/>
        <w:spacing w:before="0" w:beforeAutospacing="0" w:after="0" w:afterAutospacing="0"/>
        <w:jc w:val="both"/>
        <w:rPr>
          <w:rFonts w:ascii="Palatino Linotype" w:hAnsi="Palatino Linotype"/>
        </w:rPr>
      </w:pPr>
    </w:p>
    <w:p w:rsidR="009D6DE0" w:rsidRPr="007D40B2" w:rsidRDefault="009D6DE0" w:rsidP="009D6DE0">
      <w:pPr>
        <w:pStyle w:val="NormalWeb"/>
        <w:shd w:val="clear" w:color="auto" w:fill="F8FCFF"/>
        <w:spacing w:before="0" w:beforeAutospacing="0" w:after="0" w:afterAutospacing="0"/>
        <w:jc w:val="both"/>
        <w:rPr>
          <w:rFonts w:ascii="Palatino Linotype" w:hAnsi="Palatino Linotype"/>
        </w:rPr>
      </w:pPr>
      <w:r w:rsidRPr="007D40B2">
        <w:rPr>
          <w:rFonts w:ascii="Palatino Linotype" w:hAnsi="Palatino Linotype"/>
        </w:rPr>
        <w:t xml:space="preserve">Florensky’s major work is </w:t>
      </w:r>
      <w:r w:rsidRPr="007D40B2">
        <w:rPr>
          <w:rFonts w:ascii="Palatino Linotype" w:hAnsi="Palatino Linotype"/>
          <w:i/>
          <w:iCs/>
        </w:rPr>
        <w:t>The Pillar and Ground of Truth</w:t>
      </w:r>
      <w:r w:rsidRPr="007D40B2">
        <w:rPr>
          <w:rFonts w:ascii="Palatino Linotype" w:hAnsi="Palatino Linotype"/>
        </w:rPr>
        <w:t xml:space="preserve">. In it, his wide-ranging interests are synthesised into an innovative theological statement. For example, Florensky’s aesthetic and literary commitments are embedded in the very language and style in which he casted the book (as Richard Gustafson notes in his introductory remarks to the English translation). The book is written in the form of twelve letters to an anonymous ‘brother’ or ‘friend’, generally understood to be Christ. Throughout the book, Florensky explores the meanings of love in Christian context – something particularly clear in the excerpt given below. He builds up his account of the ‘spiritual light’ without explicit reference to Palamite theology (although there is a noteworthy excursus on ‘collections of ascetic writings’, or ‘philokalias’, which inevitably recalls the writings of Palamas), but the stock of imagery that Florensky uses indicates clearly enough that his topic is the same as Palamas’s. Whether or to what extent Florensky’s religious philosophy and </w:t>
      </w:r>
      <w:proofErr w:type="gramStart"/>
      <w:r w:rsidRPr="007D40B2">
        <w:rPr>
          <w:rFonts w:ascii="Palatino Linotype" w:hAnsi="Palatino Linotype"/>
        </w:rPr>
        <w:t>Meyendorff’s Neo-Palamite theology coincide, however,</w:t>
      </w:r>
      <w:proofErr w:type="gramEnd"/>
      <w:r w:rsidRPr="007D40B2">
        <w:rPr>
          <w:rFonts w:ascii="Palatino Linotype" w:hAnsi="Palatino Linotype"/>
        </w:rPr>
        <w:t xml:space="preserve"> is an open question.</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ind w:left="720" w:hanging="720"/>
        <w:rPr>
          <w:rFonts w:ascii="Palatino Linotype" w:hAnsi="Palatino Linotype"/>
        </w:rPr>
      </w:pPr>
      <w:r w:rsidRPr="007D40B2">
        <w:rPr>
          <w:rFonts w:ascii="Palatino Linotype" w:hAnsi="Palatino Linotype"/>
          <w:i/>
          <w:iCs/>
        </w:rPr>
        <w:br w:type="page"/>
      </w:r>
    </w:p>
    <w:p w:rsidR="009D6DE0" w:rsidRPr="007D40B2" w:rsidRDefault="009D6DE0" w:rsidP="009D6DE0">
      <w:pPr>
        <w:pStyle w:val="BodyText"/>
        <w:ind w:left="720" w:hanging="720"/>
        <w:jc w:val="center"/>
        <w:rPr>
          <w:rFonts w:ascii="Palatino Linotype" w:hAnsi="Palatino Linotype"/>
          <w:i/>
          <w:iCs/>
        </w:rPr>
      </w:pPr>
      <w:r w:rsidRPr="007D40B2">
        <w:rPr>
          <w:rFonts w:ascii="Palatino Linotype" w:hAnsi="Palatino Linotype"/>
          <w:i/>
          <w:iCs/>
        </w:rPr>
        <w:lastRenderedPageBreak/>
        <w:t>John Meyendorff</w:t>
      </w:r>
    </w:p>
    <w:p w:rsidR="009D6DE0" w:rsidRPr="007D40B2" w:rsidRDefault="009D6DE0" w:rsidP="009D6DE0">
      <w:pPr>
        <w:pStyle w:val="BodyText"/>
        <w:ind w:left="720" w:hanging="720"/>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t>Source:</w:t>
      </w:r>
    </w:p>
    <w:p w:rsidR="009D6DE0" w:rsidRPr="007D40B2" w:rsidRDefault="009D6DE0" w:rsidP="009D6DE0">
      <w:pPr>
        <w:pStyle w:val="BodyText"/>
        <w:rPr>
          <w:rFonts w:ascii="Palatino Linotype" w:hAnsi="Palatino Linotype"/>
        </w:rPr>
      </w:pPr>
      <w:r w:rsidRPr="007D40B2">
        <w:rPr>
          <w:rFonts w:ascii="Palatino Linotype" w:hAnsi="Palatino Linotype"/>
        </w:rPr>
        <w:t xml:space="preserve">‘Monastic Theology,’ in </w:t>
      </w:r>
      <w:r w:rsidRPr="007D40B2">
        <w:rPr>
          <w:rFonts w:ascii="Palatino Linotype" w:hAnsi="Palatino Linotype"/>
          <w:i/>
          <w:iCs/>
        </w:rPr>
        <w:t>Byzantine Theology</w:t>
      </w:r>
      <w:r>
        <w:rPr>
          <w:rFonts w:ascii="Palatino Linotype" w:hAnsi="Palatino Linotype"/>
        </w:rPr>
        <w:t xml:space="preserve">, </w:t>
      </w:r>
      <w:r w:rsidRPr="007D40B2">
        <w:rPr>
          <w:rFonts w:ascii="Palatino Linotype" w:hAnsi="Palatino Linotype"/>
        </w:rPr>
        <w:t>New York</w:t>
      </w:r>
      <w:r>
        <w:rPr>
          <w:rFonts w:ascii="Palatino Linotype" w:hAnsi="Palatino Linotype"/>
        </w:rPr>
        <w:t>, NY</w:t>
      </w:r>
      <w:r w:rsidRPr="007D40B2">
        <w:rPr>
          <w:rFonts w:ascii="Palatino Linotype" w:hAnsi="Palatino Linotype"/>
        </w:rPr>
        <w:t>: Fordham Press, 1973</w:t>
      </w:r>
      <w:r>
        <w:rPr>
          <w:rFonts w:ascii="Palatino Linotype" w:hAnsi="Palatino Linotype"/>
        </w:rPr>
        <w:t>:</w:t>
      </w:r>
      <w:r w:rsidRPr="007D40B2">
        <w:rPr>
          <w:rFonts w:ascii="Palatino Linotype" w:hAnsi="Palatino Linotype"/>
        </w:rPr>
        <w:t xml:space="preserve"> 66-78</w:t>
      </w:r>
      <w:r>
        <w:rPr>
          <w:rFonts w:ascii="Palatino Linotype" w:hAnsi="Palatino Linotype"/>
        </w:rPr>
        <w:t>.</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rPr>
          <w:rFonts w:ascii="Palatino Linotype" w:hAnsi="Palatino Linotype"/>
        </w:rPr>
      </w:pPr>
      <w:r w:rsidRPr="007D40B2">
        <w:rPr>
          <w:rFonts w:ascii="Palatino Linotype" w:hAnsi="Palatino Linotype"/>
        </w:rPr>
        <w:t>Other major works:</w:t>
      </w:r>
    </w:p>
    <w:p w:rsidR="009D6DE0" w:rsidRPr="007D40B2" w:rsidRDefault="009D6DE0" w:rsidP="009D6DE0">
      <w:pPr>
        <w:pStyle w:val="BodyText"/>
        <w:rPr>
          <w:rFonts w:ascii="Palatino Linotype" w:hAnsi="Palatino Linotype"/>
        </w:rPr>
      </w:pPr>
      <w:r w:rsidRPr="007D40B2">
        <w:rPr>
          <w:rFonts w:ascii="Palatino Linotype" w:hAnsi="Palatino Linotype"/>
          <w:i/>
          <w:iCs/>
        </w:rPr>
        <w:t>Christ in Eastern Christian Thought</w:t>
      </w:r>
      <w:r>
        <w:rPr>
          <w:rFonts w:ascii="Palatino Linotype" w:hAnsi="Palatino Linotype"/>
        </w:rPr>
        <w:t xml:space="preserve">, </w:t>
      </w:r>
      <w:r w:rsidRPr="007D40B2">
        <w:rPr>
          <w:rFonts w:ascii="Palatino Linotype" w:hAnsi="Palatino Linotype"/>
        </w:rPr>
        <w:t>Crestwood, NY: SVS Press, 1975</w:t>
      </w:r>
      <w:r>
        <w:rPr>
          <w:rFonts w:ascii="Palatino Linotype" w:hAnsi="Palatino Linotype"/>
        </w:rPr>
        <w:t>.</w:t>
      </w:r>
      <w:r w:rsidRPr="007D40B2">
        <w:rPr>
          <w:rFonts w:ascii="Palatino Linotype" w:hAnsi="Palatino Linotype"/>
        </w:rPr>
        <w:t xml:space="preserve"> </w:t>
      </w:r>
    </w:p>
    <w:p w:rsidR="009D6DE0" w:rsidRPr="007D40B2" w:rsidRDefault="009D6DE0" w:rsidP="009D6DE0">
      <w:pPr>
        <w:pStyle w:val="NormalWeb"/>
        <w:spacing w:before="0" w:beforeAutospacing="0" w:after="0" w:afterAutospacing="0"/>
        <w:jc w:val="both"/>
        <w:rPr>
          <w:rFonts w:ascii="Palatino Linotype" w:hAnsi="Palatino Linotype"/>
          <w:lang w:val="fr-FR"/>
        </w:rPr>
      </w:pPr>
      <w:r w:rsidRPr="007D40B2">
        <w:rPr>
          <w:rFonts w:ascii="Palatino Linotype" w:hAnsi="Palatino Linotype"/>
          <w:i/>
          <w:iCs/>
          <w:lang w:val="fr-FR"/>
        </w:rPr>
        <w:t>Grégoire Palamas. Défense des saints hesychastes: Introduction, text critique, traduction, et notes</w:t>
      </w:r>
      <w:r>
        <w:rPr>
          <w:rFonts w:ascii="Palatino Linotype" w:hAnsi="Palatino Linotype"/>
          <w:lang w:val="fr-FR"/>
        </w:rPr>
        <w:t xml:space="preserve">, </w:t>
      </w:r>
      <w:r w:rsidRPr="007D40B2">
        <w:rPr>
          <w:rFonts w:ascii="Palatino Linotype" w:hAnsi="Palatino Linotype"/>
          <w:lang w:val="fr-FR"/>
        </w:rPr>
        <w:t>Louvain: Spicilegium sacrum lovaniense, 1959</w:t>
      </w:r>
      <w:r>
        <w:rPr>
          <w:rFonts w:ascii="Palatino Linotype" w:hAnsi="Palatino Linotype"/>
          <w:lang w:val="fr-FR"/>
        </w:rPr>
        <w:t>.</w:t>
      </w:r>
    </w:p>
    <w:p w:rsidR="009D6DE0" w:rsidRPr="007D40B2" w:rsidRDefault="009D6DE0" w:rsidP="009D6DE0">
      <w:pPr>
        <w:pStyle w:val="BodyText"/>
        <w:rPr>
          <w:rFonts w:ascii="Palatino Linotype" w:hAnsi="Palatino Linotype"/>
        </w:rPr>
      </w:pPr>
      <w:r w:rsidRPr="007D40B2">
        <w:rPr>
          <w:rFonts w:ascii="Palatino Linotype" w:hAnsi="Palatino Linotype"/>
          <w:i/>
          <w:iCs/>
        </w:rPr>
        <w:t>Imperial Unity and Christian Divisions: The Church 450-680 AD</w:t>
      </w:r>
      <w:r>
        <w:rPr>
          <w:rFonts w:ascii="Palatino Linotype" w:hAnsi="Palatino Linotype"/>
        </w:rPr>
        <w:t xml:space="preserve">, </w:t>
      </w:r>
      <w:r w:rsidRPr="007D40B2">
        <w:rPr>
          <w:rFonts w:ascii="Palatino Linotype" w:hAnsi="Palatino Linotype"/>
        </w:rPr>
        <w:t>Crestwood, NY: SVS Press, 1989</w:t>
      </w:r>
      <w:r>
        <w:rPr>
          <w:rFonts w:ascii="Palatino Linotype" w:hAnsi="Palatino Linotype"/>
        </w:rPr>
        <w:t>.</w:t>
      </w:r>
    </w:p>
    <w:p w:rsidR="009D6DE0" w:rsidRPr="007D40B2" w:rsidRDefault="009D6DE0" w:rsidP="009D6DE0">
      <w:pPr>
        <w:pStyle w:val="BodyText"/>
        <w:rPr>
          <w:rFonts w:ascii="Palatino Linotype" w:hAnsi="Palatino Linotype"/>
        </w:rPr>
      </w:pPr>
      <w:r w:rsidRPr="007D40B2">
        <w:rPr>
          <w:rFonts w:ascii="Palatino Linotype" w:hAnsi="Palatino Linotype"/>
          <w:i/>
          <w:iCs/>
        </w:rPr>
        <w:t>Living Tradition: Orthodox Witness in the Contemporary World</w:t>
      </w:r>
      <w:r>
        <w:rPr>
          <w:rFonts w:ascii="Palatino Linotype" w:hAnsi="Palatino Linotype"/>
        </w:rPr>
        <w:t xml:space="preserve">, </w:t>
      </w:r>
      <w:r w:rsidRPr="007D40B2">
        <w:rPr>
          <w:rFonts w:ascii="Palatino Linotype" w:hAnsi="Palatino Linotype"/>
        </w:rPr>
        <w:t>Crestwood, NY: SVS Press, 1978</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lang w:val="fr-FR"/>
        </w:rPr>
      </w:pPr>
      <w:r w:rsidRPr="007D40B2">
        <w:rPr>
          <w:rFonts w:ascii="Palatino Linotype" w:hAnsi="Palatino Linotype"/>
          <w:i/>
          <w:iCs/>
          <w:lang w:val="fr-FR"/>
        </w:rPr>
        <w:t>St Grégoire Palamas et la mystique orthodoxe</w:t>
      </w:r>
      <w:r>
        <w:rPr>
          <w:rFonts w:ascii="Palatino Linotype" w:hAnsi="Palatino Linotype"/>
          <w:lang w:val="fr-FR"/>
        </w:rPr>
        <w:t xml:space="preserve">, </w:t>
      </w:r>
      <w:r w:rsidRPr="007D40B2">
        <w:rPr>
          <w:rFonts w:ascii="Palatino Linotype" w:hAnsi="Palatino Linotype"/>
          <w:lang w:val="fr-FR"/>
        </w:rPr>
        <w:t>Paris: Editions du Seuil, 1959</w:t>
      </w:r>
      <w:r>
        <w:rPr>
          <w:rFonts w:ascii="Palatino Linotype" w:hAnsi="Palatino Linotype"/>
          <w:lang w:val="fr-FR"/>
        </w:rPr>
        <w:t>.</w:t>
      </w:r>
    </w:p>
    <w:p w:rsidR="009D6DE0" w:rsidRPr="007D40B2" w:rsidRDefault="009D6DE0" w:rsidP="009D6DE0">
      <w:pPr>
        <w:pStyle w:val="NormalWeb"/>
        <w:spacing w:before="0" w:beforeAutospacing="0" w:after="0" w:afterAutospacing="0"/>
        <w:jc w:val="both"/>
        <w:rPr>
          <w:rFonts w:ascii="Palatino Linotype" w:hAnsi="Palatino Linotype"/>
          <w:highlight w:val="yellow"/>
        </w:rPr>
      </w:pPr>
      <w:r w:rsidRPr="007D40B2">
        <w:rPr>
          <w:rFonts w:ascii="Palatino Linotype" w:hAnsi="Palatino Linotype"/>
          <w:i/>
          <w:iCs/>
        </w:rPr>
        <w:t>A Study of Gregory Palamas</w:t>
      </w:r>
      <w:r>
        <w:rPr>
          <w:rFonts w:ascii="Palatino Linotype" w:hAnsi="Palatino Linotype"/>
        </w:rPr>
        <w:t xml:space="preserve">, </w:t>
      </w:r>
      <w:r w:rsidRPr="007D40B2">
        <w:rPr>
          <w:rFonts w:ascii="Palatino Linotype" w:hAnsi="Palatino Linotype"/>
        </w:rPr>
        <w:t xml:space="preserve">London: Faith Press, 1964; English translation, by George Lawrence, of </w:t>
      </w:r>
      <w:r w:rsidRPr="007D40B2">
        <w:rPr>
          <w:rFonts w:ascii="Palatino Linotype" w:hAnsi="Palatino Linotype"/>
          <w:i/>
          <w:iCs/>
        </w:rPr>
        <w:t xml:space="preserve">Introduction </w:t>
      </w:r>
      <w:proofErr w:type="gramStart"/>
      <w:r w:rsidRPr="007D40B2">
        <w:rPr>
          <w:rFonts w:ascii="Palatino Linotype" w:hAnsi="Palatino Linotype"/>
          <w:i/>
          <w:iCs/>
        </w:rPr>
        <w:t>a</w:t>
      </w:r>
      <w:proofErr w:type="gramEnd"/>
      <w:r w:rsidRPr="007D40B2">
        <w:rPr>
          <w:rFonts w:ascii="Palatino Linotype" w:hAnsi="Palatino Linotype"/>
          <w:i/>
          <w:iCs/>
        </w:rPr>
        <w:t xml:space="preserve"> l'étude de Grégoire Palamas</w:t>
      </w:r>
      <w:r>
        <w:rPr>
          <w:rFonts w:ascii="Palatino Linotype" w:hAnsi="Palatino Linotype"/>
        </w:rPr>
        <w:t xml:space="preserve">, </w:t>
      </w:r>
      <w:r w:rsidRPr="007D40B2">
        <w:rPr>
          <w:rFonts w:ascii="Palatino Linotype" w:hAnsi="Palatino Linotype"/>
        </w:rPr>
        <w:t>Paris: Editions du Seuil, 1959</w:t>
      </w:r>
      <w:r>
        <w:rPr>
          <w:rFonts w:ascii="Palatino Linotype" w:hAnsi="Palatino Linotype"/>
        </w:rPr>
        <w:t>.</w:t>
      </w:r>
    </w:p>
    <w:p w:rsidR="009D6DE0" w:rsidRPr="007D40B2" w:rsidRDefault="009D6DE0" w:rsidP="009D6DE0">
      <w:pPr>
        <w:pStyle w:val="BodyText"/>
        <w:rPr>
          <w:rFonts w:ascii="Palatino Linotype" w:hAnsi="Palatino Linotype"/>
        </w:rPr>
      </w:pPr>
    </w:p>
    <w:p w:rsidR="009D6DE0" w:rsidRPr="007D40B2" w:rsidRDefault="009D6DE0" w:rsidP="009D6DE0">
      <w:pPr>
        <w:pStyle w:val="BodyText"/>
        <w:rPr>
          <w:rFonts w:ascii="Palatino Linotype" w:hAnsi="Palatino Linotype"/>
          <w:lang w:val="fr-FR"/>
        </w:rPr>
      </w:pPr>
      <w:r w:rsidRPr="007D40B2">
        <w:rPr>
          <w:rFonts w:ascii="Palatino Linotype" w:hAnsi="Palatino Linotype"/>
          <w:lang w:val="fr-FR"/>
        </w:rPr>
        <w:t>Secondary literature:</w:t>
      </w:r>
    </w:p>
    <w:p w:rsidR="009D6DE0" w:rsidRPr="007D40B2" w:rsidRDefault="009D6DE0" w:rsidP="009D6DE0">
      <w:pPr>
        <w:pStyle w:val="NormalWeb"/>
        <w:spacing w:before="0" w:beforeAutospacing="0" w:after="0" w:afterAutospacing="0"/>
        <w:jc w:val="both"/>
        <w:rPr>
          <w:rFonts w:ascii="Palatino Linotype" w:hAnsi="Palatino Linotype"/>
          <w:lang w:val="fr-FR"/>
        </w:rPr>
      </w:pPr>
      <w:r w:rsidRPr="007D40B2">
        <w:rPr>
          <w:rFonts w:ascii="Palatino Linotype" w:hAnsi="Palatino Linotype"/>
          <w:lang w:val="fr-FR"/>
        </w:rPr>
        <w:t xml:space="preserve">Charanis, </w:t>
      </w:r>
      <w:r>
        <w:rPr>
          <w:rFonts w:ascii="Palatino Linotype" w:hAnsi="Palatino Linotype"/>
          <w:lang w:val="fr-FR"/>
        </w:rPr>
        <w:t xml:space="preserve">P. </w:t>
      </w:r>
      <w:r w:rsidRPr="007D40B2">
        <w:rPr>
          <w:rFonts w:ascii="Palatino Linotype" w:hAnsi="Palatino Linotype"/>
          <w:lang w:val="fr-FR"/>
        </w:rPr>
        <w:t xml:space="preserve">‘Review: </w:t>
      </w:r>
      <w:r w:rsidRPr="007D40B2">
        <w:rPr>
          <w:rFonts w:ascii="Palatino Linotype" w:hAnsi="Palatino Linotype"/>
          <w:i/>
          <w:iCs/>
          <w:lang w:val="fr-FR"/>
        </w:rPr>
        <w:t xml:space="preserve">Introduction à l’Étude de Grégoire Palamas </w:t>
      </w:r>
      <w:r w:rsidRPr="007D40B2">
        <w:rPr>
          <w:rFonts w:ascii="Palatino Linotype" w:hAnsi="Palatino Linotype"/>
          <w:lang w:val="fr-FR"/>
        </w:rPr>
        <w:t xml:space="preserve">by Jean Meyendorff; </w:t>
      </w:r>
      <w:r w:rsidRPr="007D40B2">
        <w:rPr>
          <w:rFonts w:ascii="Palatino Linotype" w:hAnsi="Palatino Linotype"/>
          <w:i/>
          <w:iCs/>
          <w:lang w:val="fr-FR"/>
        </w:rPr>
        <w:t>Grégoire Palamas: Défense des saints hésychastes</w:t>
      </w:r>
      <w:r w:rsidRPr="007D40B2">
        <w:rPr>
          <w:rFonts w:ascii="Palatino Linotype" w:hAnsi="Palatino Linotype"/>
          <w:lang w:val="fr-FR"/>
        </w:rPr>
        <w:t xml:space="preserve"> by Jean Meyendorff,’ </w:t>
      </w:r>
      <w:r w:rsidRPr="007D40B2">
        <w:rPr>
          <w:rFonts w:ascii="Palatino Linotype" w:hAnsi="Palatino Linotype"/>
          <w:i/>
          <w:iCs/>
          <w:lang w:val="fr-FR"/>
        </w:rPr>
        <w:t xml:space="preserve">Speculum </w:t>
      </w:r>
      <w:r w:rsidRPr="007D40B2">
        <w:rPr>
          <w:rFonts w:ascii="Palatino Linotype" w:hAnsi="Palatino Linotype"/>
          <w:lang w:val="fr-FR"/>
        </w:rPr>
        <w:t>36 (1961)</w:t>
      </w:r>
      <w:r>
        <w:rPr>
          <w:rFonts w:ascii="Palatino Linotype" w:hAnsi="Palatino Linotype"/>
          <w:lang w:val="fr-FR"/>
        </w:rPr>
        <w:t>:</w:t>
      </w:r>
      <w:r w:rsidRPr="007D40B2">
        <w:rPr>
          <w:rFonts w:ascii="Palatino Linotype" w:hAnsi="Palatino Linotype"/>
          <w:lang w:val="fr-FR"/>
        </w:rPr>
        <w:t xml:space="preserve"> 153-</w:t>
      </w:r>
      <w:r>
        <w:rPr>
          <w:rFonts w:ascii="Palatino Linotype" w:hAnsi="Palatino Linotype"/>
          <w:lang w:val="fr-FR"/>
        </w:rPr>
        <w:t>1</w:t>
      </w:r>
      <w:r w:rsidRPr="007D40B2">
        <w:rPr>
          <w:rFonts w:ascii="Palatino Linotype" w:hAnsi="Palatino Linotype"/>
          <w:lang w:val="fr-FR"/>
        </w:rPr>
        <w:t>55</w:t>
      </w:r>
      <w:r>
        <w:rPr>
          <w:rFonts w:ascii="Palatino Linotype" w:hAnsi="Palatino Linotype"/>
          <w:lang w:val="fr-FR"/>
        </w:rPr>
        <w:t>.</w:t>
      </w: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 xml:space="preserve">Nassif, </w:t>
      </w:r>
      <w:r>
        <w:rPr>
          <w:rFonts w:ascii="Palatino Linotype" w:hAnsi="Palatino Linotype"/>
        </w:rPr>
        <w:t xml:space="preserve">B., </w:t>
      </w:r>
      <w:r w:rsidRPr="007D40B2">
        <w:rPr>
          <w:rFonts w:ascii="Palatino Linotype" w:hAnsi="Palatino Linotype"/>
        </w:rPr>
        <w:t xml:space="preserve">ed., </w:t>
      </w:r>
      <w:r w:rsidRPr="007D40B2">
        <w:rPr>
          <w:rFonts w:ascii="Palatino Linotype" w:hAnsi="Palatino Linotype"/>
          <w:i/>
          <w:iCs/>
        </w:rPr>
        <w:t>New Perspectives on Historical Theology: Essays in Memory of John Meyendorff</w:t>
      </w:r>
      <w:r>
        <w:rPr>
          <w:rFonts w:ascii="Palatino Linotype" w:hAnsi="Palatino Linotype"/>
        </w:rPr>
        <w:t xml:space="preserve">, </w:t>
      </w:r>
      <w:r w:rsidRPr="007D40B2">
        <w:rPr>
          <w:rFonts w:ascii="Palatino Linotype" w:hAnsi="Palatino Linotype"/>
        </w:rPr>
        <w:t>Grand Rapids, MI: Eerdmans, 1996</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Romanides,</w:t>
      </w:r>
      <w:r>
        <w:rPr>
          <w:rFonts w:ascii="Palatino Linotype" w:hAnsi="Palatino Linotype"/>
        </w:rPr>
        <w:t xml:space="preserve"> J.,</w:t>
      </w:r>
      <w:r w:rsidRPr="007D40B2">
        <w:rPr>
          <w:rFonts w:ascii="Palatino Linotype" w:hAnsi="Palatino Linotype"/>
        </w:rPr>
        <w:t xml:space="preserve"> ‘Notes on the Palamite Controversy and Related Topics’, </w:t>
      </w:r>
      <w:r w:rsidRPr="007D40B2">
        <w:rPr>
          <w:rFonts w:ascii="Palatino Linotype" w:hAnsi="Palatino Linotype"/>
          <w:i/>
          <w:iCs/>
        </w:rPr>
        <w:t>Greek Orthodox Theological Review</w:t>
      </w:r>
      <w:r w:rsidRPr="007D40B2">
        <w:rPr>
          <w:rFonts w:ascii="Palatino Linotype" w:hAnsi="Palatino Linotype"/>
        </w:rPr>
        <w:t xml:space="preserve"> 6 (1960/1961)</w:t>
      </w:r>
      <w:r>
        <w:rPr>
          <w:rFonts w:ascii="Palatino Linotype" w:hAnsi="Palatino Linotype"/>
        </w:rPr>
        <w:t>:</w:t>
      </w:r>
      <w:r w:rsidRPr="007D40B2">
        <w:rPr>
          <w:rFonts w:ascii="Palatino Linotype" w:hAnsi="Palatino Linotype"/>
        </w:rPr>
        <w:t xml:space="preserve"> 186-205; 9 (1963/1964)</w:t>
      </w:r>
      <w:r>
        <w:rPr>
          <w:rFonts w:ascii="Palatino Linotype" w:hAnsi="Palatino Linotype"/>
        </w:rPr>
        <w:t>:</w:t>
      </w:r>
      <w:r w:rsidRPr="007D40B2">
        <w:rPr>
          <w:rFonts w:ascii="Palatino Linotype" w:hAnsi="Palatino Linotype"/>
        </w:rPr>
        <w:t xml:space="preserve"> 225-</w:t>
      </w:r>
      <w:r>
        <w:rPr>
          <w:rFonts w:ascii="Palatino Linotype" w:hAnsi="Palatino Linotype"/>
        </w:rPr>
        <w:t>2</w:t>
      </w:r>
      <w:r w:rsidRPr="007D40B2">
        <w:rPr>
          <w:rFonts w:ascii="Palatino Linotype" w:hAnsi="Palatino Linotype"/>
        </w:rPr>
        <w:t>70</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rPr>
      </w:pPr>
    </w:p>
    <w:p w:rsidR="009D6DE0" w:rsidRPr="007D40B2" w:rsidRDefault="009D6DE0" w:rsidP="009D6DE0">
      <w:pPr>
        <w:pStyle w:val="NormalWeb"/>
        <w:spacing w:before="0" w:beforeAutospacing="0" w:after="0" w:afterAutospacing="0"/>
        <w:jc w:val="center"/>
        <w:rPr>
          <w:rFonts w:ascii="Palatino Linotype" w:hAnsi="Palatino Linotype"/>
        </w:rPr>
      </w:pPr>
      <w:r w:rsidRPr="007D40B2">
        <w:rPr>
          <w:rFonts w:ascii="Palatino Linotype" w:hAnsi="Palatino Linotype"/>
          <w:i/>
          <w:iCs/>
        </w:rPr>
        <w:t>Pavel Florensky</w:t>
      </w:r>
    </w:p>
    <w:p w:rsidR="009D6DE0" w:rsidRPr="007D40B2" w:rsidRDefault="009D6DE0" w:rsidP="009D6DE0">
      <w:pPr>
        <w:pStyle w:val="NormalWeb"/>
        <w:spacing w:before="0" w:beforeAutospacing="0" w:after="0" w:afterAutospacing="0"/>
        <w:jc w:val="center"/>
        <w:rPr>
          <w:rFonts w:ascii="Palatino Linotype" w:hAnsi="Palatino Linotype"/>
        </w:rPr>
      </w:pP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Source:</w:t>
      </w: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 xml:space="preserve">‘Letter Four: The Light of the Truth,’ in </w:t>
      </w:r>
      <w:proofErr w:type="gramStart"/>
      <w:r w:rsidRPr="007D40B2">
        <w:rPr>
          <w:rFonts w:ascii="Palatino Linotype" w:hAnsi="Palatino Linotype"/>
          <w:i/>
          <w:iCs/>
        </w:rPr>
        <w:t>The</w:t>
      </w:r>
      <w:proofErr w:type="gramEnd"/>
      <w:r w:rsidRPr="007D40B2">
        <w:rPr>
          <w:rFonts w:ascii="Palatino Linotype" w:hAnsi="Palatino Linotype"/>
          <w:i/>
          <w:iCs/>
        </w:rPr>
        <w:t xml:space="preserve"> Pillar and Ground of the Truth: An Essay in Orthodox Theodicy in Twelve Letters</w:t>
      </w:r>
      <w:r w:rsidRPr="007D40B2">
        <w:rPr>
          <w:rFonts w:ascii="Palatino Linotype" w:hAnsi="Palatino Linotype"/>
        </w:rPr>
        <w:t>, trans. Boris Jakim</w:t>
      </w:r>
      <w:r>
        <w:rPr>
          <w:rFonts w:ascii="Palatino Linotype" w:hAnsi="Palatino Linotype"/>
        </w:rPr>
        <w:t xml:space="preserve">, </w:t>
      </w:r>
      <w:r w:rsidRPr="007D40B2">
        <w:rPr>
          <w:rFonts w:ascii="Palatino Linotype" w:hAnsi="Palatino Linotype"/>
        </w:rPr>
        <w:t>Princeton: Princeton University Press, 1997</w:t>
      </w:r>
      <w:r>
        <w:rPr>
          <w:rFonts w:ascii="Palatino Linotype" w:hAnsi="Palatino Linotype"/>
        </w:rPr>
        <w:t>:</w:t>
      </w:r>
      <w:r w:rsidRPr="007D40B2">
        <w:rPr>
          <w:rFonts w:ascii="Palatino Linotype" w:hAnsi="Palatino Linotype"/>
        </w:rPr>
        <w:t xml:space="preserve"> 53-79</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rPr>
      </w:pP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Other major writings:</w:t>
      </w:r>
    </w:p>
    <w:p w:rsidR="009D6DE0" w:rsidRPr="007D40B2" w:rsidRDefault="009D6DE0" w:rsidP="009D6DE0">
      <w:pPr>
        <w:pStyle w:val="NormalWeb"/>
        <w:spacing w:before="0" w:beforeAutospacing="0" w:after="0" w:afterAutospacing="0"/>
        <w:jc w:val="both"/>
        <w:rPr>
          <w:rFonts w:ascii="Palatino Linotype" w:hAnsi="Palatino Linotype"/>
          <w:i/>
          <w:iCs/>
        </w:rPr>
      </w:pPr>
      <w:r w:rsidRPr="007D40B2">
        <w:rPr>
          <w:rFonts w:ascii="Palatino Linotype" w:hAnsi="Palatino Linotype"/>
          <w:i/>
          <w:iCs/>
        </w:rPr>
        <w:t xml:space="preserve">Beyond Vision: Essays on the Perception of </w:t>
      </w:r>
      <w:proofErr w:type="gramStart"/>
      <w:r w:rsidRPr="007D40B2">
        <w:rPr>
          <w:rFonts w:ascii="Palatino Linotype" w:hAnsi="Palatino Linotype"/>
          <w:i/>
          <w:iCs/>
        </w:rPr>
        <w:t>Art</w:t>
      </w:r>
      <w:r w:rsidRPr="007D40B2">
        <w:rPr>
          <w:rFonts w:ascii="Palatino Linotype" w:hAnsi="Palatino Linotype"/>
        </w:rPr>
        <w:t>,</w:t>
      </w:r>
      <w:proofErr w:type="gramEnd"/>
      <w:r w:rsidRPr="007D40B2">
        <w:rPr>
          <w:rFonts w:ascii="Palatino Linotype" w:hAnsi="Palatino Linotype"/>
        </w:rPr>
        <w:t xml:space="preserve"> </w:t>
      </w:r>
      <w:r w:rsidRPr="007D40B2">
        <w:rPr>
          <w:rFonts w:ascii="Palatino Linotype" w:hAnsi="Palatino Linotype" w:cs="Arial"/>
          <w:color w:val="000000"/>
        </w:rPr>
        <w:t>edited by Nicoletta Misler and translated by Wendy Salmond</w:t>
      </w:r>
      <w:r>
        <w:rPr>
          <w:rFonts w:ascii="Palatino Linotype" w:hAnsi="Palatino Linotype"/>
        </w:rPr>
        <w:t xml:space="preserve">, </w:t>
      </w:r>
      <w:r w:rsidRPr="007D40B2">
        <w:rPr>
          <w:rFonts w:ascii="Palatino Linotype" w:hAnsi="Palatino Linotype"/>
        </w:rPr>
        <w:t>London: Reaktion Books, 2002</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i/>
          <w:iCs/>
        </w:rPr>
        <w:t>Iconostasis</w:t>
      </w:r>
      <w:r w:rsidRPr="007D40B2">
        <w:rPr>
          <w:rFonts w:ascii="Palatino Linotype" w:hAnsi="Palatino Linotype"/>
        </w:rPr>
        <w:t xml:space="preserve">, trans. </w:t>
      </w:r>
      <w:r w:rsidRPr="007D40B2">
        <w:rPr>
          <w:rFonts w:ascii="Palatino Linotype" w:hAnsi="Palatino Linotype" w:cs="Arial"/>
          <w:color w:val="000000"/>
        </w:rPr>
        <w:t>Donald Sheehan and Olga Andrejev</w:t>
      </w:r>
      <w:r>
        <w:rPr>
          <w:rFonts w:ascii="Palatino Linotype" w:hAnsi="Palatino Linotype"/>
        </w:rPr>
        <w:t>, Crestwood, NY: SVS Press, 1996.</w:t>
      </w:r>
    </w:p>
    <w:p w:rsidR="009D6DE0" w:rsidRPr="007D40B2" w:rsidRDefault="009D6DE0" w:rsidP="009D6DE0">
      <w:pPr>
        <w:pStyle w:val="NormalWeb"/>
        <w:spacing w:before="0" w:beforeAutospacing="0" w:after="0" w:afterAutospacing="0"/>
        <w:jc w:val="both"/>
        <w:rPr>
          <w:rFonts w:ascii="Palatino Linotype" w:hAnsi="Palatino Linotype"/>
          <w:i/>
          <w:iCs/>
        </w:rPr>
      </w:pPr>
      <w:r w:rsidRPr="007D40B2">
        <w:rPr>
          <w:rFonts w:ascii="Palatino Linotype" w:hAnsi="Palatino Linotype"/>
          <w:i/>
          <w:iCs/>
        </w:rPr>
        <w:t xml:space="preserve">Salt of the Earth: An Encounter with a Holy Russian Elder: Isidore of </w:t>
      </w:r>
      <w:smartTag w:uri="urn:schemas-microsoft-com:office:smarttags" w:element="place">
        <w:r w:rsidRPr="007D40B2">
          <w:rPr>
            <w:rFonts w:ascii="Palatino Linotype" w:hAnsi="Palatino Linotype"/>
            <w:i/>
            <w:iCs/>
          </w:rPr>
          <w:t>Gethsemane</w:t>
        </w:r>
      </w:smartTag>
      <w:r w:rsidRPr="007D40B2">
        <w:rPr>
          <w:rFonts w:ascii="Palatino Linotype" w:hAnsi="Palatino Linotype"/>
          <w:i/>
          <w:iCs/>
        </w:rPr>
        <w:t xml:space="preserve"> Hermitage</w:t>
      </w:r>
      <w:r w:rsidRPr="007D40B2">
        <w:rPr>
          <w:rFonts w:ascii="Palatino Linotype" w:hAnsi="Palatino Linotype"/>
        </w:rPr>
        <w:t>, trans. Richard Betts</w:t>
      </w:r>
      <w:r>
        <w:rPr>
          <w:rFonts w:ascii="Palatino Linotype" w:hAnsi="Palatino Linotype"/>
        </w:rPr>
        <w:t xml:space="preserve">, </w:t>
      </w:r>
      <w:r w:rsidRPr="007D40B2">
        <w:rPr>
          <w:rFonts w:ascii="Palatino Linotype" w:hAnsi="Palatino Linotype"/>
        </w:rPr>
        <w:t>Platina, CA: St Herman Press, 1988</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rPr>
      </w:pP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Secondary literature:</w:t>
      </w: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lastRenderedPageBreak/>
        <w:t>Bychkov,</w:t>
      </w:r>
      <w:r>
        <w:rPr>
          <w:rFonts w:ascii="Palatino Linotype" w:hAnsi="Palatino Linotype"/>
        </w:rPr>
        <w:t xml:space="preserve"> V.,</w:t>
      </w:r>
      <w:r w:rsidRPr="007D40B2">
        <w:rPr>
          <w:rFonts w:ascii="Palatino Linotype" w:hAnsi="Palatino Linotype"/>
        </w:rPr>
        <w:t xml:space="preserve"> </w:t>
      </w:r>
      <w:proofErr w:type="gramStart"/>
      <w:r w:rsidRPr="007D40B2">
        <w:rPr>
          <w:rFonts w:ascii="Palatino Linotype" w:hAnsi="Palatino Linotype"/>
          <w:i/>
          <w:iCs/>
        </w:rPr>
        <w:t>The</w:t>
      </w:r>
      <w:proofErr w:type="gramEnd"/>
      <w:r w:rsidRPr="007D40B2">
        <w:rPr>
          <w:rFonts w:ascii="Palatino Linotype" w:hAnsi="Palatino Linotype"/>
          <w:i/>
          <w:iCs/>
        </w:rPr>
        <w:t xml:space="preserve"> Aesthetic Face of Being: Art in the Theology of Pavel Floreskii</w:t>
      </w:r>
      <w:r>
        <w:rPr>
          <w:rFonts w:ascii="Palatino Linotype" w:hAnsi="Palatino Linotype"/>
        </w:rPr>
        <w:t xml:space="preserve">, </w:t>
      </w:r>
      <w:r w:rsidRPr="007D40B2">
        <w:rPr>
          <w:rFonts w:ascii="Palatino Linotype" w:hAnsi="Palatino Linotype"/>
        </w:rPr>
        <w:t>Crestwood, NY: SVS Press, 1993</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 xml:space="preserve">Meerson, </w:t>
      </w:r>
      <w:r>
        <w:rPr>
          <w:rFonts w:ascii="Palatino Linotype" w:hAnsi="Palatino Linotype"/>
        </w:rPr>
        <w:t xml:space="preserve">M.A., </w:t>
      </w:r>
      <w:proofErr w:type="gramStart"/>
      <w:r w:rsidRPr="007D40B2">
        <w:rPr>
          <w:rFonts w:ascii="Palatino Linotype" w:hAnsi="Palatino Linotype"/>
          <w:i/>
          <w:iCs/>
        </w:rPr>
        <w:t>The</w:t>
      </w:r>
      <w:proofErr w:type="gramEnd"/>
      <w:r w:rsidRPr="007D40B2">
        <w:rPr>
          <w:rFonts w:ascii="Palatino Linotype" w:hAnsi="Palatino Linotype"/>
          <w:i/>
          <w:iCs/>
        </w:rPr>
        <w:t xml:space="preserve"> Trinity of Love in Modern Russian Theology</w:t>
      </w:r>
      <w:r>
        <w:rPr>
          <w:rFonts w:ascii="Palatino Linotype" w:hAnsi="Palatino Linotype"/>
        </w:rPr>
        <w:t xml:space="preserve">, </w:t>
      </w:r>
      <w:r w:rsidRPr="007D40B2">
        <w:rPr>
          <w:rFonts w:ascii="Palatino Linotype" w:hAnsi="Palatino Linotype"/>
        </w:rPr>
        <w:t xml:space="preserve">Quincy, IL: </w:t>
      </w:r>
      <w:r w:rsidRPr="007D40B2">
        <w:rPr>
          <w:rFonts w:ascii="Palatino Linotype" w:hAnsi="Palatino Linotype"/>
          <w:color w:val="000000"/>
          <w:szCs w:val="20"/>
        </w:rPr>
        <w:t>Franciscan Press, 1998</w:t>
      </w:r>
      <w:r>
        <w:rPr>
          <w:rFonts w:ascii="Palatino Linotype" w:hAnsi="Palatino Linotype"/>
        </w:rPr>
        <w:t>:</w:t>
      </w:r>
      <w:r w:rsidRPr="007D40B2">
        <w:rPr>
          <w:rFonts w:ascii="Palatino Linotype" w:hAnsi="Palatino Linotype"/>
        </w:rPr>
        <w:t xml:space="preserve"> 117-</w:t>
      </w:r>
      <w:r>
        <w:rPr>
          <w:rFonts w:ascii="Palatino Linotype" w:hAnsi="Palatino Linotype"/>
        </w:rPr>
        <w:t>1</w:t>
      </w:r>
      <w:r w:rsidRPr="007D40B2">
        <w:rPr>
          <w:rFonts w:ascii="Palatino Linotype" w:hAnsi="Palatino Linotype"/>
        </w:rPr>
        <w:t>36</w:t>
      </w:r>
      <w:r>
        <w:rPr>
          <w:rFonts w:ascii="Palatino Linotype" w:hAnsi="Palatino Linotype"/>
        </w:rPr>
        <w:t>.</w:t>
      </w:r>
    </w:p>
    <w:p w:rsidR="009D6DE0" w:rsidRPr="007D40B2" w:rsidRDefault="009D6DE0" w:rsidP="009D6DE0">
      <w:pPr>
        <w:pStyle w:val="NormalWeb"/>
        <w:spacing w:before="0" w:beforeAutospacing="0" w:after="0" w:afterAutospacing="0"/>
        <w:jc w:val="both"/>
        <w:rPr>
          <w:rFonts w:ascii="Palatino Linotype" w:hAnsi="Palatino Linotype"/>
        </w:rPr>
      </w:pPr>
      <w:r w:rsidRPr="007D40B2">
        <w:rPr>
          <w:rFonts w:ascii="Palatino Linotype" w:hAnsi="Palatino Linotype"/>
        </w:rPr>
        <w:t>Slisenski,</w:t>
      </w:r>
      <w:r>
        <w:rPr>
          <w:rFonts w:ascii="Palatino Linotype" w:hAnsi="Palatino Linotype"/>
        </w:rPr>
        <w:t xml:space="preserve"> R.,</w:t>
      </w:r>
      <w:r w:rsidRPr="007D40B2">
        <w:rPr>
          <w:rFonts w:ascii="Palatino Linotype" w:hAnsi="Palatino Linotype"/>
        </w:rPr>
        <w:t xml:space="preserve"> </w:t>
      </w:r>
      <w:r w:rsidRPr="007D40B2">
        <w:rPr>
          <w:rFonts w:ascii="Palatino Linotype" w:hAnsi="Palatino Linotype"/>
          <w:i/>
          <w:iCs/>
        </w:rPr>
        <w:t xml:space="preserve">Pavel Florensky: </w:t>
      </w:r>
      <w:proofErr w:type="gramStart"/>
      <w:r w:rsidRPr="007D40B2">
        <w:rPr>
          <w:rFonts w:ascii="Palatino Linotype" w:hAnsi="Palatino Linotype"/>
          <w:i/>
          <w:iCs/>
        </w:rPr>
        <w:t>A Metaphysics</w:t>
      </w:r>
      <w:proofErr w:type="gramEnd"/>
      <w:r w:rsidRPr="007D40B2">
        <w:rPr>
          <w:rFonts w:ascii="Palatino Linotype" w:hAnsi="Palatino Linotype"/>
          <w:i/>
          <w:iCs/>
        </w:rPr>
        <w:t xml:space="preserve"> of Love</w:t>
      </w:r>
      <w:r>
        <w:rPr>
          <w:rFonts w:ascii="Palatino Linotype" w:hAnsi="Palatino Linotype"/>
        </w:rPr>
        <w:t xml:space="preserve">, </w:t>
      </w:r>
      <w:r w:rsidRPr="007D40B2">
        <w:rPr>
          <w:rFonts w:ascii="Palatino Linotype" w:hAnsi="Palatino Linotype"/>
        </w:rPr>
        <w:t>Crestwood, NY: SVS Press, 1984</w:t>
      </w:r>
      <w:r>
        <w:rPr>
          <w:rFonts w:ascii="Palatino Linotype" w:hAnsi="Palatino Linotype"/>
        </w:rPr>
        <w:t>.</w:t>
      </w:r>
    </w:p>
    <w:p w:rsidR="008C3338" w:rsidRDefault="008C3338"/>
    <w:sectPr w:rsidR="008C3338" w:rsidSect="008C333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characterSpacingControl w:val="doNotCompress"/>
  <w:compat/>
  <w:rsids>
    <w:rsidRoot w:val="009D6DE0"/>
    <w:rsid w:val="008C3338"/>
    <w:rsid w:val="009D6DE0"/>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DE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D6DE0"/>
    <w:pPr>
      <w:jc w:val="both"/>
    </w:pPr>
  </w:style>
  <w:style w:type="character" w:customStyle="1" w:styleId="BodyTextChar">
    <w:name w:val="Body Text Char"/>
    <w:basedOn w:val="DefaultParagraphFont"/>
    <w:link w:val="BodyText"/>
    <w:rsid w:val="009D6DE0"/>
    <w:rPr>
      <w:rFonts w:ascii="Times New Roman" w:eastAsia="Times New Roman" w:hAnsi="Times New Roman" w:cs="Times New Roman"/>
      <w:sz w:val="24"/>
      <w:szCs w:val="24"/>
    </w:rPr>
  </w:style>
  <w:style w:type="paragraph" w:styleId="NormalWeb">
    <w:name w:val="Normal (Web)"/>
    <w:basedOn w:val="Normal"/>
    <w:rsid w:val="009D6DE0"/>
    <w:pPr>
      <w:spacing w:before="100" w:beforeAutospacing="1" w:after="100" w:afterAutospacing="1"/>
    </w:pPr>
    <w:rPr>
      <w:rFonts w:eastAsia="SimSun"/>
      <w:lang w:eastAsia="zh-C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1601</Words>
  <Characters>9127</Characters>
  <Application>Microsoft Office Word</Application>
  <DocSecurity>0</DocSecurity>
  <Lines>76</Lines>
  <Paragraphs>21</Paragraphs>
  <ScaleCrop>false</ScaleCrop>
  <Company/>
  <LinksUpToDate>false</LinksUpToDate>
  <CharactersWithSpaces>10707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Augustine Casiday</dc:creator>
  <cp:lastModifiedBy>Augustine Casiday</cp:lastModifiedBy>
  <cp:revision>1</cp:revision>
  <dcterms:created xsi:type="dcterms:W3CDTF">2012-01-23T18:57:00Z</dcterms:created>
  <dcterms:modified xsi:type="dcterms:W3CDTF">2012-01-23T18:57:00Z</dcterms:modified>
</cp:coreProperties>
</file>