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5611F" w14:textId="77777777" w:rsidR="00886D95" w:rsidRDefault="00A9392C">
      <w:pPr>
        <w:spacing w:after="160"/>
        <w:jc w:val="center"/>
      </w:pPr>
      <w:r>
        <w:rPr>
          <w:sz w:val="24"/>
          <w:szCs w:val="24"/>
        </w:rPr>
        <w:t>Emily Brown</w:t>
      </w:r>
    </w:p>
    <w:p w14:paraId="68CBC52A" w14:textId="77777777" w:rsidR="00886D95" w:rsidRDefault="00A9392C">
      <w:pPr>
        <w:spacing w:after="160"/>
        <w:jc w:val="center"/>
      </w:pPr>
      <w:r>
        <w:rPr>
          <w:sz w:val="24"/>
          <w:szCs w:val="24"/>
        </w:rPr>
        <w:t>Academic Skills</w:t>
      </w:r>
    </w:p>
    <w:p w14:paraId="6C57D377" w14:textId="77777777" w:rsidR="00886D95" w:rsidRDefault="00A9392C">
      <w:pPr>
        <w:spacing w:after="320"/>
        <w:jc w:val="center"/>
      </w:pPr>
      <w:r>
        <w:rPr>
          <w:sz w:val="24"/>
          <w:szCs w:val="24"/>
        </w:rPr>
        <w:t>Assignment 2</w:t>
      </w:r>
    </w:p>
    <w:p w14:paraId="00587C10" w14:textId="77777777" w:rsidR="00886D95" w:rsidRDefault="00A9392C">
      <w:pPr>
        <w:spacing w:after="480"/>
        <w:jc w:val="center"/>
      </w:pPr>
      <w:r>
        <w:rPr>
          <w:b/>
          <w:bCs/>
          <w:sz w:val="28"/>
          <w:szCs w:val="28"/>
        </w:rPr>
        <w:t>A Critical Review of Jane Webster, 'Ethnographic Approaches to the Study of Roman-Celtic Religion', Britannia, 32 (2001), 1-22</w:t>
      </w:r>
    </w:p>
    <w:p w14:paraId="5D9C20CB" w14:textId="77777777" w:rsidR="00886D95" w:rsidRDefault="00A9392C">
      <w:pPr>
        <w:spacing w:before="400" w:after="200"/>
      </w:pPr>
      <w:r>
        <w:rPr>
          <w:b/>
          <w:bCs/>
          <w:sz w:val="28"/>
          <w:szCs w:val="28"/>
        </w:rPr>
        <w:t>Introduction and Context of the Source</w:t>
      </w:r>
    </w:p>
    <w:p w14:paraId="49A2E151" w14:textId="77777777" w:rsidR="00886D95" w:rsidRDefault="00A9392C">
      <w:pPr>
        <w:spacing w:after="200" w:line="360" w:lineRule="auto"/>
        <w:ind w:firstLine="720"/>
        <w:jc w:val="both"/>
      </w:pPr>
      <w:r>
        <w:rPr>
          <w:sz w:val="24"/>
          <w:szCs w:val="24"/>
        </w:rPr>
        <w:t>Jane Webster's 2001 article appeared in the peer-reviewed journal Britannia, which focuses specifically on the study of Roman Britain. Webster is an archaeologist who published this piece during a significant period of change in archaeological methodology, when scholars were increasingly questioning traditional approaches to the study of ancient religion.</w:t>
      </w:r>
      <w:r>
        <w:rPr>
          <w:rStyle w:val="FootnoteReference"/>
        </w:rPr>
        <w:footnoteReference w:id="1"/>
      </w:r>
      <w:r>
        <w:rPr>
          <w:sz w:val="24"/>
          <w:szCs w:val="24"/>
        </w:rPr>
        <w:t xml:space="preserve"> Her article is best understood as part of a broader intellectual shift in archaeology during the 1990s and early 2000s, when the influence of anthropology and post-colonial theory began to reshape how scholars interpreted the past.</w:t>
      </w:r>
    </w:p>
    <w:p w14:paraId="08AAB2ED" w14:textId="77777777" w:rsidR="00886D95" w:rsidRDefault="00A9392C">
      <w:pPr>
        <w:spacing w:after="200" w:line="360" w:lineRule="auto"/>
        <w:ind w:firstLine="720"/>
        <w:jc w:val="both"/>
      </w:pPr>
      <w:r>
        <w:rPr>
          <w:sz w:val="24"/>
          <w:szCs w:val="24"/>
        </w:rPr>
        <w:t>The timing of Webster's article is important. It appeared at the turn of the millennium, when heated debates were taking place in British archaeology about whether the concept of Romanisation remained useful for explaining cultural change during the Roman period.</w:t>
      </w:r>
      <w:r>
        <w:rPr>
          <w:rStyle w:val="FootnoteReference"/>
        </w:rPr>
        <w:footnoteReference w:id="2"/>
      </w:r>
      <w:r>
        <w:rPr>
          <w:sz w:val="24"/>
          <w:szCs w:val="24"/>
        </w:rPr>
        <w:t xml:space="preserve"> Webster enters directly into these debates, and her article can only be fully appreciated when understood within this scholarly context.</w:t>
      </w:r>
    </w:p>
    <w:p w14:paraId="179EE10D" w14:textId="77777777" w:rsidR="00886D95" w:rsidRDefault="00A9392C">
      <w:pPr>
        <w:spacing w:before="400" w:after="200"/>
      </w:pPr>
      <w:r>
        <w:rPr>
          <w:b/>
          <w:bCs/>
          <w:sz w:val="28"/>
          <w:szCs w:val="28"/>
        </w:rPr>
        <w:t>The Central Argument</w:t>
      </w:r>
    </w:p>
    <w:p w14:paraId="452C76FB" w14:textId="77777777" w:rsidR="00886D95" w:rsidRDefault="00A9392C">
      <w:pPr>
        <w:spacing w:after="200" w:line="360" w:lineRule="auto"/>
        <w:ind w:firstLine="720"/>
        <w:jc w:val="both"/>
      </w:pPr>
      <w:r>
        <w:rPr>
          <w:sz w:val="24"/>
          <w:szCs w:val="24"/>
        </w:rPr>
        <w:t xml:space="preserve">Webster's central argument challenges the way archaeologists have traditionally studied Roman-Celtic religion. She contends that archaeology has focused too heavily on physical evidence such as statues, temples, and ritual objects, while neglecting what these items </w:t>
      </w:r>
      <w:proofErr w:type="gramStart"/>
      <w:r>
        <w:rPr>
          <w:sz w:val="24"/>
          <w:szCs w:val="24"/>
        </w:rPr>
        <w:t>actually meant</w:t>
      </w:r>
      <w:proofErr w:type="gramEnd"/>
      <w:r>
        <w:rPr>
          <w:sz w:val="24"/>
          <w:szCs w:val="24"/>
        </w:rPr>
        <w:t xml:space="preserve"> to the people who used them.</w:t>
      </w:r>
      <w:r>
        <w:rPr>
          <w:rStyle w:val="FootnoteReference"/>
        </w:rPr>
        <w:footnoteReference w:id="3"/>
      </w:r>
      <w:r>
        <w:rPr>
          <w:sz w:val="24"/>
          <w:szCs w:val="24"/>
        </w:rPr>
        <w:t xml:space="preserve"> Her key proposal is that archaeologists should adopt ethnographic methods borrowed from anthropology. Ethnography involves studying how living cultures practise their beliefs, and Webster argues that examining modern religious practices can provide useful insights into how ancient religions may have functioned.</w:t>
      </w:r>
    </w:p>
    <w:p w14:paraId="55DD4B0E" w14:textId="77777777" w:rsidR="00886D95" w:rsidRDefault="00A9392C">
      <w:pPr>
        <w:spacing w:after="200" w:line="360" w:lineRule="auto"/>
        <w:ind w:firstLine="720"/>
        <w:jc w:val="both"/>
      </w:pPr>
      <w:r>
        <w:rPr>
          <w:sz w:val="24"/>
          <w:szCs w:val="24"/>
        </w:rPr>
        <w:lastRenderedPageBreak/>
        <w:t>Webster emphasises that religion involves not just objects but also actions, beliefs, and social meanings that cannot be fully recovered through material evidence alone.</w:t>
      </w:r>
      <w:r>
        <w:rPr>
          <w:rStyle w:val="FootnoteReference"/>
        </w:rPr>
        <w:footnoteReference w:id="4"/>
      </w:r>
      <w:r>
        <w:rPr>
          <w:sz w:val="24"/>
          <w:szCs w:val="24"/>
        </w:rPr>
        <w:t xml:space="preserve"> This is an important and thought-provoking point. Much of what makes religion meaningful to its participants, such as prayer, storytelling, and shared ritual performance, leaves no physical trace whatsoever. Webster is right to draw attention to this gap in archaeological knowledge.</w:t>
      </w:r>
    </w:p>
    <w:p w14:paraId="25954A0E" w14:textId="77777777" w:rsidR="00886D95" w:rsidRDefault="00A9392C">
      <w:pPr>
        <w:spacing w:before="400" w:after="200"/>
      </w:pPr>
      <w:r>
        <w:rPr>
          <w:b/>
          <w:bCs/>
          <w:sz w:val="28"/>
          <w:szCs w:val="28"/>
        </w:rPr>
        <w:t>Theoretical Perspective and Use of Sources</w:t>
      </w:r>
    </w:p>
    <w:p w14:paraId="6B46B920" w14:textId="77777777" w:rsidR="00886D95" w:rsidRDefault="00A9392C">
      <w:pPr>
        <w:spacing w:after="200" w:line="360" w:lineRule="auto"/>
        <w:ind w:firstLine="720"/>
        <w:jc w:val="both"/>
      </w:pPr>
      <w:r>
        <w:rPr>
          <w:sz w:val="24"/>
          <w:szCs w:val="24"/>
        </w:rPr>
        <w:t>Webster adopts a clear theoretical perspective strongly influenced by post-colonial theory. She critiques what she calls traditional Romanisation theory, which portrayed cultural change under Roman rule as one-directional, with Celtic peoples simply abandoning their own practices and adopting Roman customs.</w:t>
      </w:r>
      <w:r>
        <w:rPr>
          <w:rStyle w:val="FootnoteReference"/>
        </w:rPr>
        <w:footnoteReference w:id="5"/>
      </w:r>
      <w:r>
        <w:rPr>
          <w:sz w:val="24"/>
          <w:szCs w:val="24"/>
        </w:rPr>
        <w:t xml:space="preserve"> Webster argues that this view is both oversimplified and disrespectful to the complexity of cultural interaction. Instead, she supports viewing cultural change as negotiated, with Celtic peoples actively choosing which Roman elements to accept and creatively blending the two traditions.</w:t>
      </w:r>
    </w:p>
    <w:p w14:paraId="1338E9C1" w14:textId="77777777" w:rsidR="00886D95" w:rsidRDefault="00A9392C">
      <w:pPr>
        <w:spacing w:after="200" w:line="360" w:lineRule="auto"/>
        <w:ind w:firstLine="720"/>
        <w:jc w:val="both"/>
      </w:pPr>
      <w:r>
        <w:rPr>
          <w:sz w:val="24"/>
          <w:szCs w:val="24"/>
        </w:rPr>
        <w:t>The article draws on a diverse range of sources to build this argument. Webster uses archaeological evidence from religious sites across Roman Britain, including temples and ritual deposits.</w:t>
      </w:r>
      <w:r>
        <w:rPr>
          <w:rStyle w:val="FootnoteReference"/>
        </w:rPr>
        <w:footnoteReference w:id="6"/>
      </w:r>
      <w:r>
        <w:rPr>
          <w:sz w:val="24"/>
          <w:szCs w:val="24"/>
        </w:rPr>
        <w:t xml:space="preserve"> Significantly, she also incorporates ethnographic studies from various world cultures, particularly examples from African and South American societies where traditional religions are still practised. These comparative examples are used to identify patterns in religious behaviour that Webster suggests might also apply to ancient contexts.</w:t>
      </w:r>
    </w:p>
    <w:p w14:paraId="096C3E99" w14:textId="77777777" w:rsidR="00886D95" w:rsidRDefault="00A9392C">
      <w:pPr>
        <w:spacing w:after="200" w:line="360" w:lineRule="auto"/>
        <w:ind w:firstLine="720"/>
        <w:jc w:val="both"/>
      </w:pPr>
      <w:r>
        <w:rPr>
          <w:sz w:val="24"/>
          <w:szCs w:val="24"/>
        </w:rPr>
        <w:t>Webster also engages with classical texts by Roman writers such as Caesar and Tacitus, though she is careful to note that these sources reflect Roman biases and may misrepresent Celtic beliefs.</w:t>
      </w:r>
      <w:r>
        <w:rPr>
          <w:rStyle w:val="FootnoteReference"/>
        </w:rPr>
        <w:footnoteReference w:id="7"/>
      </w:r>
      <w:r>
        <w:rPr>
          <w:sz w:val="24"/>
          <w:szCs w:val="24"/>
        </w:rPr>
        <w:t xml:space="preserve"> Her critical treatment of these texts is one of the article's genuine strengths, as she avoids the naive acceptance of Roman accounts that has sometimes characterised older scholarship.</w:t>
      </w:r>
    </w:p>
    <w:p w14:paraId="18AA30E0" w14:textId="77777777" w:rsidR="00886D95" w:rsidRDefault="00A9392C">
      <w:pPr>
        <w:spacing w:before="400" w:after="200"/>
      </w:pPr>
      <w:r>
        <w:rPr>
          <w:b/>
          <w:bCs/>
          <w:sz w:val="28"/>
          <w:szCs w:val="28"/>
        </w:rPr>
        <w:t>Strengths of the Article</w:t>
      </w:r>
    </w:p>
    <w:p w14:paraId="5421CB2E" w14:textId="77777777" w:rsidR="00886D95" w:rsidRDefault="00A9392C">
      <w:pPr>
        <w:spacing w:after="200" w:line="360" w:lineRule="auto"/>
        <w:ind w:firstLine="720"/>
        <w:jc w:val="both"/>
      </w:pPr>
      <w:r>
        <w:rPr>
          <w:sz w:val="24"/>
          <w:szCs w:val="24"/>
        </w:rPr>
        <w:t xml:space="preserve">Webster's work has several notable strengths. Most importantly, she forces archaeologists to examine their own assumptions about how to interpret material evidence. By </w:t>
      </w:r>
      <w:r>
        <w:rPr>
          <w:sz w:val="24"/>
          <w:szCs w:val="24"/>
        </w:rPr>
        <w:lastRenderedPageBreak/>
        <w:t>arguing that objects alone cannot reveal beliefs, she encourages more thoughtful and reflective approaches to studying ancient religion.</w:t>
      </w:r>
      <w:r>
        <w:rPr>
          <w:rStyle w:val="FootnoteReference"/>
        </w:rPr>
        <w:footnoteReference w:id="8"/>
      </w:r>
      <w:r>
        <w:rPr>
          <w:sz w:val="24"/>
          <w:szCs w:val="24"/>
        </w:rPr>
        <w:t xml:space="preserve"> Her ethnographic comparisons open interpretive possibilities that purely archaeological methods might otherwise miss, and this willingness to think across disciplinary boundaries is admirable.</w:t>
      </w:r>
    </w:p>
    <w:p w14:paraId="2F7C7A54" w14:textId="77777777" w:rsidR="00886D95" w:rsidRDefault="00A9392C">
      <w:pPr>
        <w:spacing w:after="200" w:line="360" w:lineRule="auto"/>
        <w:ind w:firstLine="720"/>
        <w:jc w:val="both"/>
      </w:pPr>
      <w:r>
        <w:rPr>
          <w:sz w:val="24"/>
          <w:szCs w:val="24"/>
        </w:rPr>
        <w:t>The article is also thoroughly researched, drawing on sources from archaeology, anthropology, and classical studies. This breadth of reference strengthens Webster's credibility and shows that she has engaged seriously with the relevant literature.</w:t>
      </w:r>
      <w:r>
        <w:rPr>
          <w:rStyle w:val="FootnoteReference"/>
        </w:rPr>
        <w:footnoteReference w:id="9"/>
      </w:r>
      <w:r>
        <w:rPr>
          <w:sz w:val="24"/>
          <w:szCs w:val="24"/>
        </w:rPr>
        <w:t xml:space="preserve"> Furthermore, she writes clearly and accessibly, making complex theoretical concepts understandable to archaeologists who may not be familiar with anthropological theory. Her criticism of Romanisation theory is well-supported and convincingly argued.</w:t>
      </w:r>
    </w:p>
    <w:p w14:paraId="556DC174" w14:textId="77777777" w:rsidR="00886D95" w:rsidRDefault="00A9392C">
      <w:pPr>
        <w:spacing w:before="400" w:after="200"/>
      </w:pPr>
      <w:r>
        <w:rPr>
          <w:b/>
          <w:bCs/>
          <w:sz w:val="28"/>
          <w:szCs w:val="28"/>
        </w:rPr>
        <w:t>Weaknesses and Limitations</w:t>
      </w:r>
    </w:p>
    <w:p w14:paraId="6EA37048" w14:textId="77777777" w:rsidR="00886D95" w:rsidRDefault="00A9392C">
      <w:pPr>
        <w:spacing w:after="200" w:line="360" w:lineRule="auto"/>
        <w:ind w:firstLine="720"/>
        <w:jc w:val="both"/>
      </w:pPr>
      <w:r>
        <w:rPr>
          <w:sz w:val="24"/>
          <w:szCs w:val="24"/>
        </w:rPr>
        <w:t>Despite these strengths, the article has weaknesses that deserve consideration. The most fundamental problem with ethnographic comparison is the underlying assumption that ancient peoples behaved in similar ways to modern communities.</w:t>
      </w:r>
      <w:r>
        <w:rPr>
          <w:rStyle w:val="FootnoteReference"/>
        </w:rPr>
        <w:footnoteReference w:id="10"/>
      </w:r>
      <w:r>
        <w:rPr>
          <w:sz w:val="24"/>
          <w:szCs w:val="24"/>
        </w:rPr>
        <w:t xml:space="preserve"> Every culture is unique, separated from others not only by geography but also by time, language, and historical circumstances. The patterns Webster observes in contemporary societies may simply not apply to the ancient Celts, and this is a significant logical weakness in her argument.</w:t>
      </w:r>
    </w:p>
    <w:p w14:paraId="0F175EA3" w14:textId="77777777" w:rsidR="00886D95" w:rsidRDefault="00A9392C">
      <w:pPr>
        <w:spacing w:after="200" w:line="360" w:lineRule="auto"/>
        <w:ind w:firstLine="720"/>
        <w:jc w:val="both"/>
      </w:pPr>
      <w:r>
        <w:rPr>
          <w:sz w:val="24"/>
          <w:szCs w:val="24"/>
        </w:rPr>
        <w:t>Additionally, although Webster effectively critiques traditional Romanisation theory, she provides relatively few concrete alternative interpretations for specific archaeological finds.</w:t>
      </w:r>
      <w:r>
        <w:rPr>
          <w:rStyle w:val="FootnoteReference"/>
        </w:rPr>
        <w:footnoteReference w:id="11"/>
      </w:r>
      <w:r>
        <w:rPr>
          <w:sz w:val="24"/>
          <w:szCs w:val="24"/>
        </w:rPr>
        <w:t xml:space="preserve"> The article succeeds better at identifying problems than at offering solutions, which limits its practical usefulness for archaeologists working with specific evidence. Some critics might also argue that her approach risks making archaeological interpretation overly subjective if material evidence is downgraded in favour of theoretical comparisons.</w:t>
      </w:r>
    </w:p>
    <w:p w14:paraId="0E965D06" w14:textId="77777777" w:rsidR="00886D95" w:rsidRDefault="00A9392C">
      <w:pPr>
        <w:spacing w:before="400" w:after="200"/>
      </w:pPr>
      <w:r>
        <w:rPr>
          <w:b/>
          <w:bCs/>
          <w:sz w:val="28"/>
          <w:szCs w:val="28"/>
        </w:rPr>
        <w:t>Relationship to Other Scholarship</w:t>
      </w:r>
    </w:p>
    <w:p w14:paraId="397B5F6F" w14:textId="77777777" w:rsidR="00886D95" w:rsidRDefault="00A9392C">
      <w:pPr>
        <w:spacing w:after="200" w:line="360" w:lineRule="auto"/>
        <w:ind w:firstLine="720"/>
        <w:jc w:val="both"/>
      </w:pPr>
      <w:r>
        <w:rPr>
          <w:sz w:val="24"/>
          <w:szCs w:val="24"/>
        </w:rPr>
        <w:t xml:space="preserve">In terms of its relationship to other scholarship on Celtic religion, Webster's work both supports and extends existing research. Her emphasis on the complexity of Celtic religious practice aligns with scholars such as Miranda Green, who has long warned against </w:t>
      </w:r>
      <w:r>
        <w:rPr>
          <w:sz w:val="24"/>
          <w:szCs w:val="24"/>
        </w:rPr>
        <w:lastRenderedPageBreak/>
        <w:t>oversimplifying Celtic beliefs.</w:t>
      </w:r>
      <w:r>
        <w:rPr>
          <w:rStyle w:val="FootnoteReference"/>
        </w:rPr>
        <w:footnoteReference w:id="12"/>
      </w:r>
      <w:r>
        <w:rPr>
          <w:sz w:val="24"/>
          <w:szCs w:val="24"/>
        </w:rPr>
        <w:t xml:space="preserve"> However, Webster goes further by specifically advocating ethnographic methods as a practical solution to the interpretive problem, which represents a genuine contribution to the field.</w:t>
      </w:r>
    </w:p>
    <w:p w14:paraId="4D08FE43" w14:textId="77777777" w:rsidR="00886D95" w:rsidRDefault="00A9392C">
      <w:pPr>
        <w:spacing w:after="200" w:line="360" w:lineRule="auto"/>
        <w:ind w:firstLine="720"/>
        <w:jc w:val="both"/>
      </w:pPr>
      <w:r>
        <w:rPr>
          <w:sz w:val="24"/>
          <w:szCs w:val="24"/>
        </w:rPr>
        <w:t>Webster's perspective directly challenges older works such as Stuart Piggott's 1960 study, which took a more traditional descriptive approach focused on cataloguing evidence without significant theoretical reflection.</w:t>
      </w:r>
      <w:r>
        <w:rPr>
          <w:rStyle w:val="FootnoteReference"/>
        </w:rPr>
        <w:footnoteReference w:id="13"/>
      </w:r>
      <w:r>
        <w:rPr>
          <w:sz w:val="24"/>
          <w:szCs w:val="24"/>
        </w:rPr>
        <w:t xml:space="preserve"> Her article fits within broader archaeological trends during the 1990s and 2000s that combined multiple methodologies and theoretical frameworks, and it has encouraged subsequent scholars to think more carefully about interpretation.</w:t>
      </w:r>
    </w:p>
    <w:p w14:paraId="6D0F417B" w14:textId="77777777" w:rsidR="00886D95" w:rsidRDefault="00A9392C">
      <w:pPr>
        <w:spacing w:after="200" w:line="360" w:lineRule="auto"/>
        <w:ind w:firstLine="720"/>
        <w:jc w:val="both"/>
      </w:pPr>
      <w:r>
        <w:rPr>
          <w:sz w:val="24"/>
          <w:szCs w:val="24"/>
        </w:rPr>
        <w:t>More recently, scholars such as Raimund Karl have continued the kind of critical reflection on archaeological method that Webster helped to promote, examining how assumptions about Celtic religion can distort our reading of the evidence.</w:t>
      </w:r>
      <w:r>
        <w:rPr>
          <w:rStyle w:val="FootnoteReference"/>
        </w:rPr>
        <w:footnoteReference w:id="14"/>
      </w:r>
      <w:r>
        <w:rPr>
          <w:sz w:val="24"/>
          <w:szCs w:val="24"/>
        </w:rPr>
        <w:t xml:space="preserve"> This suggests that Webster's article has had a lasting influence on the field, even if some of her specific proposals remain contested.</w:t>
      </w:r>
    </w:p>
    <w:p w14:paraId="7D4FF029" w14:textId="77777777" w:rsidR="00886D95" w:rsidRDefault="00A9392C">
      <w:pPr>
        <w:spacing w:before="400" w:after="200"/>
      </w:pPr>
      <w:r>
        <w:rPr>
          <w:b/>
          <w:bCs/>
          <w:sz w:val="28"/>
          <w:szCs w:val="28"/>
        </w:rPr>
        <w:t>Conclusion</w:t>
      </w:r>
    </w:p>
    <w:p w14:paraId="7EBD450F" w14:textId="77777777" w:rsidR="00886D95" w:rsidRDefault="00A9392C">
      <w:pPr>
        <w:spacing w:after="200" w:line="360" w:lineRule="auto"/>
        <w:ind w:firstLine="720"/>
        <w:jc w:val="both"/>
      </w:pPr>
      <w:r>
        <w:rPr>
          <w:sz w:val="24"/>
          <w:szCs w:val="24"/>
        </w:rPr>
        <w:t>Overall, Webster's 2001 article is a valuable and thought-provoking contribution to the study of Roman-Celtic religion. Its main strength lies in encouraging archaeologists to reflect critically on the limits of their own methods and to consider what material evidence alone cannot reveal.</w:t>
      </w:r>
      <w:r>
        <w:rPr>
          <w:rStyle w:val="FootnoteReference"/>
        </w:rPr>
        <w:footnoteReference w:id="15"/>
      </w:r>
    </w:p>
    <w:p w14:paraId="3E0F4D81" w14:textId="77777777" w:rsidR="00886D95" w:rsidRDefault="00A9392C">
      <w:pPr>
        <w:spacing w:after="200" w:line="360" w:lineRule="auto"/>
        <w:ind w:firstLine="720"/>
        <w:jc w:val="both"/>
      </w:pPr>
      <w:r>
        <w:rPr>
          <w:sz w:val="24"/>
          <w:szCs w:val="24"/>
        </w:rPr>
        <w:t xml:space="preserve">At the same time, the article's reliance on ethnographic comparisons rests on uncertain foundations, and it raises more questions than it answers in terms of practical interpretation. Nevertheless, for a foundation-level student of Celtic religion or ancient history, this article provides an important lesson: that understanding the past requires not just collecting </w:t>
      </w:r>
      <w:proofErr w:type="gramStart"/>
      <w:r>
        <w:rPr>
          <w:sz w:val="24"/>
          <w:szCs w:val="24"/>
        </w:rPr>
        <w:t>evidence, but</w:t>
      </w:r>
      <w:proofErr w:type="gramEnd"/>
      <w:r>
        <w:rPr>
          <w:sz w:val="24"/>
          <w:szCs w:val="24"/>
        </w:rPr>
        <w:t xml:space="preserve"> thinking carefully about how we interpret it and what our own assumptions might be bringing to that process.</w:t>
      </w:r>
    </w:p>
    <w:p w14:paraId="6C1D2DD8" w14:textId="77777777" w:rsidR="00886D95" w:rsidRDefault="00A9392C">
      <w:pPr>
        <w:spacing w:before="480" w:after="200"/>
      </w:pPr>
      <w:r>
        <w:rPr>
          <w:b/>
          <w:bCs/>
          <w:sz w:val="28"/>
          <w:szCs w:val="28"/>
        </w:rPr>
        <w:t>Bibliography</w:t>
      </w:r>
    </w:p>
    <w:p w14:paraId="3674AB75" w14:textId="77777777" w:rsidR="00886D95" w:rsidRDefault="00A9392C">
      <w:pPr>
        <w:spacing w:after="160"/>
        <w:ind w:left="720" w:hanging="720"/>
        <w:jc w:val="both"/>
      </w:pPr>
      <w:r>
        <w:rPr>
          <w:sz w:val="24"/>
          <w:szCs w:val="24"/>
        </w:rPr>
        <w:lastRenderedPageBreak/>
        <w:t>Green, Miranda J., The World of the Druids (London: Thames &amp; Hudson, 1997)</w:t>
      </w:r>
    </w:p>
    <w:p w14:paraId="34E2883D" w14:textId="77777777" w:rsidR="00886D95" w:rsidRDefault="00A9392C">
      <w:pPr>
        <w:spacing w:after="160"/>
        <w:ind w:left="720" w:hanging="720"/>
        <w:jc w:val="both"/>
      </w:pPr>
      <w:r>
        <w:rPr>
          <w:sz w:val="24"/>
          <w:szCs w:val="24"/>
        </w:rPr>
        <w:t>Karl, Raimund, 'Druids in Archaeology: Fact, Fiction, or Something in Between?', The Journal of Celtic Studies, 12 (2012), 45-70</w:t>
      </w:r>
    </w:p>
    <w:p w14:paraId="719152BD" w14:textId="77777777" w:rsidR="00886D95" w:rsidRDefault="00A9392C">
      <w:pPr>
        <w:spacing w:after="160"/>
        <w:ind w:left="720" w:hanging="720"/>
        <w:jc w:val="both"/>
      </w:pPr>
      <w:r>
        <w:rPr>
          <w:sz w:val="24"/>
          <w:szCs w:val="24"/>
        </w:rPr>
        <w:t>Piggott, Stuart, 'Archaeological Evidence for Celtic Ritual Practice', Proceedings of the Prehistoric Society, 26 (1960), 8-28</w:t>
      </w:r>
    </w:p>
    <w:p w14:paraId="6F2020E8" w14:textId="77777777" w:rsidR="00886D95" w:rsidRDefault="00A9392C">
      <w:pPr>
        <w:spacing w:after="160"/>
        <w:ind w:left="720" w:hanging="720"/>
        <w:jc w:val="both"/>
      </w:pPr>
      <w:r>
        <w:rPr>
          <w:sz w:val="24"/>
          <w:szCs w:val="24"/>
        </w:rPr>
        <w:t>Webster, Jane, 'Ethnographic Approaches to the Study of Roman-Celtic Religion', Britannia, 32 (2001), 1-22</w:t>
      </w:r>
    </w:p>
    <w:sectPr w:rsidR="00886D9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4DF1E" w14:textId="77777777" w:rsidR="00A9392C" w:rsidRDefault="00A9392C">
      <w:r>
        <w:separator/>
      </w:r>
    </w:p>
  </w:endnote>
  <w:endnote w:type="continuationSeparator" w:id="0">
    <w:p w14:paraId="6B3C8A5A" w14:textId="77777777" w:rsidR="00A9392C" w:rsidRDefault="00A93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820B18" w14:textId="77777777" w:rsidR="00A9392C" w:rsidRDefault="00A9392C">
      <w:r>
        <w:separator/>
      </w:r>
    </w:p>
  </w:footnote>
  <w:footnote w:type="continuationSeparator" w:id="0">
    <w:p w14:paraId="504251AE" w14:textId="77777777" w:rsidR="00A9392C" w:rsidRDefault="00A9392C">
      <w:r>
        <w:continuationSeparator/>
      </w:r>
    </w:p>
  </w:footnote>
  <w:footnote w:id="1">
    <w:p w14:paraId="374AF2DA" w14:textId="77777777" w:rsidR="00886D95" w:rsidRDefault="00A9392C">
      <w:r>
        <w:rPr>
          <w:rStyle w:val="FootnoteReference"/>
        </w:rPr>
        <w:footnoteRef/>
      </w:r>
      <w:r>
        <w:t>Jane Webster, 'Ethnographic Approaches to the Study of Roman-Celtic Religion', Britannia, 32 (2001), 1-22 (p. 1).</w:t>
      </w:r>
    </w:p>
  </w:footnote>
  <w:footnote w:id="2">
    <w:p w14:paraId="5153734E" w14:textId="77777777" w:rsidR="00886D95" w:rsidRDefault="00A9392C">
      <w:r>
        <w:rPr>
          <w:rStyle w:val="FootnoteReference"/>
        </w:rPr>
        <w:footnoteRef/>
      </w:r>
      <w:r>
        <w:t>Webster, p. 3.</w:t>
      </w:r>
    </w:p>
  </w:footnote>
  <w:footnote w:id="3">
    <w:p w14:paraId="097B5693" w14:textId="77777777" w:rsidR="00886D95" w:rsidRDefault="00A9392C">
      <w:r>
        <w:rPr>
          <w:rStyle w:val="FootnoteReference"/>
        </w:rPr>
        <w:footnoteRef/>
      </w:r>
      <w:r>
        <w:t>Webster, p. 5.</w:t>
      </w:r>
    </w:p>
  </w:footnote>
  <w:footnote w:id="4">
    <w:p w14:paraId="5BB4F3B5" w14:textId="77777777" w:rsidR="00886D95" w:rsidRDefault="00A9392C">
      <w:r>
        <w:rPr>
          <w:rStyle w:val="FootnoteReference"/>
        </w:rPr>
        <w:footnoteRef/>
      </w:r>
      <w:r>
        <w:t>Webster, p. 7.</w:t>
      </w:r>
    </w:p>
  </w:footnote>
  <w:footnote w:id="5">
    <w:p w14:paraId="47F64A55" w14:textId="77777777" w:rsidR="00886D95" w:rsidRDefault="00A9392C">
      <w:r>
        <w:rPr>
          <w:rStyle w:val="FootnoteReference"/>
        </w:rPr>
        <w:footnoteRef/>
      </w:r>
      <w:r>
        <w:t>Webster, p. 9.</w:t>
      </w:r>
    </w:p>
  </w:footnote>
  <w:footnote w:id="6">
    <w:p w14:paraId="4E8E8814" w14:textId="77777777" w:rsidR="00886D95" w:rsidRDefault="00A9392C">
      <w:r>
        <w:rPr>
          <w:rStyle w:val="FootnoteReference"/>
        </w:rPr>
        <w:footnoteRef/>
      </w:r>
      <w:r>
        <w:t>Webster, p. 10.</w:t>
      </w:r>
    </w:p>
  </w:footnote>
  <w:footnote w:id="7">
    <w:p w14:paraId="4D074201" w14:textId="77777777" w:rsidR="00886D95" w:rsidRDefault="00A9392C">
      <w:r>
        <w:rPr>
          <w:rStyle w:val="FootnoteReference"/>
        </w:rPr>
        <w:footnoteRef/>
      </w:r>
      <w:r>
        <w:t>Webster, p. 12.</w:t>
      </w:r>
    </w:p>
  </w:footnote>
  <w:footnote w:id="8">
    <w:p w14:paraId="2A7BF8EE" w14:textId="77777777" w:rsidR="00886D95" w:rsidRDefault="00A9392C">
      <w:r>
        <w:rPr>
          <w:rStyle w:val="FootnoteReference"/>
        </w:rPr>
        <w:footnoteRef/>
      </w:r>
      <w:r>
        <w:t>Webster, p. 14.</w:t>
      </w:r>
    </w:p>
  </w:footnote>
  <w:footnote w:id="9">
    <w:p w14:paraId="710990C2" w14:textId="77777777" w:rsidR="00886D95" w:rsidRDefault="00A9392C">
      <w:r>
        <w:rPr>
          <w:rStyle w:val="FootnoteReference"/>
        </w:rPr>
        <w:footnoteRef/>
      </w:r>
      <w:r>
        <w:t>Webster, p. 15.</w:t>
      </w:r>
    </w:p>
  </w:footnote>
  <w:footnote w:id="10">
    <w:p w14:paraId="17035B90" w14:textId="77777777" w:rsidR="00886D95" w:rsidRDefault="00A9392C">
      <w:r>
        <w:rPr>
          <w:rStyle w:val="FootnoteReference"/>
        </w:rPr>
        <w:footnoteRef/>
      </w:r>
      <w:r>
        <w:t>Webster, p. 17.</w:t>
      </w:r>
    </w:p>
  </w:footnote>
  <w:footnote w:id="11">
    <w:p w14:paraId="76DC6B2A" w14:textId="77777777" w:rsidR="00886D95" w:rsidRDefault="00A9392C">
      <w:r>
        <w:rPr>
          <w:rStyle w:val="FootnoteReference"/>
        </w:rPr>
        <w:footnoteRef/>
      </w:r>
      <w:r>
        <w:t>Webster, pp. 18-19.</w:t>
      </w:r>
    </w:p>
  </w:footnote>
  <w:footnote w:id="12">
    <w:p w14:paraId="010831E2" w14:textId="77777777" w:rsidR="00886D95" w:rsidRDefault="00A9392C">
      <w:r>
        <w:rPr>
          <w:rStyle w:val="FootnoteReference"/>
        </w:rPr>
        <w:footnoteRef/>
      </w:r>
      <w:r>
        <w:t>Miranda J. Green, The World of the Druids (London: Thames &amp; Hudson, 1997), p. 11.</w:t>
      </w:r>
    </w:p>
  </w:footnote>
  <w:footnote w:id="13">
    <w:p w14:paraId="326E55E3" w14:textId="77777777" w:rsidR="00886D95" w:rsidRDefault="00A9392C">
      <w:r>
        <w:rPr>
          <w:rStyle w:val="FootnoteReference"/>
        </w:rPr>
        <w:footnoteRef/>
      </w:r>
      <w:r>
        <w:t>Stuart Piggott, 'Archaeological Evidence for Celtic Ritual Practice', Proceedings of the Prehistoric Society, 26 (1960), 8-28 (p. 9).</w:t>
      </w:r>
    </w:p>
  </w:footnote>
  <w:footnote w:id="14">
    <w:p w14:paraId="4DE1B471" w14:textId="77777777" w:rsidR="00886D95" w:rsidRDefault="00A9392C">
      <w:r>
        <w:rPr>
          <w:rStyle w:val="FootnoteReference"/>
        </w:rPr>
        <w:footnoteRef/>
      </w:r>
      <w:r>
        <w:t>Raimund Karl, 'Druids in Archaeology: Fact, Fiction, or Something in Between?', The Journal of Celtic Studies, 12 (2012), 45-70 (p. 46).</w:t>
      </w:r>
    </w:p>
  </w:footnote>
  <w:footnote w:id="15">
    <w:p w14:paraId="66D42342" w14:textId="77777777" w:rsidR="00886D95" w:rsidRDefault="00A9392C">
      <w:r>
        <w:rPr>
          <w:rStyle w:val="FootnoteReference"/>
        </w:rPr>
        <w:footnoteRef/>
      </w:r>
      <w:r>
        <w:t>Webster, p. 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70F54"/>
    <w:multiLevelType w:val="hybridMultilevel"/>
    <w:tmpl w:val="5C92DD42"/>
    <w:lvl w:ilvl="0" w:tplc="CA0019DE">
      <w:start w:val="1"/>
      <w:numFmt w:val="bullet"/>
      <w:lvlText w:val="●"/>
      <w:lvlJc w:val="left"/>
      <w:pPr>
        <w:ind w:left="720" w:hanging="360"/>
      </w:pPr>
    </w:lvl>
    <w:lvl w:ilvl="1" w:tplc="CD9C57D0">
      <w:start w:val="1"/>
      <w:numFmt w:val="bullet"/>
      <w:lvlText w:val="○"/>
      <w:lvlJc w:val="left"/>
      <w:pPr>
        <w:ind w:left="1440" w:hanging="360"/>
      </w:pPr>
    </w:lvl>
    <w:lvl w:ilvl="2" w:tplc="31526206">
      <w:start w:val="1"/>
      <w:numFmt w:val="bullet"/>
      <w:lvlText w:val="■"/>
      <w:lvlJc w:val="left"/>
      <w:pPr>
        <w:ind w:left="2160" w:hanging="360"/>
      </w:pPr>
    </w:lvl>
    <w:lvl w:ilvl="3" w:tplc="F3F479C4">
      <w:start w:val="1"/>
      <w:numFmt w:val="bullet"/>
      <w:lvlText w:val="●"/>
      <w:lvlJc w:val="left"/>
      <w:pPr>
        <w:ind w:left="2880" w:hanging="360"/>
      </w:pPr>
    </w:lvl>
    <w:lvl w:ilvl="4" w:tplc="C7BADECC">
      <w:start w:val="1"/>
      <w:numFmt w:val="bullet"/>
      <w:lvlText w:val="○"/>
      <w:lvlJc w:val="left"/>
      <w:pPr>
        <w:ind w:left="3600" w:hanging="360"/>
      </w:pPr>
    </w:lvl>
    <w:lvl w:ilvl="5" w:tplc="CE22668C">
      <w:start w:val="1"/>
      <w:numFmt w:val="bullet"/>
      <w:lvlText w:val="■"/>
      <w:lvlJc w:val="left"/>
      <w:pPr>
        <w:ind w:left="4320" w:hanging="360"/>
      </w:pPr>
    </w:lvl>
    <w:lvl w:ilvl="6" w:tplc="A6F8EF9C">
      <w:start w:val="1"/>
      <w:numFmt w:val="bullet"/>
      <w:lvlText w:val="●"/>
      <w:lvlJc w:val="left"/>
      <w:pPr>
        <w:ind w:left="5040" w:hanging="360"/>
      </w:pPr>
    </w:lvl>
    <w:lvl w:ilvl="7" w:tplc="BD700588">
      <w:start w:val="1"/>
      <w:numFmt w:val="bullet"/>
      <w:lvlText w:val="●"/>
      <w:lvlJc w:val="left"/>
      <w:pPr>
        <w:ind w:left="5760" w:hanging="360"/>
      </w:pPr>
    </w:lvl>
    <w:lvl w:ilvl="8" w:tplc="9DD6AC8A">
      <w:start w:val="1"/>
      <w:numFmt w:val="bullet"/>
      <w:lvlText w:val="●"/>
      <w:lvlJc w:val="left"/>
      <w:pPr>
        <w:ind w:left="6480" w:hanging="360"/>
      </w:pPr>
    </w:lvl>
  </w:abstractNum>
  <w:num w:numId="1" w16cid:durableId="77432897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D95"/>
    <w:rsid w:val="00724559"/>
    <w:rsid w:val="00886D95"/>
    <w:rsid w:val="00A9392C"/>
    <w:rsid w:val="00E81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52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724559"/>
    <w:pPr>
      <w:tabs>
        <w:tab w:val="center" w:pos="4513"/>
        <w:tab w:val="right" w:pos="9026"/>
      </w:tabs>
    </w:pPr>
  </w:style>
  <w:style w:type="character" w:customStyle="1" w:styleId="HeaderChar">
    <w:name w:val="Header Char"/>
    <w:basedOn w:val="DefaultParagraphFont"/>
    <w:link w:val="Header"/>
    <w:uiPriority w:val="99"/>
    <w:rsid w:val="00724559"/>
  </w:style>
  <w:style w:type="paragraph" w:styleId="Footer">
    <w:name w:val="footer"/>
    <w:basedOn w:val="Normal"/>
    <w:link w:val="FooterChar"/>
    <w:uiPriority w:val="99"/>
    <w:unhideWhenUsed/>
    <w:rsid w:val="00724559"/>
    <w:pPr>
      <w:tabs>
        <w:tab w:val="center" w:pos="4513"/>
        <w:tab w:val="right" w:pos="9026"/>
      </w:tabs>
    </w:pPr>
  </w:style>
  <w:style w:type="character" w:customStyle="1" w:styleId="FooterChar">
    <w:name w:val="Footer Char"/>
    <w:basedOn w:val="DefaultParagraphFont"/>
    <w:link w:val="Footer"/>
    <w:uiPriority w:val="99"/>
    <w:rsid w:val="00724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1184</Words>
  <Characters>7366</Characters>
  <Application>Microsoft Office Word</Application>
  <DocSecurity>0</DocSecurity>
  <Lines>113</Lines>
  <Paragraphs>37</Paragraphs>
  <ScaleCrop>false</ScaleCrop>
  <Company/>
  <LinksUpToDate>false</LinksUpToDate>
  <CharactersWithSpaces>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2026-04-10T16:33:00Z</dcterms:created>
  <dcterms:modified xsi:type="dcterms:W3CDTF">2026-04-10T16:33:00Z</dcterms:modified>
</cp:coreProperties>
</file>