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8E35C" w14:textId="77777777" w:rsidR="006936DB" w:rsidRPr="00F35FDA" w:rsidRDefault="00555C31" w:rsidP="00F35FDA">
      <w:pPr>
        <w:spacing w:line="360" w:lineRule="auto"/>
        <w:jc w:val="center"/>
        <w:rPr>
          <w:rFonts w:ascii="Arial" w:hAnsi="Arial" w:cs="Arial"/>
          <w:sz w:val="22"/>
          <w:szCs w:val="22"/>
        </w:rPr>
      </w:pPr>
      <w:r w:rsidRPr="00F35FDA">
        <w:rPr>
          <w:rFonts w:ascii="Arial" w:hAnsi="Arial" w:cs="Arial"/>
          <w:sz w:val="22"/>
          <w:szCs w:val="22"/>
        </w:rPr>
        <w:t>Name: Bianca Ioana</w:t>
      </w:r>
      <w:r w:rsidRPr="00F35FDA">
        <w:rPr>
          <w:rFonts w:ascii="Arial" w:hAnsi="Arial" w:cs="Arial"/>
          <w:sz w:val="22"/>
          <w:szCs w:val="22"/>
        </w:rPr>
        <w:br/>
        <w:t>Student Number: 2434786</w:t>
      </w:r>
      <w:r w:rsidRPr="00F35FDA">
        <w:rPr>
          <w:rFonts w:ascii="Arial" w:hAnsi="Arial" w:cs="Arial"/>
          <w:sz w:val="22"/>
          <w:szCs w:val="22"/>
        </w:rPr>
        <w:br/>
        <w:t>Module Code</w:t>
      </w:r>
      <w:r w:rsidR="006936DB" w:rsidRPr="00F35FDA">
        <w:rPr>
          <w:rFonts w:ascii="Arial" w:hAnsi="Arial" w:cs="Arial"/>
          <w:sz w:val="22"/>
          <w:szCs w:val="22"/>
        </w:rPr>
        <w:t>:</w:t>
      </w:r>
      <w:r w:rsidRPr="00F35FDA">
        <w:rPr>
          <w:rFonts w:ascii="Arial" w:hAnsi="Arial" w:cs="Arial"/>
          <w:sz w:val="22"/>
          <w:szCs w:val="22"/>
        </w:rPr>
        <w:t>LCHS4009</w:t>
      </w:r>
    </w:p>
    <w:p w14:paraId="3529E954" w14:textId="77777777" w:rsidR="000B43C4" w:rsidRPr="000B43C4" w:rsidRDefault="00555C31" w:rsidP="000B43C4">
      <w:pPr>
        <w:spacing w:line="360" w:lineRule="auto"/>
        <w:jc w:val="center"/>
        <w:rPr>
          <w:rFonts w:ascii="Arial" w:hAnsi="Arial" w:cs="Arial"/>
          <w:b/>
          <w:bCs/>
          <w:sz w:val="22"/>
          <w:szCs w:val="22"/>
        </w:rPr>
      </w:pPr>
      <w:r w:rsidRPr="00F35FDA">
        <w:rPr>
          <w:rFonts w:ascii="Arial" w:hAnsi="Arial" w:cs="Arial"/>
          <w:sz w:val="22"/>
          <w:szCs w:val="22"/>
        </w:rPr>
        <w:t xml:space="preserve">Lecturer: </w:t>
      </w:r>
      <w:r w:rsidR="000B43C4" w:rsidRPr="000B43C4">
        <w:rPr>
          <w:rFonts w:ascii="Arial" w:hAnsi="Arial" w:cs="Arial"/>
          <w:sz w:val="22"/>
          <w:szCs w:val="22"/>
        </w:rPr>
        <w:t>Helen Parsons</w:t>
      </w:r>
    </w:p>
    <w:p w14:paraId="1399124D" w14:textId="4E520371" w:rsidR="00555C31" w:rsidRPr="00F35FDA" w:rsidRDefault="00555C31" w:rsidP="00F35FDA">
      <w:pPr>
        <w:spacing w:line="360" w:lineRule="auto"/>
        <w:jc w:val="center"/>
        <w:rPr>
          <w:rFonts w:ascii="Arial" w:hAnsi="Arial" w:cs="Arial"/>
          <w:sz w:val="22"/>
          <w:szCs w:val="22"/>
        </w:rPr>
      </w:pPr>
      <w:r w:rsidRPr="00F35FDA">
        <w:rPr>
          <w:rFonts w:ascii="Arial" w:hAnsi="Arial" w:cs="Arial"/>
          <w:sz w:val="22"/>
          <w:szCs w:val="22"/>
        </w:rPr>
        <w:br/>
        <w:t>Assignment Title: Assessment –</w:t>
      </w:r>
      <w:r w:rsidR="00190E24" w:rsidRPr="00190E24">
        <w:rPr>
          <w:rFonts w:asciiTheme="minorBidi" w:hAnsiTheme="minorBidi"/>
          <w:b/>
        </w:rPr>
        <w:t xml:space="preserve"> </w:t>
      </w:r>
      <w:r w:rsidR="00190E24" w:rsidRPr="00190E24">
        <w:rPr>
          <w:rFonts w:ascii="Arial" w:hAnsi="Arial" w:cs="Arial"/>
          <w:bCs/>
          <w:sz w:val="22"/>
          <w:szCs w:val="22"/>
        </w:rPr>
        <w:t xml:space="preserve">Bibliography </w:t>
      </w:r>
      <w:proofErr w:type="gramStart"/>
      <w:r w:rsidR="00190E24" w:rsidRPr="00190E24">
        <w:rPr>
          <w:rFonts w:ascii="Arial" w:hAnsi="Arial" w:cs="Arial"/>
          <w:bCs/>
          <w:sz w:val="22"/>
          <w:szCs w:val="22"/>
        </w:rPr>
        <w:t>&amp;  report</w:t>
      </w:r>
      <w:proofErr w:type="gramEnd"/>
    </w:p>
    <w:p w14:paraId="08CF153A" w14:textId="77777777" w:rsidR="00555C31" w:rsidRPr="00F35FDA" w:rsidRDefault="00555C31" w:rsidP="00F35FDA">
      <w:pPr>
        <w:spacing w:line="360" w:lineRule="auto"/>
        <w:jc w:val="center"/>
        <w:rPr>
          <w:rFonts w:ascii="Arial" w:hAnsi="Arial" w:cs="Arial"/>
          <w:sz w:val="22"/>
          <w:szCs w:val="22"/>
        </w:rPr>
      </w:pPr>
      <w:r w:rsidRPr="00F35FDA">
        <w:rPr>
          <w:rFonts w:ascii="Arial" w:hAnsi="Arial" w:cs="Arial"/>
          <w:sz w:val="22"/>
          <w:szCs w:val="22"/>
        </w:rPr>
        <w:br w:type="page"/>
      </w:r>
    </w:p>
    <w:p w14:paraId="3CA5C54C" w14:textId="77777777" w:rsidR="00555C31" w:rsidRPr="00F35FDA" w:rsidRDefault="00555C31" w:rsidP="00F35FDA">
      <w:pPr>
        <w:spacing w:line="360" w:lineRule="auto"/>
        <w:rPr>
          <w:rFonts w:ascii="Arial" w:hAnsi="Arial" w:cs="Arial"/>
          <w:sz w:val="22"/>
          <w:szCs w:val="22"/>
        </w:rPr>
      </w:pPr>
    </w:p>
    <w:p w14:paraId="17D49227" w14:textId="77777777" w:rsidR="00555C31" w:rsidRPr="00F35FDA" w:rsidRDefault="00555C31" w:rsidP="00F35FDA">
      <w:pPr>
        <w:spacing w:line="360" w:lineRule="auto"/>
        <w:rPr>
          <w:rFonts w:ascii="Arial" w:hAnsi="Arial" w:cs="Arial"/>
          <w:sz w:val="22"/>
          <w:szCs w:val="22"/>
        </w:rPr>
      </w:pPr>
    </w:p>
    <w:p w14:paraId="4848492E" w14:textId="77777777" w:rsidR="00555C31" w:rsidRPr="00F35FDA" w:rsidRDefault="00555C31" w:rsidP="00F35FDA">
      <w:pPr>
        <w:spacing w:line="360" w:lineRule="auto"/>
        <w:rPr>
          <w:rFonts w:ascii="Arial" w:hAnsi="Arial" w:cs="Arial"/>
          <w:sz w:val="22"/>
          <w:szCs w:val="22"/>
        </w:rPr>
      </w:pPr>
    </w:p>
    <w:p w14:paraId="7298E761" w14:textId="77777777" w:rsidR="00555C31" w:rsidRPr="00F35FDA" w:rsidRDefault="00555C31" w:rsidP="00F35FDA">
      <w:pPr>
        <w:spacing w:line="360" w:lineRule="auto"/>
        <w:rPr>
          <w:rFonts w:ascii="Arial" w:hAnsi="Arial" w:cs="Arial"/>
          <w:sz w:val="22"/>
          <w:szCs w:val="22"/>
        </w:rPr>
      </w:pPr>
    </w:p>
    <w:p w14:paraId="3D104733" w14:textId="77777777" w:rsidR="00555C31" w:rsidRPr="00F35FDA" w:rsidRDefault="00555C31" w:rsidP="00F35FDA">
      <w:pPr>
        <w:spacing w:line="360" w:lineRule="auto"/>
        <w:rPr>
          <w:rFonts w:ascii="Arial" w:hAnsi="Arial" w:cs="Arial"/>
          <w:sz w:val="22"/>
          <w:szCs w:val="22"/>
        </w:rPr>
      </w:pPr>
    </w:p>
    <w:p w14:paraId="69FDBDA1" w14:textId="77777777" w:rsidR="00555C31" w:rsidRPr="00F35FDA" w:rsidRDefault="00555C31" w:rsidP="00F35FDA">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eastAsia="en-US"/>
          <w14:ligatures w14:val="standardContextual"/>
        </w:rPr>
        <w:id w:val="504254087"/>
        <w:docPartObj>
          <w:docPartGallery w:val="Table of Contents"/>
          <w:docPartUnique/>
        </w:docPartObj>
      </w:sdtPr>
      <w:sdtEndPr>
        <w:rPr>
          <w:b/>
          <w:bCs/>
        </w:rPr>
      </w:sdtEndPr>
      <w:sdtContent>
        <w:p w14:paraId="14A35235" w14:textId="539ED2BC" w:rsidR="00F35FDA" w:rsidRDefault="00F35FDA">
          <w:pPr>
            <w:pStyle w:val="TOCHeading"/>
          </w:pPr>
          <w:r>
            <w:t>Contents</w:t>
          </w:r>
        </w:p>
        <w:p w14:paraId="76761B3E" w14:textId="0EACE0C6" w:rsidR="00913FF8" w:rsidRDefault="00F35FDA">
          <w:pPr>
            <w:pStyle w:val="TOC1"/>
            <w:tabs>
              <w:tab w:val="right" w:leader="dot" w:pos="9016"/>
            </w:tabs>
            <w:rPr>
              <w:rStyle w:val="Hyperlink"/>
              <w:noProof/>
            </w:rPr>
          </w:pPr>
          <w:r>
            <w:fldChar w:fldCharType="begin"/>
          </w:r>
          <w:r>
            <w:instrText xml:space="preserve"> TOC \o "1-3" \h \z \u </w:instrText>
          </w:r>
          <w:r>
            <w:fldChar w:fldCharType="separate"/>
          </w:r>
          <w:hyperlink w:anchor="_Toc223965212" w:history="1">
            <w:r w:rsidR="00913FF8" w:rsidRPr="00044C98">
              <w:rPr>
                <w:rStyle w:val="Hyperlink"/>
                <w:noProof/>
              </w:rPr>
              <w:t>Part A</w:t>
            </w:r>
            <w:r w:rsidR="00913FF8">
              <w:rPr>
                <w:noProof/>
                <w:webHidden/>
              </w:rPr>
              <w:tab/>
            </w:r>
            <w:r w:rsidR="00913FF8">
              <w:rPr>
                <w:noProof/>
                <w:webHidden/>
              </w:rPr>
              <w:fldChar w:fldCharType="begin"/>
            </w:r>
            <w:r w:rsidR="00913FF8">
              <w:rPr>
                <w:noProof/>
                <w:webHidden/>
              </w:rPr>
              <w:instrText xml:space="preserve"> PAGEREF _Toc223965212 \h </w:instrText>
            </w:r>
            <w:r w:rsidR="00913FF8">
              <w:rPr>
                <w:noProof/>
                <w:webHidden/>
              </w:rPr>
            </w:r>
            <w:r w:rsidR="00913FF8">
              <w:rPr>
                <w:noProof/>
                <w:webHidden/>
              </w:rPr>
              <w:fldChar w:fldCharType="separate"/>
            </w:r>
            <w:r w:rsidR="00913FF8">
              <w:rPr>
                <w:noProof/>
                <w:webHidden/>
              </w:rPr>
              <w:t>3</w:t>
            </w:r>
            <w:r w:rsidR="00913FF8">
              <w:rPr>
                <w:noProof/>
                <w:webHidden/>
              </w:rPr>
              <w:fldChar w:fldCharType="end"/>
            </w:r>
          </w:hyperlink>
        </w:p>
        <w:p w14:paraId="23DD2853" w14:textId="63EB2AFA" w:rsidR="00913FF8" w:rsidRPr="00913FF8" w:rsidRDefault="00913FF8" w:rsidP="00913FF8">
          <w:r>
            <w:t>PART B……………………………………………………………………………………………………………6</w:t>
          </w:r>
        </w:p>
        <w:p w14:paraId="2C000845" w14:textId="0AF327BE" w:rsidR="00913FF8" w:rsidRDefault="00913FF8">
          <w:pPr>
            <w:pStyle w:val="TOC1"/>
            <w:tabs>
              <w:tab w:val="right" w:leader="dot" w:pos="9016"/>
            </w:tabs>
            <w:rPr>
              <w:rFonts w:eastAsiaTheme="minorEastAsia"/>
              <w:noProof/>
              <w:lang w:eastAsia="en-GB"/>
            </w:rPr>
          </w:pPr>
          <w:hyperlink w:anchor="_Toc223965213" w:history="1">
            <w:r w:rsidRPr="00044C9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_Toc223965213 \h </w:instrText>
            </w:r>
            <w:r>
              <w:rPr>
                <w:noProof/>
                <w:webHidden/>
              </w:rPr>
            </w:r>
            <w:r>
              <w:rPr>
                <w:noProof/>
                <w:webHidden/>
              </w:rPr>
              <w:fldChar w:fldCharType="separate"/>
            </w:r>
            <w:r>
              <w:rPr>
                <w:noProof/>
                <w:webHidden/>
              </w:rPr>
              <w:t>8</w:t>
            </w:r>
            <w:r>
              <w:rPr>
                <w:noProof/>
                <w:webHidden/>
              </w:rPr>
              <w:fldChar w:fldCharType="end"/>
            </w:r>
          </w:hyperlink>
        </w:p>
        <w:p w14:paraId="5895771F" w14:textId="184A0487" w:rsidR="00F35FDA" w:rsidRDefault="00F35FDA">
          <w:r>
            <w:rPr>
              <w:b/>
              <w:bCs/>
            </w:rPr>
            <w:fldChar w:fldCharType="end"/>
          </w:r>
        </w:p>
      </w:sdtContent>
    </w:sdt>
    <w:p w14:paraId="09E16014" w14:textId="77777777" w:rsidR="00555C31" w:rsidRPr="00F35FDA" w:rsidRDefault="00555C31" w:rsidP="00F35FDA">
      <w:pPr>
        <w:spacing w:line="360" w:lineRule="auto"/>
        <w:rPr>
          <w:rFonts w:ascii="Arial" w:hAnsi="Arial" w:cs="Arial"/>
          <w:sz w:val="22"/>
          <w:szCs w:val="22"/>
        </w:rPr>
      </w:pPr>
    </w:p>
    <w:p w14:paraId="0D5EEF32" w14:textId="77777777" w:rsidR="00555C31" w:rsidRPr="00F35FDA" w:rsidRDefault="00555C31" w:rsidP="00F35FDA">
      <w:pPr>
        <w:spacing w:line="360" w:lineRule="auto"/>
        <w:rPr>
          <w:rFonts w:ascii="Arial" w:hAnsi="Arial" w:cs="Arial"/>
          <w:sz w:val="22"/>
          <w:szCs w:val="22"/>
        </w:rPr>
      </w:pPr>
    </w:p>
    <w:p w14:paraId="56CC641D" w14:textId="77777777" w:rsidR="00555C31" w:rsidRPr="00F35FDA" w:rsidRDefault="00555C31" w:rsidP="00F35FDA">
      <w:pPr>
        <w:spacing w:line="360" w:lineRule="auto"/>
        <w:rPr>
          <w:rFonts w:ascii="Arial" w:hAnsi="Arial" w:cs="Arial"/>
          <w:sz w:val="22"/>
          <w:szCs w:val="22"/>
        </w:rPr>
      </w:pPr>
    </w:p>
    <w:p w14:paraId="262621C6" w14:textId="77777777" w:rsidR="00555C31" w:rsidRPr="00F35FDA" w:rsidRDefault="00555C31" w:rsidP="00F35FDA">
      <w:pPr>
        <w:spacing w:line="360" w:lineRule="auto"/>
        <w:rPr>
          <w:rFonts w:ascii="Arial" w:hAnsi="Arial" w:cs="Arial"/>
          <w:sz w:val="22"/>
          <w:szCs w:val="22"/>
        </w:rPr>
      </w:pPr>
    </w:p>
    <w:p w14:paraId="7EE1BCB0" w14:textId="77777777" w:rsidR="00555C31" w:rsidRPr="00F35FDA" w:rsidRDefault="00555C31" w:rsidP="00F35FDA">
      <w:pPr>
        <w:spacing w:line="360" w:lineRule="auto"/>
        <w:rPr>
          <w:rFonts w:ascii="Arial" w:hAnsi="Arial" w:cs="Arial"/>
          <w:sz w:val="22"/>
          <w:szCs w:val="22"/>
        </w:rPr>
      </w:pPr>
    </w:p>
    <w:p w14:paraId="5C216D64" w14:textId="77777777" w:rsidR="00555C31" w:rsidRPr="00F35FDA" w:rsidRDefault="00555C31" w:rsidP="00F35FDA">
      <w:pPr>
        <w:spacing w:line="360" w:lineRule="auto"/>
        <w:rPr>
          <w:rFonts w:ascii="Arial" w:hAnsi="Arial" w:cs="Arial"/>
          <w:sz w:val="22"/>
          <w:szCs w:val="22"/>
        </w:rPr>
      </w:pPr>
    </w:p>
    <w:p w14:paraId="70744AB5" w14:textId="77777777" w:rsidR="00555C31" w:rsidRPr="00F35FDA" w:rsidRDefault="00555C31" w:rsidP="00F35FDA">
      <w:pPr>
        <w:spacing w:line="360" w:lineRule="auto"/>
        <w:rPr>
          <w:rFonts w:ascii="Arial" w:hAnsi="Arial" w:cs="Arial"/>
          <w:sz w:val="22"/>
          <w:szCs w:val="22"/>
        </w:rPr>
      </w:pPr>
    </w:p>
    <w:p w14:paraId="481593EC" w14:textId="77777777" w:rsidR="00555C31" w:rsidRPr="00F35FDA" w:rsidRDefault="00555C31" w:rsidP="00F35FDA">
      <w:pPr>
        <w:spacing w:line="360" w:lineRule="auto"/>
        <w:rPr>
          <w:rFonts w:ascii="Arial" w:hAnsi="Arial" w:cs="Arial"/>
          <w:sz w:val="22"/>
          <w:szCs w:val="22"/>
        </w:rPr>
      </w:pPr>
    </w:p>
    <w:p w14:paraId="57A15B10" w14:textId="77777777" w:rsidR="00555C31" w:rsidRPr="00F35FDA" w:rsidRDefault="00555C31" w:rsidP="00F35FDA">
      <w:pPr>
        <w:spacing w:line="360" w:lineRule="auto"/>
        <w:rPr>
          <w:rFonts w:ascii="Arial" w:hAnsi="Arial" w:cs="Arial"/>
          <w:sz w:val="22"/>
          <w:szCs w:val="22"/>
        </w:rPr>
      </w:pPr>
    </w:p>
    <w:p w14:paraId="09B4C2A2" w14:textId="77777777" w:rsidR="00555C31" w:rsidRPr="00F35FDA" w:rsidRDefault="00555C31" w:rsidP="00F35FDA">
      <w:pPr>
        <w:spacing w:line="360" w:lineRule="auto"/>
        <w:rPr>
          <w:rFonts w:ascii="Arial" w:hAnsi="Arial" w:cs="Arial"/>
          <w:sz w:val="22"/>
          <w:szCs w:val="22"/>
        </w:rPr>
      </w:pPr>
    </w:p>
    <w:p w14:paraId="42F32166" w14:textId="77777777" w:rsidR="00555C31" w:rsidRPr="00F35FDA" w:rsidRDefault="00555C31" w:rsidP="00F35FDA">
      <w:pPr>
        <w:spacing w:line="360" w:lineRule="auto"/>
        <w:rPr>
          <w:rFonts w:ascii="Arial" w:hAnsi="Arial" w:cs="Arial"/>
          <w:sz w:val="22"/>
          <w:szCs w:val="22"/>
        </w:rPr>
      </w:pPr>
    </w:p>
    <w:p w14:paraId="4E767FBA" w14:textId="77777777" w:rsidR="00555C31" w:rsidRPr="00F35FDA" w:rsidRDefault="00555C31" w:rsidP="00F35FDA">
      <w:pPr>
        <w:spacing w:line="360" w:lineRule="auto"/>
        <w:rPr>
          <w:rFonts w:ascii="Arial" w:hAnsi="Arial" w:cs="Arial"/>
          <w:sz w:val="22"/>
          <w:szCs w:val="22"/>
        </w:rPr>
      </w:pPr>
    </w:p>
    <w:p w14:paraId="5EE21A85" w14:textId="77777777" w:rsidR="00555C31" w:rsidRPr="00F35FDA" w:rsidRDefault="00555C31" w:rsidP="00F35FDA">
      <w:pPr>
        <w:spacing w:line="360" w:lineRule="auto"/>
        <w:rPr>
          <w:rFonts w:ascii="Arial" w:hAnsi="Arial" w:cs="Arial"/>
          <w:sz w:val="22"/>
          <w:szCs w:val="22"/>
        </w:rPr>
      </w:pPr>
    </w:p>
    <w:p w14:paraId="265862B9" w14:textId="77777777" w:rsidR="00555C31" w:rsidRPr="00F35FDA" w:rsidRDefault="00555C31" w:rsidP="00F35FDA">
      <w:pPr>
        <w:spacing w:line="360" w:lineRule="auto"/>
        <w:rPr>
          <w:rFonts w:ascii="Arial" w:hAnsi="Arial" w:cs="Arial"/>
          <w:sz w:val="22"/>
          <w:szCs w:val="22"/>
        </w:rPr>
      </w:pPr>
    </w:p>
    <w:p w14:paraId="75045D91" w14:textId="77777777" w:rsidR="00555C31" w:rsidRPr="00F35FDA" w:rsidRDefault="00555C31" w:rsidP="00F35FDA">
      <w:pPr>
        <w:spacing w:line="360" w:lineRule="auto"/>
        <w:rPr>
          <w:rFonts w:ascii="Arial" w:hAnsi="Arial" w:cs="Arial"/>
          <w:sz w:val="22"/>
          <w:szCs w:val="22"/>
        </w:rPr>
      </w:pPr>
    </w:p>
    <w:p w14:paraId="1A7E207D" w14:textId="77777777" w:rsidR="00555C31" w:rsidRPr="00F35FDA" w:rsidRDefault="00555C31" w:rsidP="00F35FDA">
      <w:pPr>
        <w:spacing w:line="360" w:lineRule="auto"/>
        <w:rPr>
          <w:rFonts w:ascii="Arial" w:hAnsi="Arial" w:cs="Arial"/>
          <w:sz w:val="22"/>
          <w:szCs w:val="22"/>
        </w:rPr>
      </w:pPr>
    </w:p>
    <w:p w14:paraId="6B8F00E2" w14:textId="77777777" w:rsidR="00555C31" w:rsidRPr="00F35FDA" w:rsidRDefault="00555C31" w:rsidP="00F35FDA">
      <w:pPr>
        <w:spacing w:line="360" w:lineRule="auto"/>
        <w:rPr>
          <w:rFonts w:ascii="Arial" w:hAnsi="Arial" w:cs="Arial"/>
          <w:sz w:val="22"/>
          <w:szCs w:val="22"/>
        </w:rPr>
      </w:pPr>
    </w:p>
    <w:p w14:paraId="744EFF9E" w14:textId="77777777" w:rsidR="00555C31" w:rsidRPr="00F35FDA" w:rsidRDefault="00555C31" w:rsidP="00F35FDA">
      <w:pPr>
        <w:spacing w:line="360" w:lineRule="auto"/>
        <w:rPr>
          <w:rFonts w:ascii="Arial" w:hAnsi="Arial" w:cs="Arial"/>
          <w:sz w:val="22"/>
          <w:szCs w:val="22"/>
        </w:rPr>
      </w:pPr>
    </w:p>
    <w:p w14:paraId="4CD2E81C" w14:textId="77777777" w:rsidR="00555C31" w:rsidRPr="00F35FDA" w:rsidRDefault="00555C31" w:rsidP="00F35FDA">
      <w:pPr>
        <w:spacing w:line="360" w:lineRule="auto"/>
        <w:rPr>
          <w:rFonts w:ascii="Arial" w:hAnsi="Arial" w:cs="Arial"/>
          <w:sz w:val="22"/>
          <w:szCs w:val="22"/>
        </w:rPr>
      </w:pPr>
    </w:p>
    <w:p w14:paraId="18E9519D" w14:textId="77777777" w:rsidR="00555C31" w:rsidRPr="00F35FDA" w:rsidRDefault="00555C31" w:rsidP="00F35FDA">
      <w:pPr>
        <w:spacing w:line="360" w:lineRule="auto"/>
        <w:rPr>
          <w:rFonts w:ascii="Arial" w:hAnsi="Arial" w:cs="Arial"/>
          <w:sz w:val="22"/>
          <w:szCs w:val="22"/>
        </w:rPr>
      </w:pPr>
    </w:p>
    <w:p w14:paraId="1B414BF5" w14:textId="77777777" w:rsidR="00555C31" w:rsidRPr="00F35FDA" w:rsidRDefault="00555C31" w:rsidP="00F35FDA">
      <w:pPr>
        <w:spacing w:line="360" w:lineRule="auto"/>
        <w:rPr>
          <w:rFonts w:ascii="Arial" w:hAnsi="Arial" w:cs="Arial"/>
          <w:sz w:val="22"/>
          <w:szCs w:val="22"/>
        </w:rPr>
      </w:pPr>
    </w:p>
    <w:p w14:paraId="6299B808" w14:textId="77777777" w:rsidR="00555C31" w:rsidRPr="00F35FDA" w:rsidRDefault="00555C31" w:rsidP="00F35FDA">
      <w:pPr>
        <w:spacing w:line="360" w:lineRule="auto"/>
        <w:rPr>
          <w:rFonts w:ascii="Arial" w:hAnsi="Arial" w:cs="Arial"/>
          <w:sz w:val="22"/>
          <w:szCs w:val="22"/>
        </w:rPr>
      </w:pPr>
    </w:p>
    <w:p w14:paraId="71131AC9" w14:textId="77777777" w:rsidR="00555C31" w:rsidRPr="00913FF8" w:rsidRDefault="00555C31" w:rsidP="00913FF8">
      <w:pPr>
        <w:pStyle w:val="Heading1"/>
      </w:pPr>
      <w:bookmarkStart w:id="0" w:name="_Toc223965212"/>
      <w:r w:rsidRPr="00913FF8">
        <w:t>Part A</w:t>
      </w:r>
      <w:bookmarkEnd w:id="0"/>
    </w:p>
    <w:p w14:paraId="2488D7B3" w14:textId="77777777" w:rsidR="00555C31" w:rsidRPr="00F35FDA" w:rsidRDefault="00555C31" w:rsidP="00F35FDA">
      <w:pPr>
        <w:spacing w:line="360" w:lineRule="auto"/>
        <w:rPr>
          <w:rFonts w:ascii="Arial" w:hAnsi="Arial" w:cs="Arial"/>
          <w:sz w:val="22"/>
          <w:szCs w:val="22"/>
        </w:rPr>
      </w:pPr>
    </w:p>
    <w:p w14:paraId="5F187697" w14:textId="3E9CD9D7" w:rsidR="00555C31" w:rsidRPr="00555C31" w:rsidRDefault="00555C31" w:rsidP="00F35FDA">
      <w:pPr>
        <w:spacing w:line="360" w:lineRule="auto"/>
        <w:rPr>
          <w:rFonts w:ascii="Arial" w:hAnsi="Arial" w:cs="Arial"/>
          <w:sz w:val="22"/>
          <w:szCs w:val="22"/>
        </w:rPr>
      </w:pPr>
      <w:r w:rsidRPr="00555C31">
        <w:rPr>
          <w:rFonts w:ascii="Arial" w:hAnsi="Arial" w:cs="Arial"/>
          <w:sz w:val="22"/>
          <w:szCs w:val="22"/>
        </w:rPr>
        <w:t xml:space="preserve">1. Erikson’s Psychosocial Theory </w:t>
      </w:r>
    </w:p>
    <w:p w14:paraId="6DA0085F" w14:textId="6BE18D3F" w:rsidR="00F35FDA" w:rsidRDefault="00190E24" w:rsidP="00F35FDA">
      <w:pPr>
        <w:spacing w:line="360" w:lineRule="auto"/>
        <w:rPr>
          <w:rFonts w:ascii="Arial" w:hAnsi="Arial" w:cs="Arial"/>
          <w:sz w:val="22"/>
          <w:szCs w:val="22"/>
        </w:rPr>
      </w:pPr>
      <w:r w:rsidRPr="00190E24">
        <w:rPr>
          <w:rFonts w:ascii="Arial" w:hAnsi="Arial" w:cs="Arial"/>
          <w:sz w:val="22"/>
          <w:szCs w:val="22"/>
        </w:rPr>
        <w:t xml:space="preserve">Šolcová, I., </w:t>
      </w:r>
      <w:proofErr w:type="spellStart"/>
      <w:r w:rsidRPr="00190E24">
        <w:rPr>
          <w:rFonts w:ascii="Arial" w:hAnsi="Arial" w:cs="Arial"/>
          <w:sz w:val="22"/>
          <w:szCs w:val="22"/>
        </w:rPr>
        <w:t>Děchtěrenko</w:t>
      </w:r>
      <w:proofErr w:type="spellEnd"/>
      <w:r w:rsidRPr="00190E24">
        <w:rPr>
          <w:rFonts w:ascii="Arial" w:hAnsi="Arial" w:cs="Arial"/>
          <w:sz w:val="22"/>
          <w:szCs w:val="22"/>
        </w:rPr>
        <w:t>, F., Poláčková Šolcová, I., Hofer, J., Busch, H. and Au, A. (</w:t>
      </w:r>
      <w:proofErr w:type="gramStart"/>
      <w:r w:rsidRPr="00190E24">
        <w:rPr>
          <w:rFonts w:ascii="Arial" w:hAnsi="Arial" w:cs="Arial"/>
          <w:sz w:val="22"/>
          <w:szCs w:val="22"/>
        </w:rPr>
        <w:t>2021)</w:t>
      </w:r>
      <w:r w:rsidR="00555C31" w:rsidRPr="00555C31">
        <w:rPr>
          <w:rFonts w:ascii="Arial" w:hAnsi="Arial" w:cs="Arial"/>
          <w:i/>
          <w:iCs/>
          <w:sz w:val="22"/>
          <w:szCs w:val="22"/>
        </w:rPr>
        <w:t>Cross</w:t>
      </w:r>
      <w:proofErr w:type="gramEnd"/>
      <w:r w:rsidR="00555C31" w:rsidRPr="00555C31">
        <w:rPr>
          <w:rFonts w:ascii="Arial" w:hAnsi="Arial" w:cs="Arial"/>
          <w:i/>
          <w:iCs/>
          <w:sz w:val="22"/>
          <w:szCs w:val="22"/>
        </w:rPr>
        <w:t>-Cultural Examination of University Education and Ego Integrity in Late Adulthood: Implications for Policy and Practice.</w:t>
      </w:r>
      <w:r w:rsidR="00555C31" w:rsidRPr="00555C31">
        <w:rPr>
          <w:rFonts w:ascii="Arial" w:hAnsi="Arial" w:cs="Arial"/>
          <w:sz w:val="22"/>
          <w:szCs w:val="22"/>
        </w:rPr>
        <w:t xml:space="preserve"> Journal of Aging &amp; Social Policy, 33(6), pp.585–599.</w:t>
      </w:r>
      <w:r w:rsidR="00D91D54" w:rsidRPr="00F35FDA">
        <w:rPr>
          <w:rFonts w:ascii="Arial" w:hAnsi="Arial" w:cs="Arial"/>
          <w:sz w:val="22"/>
          <w:szCs w:val="22"/>
        </w:rPr>
        <w:t xml:space="preserve"> </w:t>
      </w:r>
    </w:p>
    <w:p w14:paraId="2F35B5A5"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t>This article looks at how Erikson's theory of psychological development in later life connects greater education to a person's sense of self-worth. Researchers looked at data from older persons in different nations to see how schooling affects how people see themselves, how happy they are with their lives, and how well they deal with ageing.The findings indicate that older individuals possessing higher levels of education generally exhibit a more pronounced sense of psychological well-being, indicative of enhanced ego integrity. Cultural and educational experiences influence self-esteem and significantly affect health and happiness in later life.</w:t>
      </w:r>
      <w:r w:rsidRPr="00F35FDA">
        <w:rPr>
          <w:rFonts w:ascii="Arial" w:hAnsi="Arial" w:cs="Arial"/>
          <w:sz w:val="22"/>
          <w:szCs w:val="22"/>
        </w:rPr>
        <w:br/>
        <w:t>The finding is important for health and social care workers because it shows that older persons can grow mentally through their life experiences, such as going to school. Professionals can enhance residents' mental well-being by implementing programs that include life reviews, introspective activities, and educational sessions. The research concentrates on adults residing in communities, indicating that the results may not be fully relevant to residential care institutions.</w:t>
      </w:r>
    </w:p>
    <w:p w14:paraId="4DCB75B3" w14:textId="77777777" w:rsidR="00F35FDA" w:rsidRDefault="00F35FDA" w:rsidP="00F35FDA">
      <w:pPr>
        <w:spacing w:line="360" w:lineRule="auto"/>
        <w:rPr>
          <w:rFonts w:ascii="Arial" w:hAnsi="Arial" w:cs="Arial"/>
          <w:sz w:val="22"/>
          <w:szCs w:val="22"/>
        </w:rPr>
      </w:pPr>
    </w:p>
    <w:p w14:paraId="71E347F2" w14:textId="77777777" w:rsidR="00F35FDA" w:rsidRDefault="00F35FDA" w:rsidP="00F35FDA">
      <w:pPr>
        <w:spacing w:line="360" w:lineRule="auto"/>
        <w:rPr>
          <w:rFonts w:ascii="Arial" w:hAnsi="Arial" w:cs="Arial"/>
          <w:sz w:val="22"/>
          <w:szCs w:val="22"/>
        </w:rPr>
      </w:pPr>
    </w:p>
    <w:p w14:paraId="2A1C5BE7"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lastRenderedPageBreak/>
        <w:br/>
      </w:r>
    </w:p>
    <w:p w14:paraId="61BA4EC1" w14:textId="1CFE784C" w:rsidR="00F35FDA" w:rsidRDefault="00F35FDA" w:rsidP="00F35FDA">
      <w:pPr>
        <w:spacing w:line="360" w:lineRule="auto"/>
        <w:rPr>
          <w:rFonts w:ascii="Arial" w:hAnsi="Arial" w:cs="Arial"/>
          <w:sz w:val="22"/>
          <w:szCs w:val="22"/>
        </w:rPr>
      </w:pPr>
      <w:r w:rsidRPr="00F35FDA">
        <w:rPr>
          <w:rFonts w:ascii="Arial" w:hAnsi="Arial" w:cs="Arial"/>
          <w:sz w:val="22"/>
          <w:szCs w:val="22"/>
        </w:rPr>
        <w:t xml:space="preserve">2. Activity Theory </w:t>
      </w:r>
      <w:r w:rsidRPr="00F35FDA">
        <w:rPr>
          <w:rFonts w:ascii="Arial" w:hAnsi="Arial" w:cs="Arial"/>
          <w:sz w:val="22"/>
          <w:szCs w:val="22"/>
        </w:rPr>
        <w:br/>
        <w:t>Adams, K.B., Leibbrandt, S., and Moon, H. (2011) A critical analysis of the literature regarding social and leisure activities and well-being in later age. Ageing &amp; Society, 31(4), pp.683–712.</w:t>
      </w:r>
    </w:p>
    <w:p w14:paraId="7B266CA4" w14:textId="351E2D3D" w:rsidR="00F35FDA" w:rsidRDefault="00F35FDA" w:rsidP="00F35FDA">
      <w:pPr>
        <w:spacing w:line="360" w:lineRule="auto"/>
        <w:rPr>
          <w:rFonts w:ascii="Arial" w:hAnsi="Arial" w:cs="Arial"/>
          <w:sz w:val="22"/>
          <w:szCs w:val="22"/>
        </w:rPr>
      </w:pPr>
      <w:r w:rsidRPr="00F35FDA">
        <w:rPr>
          <w:rFonts w:ascii="Arial" w:hAnsi="Arial" w:cs="Arial"/>
          <w:sz w:val="22"/>
          <w:szCs w:val="22"/>
        </w:rPr>
        <w:br/>
        <w:t>This study compiles evidence regarding the correlation between social and leisure activities and the well-being of older adults. The scientists examined 42 studies published from 1995 to 2009 and discovered that engagement in social, physical, and leisure activities markedly enhances life happiness, mental health, and alleviates loneliness. The review supports Activity Theory, which says that older persons can keep their sense of self and purpose as they age by doing important hobbies.</w:t>
      </w:r>
      <w:r w:rsidRPr="00F35FDA">
        <w:rPr>
          <w:rFonts w:ascii="Arial" w:hAnsi="Arial" w:cs="Arial"/>
          <w:sz w:val="22"/>
          <w:szCs w:val="22"/>
        </w:rPr>
        <w:br/>
        <w:t>This article is useful for health and social care practice because it talks about ways to improve the mental health of people living in care homes. They help residents stay in contact with each other and keep their minds active by setting up group activities, hobby clubs, creative workshops, and exercise programs. One problem is that some older people may have physical or mental problems that make it tougher for them to join in. This means that each person needs to change how they act.</w:t>
      </w:r>
    </w:p>
    <w:p w14:paraId="64F11636" w14:textId="77777777" w:rsidR="00AE36D5" w:rsidRDefault="00F35FDA" w:rsidP="00F35FDA">
      <w:pPr>
        <w:spacing w:line="360" w:lineRule="auto"/>
        <w:rPr>
          <w:rFonts w:ascii="Arial" w:hAnsi="Arial" w:cs="Arial"/>
          <w:sz w:val="22"/>
          <w:szCs w:val="22"/>
        </w:rPr>
      </w:pPr>
      <w:r w:rsidRPr="00F35FDA">
        <w:rPr>
          <w:rFonts w:ascii="Arial" w:hAnsi="Arial" w:cs="Arial"/>
          <w:sz w:val="22"/>
          <w:szCs w:val="22"/>
        </w:rPr>
        <w:br/>
        <w:t xml:space="preserve">3. Attachment Theory </w:t>
      </w:r>
      <w:r w:rsidRPr="00F35FDA">
        <w:rPr>
          <w:rFonts w:ascii="Arial" w:hAnsi="Arial" w:cs="Arial"/>
          <w:sz w:val="22"/>
          <w:szCs w:val="22"/>
        </w:rPr>
        <w:br/>
        <w:t>Bradley, J.M. and Cafferty, T.P. (2001) Attachment in older adults: Current concerns and future research directions. Attachment &amp; Human Development, 3(2), pp. 200–221.</w:t>
      </w:r>
    </w:p>
    <w:p w14:paraId="0BEC3DBD" w14:textId="4B505C48" w:rsidR="00F35FDA" w:rsidRDefault="00F35FDA" w:rsidP="00F35FDA">
      <w:pPr>
        <w:spacing w:line="360" w:lineRule="auto"/>
        <w:rPr>
          <w:rFonts w:ascii="Arial" w:hAnsi="Arial" w:cs="Arial"/>
          <w:sz w:val="22"/>
          <w:szCs w:val="22"/>
        </w:rPr>
      </w:pPr>
      <w:r w:rsidRPr="00F35FDA">
        <w:rPr>
          <w:rFonts w:ascii="Arial" w:hAnsi="Arial" w:cs="Arial"/>
          <w:sz w:val="22"/>
          <w:szCs w:val="22"/>
        </w:rPr>
        <w:br/>
        <w:t>This article examines the relevance of attachment theory in later life, highlighting the enduring significance of stable emotional relationships throughout the lifespan. The authors examine data about the impact of attachment behaviours on the emotional well-being, coping mechanisms, and resilience of older adults. The results indicate that robust, supportive relationships with family, spouses, and carers improve psychological well-being and diminish anxiety and loneliness.</w:t>
      </w:r>
      <w:r w:rsidRPr="00F35FDA">
        <w:rPr>
          <w:rFonts w:ascii="Arial" w:hAnsi="Arial" w:cs="Arial"/>
          <w:sz w:val="22"/>
          <w:szCs w:val="22"/>
        </w:rPr>
        <w:br/>
        <w:t>The study is pertinent to health and social care since it demonstrates that fostering trusting and secure connections between residents and staff can enhance wellness in residential care settings. Care providers can use attachment theory by promoting continuous caregiving, emotional support, and regular social contacts. But different people have different attachment styles, therefore interventions need to be tailored to each person.</w:t>
      </w:r>
    </w:p>
    <w:p w14:paraId="5AF185E6" w14:textId="77777777" w:rsidR="00F35FDA" w:rsidRDefault="00F35FDA" w:rsidP="00F35FDA">
      <w:pPr>
        <w:spacing w:line="360" w:lineRule="auto"/>
        <w:rPr>
          <w:rFonts w:ascii="Arial" w:hAnsi="Arial" w:cs="Arial"/>
          <w:sz w:val="22"/>
          <w:szCs w:val="22"/>
        </w:rPr>
      </w:pPr>
      <w:r w:rsidRPr="00F35FDA">
        <w:rPr>
          <w:rFonts w:ascii="Arial" w:hAnsi="Arial" w:cs="Arial"/>
          <w:sz w:val="22"/>
          <w:szCs w:val="22"/>
        </w:rPr>
        <w:lastRenderedPageBreak/>
        <w:br/>
        <w:t xml:space="preserve">4. Positive Psychology </w:t>
      </w:r>
      <w:r w:rsidRPr="00F35FDA">
        <w:rPr>
          <w:rFonts w:ascii="Arial" w:hAnsi="Arial" w:cs="Arial"/>
          <w:sz w:val="22"/>
          <w:szCs w:val="22"/>
        </w:rPr>
        <w:br/>
        <w:t xml:space="preserve">Steptoe, A., Deaton, A., and Stone, A.A. (2014) Psychological well-being, health, and ageing. The Lancet, 385(9968), pp. 640–648. </w:t>
      </w:r>
    </w:p>
    <w:p w14:paraId="22946EAB" w14:textId="77955276" w:rsidR="00F35FDA" w:rsidRDefault="00F35FDA" w:rsidP="00F35FDA">
      <w:pPr>
        <w:spacing w:line="360" w:lineRule="auto"/>
        <w:rPr>
          <w:rFonts w:ascii="Arial" w:hAnsi="Arial" w:cs="Arial"/>
          <w:sz w:val="22"/>
          <w:szCs w:val="22"/>
        </w:rPr>
      </w:pPr>
      <w:r w:rsidRPr="00F35FDA">
        <w:rPr>
          <w:rFonts w:ascii="Arial" w:hAnsi="Arial" w:cs="Arial"/>
          <w:sz w:val="22"/>
          <w:szCs w:val="22"/>
        </w:rPr>
        <w:t>This article examines the impact of mental health on health issues in older persons. It emphasises three primary aspects of wellbeing—positive affect, life satisfaction, and psychological wellness—and assesses evidence indicating that enhanced wellbeing is associated with improved physical health, decreased mortality, and increased quality of life. The authors assert that cultivating good emotions and life satisfaction in older persons is crucial for healthy ageing.</w:t>
      </w:r>
      <w:r w:rsidRPr="00F35FDA">
        <w:rPr>
          <w:rFonts w:ascii="Arial" w:hAnsi="Arial" w:cs="Arial"/>
          <w:sz w:val="22"/>
          <w:szCs w:val="22"/>
        </w:rPr>
        <w:br/>
        <w:t>The results show that residential care solutions should encourage pleasant feelings, meaningful activities, and social support to make people feel better. Staff can employ things like thankfulness exercises, reminiscence therapy, and activities that are tailored to each client. One issue is that differences in health and wealth may make it hard for residents to get the full benefits.</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913FF8">
        <w:rPr>
          <w:rStyle w:val="Heading1Char"/>
        </w:rPr>
        <w:t>Part B</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t>Activity Theory, proposed by Havighurst and corroborated by research including Adams, Leibbrandt, and Moon (2011), posits that older persons sustain psychological well-being through social and physical engagement. Doing things that are important to you helps you preserve your sense of self, your sense of purpose, and your happiness as you become older. When you use Activity Theory in a residential care setting, you provide places where residents can be creative, socialise, exercise, and conduct hobbies. This is good for their mental and emotional wellness.</w:t>
      </w:r>
      <w:r w:rsidRPr="00F35FDA">
        <w:rPr>
          <w:rFonts w:ascii="Arial" w:hAnsi="Arial" w:cs="Arial"/>
          <w:sz w:val="22"/>
          <w:szCs w:val="22"/>
        </w:rPr>
        <w:br/>
      </w:r>
      <w:r w:rsidRPr="00F35FDA">
        <w:rPr>
          <w:rFonts w:ascii="Arial" w:hAnsi="Arial" w:cs="Arial"/>
          <w:sz w:val="22"/>
          <w:szCs w:val="22"/>
        </w:rPr>
        <w:br/>
        <w:t>Activity Theory can help health and social care providers develop structured programs that get people involved by taking into consideration their talents and interests. For example:</w:t>
      </w:r>
      <w:r w:rsidRPr="00F35FDA">
        <w:rPr>
          <w:rFonts w:ascii="Arial" w:hAnsi="Arial" w:cs="Arial"/>
          <w:sz w:val="22"/>
          <w:szCs w:val="22"/>
        </w:rPr>
        <w:br/>
        <w:t>You can take part in a group exercise class, a walking club, an art, music, or craft workshop, a gardening or nature activity, a social event, a discussion group, or a session where you talk about memories.</w:t>
      </w:r>
      <w:r w:rsidRPr="00F35FDA">
        <w:rPr>
          <w:rFonts w:ascii="Arial" w:hAnsi="Arial" w:cs="Arial"/>
          <w:sz w:val="22"/>
          <w:szCs w:val="22"/>
        </w:rPr>
        <w:br/>
      </w:r>
      <w:r w:rsidRPr="00F35FDA">
        <w:rPr>
          <w:rFonts w:ascii="Arial" w:hAnsi="Arial" w:cs="Arial"/>
          <w:sz w:val="22"/>
          <w:szCs w:val="22"/>
        </w:rPr>
        <w:br/>
        <w:t xml:space="preserve">Care home personnel help residents preserve their self-esteem, cognitive function, and </w:t>
      </w:r>
      <w:r w:rsidRPr="00F35FDA">
        <w:rPr>
          <w:rFonts w:ascii="Arial" w:hAnsi="Arial" w:cs="Arial"/>
          <w:sz w:val="22"/>
          <w:szCs w:val="22"/>
        </w:rPr>
        <w:lastRenderedPageBreak/>
        <w:t>social connections, all of which are vital for mental health, by ensuring sure they are routinely active in these activities. Adams et al. (2011) contend that older persons who participate more in leisure and social activities report increased life satisfaction and reduced feelings of loneliness, hence affirming the theory's practical relevance.</w:t>
      </w:r>
    </w:p>
    <w:p w14:paraId="40324FBB" w14:textId="77777777" w:rsidR="00F35FDA" w:rsidRDefault="00F35FDA" w:rsidP="00F35FDA">
      <w:r w:rsidRPr="00F35FDA">
        <w:br/>
      </w:r>
      <w:r>
        <w:t>Scenario</w:t>
      </w:r>
    </w:p>
    <w:p w14:paraId="07A2BF96" w14:textId="77777777" w:rsidR="00F35FDA" w:rsidRDefault="00F35FDA" w:rsidP="00F35FDA">
      <w:pPr>
        <w:spacing w:line="360" w:lineRule="auto"/>
        <w:rPr>
          <w:rFonts w:ascii="Arial" w:hAnsi="Arial" w:cs="Arial"/>
          <w:sz w:val="22"/>
          <w:szCs w:val="22"/>
        </w:rPr>
      </w:pPr>
    </w:p>
    <w:p w14:paraId="129444CC" w14:textId="34EF5642" w:rsidR="00F35FDA" w:rsidRPr="00F35FDA" w:rsidRDefault="00F35FDA" w:rsidP="00F35FDA">
      <w:pPr>
        <w:spacing w:line="360" w:lineRule="auto"/>
        <w:rPr>
          <w:rFonts w:ascii="Arial" w:hAnsi="Arial" w:cs="Arial"/>
          <w:sz w:val="22"/>
          <w:szCs w:val="22"/>
        </w:rPr>
      </w:pPr>
      <w:r>
        <w:rPr>
          <w:rFonts w:ascii="Arial" w:hAnsi="Arial" w:cs="Arial"/>
          <w:sz w:val="22"/>
          <w:szCs w:val="22"/>
        </w:rPr>
        <w:t>Introduction</w:t>
      </w:r>
      <w:r w:rsidRPr="00F35FDA">
        <w:rPr>
          <w:rFonts w:ascii="Arial" w:hAnsi="Arial" w:cs="Arial"/>
          <w:sz w:val="22"/>
          <w:szCs w:val="22"/>
        </w:rPr>
        <w:br/>
      </w:r>
      <w:r w:rsidRPr="00F35FDA">
        <w:rPr>
          <w:rFonts w:ascii="Arial" w:hAnsi="Arial" w:cs="Arial"/>
          <w:sz w:val="22"/>
          <w:szCs w:val="22"/>
        </w:rPr>
        <w:br/>
        <w:t>Mrs. Thompson, who is 82 years old and has problems getting around, just moved into a care facility. She said she felt lonely and unmotivated, which led her lose her appetite and affected her health in general. Based on Activity Theory, the care home developed a weekly gardening club for seniors who had problems getting around. Mrs. Thompson was provided raised planters and tools that were easy for her to handle, so she could safely take part. She was in a better mood, spending more time with other residents, and feeling that she had a new purpose within a few weeks. This proved that Activity Theory is useful in the actual world.</w:t>
      </w:r>
      <w:r w:rsidRPr="00F35FDA">
        <w:rPr>
          <w:rFonts w:ascii="Arial" w:hAnsi="Arial" w:cs="Arial"/>
          <w:sz w:val="22"/>
          <w:szCs w:val="22"/>
        </w:rPr>
        <w:br/>
      </w:r>
      <w:r w:rsidRPr="00F35FDA">
        <w:rPr>
          <w:rFonts w:ascii="Arial" w:hAnsi="Arial" w:cs="Arial"/>
          <w:sz w:val="22"/>
          <w:szCs w:val="22"/>
        </w:rPr>
        <w:br/>
        <w:t>One issue with Activity Theory is that not all residents can participate in regular activities due to physical or mental constraints. People may feel left out or angry because of this. For instance, people with dementia may have problems following group directions or doing things that need them to remember things.</w:t>
      </w:r>
      <w:r w:rsidRPr="00F35FDA">
        <w:rPr>
          <w:rFonts w:ascii="Arial" w:hAnsi="Arial" w:cs="Arial"/>
          <w:sz w:val="22"/>
          <w:szCs w:val="22"/>
        </w:rPr>
        <w:br/>
      </w:r>
      <w:r w:rsidRPr="00F35FDA">
        <w:rPr>
          <w:rFonts w:ascii="Arial" w:hAnsi="Arial" w:cs="Arial"/>
          <w:sz w:val="22"/>
          <w:szCs w:val="22"/>
        </w:rPr>
        <w:br/>
        <w:t>The objective is to do things that are right for each person. Staff look at each resident's abilities, interests, and former hobbies to adjust activities or provide new ones. Here are a few examples:</w:t>
      </w:r>
      <w:r w:rsidRPr="00F35FDA">
        <w:rPr>
          <w:rFonts w:ascii="Arial" w:hAnsi="Arial" w:cs="Arial"/>
          <w:sz w:val="22"/>
          <w:szCs w:val="22"/>
        </w:rPr>
        <w:br/>
      </w:r>
      <w:r w:rsidRPr="00F35FDA">
        <w:rPr>
          <w:rFonts w:ascii="Arial" w:hAnsi="Arial" w:cs="Arial"/>
          <w:sz w:val="22"/>
          <w:szCs w:val="22"/>
        </w:rPr>
        <w:br/>
        <w:t>Shorter sessions with instructions that are easier to follow, one-on-one or in small groups, and activities that employ the senses, such music therapy or crafts that you can touch.</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t>The primary principle of the theory is that being involved is good for your health, and these adjustments make sure that everyone can take part.</w:t>
      </w:r>
      <w:r w:rsidRPr="00F35FDA">
        <w:rPr>
          <w:rFonts w:ascii="Arial" w:hAnsi="Arial" w:cs="Arial"/>
          <w:sz w:val="22"/>
          <w:szCs w:val="22"/>
        </w:rPr>
        <w:br/>
      </w:r>
    </w:p>
    <w:p w14:paraId="18886FDC" w14:textId="45380E95" w:rsidR="00F35FDA" w:rsidRPr="00F35FDA" w:rsidRDefault="00F35FDA" w:rsidP="00F35FDA">
      <w:pPr>
        <w:spacing w:line="360" w:lineRule="auto"/>
        <w:rPr>
          <w:rFonts w:ascii="Arial" w:hAnsi="Arial" w:cs="Arial"/>
          <w:sz w:val="22"/>
          <w:szCs w:val="22"/>
        </w:rPr>
      </w:pPr>
      <w:r w:rsidRPr="00F35FDA">
        <w:rPr>
          <w:rFonts w:ascii="Arial" w:hAnsi="Arial" w:cs="Arial"/>
          <w:sz w:val="22"/>
          <w:szCs w:val="22"/>
        </w:rPr>
        <w:t>Conclusion</w:t>
      </w:r>
    </w:p>
    <w:p w14:paraId="7DA2BE4A" w14:textId="6E60F448" w:rsidR="00F35FDA" w:rsidRPr="00F35FDA" w:rsidRDefault="00F35FDA" w:rsidP="00F35FDA">
      <w:pPr>
        <w:spacing w:line="360" w:lineRule="auto"/>
        <w:rPr>
          <w:rFonts w:ascii="Arial" w:hAnsi="Arial" w:cs="Arial"/>
          <w:sz w:val="22"/>
          <w:szCs w:val="22"/>
        </w:rPr>
      </w:pPr>
      <w:r w:rsidRPr="00F35FDA">
        <w:rPr>
          <w:rFonts w:ascii="Arial" w:hAnsi="Arial" w:cs="Arial"/>
          <w:sz w:val="22"/>
          <w:szCs w:val="22"/>
        </w:rPr>
        <w:lastRenderedPageBreak/>
        <w:br/>
      </w:r>
      <w:r w:rsidRPr="00F35FDA">
        <w:rPr>
          <w:rFonts w:ascii="Arial" w:hAnsi="Arial" w:cs="Arial"/>
          <w:sz w:val="22"/>
          <w:szCs w:val="22"/>
        </w:rPr>
        <w:br/>
        <w:t xml:space="preserve">Activity Theory offers a pragmatic paradigm for improving the welfare of older individuals in residential care. Structured social, physical, and leisure activities enhance life pleasure, mental health, and a sense of purpose. Real-life examples, such modified gardening or creative workshops, show how well the theory works, and person-centred adaptations help people get over barriers to participation. Using Activity Theory in daily life helps professionals encourage meaningful participation and improve the mental health of everyone living in the care home. </w:t>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r w:rsidRPr="00F35FDA">
        <w:rPr>
          <w:rFonts w:ascii="Arial" w:hAnsi="Arial" w:cs="Arial"/>
          <w:sz w:val="22"/>
          <w:szCs w:val="22"/>
        </w:rPr>
        <w:br/>
      </w:r>
    </w:p>
    <w:p w14:paraId="0F167188" w14:textId="676B1CDC" w:rsidR="00F35FDA" w:rsidRPr="00F35FDA" w:rsidRDefault="00F35FDA" w:rsidP="00F35FDA">
      <w:pPr>
        <w:spacing w:line="360" w:lineRule="auto"/>
        <w:rPr>
          <w:rFonts w:ascii="Arial" w:hAnsi="Arial" w:cs="Arial"/>
          <w:sz w:val="22"/>
          <w:szCs w:val="22"/>
        </w:rPr>
      </w:pPr>
    </w:p>
    <w:p w14:paraId="3D5D1B3D" w14:textId="08C41013" w:rsidR="00555C31" w:rsidRPr="00F35FDA" w:rsidRDefault="00555C31" w:rsidP="00F35FDA">
      <w:pPr>
        <w:spacing w:line="360" w:lineRule="auto"/>
        <w:rPr>
          <w:rFonts w:ascii="Arial" w:hAnsi="Arial" w:cs="Arial"/>
          <w:sz w:val="22"/>
          <w:szCs w:val="22"/>
        </w:rPr>
      </w:pPr>
    </w:p>
    <w:p w14:paraId="47D97ACB" w14:textId="77777777" w:rsidR="006936DB" w:rsidRPr="00F35FDA" w:rsidRDefault="006936DB" w:rsidP="00F35FDA">
      <w:pPr>
        <w:spacing w:line="360" w:lineRule="auto"/>
        <w:rPr>
          <w:rFonts w:ascii="Arial" w:hAnsi="Arial" w:cs="Arial"/>
          <w:sz w:val="22"/>
          <w:szCs w:val="22"/>
        </w:rPr>
      </w:pPr>
    </w:p>
    <w:p w14:paraId="66E33088" w14:textId="77777777" w:rsidR="006936DB" w:rsidRPr="00F35FDA" w:rsidRDefault="006936DB" w:rsidP="00F35FDA">
      <w:pPr>
        <w:spacing w:line="360" w:lineRule="auto"/>
        <w:rPr>
          <w:rFonts w:ascii="Arial" w:hAnsi="Arial" w:cs="Arial"/>
          <w:sz w:val="22"/>
          <w:szCs w:val="22"/>
        </w:rPr>
      </w:pPr>
    </w:p>
    <w:p w14:paraId="75DD45C8" w14:textId="77777777" w:rsidR="006936DB" w:rsidRPr="00F35FDA" w:rsidRDefault="006936DB" w:rsidP="00F35FDA">
      <w:pPr>
        <w:spacing w:line="360" w:lineRule="auto"/>
        <w:rPr>
          <w:rFonts w:ascii="Arial" w:hAnsi="Arial" w:cs="Arial"/>
          <w:sz w:val="22"/>
          <w:szCs w:val="22"/>
        </w:rPr>
      </w:pPr>
    </w:p>
    <w:p w14:paraId="704C2333" w14:textId="77777777" w:rsidR="006936DB" w:rsidRPr="00F35FDA" w:rsidRDefault="006936DB" w:rsidP="00F35FDA">
      <w:pPr>
        <w:spacing w:line="360" w:lineRule="auto"/>
        <w:rPr>
          <w:rFonts w:ascii="Arial" w:hAnsi="Arial" w:cs="Arial"/>
          <w:sz w:val="22"/>
          <w:szCs w:val="22"/>
        </w:rPr>
      </w:pPr>
    </w:p>
    <w:p w14:paraId="7C51F822" w14:textId="77777777" w:rsidR="006936DB" w:rsidRPr="00F35FDA" w:rsidRDefault="006936DB" w:rsidP="00F35FDA">
      <w:pPr>
        <w:spacing w:line="360" w:lineRule="auto"/>
        <w:rPr>
          <w:rFonts w:ascii="Arial" w:hAnsi="Arial" w:cs="Arial"/>
          <w:sz w:val="22"/>
          <w:szCs w:val="22"/>
        </w:rPr>
      </w:pPr>
    </w:p>
    <w:p w14:paraId="497920BE" w14:textId="77777777" w:rsidR="006936DB" w:rsidRPr="00F35FDA" w:rsidRDefault="006936DB" w:rsidP="00F35FDA">
      <w:pPr>
        <w:spacing w:line="360" w:lineRule="auto"/>
        <w:rPr>
          <w:rFonts w:ascii="Arial" w:hAnsi="Arial" w:cs="Arial"/>
          <w:sz w:val="22"/>
          <w:szCs w:val="22"/>
        </w:rPr>
      </w:pPr>
    </w:p>
    <w:p w14:paraId="18FCCF9D" w14:textId="77777777" w:rsidR="006936DB" w:rsidRPr="00F35FDA" w:rsidRDefault="006936DB" w:rsidP="00F35FDA">
      <w:pPr>
        <w:spacing w:line="360" w:lineRule="auto"/>
        <w:rPr>
          <w:rFonts w:ascii="Arial" w:hAnsi="Arial" w:cs="Arial"/>
          <w:sz w:val="22"/>
          <w:szCs w:val="22"/>
        </w:rPr>
      </w:pPr>
    </w:p>
    <w:p w14:paraId="0E7BB224" w14:textId="77777777" w:rsidR="006936DB" w:rsidRPr="00F35FDA" w:rsidRDefault="006936DB" w:rsidP="00F35FDA">
      <w:pPr>
        <w:spacing w:line="360" w:lineRule="auto"/>
        <w:rPr>
          <w:rFonts w:ascii="Arial" w:hAnsi="Arial" w:cs="Arial"/>
          <w:sz w:val="22"/>
          <w:szCs w:val="22"/>
        </w:rPr>
      </w:pPr>
    </w:p>
    <w:p w14:paraId="3B99966E" w14:textId="77777777" w:rsidR="006936DB" w:rsidRPr="00F35FDA" w:rsidRDefault="006936DB" w:rsidP="00F35FDA">
      <w:pPr>
        <w:spacing w:line="360" w:lineRule="auto"/>
        <w:rPr>
          <w:rFonts w:ascii="Arial" w:hAnsi="Arial" w:cs="Arial"/>
          <w:sz w:val="22"/>
          <w:szCs w:val="22"/>
        </w:rPr>
      </w:pPr>
    </w:p>
    <w:p w14:paraId="668FEA9F" w14:textId="7F1B8FE3" w:rsidR="006936DB" w:rsidRDefault="006936DB" w:rsidP="00F35FDA">
      <w:pPr>
        <w:pStyle w:val="Heading1"/>
        <w:spacing w:line="360" w:lineRule="auto"/>
        <w:rPr>
          <w:rFonts w:ascii="Arial" w:hAnsi="Arial" w:cs="Arial"/>
          <w:sz w:val="22"/>
          <w:szCs w:val="22"/>
        </w:rPr>
      </w:pPr>
      <w:bookmarkStart w:id="1" w:name="_Toc223965213"/>
      <w:r w:rsidRPr="00F35FDA">
        <w:rPr>
          <w:rFonts w:ascii="Arial" w:hAnsi="Arial" w:cs="Arial"/>
          <w:sz w:val="22"/>
          <w:szCs w:val="22"/>
        </w:rPr>
        <w:t>References</w:t>
      </w:r>
      <w:bookmarkEnd w:id="1"/>
    </w:p>
    <w:p w14:paraId="10626294" w14:textId="77777777" w:rsidR="00190E24" w:rsidRPr="00190E24" w:rsidRDefault="00190E24" w:rsidP="00190E24"/>
    <w:p w14:paraId="5BB3EE23" w14:textId="77777777" w:rsidR="00190E24" w:rsidRDefault="00190E24" w:rsidP="00190E24">
      <w:pPr>
        <w:spacing w:line="360" w:lineRule="auto"/>
        <w:rPr>
          <w:rFonts w:ascii="Arial" w:hAnsi="Arial" w:cs="Arial"/>
          <w:sz w:val="22"/>
          <w:szCs w:val="22"/>
        </w:rPr>
      </w:pPr>
      <w:r w:rsidRPr="006936DB">
        <w:rPr>
          <w:rFonts w:ascii="Arial" w:hAnsi="Arial" w:cs="Arial"/>
          <w:sz w:val="22"/>
          <w:szCs w:val="22"/>
        </w:rPr>
        <w:t>ADAMS, K.B., LEIBBRANDT, S. and MOON, H. (201</w:t>
      </w:r>
      <w:r>
        <w:rPr>
          <w:rFonts w:ascii="Arial" w:hAnsi="Arial" w:cs="Arial"/>
          <w:sz w:val="22"/>
          <w:szCs w:val="22"/>
        </w:rPr>
        <w:t>1</w:t>
      </w:r>
      <w:r w:rsidRPr="006936DB">
        <w:rPr>
          <w:rFonts w:ascii="Arial" w:hAnsi="Arial" w:cs="Arial"/>
          <w:sz w:val="22"/>
          <w:szCs w:val="22"/>
        </w:rPr>
        <w:t>). A critical review of the literature on social and leisure activity and wellbeing in later life. </w:t>
      </w:r>
      <w:r w:rsidRPr="006936DB">
        <w:rPr>
          <w:rFonts w:ascii="Arial" w:hAnsi="Arial" w:cs="Arial"/>
          <w:i/>
          <w:iCs/>
          <w:sz w:val="22"/>
          <w:szCs w:val="22"/>
        </w:rPr>
        <w:t>Ageing and Society</w:t>
      </w:r>
      <w:r w:rsidRPr="006936DB">
        <w:rPr>
          <w:rFonts w:ascii="Arial" w:hAnsi="Arial" w:cs="Arial"/>
          <w:sz w:val="22"/>
          <w:szCs w:val="22"/>
        </w:rPr>
        <w:t xml:space="preserve">, [online] 31(4), pp.683–712.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://doi.org/10.1017/s0144686x10001091</w:t>
      </w:r>
      <w:proofErr w:type="gramEnd"/>
      <w:r w:rsidRPr="006936DB">
        <w:rPr>
          <w:rFonts w:ascii="Arial" w:hAnsi="Arial" w:cs="Arial"/>
          <w:sz w:val="22"/>
          <w:szCs w:val="22"/>
        </w:rPr>
        <w:t>.</w:t>
      </w:r>
    </w:p>
    <w:p w14:paraId="4067DAB7" w14:textId="77777777" w:rsidR="00190E24" w:rsidRPr="00F35FDA" w:rsidRDefault="00190E24" w:rsidP="00190E24">
      <w:pPr>
        <w:spacing w:line="360" w:lineRule="auto"/>
        <w:rPr>
          <w:rFonts w:ascii="Arial" w:hAnsi="Arial" w:cs="Arial"/>
          <w:sz w:val="22"/>
          <w:szCs w:val="22"/>
        </w:rPr>
      </w:pPr>
    </w:p>
    <w:p w14:paraId="0DBB9BA9" w14:textId="77777777" w:rsidR="00190E24" w:rsidRDefault="00190E24" w:rsidP="00190E24">
      <w:pPr>
        <w:spacing w:line="360" w:lineRule="auto"/>
        <w:rPr>
          <w:rFonts w:ascii="Arial" w:hAnsi="Arial" w:cs="Arial"/>
          <w:sz w:val="22"/>
          <w:szCs w:val="22"/>
        </w:rPr>
      </w:pPr>
      <w:r w:rsidRPr="006936DB">
        <w:rPr>
          <w:rFonts w:ascii="Arial" w:hAnsi="Arial" w:cs="Arial"/>
          <w:sz w:val="22"/>
          <w:szCs w:val="22"/>
        </w:rPr>
        <w:t>Bradley, J.M. and Cafferty, T.P. (2001). Attachment among older adults: Current issues and directions for future research. </w:t>
      </w:r>
      <w:r w:rsidRPr="006936DB">
        <w:rPr>
          <w:rFonts w:ascii="Arial" w:hAnsi="Arial" w:cs="Arial"/>
          <w:i/>
          <w:iCs/>
          <w:sz w:val="22"/>
          <w:szCs w:val="22"/>
        </w:rPr>
        <w:t>Attachment &amp; Human Development</w:t>
      </w:r>
      <w:r w:rsidRPr="006936DB">
        <w:rPr>
          <w:rFonts w:ascii="Arial" w:hAnsi="Arial" w:cs="Arial"/>
          <w:sz w:val="22"/>
          <w:szCs w:val="22"/>
        </w:rPr>
        <w:t xml:space="preserve">, 3(2), pp.200–221.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://doi.org/10.1080/14616730110058016</w:t>
      </w:r>
      <w:proofErr w:type="gramEnd"/>
      <w:r w:rsidRPr="006936DB">
        <w:rPr>
          <w:rFonts w:ascii="Arial" w:hAnsi="Arial" w:cs="Arial"/>
          <w:sz w:val="22"/>
          <w:szCs w:val="22"/>
        </w:rPr>
        <w:t>.</w:t>
      </w:r>
    </w:p>
    <w:p w14:paraId="55E87B7A" w14:textId="77777777" w:rsidR="00190E24" w:rsidRPr="006936DB" w:rsidRDefault="00190E24" w:rsidP="00190E24">
      <w:pPr>
        <w:spacing w:line="360" w:lineRule="auto"/>
        <w:rPr>
          <w:rFonts w:ascii="Arial" w:hAnsi="Arial" w:cs="Arial"/>
          <w:sz w:val="22"/>
          <w:szCs w:val="22"/>
        </w:rPr>
      </w:pPr>
    </w:p>
    <w:p w14:paraId="064A480B" w14:textId="77777777" w:rsidR="00190E24" w:rsidRPr="006936DB" w:rsidRDefault="00190E24" w:rsidP="00190E24">
      <w:pPr>
        <w:spacing w:line="360" w:lineRule="auto"/>
        <w:rPr>
          <w:rFonts w:ascii="Arial" w:hAnsi="Arial" w:cs="Arial"/>
          <w:sz w:val="22"/>
          <w:szCs w:val="22"/>
        </w:rPr>
      </w:pPr>
      <w:r w:rsidRPr="006936DB">
        <w:rPr>
          <w:rFonts w:ascii="Arial" w:hAnsi="Arial" w:cs="Arial"/>
          <w:sz w:val="22"/>
          <w:szCs w:val="22"/>
        </w:rPr>
        <w:t>Steptoe, A., Deaton, A. and Stone, A.A. (2015). Subjective wellbeing, health, and ageing. </w:t>
      </w:r>
      <w:r w:rsidRPr="006936DB">
        <w:rPr>
          <w:rFonts w:ascii="Arial" w:hAnsi="Arial" w:cs="Arial"/>
          <w:i/>
          <w:iCs/>
          <w:sz w:val="22"/>
          <w:szCs w:val="22"/>
        </w:rPr>
        <w:t>The Lancet</w:t>
      </w:r>
      <w:r w:rsidRPr="006936DB">
        <w:rPr>
          <w:rFonts w:ascii="Arial" w:hAnsi="Arial" w:cs="Arial"/>
          <w:sz w:val="22"/>
          <w:szCs w:val="22"/>
        </w:rPr>
        <w:t xml:space="preserve">, 385(9968), pp.640–648. </w:t>
      </w:r>
      <w:proofErr w:type="spellStart"/>
      <w:proofErr w:type="gramStart"/>
      <w:r w:rsidRPr="006936DB">
        <w:rPr>
          <w:rFonts w:ascii="Arial" w:hAnsi="Arial" w:cs="Arial"/>
          <w:sz w:val="22"/>
          <w:szCs w:val="22"/>
        </w:rPr>
        <w:t>doi:https</w:t>
      </w:r>
      <w:proofErr w:type="spellEnd"/>
      <w:r w:rsidRPr="006936DB">
        <w:rPr>
          <w:rFonts w:ascii="Arial" w:hAnsi="Arial" w:cs="Arial"/>
          <w:sz w:val="22"/>
          <w:szCs w:val="22"/>
        </w:rPr>
        <w:t>://doi.org/10.1016/s0140-6736(13)61489-0</w:t>
      </w:r>
      <w:proofErr w:type="gramEnd"/>
      <w:r w:rsidRPr="006936DB">
        <w:rPr>
          <w:rFonts w:ascii="Arial" w:hAnsi="Arial" w:cs="Arial"/>
          <w:sz w:val="22"/>
          <w:szCs w:val="22"/>
        </w:rPr>
        <w:t>.</w:t>
      </w:r>
    </w:p>
    <w:p w14:paraId="46C2CEA9" w14:textId="77777777" w:rsidR="006936DB" w:rsidRPr="00F35FDA" w:rsidRDefault="006936DB" w:rsidP="00F35FDA">
      <w:pPr>
        <w:spacing w:line="360" w:lineRule="auto"/>
        <w:rPr>
          <w:rFonts w:ascii="Arial" w:hAnsi="Arial" w:cs="Arial"/>
          <w:sz w:val="22"/>
          <w:szCs w:val="22"/>
        </w:rPr>
      </w:pPr>
    </w:p>
    <w:p w14:paraId="48A0355B" w14:textId="4E979E8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Šolcová, I., Děchtěrenko, F., Poláčková Šolcová, I., Hofer, J., Busch, H. and Au, A. (202</w:t>
      </w:r>
      <w:r w:rsidR="00190E24">
        <w:rPr>
          <w:rFonts w:ascii="Arial" w:hAnsi="Arial" w:cs="Arial"/>
          <w:sz w:val="22"/>
          <w:szCs w:val="22"/>
        </w:rPr>
        <w:t>1</w:t>
      </w:r>
      <w:r w:rsidRPr="006936DB">
        <w:rPr>
          <w:rFonts w:ascii="Arial" w:hAnsi="Arial" w:cs="Arial"/>
          <w:sz w:val="22"/>
          <w:szCs w:val="22"/>
        </w:rPr>
        <w:t>). Cross-Cultural Examination of University Education and Ego Integrity in Late Adulthood: Implications for Policy and Practice. </w:t>
      </w:r>
      <w:r w:rsidRPr="006936DB">
        <w:rPr>
          <w:rFonts w:ascii="Arial" w:hAnsi="Arial" w:cs="Arial"/>
          <w:i/>
          <w:iCs/>
          <w:sz w:val="22"/>
          <w:szCs w:val="22"/>
        </w:rPr>
        <w:t>Journal of Aging &amp; Social Policy</w:t>
      </w:r>
      <w:r w:rsidRPr="006936DB">
        <w:rPr>
          <w:rFonts w:ascii="Arial" w:hAnsi="Arial" w:cs="Arial"/>
          <w:sz w:val="22"/>
          <w:szCs w:val="22"/>
        </w:rPr>
        <w:t>, pp.1–15. doi:https://doi.org/10.1080/08959420.2020.1722897.</w:t>
      </w:r>
    </w:p>
    <w:p w14:paraId="452BCFCE"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38D514E3" w14:textId="77777777" w:rsidR="006936DB" w:rsidRPr="00F35FDA" w:rsidRDefault="006936DB" w:rsidP="00F35FDA">
      <w:pPr>
        <w:spacing w:line="360" w:lineRule="auto"/>
        <w:rPr>
          <w:rFonts w:ascii="Arial" w:hAnsi="Arial" w:cs="Arial"/>
          <w:sz w:val="22"/>
          <w:szCs w:val="22"/>
        </w:rPr>
      </w:pPr>
    </w:p>
    <w:p w14:paraId="39463464" w14:textId="77777777" w:rsidR="006936DB" w:rsidRPr="00F35FDA" w:rsidRDefault="006936DB" w:rsidP="00F35FDA">
      <w:pPr>
        <w:spacing w:line="360" w:lineRule="auto"/>
        <w:rPr>
          <w:rFonts w:ascii="Arial" w:hAnsi="Arial" w:cs="Arial"/>
          <w:sz w:val="22"/>
          <w:szCs w:val="22"/>
        </w:rPr>
      </w:pPr>
    </w:p>
    <w:p w14:paraId="7D2E7F90"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7B10DB8E"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t>‌</w:t>
      </w:r>
    </w:p>
    <w:p w14:paraId="056534D2" w14:textId="77777777" w:rsidR="006936DB" w:rsidRPr="006936DB" w:rsidRDefault="006936DB" w:rsidP="00F35FDA">
      <w:pPr>
        <w:spacing w:line="360" w:lineRule="auto"/>
        <w:rPr>
          <w:rFonts w:ascii="Arial" w:hAnsi="Arial" w:cs="Arial"/>
          <w:sz w:val="22"/>
          <w:szCs w:val="22"/>
        </w:rPr>
      </w:pPr>
      <w:r w:rsidRPr="006936DB">
        <w:rPr>
          <w:rFonts w:ascii="Arial" w:hAnsi="Arial" w:cs="Arial"/>
          <w:sz w:val="22"/>
          <w:szCs w:val="22"/>
        </w:rPr>
        <w:lastRenderedPageBreak/>
        <w:t>‌</w:t>
      </w:r>
    </w:p>
    <w:p w14:paraId="5040D89F" w14:textId="77777777" w:rsidR="006936DB" w:rsidRPr="00F35FDA" w:rsidRDefault="006936DB" w:rsidP="00F35FDA">
      <w:pPr>
        <w:spacing w:line="360" w:lineRule="auto"/>
        <w:rPr>
          <w:rFonts w:ascii="Arial" w:hAnsi="Arial" w:cs="Arial"/>
          <w:sz w:val="22"/>
          <w:szCs w:val="22"/>
        </w:rPr>
      </w:pPr>
    </w:p>
    <w:sectPr w:rsidR="006936DB" w:rsidRPr="00F35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7BD09" w14:textId="77777777" w:rsidR="0042474F" w:rsidRDefault="0042474F" w:rsidP="00913FF8">
      <w:pPr>
        <w:spacing w:after="0" w:line="240" w:lineRule="auto"/>
      </w:pPr>
      <w:r>
        <w:separator/>
      </w:r>
    </w:p>
  </w:endnote>
  <w:endnote w:type="continuationSeparator" w:id="0">
    <w:p w14:paraId="4745FEA0" w14:textId="77777777" w:rsidR="0042474F" w:rsidRDefault="0042474F" w:rsidP="00913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E8B1D" w14:textId="77777777" w:rsidR="0042474F" w:rsidRDefault="0042474F" w:rsidP="00913FF8">
      <w:pPr>
        <w:spacing w:after="0" w:line="240" w:lineRule="auto"/>
      </w:pPr>
      <w:r>
        <w:separator/>
      </w:r>
    </w:p>
  </w:footnote>
  <w:footnote w:type="continuationSeparator" w:id="0">
    <w:p w14:paraId="6659109A" w14:textId="77777777" w:rsidR="0042474F" w:rsidRDefault="0042474F" w:rsidP="00913F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C31"/>
    <w:rsid w:val="000B43C4"/>
    <w:rsid w:val="001856B7"/>
    <w:rsid w:val="00190E24"/>
    <w:rsid w:val="003037BD"/>
    <w:rsid w:val="0031785C"/>
    <w:rsid w:val="003A25EA"/>
    <w:rsid w:val="0042474F"/>
    <w:rsid w:val="00555C31"/>
    <w:rsid w:val="006432D8"/>
    <w:rsid w:val="006936DB"/>
    <w:rsid w:val="00913FF8"/>
    <w:rsid w:val="00AE36D5"/>
    <w:rsid w:val="00D107C1"/>
    <w:rsid w:val="00D91D54"/>
    <w:rsid w:val="00E30C1B"/>
    <w:rsid w:val="00F35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E70B"/>
  <w15:chartTrackingRefBased/>
  <w15:docId w15:val="{8B4B5E7C-3EF1-4DF7-A69E-4525BC394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C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C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C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C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C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C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C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C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C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C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C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C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C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C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C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C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C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C31"/>
    <w:rPr>
      <w:rFonts w:eastAsiaTheme="majorEastAsia" w:cstheme="majorBidi"/>
      <w:color w:val="272727" w:themeColor="text1" w:themeTint="D8"/>
    </w:rPr>
  </w:style>
  <w:style w:type="paragraph" w:styleId="Title">
    <w:name w:val="Title"/>
    <w:basedOn w:val="Normal"/>
    <w:next w:val="Normal"/>
    <w:link w:val="TitleChar"/>
    <w:uiPriority w:val="10"/>
    <w:qFormat/>
    <w:rsid w:val="00555C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C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C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C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C31"/>
    <w:pPr>
      <w:spacing w:before="160"/>
      <w:jc w:val="center"/>
    </w:pPr>
    <w:rPr>
      <w:i/>
      <w:iCs/>
      <w:color w:val="404040" w:themeColor="text1" w:themeTint="BF"/>
    </w:rPr>
  </w:style>
  <w:style w:type="character" w:customStyle="1" w:styleId="QuoteChar">
    <w:name w:val="Quote Char"/>
    <w:basedOn w:val="DefaultParagraphFont"/>
    <w:link w:val="Quote"/>
    <w:uiPriority w:val="29"/>
    <w:rsid w:val="00555C31"/>
    <w:rPr>
      <w:i/>
      <w:iCs/>
      <w:color w:val="404040" w:themeColor="text1" w:themeTint="BF"/>
    </w:rPr>
  </w:style>
  <w:style w:type="paragraph" w:styleId="ListParagraph">
    <w:name w:val="List Paragraph"/>
    <w:basedOn w:val="Normal"/>
    <w:uiPriority w:val="34"/>
    <w:qFormat/>
    <w:rsid w:val="00555C31"/>
    <w:pPr>
      <w:ind w:left="720"/>
      <w:contextualSpacing/>
    </w:pPr>
  </w:style>
  <w:style w:type="character" w:styleId="IntenseEmphasis">
    <w:name w:val="Intense Emphasis"/>
    <w:basedOn w:val="DefaultParagraphFont"/>
    <w:uiPriority w:val="21"/>
    <w:qFormat/>
    <w:rsid w:val="00555C31"/>
    <w:rPr>
      <w:i/>
      <w:iCs/>
      <w:color w:val="0F4761" w:themeColor="accent1" w:themeShade="BF"/>
    </w:rPr>
  </w:style>
  <w:style w:type="paragraph" w:styleId="IntenseQuote">
    <w:name w:val="Intense Quote"/>
    <w:basedOn w:val="Normal"/>
    <w:next w:val="Normal"/>
    <w:link w:val="IntenseQuoteChar"/>
    <w:uiPriority w:val="30"/>
    <w:qFormat/>
    <w:rsid w:val="00555C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C31"/>
    <w:rPr>
      <w:i/>
      <w:iCs/>
      <w:color w:val="0F4761" w:themeColor="accent1" w:themeShade="BF"/>
    </w:rPr>
  </w:style>
  <w:style w:type="character" w:styleId="IntenseReference">
    <w:name w:val="Intense Reference"/>
    <w:basedOn w:val="DefaultParagraphFont"/>
    <w:uiPriority w:val="32"/>
    <w:qFormat/>
    <w:rsid w:val="00555C31"/>
    <w:rPr>
      <w:b/>
      <w:bCs/>
      <w:smallCaps/>
      <w:color w:val="0F4761" w:themeColor="accent1" w:themeShade="BF"/>
      <w:spacing w:val="5"/>
    </w:rPr>
  </w:style>
  <w:style w:type="paragraph" w:styleId="TOCHeading">
    <w:name w:val="TOC Heading"/>
    <w:basedOn w:val="Heading1"/>
    <w:next w:val="Normal"/>
    <w:uiPriority w:val="39"/>
    <w:unhideWhenUsed/>
    <w:qFormat/>
    <w:rsid w:val="006936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936DB"/>
    <w:pPr>
      <w:spacing w:after="100"/>
    </w:pPr>
  </w:style>
  <w:style w:type="character" w:styleId="Hyperlink">
    <w:name w:val="Hyperlink"/>
    <w:basedOn w:val="DefaultParagraphFont"/>
    <w:uiPriority w:val="99"/>
    <w:unhideWhenUsed/>
    <w:rsid w:val="006936DB"/>
    <w:rPr>
      <w:color w:val="467886" w:themeColor="hyperlink"/>
      <w:u w:val="single"/>
    </w:rPr>
  </w:style>
  <w:style w:type="paragraph" w:styleId="Header">
    <w:name w:val="header"/>
    <w:basedOn w:val="Normal"/>
    <w:link w:val="HeaderChar"/>
    <w:uiPriority w:val="99"/>
    <w:unhideWhenUsed/>
    <w:rsid w:val="00913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FF8"/>
  </w:style>
  <w:style w:type="paragraph" w:styleId="Footer">
    <w:name w:val="footer"/>
    <w:basedOn w:val="Normal"/>
    <w:link w:val="FooterChar"/>
    <w:uiPriority w:val="99"/>
    <w:unhideWhenUsed/>
    <w:rsid w:val="00913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d6084cc925f0898285f54eb142abe8ed">
  <xsd:schema xmlns:xsd="http://www.w3.org/2001/XMLSchema" xmlns:xs="http://www.w3.org/2001/XMLSchema" xmlns:p="http://schemas.microsoft.com/office/2006/metadata/properties" xmlns:ns3="1db24759-c936-4417-b43c-e7856b46dbfa" targetNamespace="http://schemas.microsoft.com/office/2006/metadata/properties" ma:root="true" ma:fieldsID="42c4b47b4a19893d01ec6ddf957dad88"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F2C00-7D91-4B21-B171-D3EA4E9751DD}">
  <ds:schemaRefs>
    <ds:schemaRef ds:uri="http://schemas.microsoft.com/sharepoint/v3/contenttype/forms"/>
  </ds:schemaRefs>
</ds:datastoreItem>
</file>

<file path=customXml/itemProps2.xml><?xml version="1.0" encoding="utf-8"?>
<ds:datastoreItem xmlns:ds="http://schemas.openxmlformats.org/officeDocument/2006/customXml" ds:itemID="{52664116-CB4E-4063-A6AC-98B975B39AF6}">
  <ds:schemaRefs>
    <ds:schemaRef ds:uri="http://schemas.microsoft.com/office/2006/metadata/properties"/>
    <ds:schemaRef ds:uri="http://schemas.microsoft.com/office/infopath/2007/PartnerControls"/>
    <ds:schemaRef ds:uri="1db24759-c936-4417-b43c-e7856b46dbfa"/>
  </ds:schemaRefs>
</ds:datastoreItem>
</file>

<file path=customXml/itemProps3.xml><?xml version="1.0" encoding="utf-8"?>
<ds:datastoreItem xmlns:ds="http://schemas.openxmlformats.org/officeDocument/2006/customXml" ds:itemID="{A3E6ED9B-96ED-446F-A565-EB2D718BE9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96E9A1-CFD8-446B-AF77-AABA85850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9</Pages>
  <Words>1423</Words>
  <Characters>8244</Characters>
  <Application>Microsoft Office Word</Application>
  <DocSecurity>0</DocSecurity>
  <Lines>242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Bianca-Cristiana Ioana (2434786)</dc:creator>
  <cp:keywords/>
  <dc:description/>
  <cp:lastModifiedBy>Bianca-Cristiana Ioana (2434786)</cp:lastModifiedBy>
  <cp:revision>1</cp:revision>
  <dcterms:created xsi:type="dcterms:W3CDTF">2026-03-09T14:47:00Z</dcterms:created>
  <dcterms:modified xsi:type="dcterms:W3CDTF">2026-03-12T14:41:00Z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6b23e066-ac79-4189-a6de-3f00f11cf64c</vt:lpwstr>
  </property>
  <property fmtid="{D5CDD505-2E9C-101B-9397-08002B2CF9AE}" pid="3" name="ContentTypeId">
    <vt:lpwstr>0x010100BED00E2095EE4341B6EDA34AD6B58574</vt:lpwstr>
  </property>
</Properties>
</file>