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F59F3" w14:textId="31092219" w:rsidR="00CE135B" w:rsidRPr="007737DC" w:rsidRDefault="00B924B9" w:rsidP="00CE135B">
      <w:pPr>
        <w:rPr>
          <w:rFonts w:ascii="Arial" w:hAnsi="Arial" w:cs="Arial"/>
          <w:sz w:val="22"/>
          <w:szCs w:val="22"/>
        </w:rPr>
      </w:pPr>
      <w:r w:rsidRPr="007737DC">
        <w:rPr>
          <w:rFonts w:ascii="Arial" w:hAnsi="Arial" w:cs="Arial"/>
          <w:sz w:val="22"/>
          <w:szCs w:val="22"/>
        </w:rPr>
        <w:t xml:space="preserve">                                          </w:t>
      </w:r>
      <w:r w:rsidR="00CE135B" w:rsidRPr="007737DC">
        <w:rPr>
          <w:rFonts w:ascii="Arial" w:hAnsi="Arial" w:cs="Arial"/>
          <w:noProof/>
          <w:sz w:val="22"/>
          <w:szCs w:val="22"/>
        </w:rPr>
        <w:drawing>
          <wp:inline distT="0" distB="0" distL="0" distR="0" wp14:anchorId="32BDB978" wp14:editId="3380FE38">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7F5A858E" w14:textId="77777777" w:rsidR="00CE135B" w:rsidRPr="007737DC" w:rsidRDefault="00CE135B" w:rsidP="00CE135B">
      <w:pPr>
        <w:rPr>
          <w:rFonts w:ascii="Arial" w:hAnsi="Arial" w:cs="Arial"/>
          <w:sz w:val="22"/>
          <w:szCs w:val="22"/>
        </w:rPr>
      </w:pPr>
    </w:p>
    <w:p w14:paraId="4EC2A753" w14:textId="77777777" w:rsidR="00CE135B" w:rsidRPr="007737DC" w:rsidRDefault="00CE135B" w:rsidP="00CE135B">
      <w:pPr>
        <w:rPr>
          <w:rFonts w:ascii="Arial" w:hAnsi="Arial" w:cs="Arial"/>
          <w:sz w:val="22"/>
          <w:szCs w:val="22"/>
        </w:rPr>
      </w:pPr>
    </w:p>
    <w:p w14:paraId="1C99F60B" w14:textId="77777777" w:rsidR="00CE135B" w:rsidRPr="007737DC" w:rsidRDefault="00CE135B" w:rsidP="00CE135B">
      <w:pPr>
        <w:rPr>
          <w:rFonts w:ascii="Arial" w:hAnsi="Arial" w:cs="Arial"/>
          <w:sz w:val="22"/>
          <w:szCs w:val="22"/>
        </w:rPr>
      </w:pPr>
    </w:p>
    <w:p w14:paraId="5980C422" w14:textId="77777777" w:rsidR="00CE135B" w:rsidRPr="007737DC" w:rsidRDefault="00CE135B" w:rsidP="00CE135B">
      <w:pPr>
        <w:rPr>
          <w:rFonts w:ascii="Arial" w:hAnsi="Arial" w:cs="Arial"/>
          <w:sz w:val="22"/>
          <w:szCs w:val="22"/>
        </w:rPr>
      </w:pPr>
    </w:p>
    <w:p w14:paraId="3BF138C6" w14:textId="77777777" w:rsidR="00CE135B" w:rsidRPr="007737DC" w:rsidRDefault="00CE135B" w:rsidP="00CE135B">
      <w:pPr>
        <w:rPr>
          <w:rFonts w:ascii="Arial" w:hAnsi="Arial" w:cs="Arial"/>
          <w:sz w:val="22"/>
          <w:szCs w:val="22"/>
        </w:rPr>
      </w:pPr>
    </w:p>
    <w:p w14:paraId="301BD767" w14:textId="77777777" w:rsidR="00CE135B" w:rsidRPr="007737DC" w:rsidRDefault="00CE135B" w:rsidP="00CE135B">
      <w:pPr>
        <w:rPr>
          <w:rFonts w:ascii="Arial" w:hAnsi="Arial" w:cs="Arial"/>
          <w:sz w:val="22"/>
          <w:szCs w:val="22"/>
        </w:rPr>
      </w:pPr>
    </w:p>
    <w:p w14:paraId="37234B3B" w14:textId="77777777" w:rsidR="00CE135B" w:rsidRPr="007737DC" w:rsidRDefault="00CE135B" w:rsidP="00CE135B">
      <w:pPr>
        <w:rPr>
          <w:rFonts w:ascii="Arial" w:hAnsi="Arial" w:cs="Arial"/>
          <w:sz w:val="22"/>
          <w:szCs w:val="22"/>
        </w:rPr>
      </w:pPr>
    </w:p>
    <w:p w14:paraId="6009F4D7" w14:textId="77777777" w:rsidR="00CE135B" w:rsidRPr="007737DC" w:rsidRDefault="00CE135B" w:rsidP="00CE135B">
      <w:pPr>
        <w:rPr>
          <w:rFonts w:ascii="Arial" w:hAnsi="Arial" w:cs="Arial"/>
          <w:sz w:val="22"/>
          <w:szCs w:val="22"/>
        </w:rPr>
      </w:pPr>
    </w:p>
    <w:p w14:paraId="7902D736" w14:textId="768AF2F5"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Name: </w:t>
      </w:r>
      <w:r w:rsidR="008C278E" w:rsidRPr="007737DC">
        <w:rPr>
          <w:rFonts w:ascii="Arial" w:hAnsi="Arial" w:cs="Arial"/>
          <w:b/>
          <w:bCs/>
          <w:sz w:val="22"/>
          <w:szCs w:val="22"/>
        </w:rPr>
        <w:t>Mehmed Mustafov</w:t>
      </w:r>
    </w:p>
    <w:p w14:paraId="7D071D29" w14:textId="2B6F7DC9"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Student ID: </w:t>
      </w:r>
      <w:r w:rsidR="008C278E" w:rsidRPr="007737DC">
        <w:rPr>
          <w:rFonts w:ascii="Arial" w:hAnsi="Arial" w:cs="Arial"/>
          <w:b/>
          <w:bCs/>
          <w:sz w:val="22"/>
          <w:szCs w:val="22"/>
        </w:rPr>
        <w:t>2021797</w:t>
      </w:r>
    </w:p>
    <w:p w14:paraId="14F6B97D" w14:textId="4FB85500"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Module Code: </w:t>
      </w:r>
      <w:r w:rsidR="008C66BD" w:rsidRPr="007737DC">
        <w:rPr>
          <w:rFonts w:ascii="Arial" w:hAnsi="Arial" w:cs="Arial"/>
          <w:b/>
          <w:sz w:val="22"/>
          <w:szCs w:val="22"/>
        </w:rPr>
        <w:t>LCHS4008</w:t>
      </w:r>
    </w:p>
    <w:p w14:paraId="5836B32C" w14:textId="169AB6D9"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Module: </w:t>
      </w:r>
      <w:r w:rsidR="008C66BD" w:rsidRPr="007737DC">
        <w:rPr>
          <w:rFonts w:ascii="Arial" w:hAnsi="Arial" w:cs="Arial"/>
          <w:b/>
          <w:sz w:val="22"/>
          <w:szCs w:val="22"/>
        </w:rPr>
        <w:t>Introduction to Public Health</w:t>
      </w:r>
    </w:p>
    <w:p w14:paraId="458472C1" w14:textId="18F26129"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Assignment Title: </w:t>
      </w:r>
      <w:r w:rsidR="008C66BD" w:rsidRPr="007737DC">
        <w:rPr>
          <w:rFonts w:ascii="Arial" w:hAnsi="Arial" w:cs="Arial"/>
          <w:b/>
          <w:bCs/>
          <w:spacing w:val="-2"/>
          <w:sz w:val="22"/>
          <w:szCs w:val="22"/>
        </w:rPr>
        <w:t>Report on a Health Issue</w:t>
      </w:r>
    </w:p>
    <w:p w14:paraId="053332CE" w14:textId="2A20FF5A" w:rsidR="00CE135B" w:rsidRPr="007737DC" w:rsidRDefault="00CE135B" w:rsidP="00CE135B">
      <w:pPr>
        <w:jc w:val="center"/>
        <w:rPr>
          <w:rFonts w:ascii="Arial" w:hAnsi="Arial" w:cs="Arial"/>
          <w:b/>
          <w:bCs/>
          <w:sz w:val="22"/>
          <w:szCs w:val="22"/>
        </w:rPr>
      </w:pPr>
      <w:r w:rsidRPr="007737DC">
        <w:rPr>
          <w:rFonts w:ascii="Arial" w:hAnsi="Arial" w:cs="Arial"/>
          <w:b/>
          <w:bCs/>
          <w:sz w:val="22"/>
          <w:szCs w:val="22"/>
        </w:rPr>
        <w:t xml:space="preserve">Lecturer: </w:t>
      </w:r>
      <w:r w:rsidR="008C278E" w:rsidRPr="007737DC">
        <w:rPr>
          <w:rFonts w:ascii="Arial" w:hAnsi="Arial" w:cs="Arial"/>
          <w:b/>
          <w:bCs/>
          <w:sz w:val="22"/>
          <w:szCs w:val="22"/>
        </w:rPr>
        <w:t>Tsiwani Khumalo</w:t>
      </w:r>
    </w:p>
    <w:p w14:paraId="1830B067" w14:textId="77777777" w:rsidR="00CE135B" w:rsidRPr="007737DC" w:rsidRDefault="00CE135B" w:rsidP="00CE135B">
      <w:pPr>
        <w:rPr>
          <w:rFonts w:ascii="Arial" w:hAnsi="Arial" w:cs="Arial"/>
          <w:b/>
          <w:bCs/>
          <w:sz w:val="22"/>
          <w:szCs w:val="22"/>
        </w:rPr>
      </w:pPr>
    </w:p>
    <w:p w14:paraId="1EEC0F4D" w14:textId="77777777" w:rsidR="00CE135B" w:rsidRPr="007737DC" w:rsidRDefault="00CE135B" w:rsidP="00CE135B">
      <w:pPr>
        <w:rPr>
          <w:rFonts w:ascii="Arial" w:hAnsi="Arial" w:cs="Arial"/>
          <w:b/>
          <w:bCs/>
          <w:sz w:val="22"/>
          <w:szCs w:val="22"/>
        </w:rPr>
      </w:pPr>
    </w:p>
    <w:p w14:paraId="6113B312" w14:textId="77777777" w:rsidR="00CE135B" w:rsidRPr="007737DC" w:rsidRDefault="00CE135B" w:rsidP="00CE135B">
      <w:pPr>
        <w:rPr>
          <w:rFonts w:ascii="Arial" w:hAnsi="Arial" w:cs="Arial"/>
          <w:b/>
          <w:bCs/>
          <w:sz w:val="22"/>
          <w:szCs w:val="22"/>
        </w:rPr>
      </w:pPr>
    </w:p>
    <w:p w14:paraId="4BC998EC" w14:textId="77777777" w:rsidR="00CE135B" w:rsidRPr="007737DC" w:rsidRDefault="00CE135B" w:rsidP="00CE135B">
      <w:pPr>
        <w:rPr>
          <w:rFonts w:ascii="Arial" w:hAnsi="Arial" w:cs="Arial"/>
          <w:b/>
          <w:bCs/>
          <w:sz w:val="22"/>
          <w:szCs w:val="22"/>
        </w:rPr>
      </w:pPr>
    </w:p>
    <w:p w14:paraId="0FFC7858" w14:textId="77777777" w:rsidR="00CE135B" w:rsidRPr="007737DC" w:rsidRDefault="00CE135B" w:rsidP="00CE135B">
      <w:pPr>
        <w:rPr>
          <w:rFonts w:ascii="Arial" w:hAnsi="Arial" w:cs="Arial"/>
          <w:b/>
          <w:bCs/>
          <w:sz w:val="22"/>
          <w:szCs w:val="22"/>
        </w:rPr>
      </w:pPr>
    </w:p>
    <w:p w14:paraId="63A17CF1" w14:textId="77777777" w:rsidR="00CE135B" w:rsidRPr="007737DC" w:rsidRDefault="00CE135B" w:rsidP="00CE135B">
      <w:pPr>
        <w:rPr>
          <w:rFonts w:ascii="Arial" w:hAnsi="Arial" w:cs="Arial"/>
          <w:b/>
          <w:bCs/>
          <w:sz w:val="22"/>
          <w:szCs w:val="22"/>
        </w:rPr>
      </w:pPr>
    </w:p>
    <w:p w14:paraId="45431380" w14:textId="77777777" w:rsidR="00CE135B" w:rsidRPr="007737DC" w:rsidRDefault="00CE135B" w:rsidP="00CE135B">
      <w:pPr>
        <w:rPr>
          <w:rFonts w:ascii="Arial" w:hAnsi="Arial" w:cs="Arial"/>
          <w:b/>
          <w:bCs/>
          <w:sz w:val="22"/>
          <w:szCs w:val="22"/>
        </w:rPr>
      </w:pPr>
    </w:p>
    <w:p w14:paraId="394FE932" w14:textId="77777777" w:rsidR="00CE135B" w:rsidRPr="007737DC" w:rsidRDefault="00CE135B" w:rsidP="00CE135B">
      <w:pPr>
        <w:rPr>
          <w:rFonts w:ascii="Arial" w:hAnsi="Arial" w:cs="Arial"/>
          <w:b/>
          <w:bCs/>
          <w:sz w:val="22"/>
          <w:szCs w:val="22"/>
        </w:rPr>
      </w:pPr>
    </w:p>
    <w:p w14:paraId="49B1F8E2" w14:textId="77777777" w:rsidR="00CE135B" w:rsidRPr="007737DC" w:rsidRDefault="00CE135B" w:rsidP="00CE135B">
      <w:pPr>
        <w:rPr>
          <w:rFonts w:ascii="Arial" w:hAnsi="Arial" w:cs="Arial"/>
          <w:b/>
          <w:bCs/>
          <w:sz w:val="22"/>
          <w:szCs w:val="22"/>
        </w:rPr>
      </w:pPr>
    </w:p>
    <w:p w14:paraId="4BA5C826" w14:textId="14523185" w:rsidR="00CE135B" w:rsidRPr="007737DC" w:rsidRDefault="00CE135B" w:rsidP="00CE135B">
      <w:pPr>
        <w:rPr>
          <w:rFonts w:ascii="Arial" w:hAnsi="Arial" w:cs="Arial"/>
          <w:b/>
          <w:bCs/>
          <w:sz w:val="22"/>
          <w:szCs w:val="22"/>
        </w:rPr>
      </w:pPr>
      <w:r w:rsidRPr="007737DC">
        <w:rPr>
          <w:rFonts w:ascii="Arial" w:hAnsi="Arial" w:cs="Arial"/>
          <w:b/>
          <w:bCs/>
          <w:sz w:val="22"/>
          <w:szCs w:val="22"/>
        </w:rPr>
        <w:tab/>
      </w:r>
      <w:r w:rsidRPr="007737DC">
        <w:rPr>
          <w:rFonts w:ascii="Arial" w:hAnsi="Arial" w:cs="Arial"/>
          <w:b/>
          <w:bCs/>
          <w:sz w:val="22"/>
          <w:szCs w:val="22"/>
        </w:rPr>
        <w:tab/>
      </w:r>
      <w:r w:rsidRPr="007737DC">
        <w:rPr>
          <w:rFonts w:ascii="Arial" w:hAnsi="Arial" w:cs="Arial"/>
          <w:b/>
          <w:bCs/>
          <w:sz w:val="22"/>
          <w:szCs w:val="22"/>
        </w:rPr>
        <w:tab/>
      </w:r>
      <w:r w:rsidRPr="007737DC">
        <w:rPr>
          <w:rFonts w:ascii="Arial" w:hAnsi="Arial" w:cs="Arial"/>
          <w:b/>
          <w:bCs/>
          <w:sz w:val="22"/>
          <w:szCs w:val="22"/>
        </w:rPr>
        <w:tab/>
        <w:t>Submitted on:</w:t>
      </w:r>
      <w:r w:rsidR="008C66BD" w:rsidRPr="007737DC">
        <w:rPr>
          <w:rFonts w:ascii="Arial" w:hAnsi="Arial" w:cs="Arial"/>
          <w:b/>
          <w:bCs/>
          <w:sz w:val="22"/>
          <w:szCs w:val="22"/>
        </w:rPr>
        <w:t xml:space="preserve"> 2</w:t>
      </w:r>
      <w:r w:rsidR="008C278E" w:rsidRPr="007737DC">
        <w:rPr>
          <w:rFonts w:ascii="Arial" w:hAnsi="Arial" w:cs="Arial"/>
          <w:b/>
          <w:bCs/>
          <w:sz w:val="22"/>
          <w:szCs w:val="22"/>
        </w:rPr>
        <w:t>0</w:t>
      </w:r>
      <w:r w:rsidR="008C66BD" w:rsidRPr="007737DC">
        <w:rPr>
          <w:rFonts w:ascii="Arial" w:hAnsi="Arial" w:cs="Arial"/>
          <w:b/>
          <w:bCs/>
          <w:sz w:val="22"/>
          <w:szCs w:val="22"/>
        </w:rPr>
        <w:t>/07</w:t>
      </w:r>
      <w:r w:rsidRPr="007737DC">
        <w:rPr>
          <w:rFonts w:ascii="Arial" w:hAnsi="Arial" w:cs="Arial"/>
          <w:b/>
          <w:bCs/>
          <w:sz w:val="22"/>
          <w:szCs w:val="22"/>
        </w:rPr>
        <w:t>/2026</w:t>
      </w:r>
    </w:p>
    <w:p w14:paraId="31FC2FAC" w14:textId="77777777" w:rsidR="00CE135B" w:rsidRPr="007737DC" w:rsidRDefault="00CE135B" w:rsidP="00CE135B">
      <w:pPr>
        <w:rPr>
          <w:rFonts w:ascii="Arial" w:hAnsi="Arial" w:cs="Arial"/>
        </w:rPr>
      </w:pPr>
    </w:p>
    <w:p w14:paraId="241EE932" w14:textId="77777777" w:rsidR="00EA3964" w:rsidRPr="007737DC" w:rsidRDefault="00EA3964" w:rsidP="00813166">
      <w:pPr>
        <w:spacing w:line="360" w:lineRule="auto"/>
        <w:rPr>
          <w:rFonts w:ascii="Arial" w:hAnsi="Arial" w:cs="Arial"/>
          <w:b/>
          <w:bCs/>
          <w:sz w:val="28"/>
          <w:szCs w:val="28"/>
        </w:rPr>
      </w:pPr>
    </w:p>
    <w:sdt>
      <w:sdtPr>
        <w:rPr>
          <w:rFonts w:ascii="Arial" w:eastAsiaTheme="minorHAnsi" w:hAnsi="Arial" w:cs="Arial"/>
          <w:spacing w:val="0"/>
          <w:kern w:val="2"/>
          <w:sz w:val="24"/>
          <w:szCs w:val="24"/>
        </w:rPr>
        <w:id w:val="-951791415"/>
        <w:docPartObj>
          <w:docPartGallery w:val="Table of Contents"/>
          <w:docPartUnique/>
        </w:docPartObj>
      </w:sdtPr>
      <w:sdtEndPr>
        <w:rPr>
          <w:b/>
          <w:bCs/>
        </w:rPr>
      </w:sdtEndPr>
      <w:sdtContent>
        <w:p w14:paraId="6F9CC0CD" w14:textId="22B8622E" w:rsidR="001905E3" w:rsidRPr="007737DC" w:rsidRDefault="00813166" w:rsidP="001905E3">
          <w:pPr>
            <w:pStyle w:val="Title"/>
            <w:jc w:val="center"/>
            <w:rPr>
              <w:rFonts w:ascii="Arial" w:hAnsi="Arial" w:cs="Arial"/>
              <w:sz w:val="32"/>
              <w:szCs w:val="32"/>
            </w:rPr>
          </w:pPr>
          <w:r w:rsidRPr="007737DC">
            <w:rPr>
              <w:rFonts w:ascii="Arial" w:hAnsi="Arial" w:cs="Arial"/>
              <w:sz w:val="32"/>
              <w:szCs w:val="32"/>
            </w:rPr>
            <w:t>Table of Contents</w:t>
          </w:r>
          <w:r w:rsidR="001905E3" w:rsidRPr="007737DC">
            <w:rPr>
              <w:rFonts w:ascii="Arial" w:hAnsi="Arial" w:cs="Arial"/>
            </w:rPr>
            <w:br/>
          </w:r>
          <w:r w:rsidR="001905E3" w:rsidRPr="007737DC">
            <w:rPr>
              <w:rFonts w:ascii="Arial" w:hAnsi="Arial" w:cs="Arial"/>
            </w:rPr>
            <w:br/>
          </w:r>
          <w:r w:rsidR="001905E3" w:rsidRPr="007737DC">
            <w:rPr>
              <w:rFonts w:ascii="Arial" w:hAnsi="Arial" w:cs="Arial"/>
              <w:sz w:val="32"/>
              <w:szCs w:val="32"/>
            </w:rPr>
            <w:t>Report on a Health Issue: Polio</w:t>
          </w:r>
        </w:p>
        <w:p w14:paraId="25088B7B" w14:textId="6B9D59F4" w:rsidR="00813166" w:rsidRPr="007737DC" w:rsidRDefault="00813166">
          <w:pPr>
            <w:pStyle w:val="TOCHeading"/>
            <w:rPr>
              <w:rFonts w:ascii="Arial" w:hAnsi="Arial" w:cs="Arial"/>
            </w:rPr>
          </w:pPr>
        </w:p>
        <w:p w14:paraId="49515A1D" w14:textId="01ACF7BD" w:rsidR="002641DE" w:rsidRPr="002641DE" w:rsidRDefault="00813166">
          <w:pPr>
            <w:pStyle w:val="TOC1"/>
            <w:rPr>
              <w:rFonts w:asciiTheme="minorHAnsi" w:eastAsiaTheme="minorEastAsia" w:hAnsiTheme="minorHAnsi" w:cstheme="minorBidi"/>
              <w:sz w:val="22"/>
              <w:szCs w:val="22"/>
              <w:lang w:eastAsia="en-GB"/>
            </w:rPr>
          </w:pPr>
          <w:r w:rsidRPr="007737DC">
            <w:fldChar w:fldCharType="begin"/>
          </w:r>
          <w:r w:rsidRPr="007737DC">
            <w:instrText xml:space="preserve"> TOC \o "1-3" \h \z \u </w:instrText>
          </w:r>
          <w:r w:rsidRPr="007737DC">
            <w:fldChar w:fldCharType="separate"/>
          </w:r>
          <w:hyperlink w:anchor="_Toc235436938" w:history="1">
            <w:r w:rsidR="002641DE" w:rsidRPr="002641DE">
              <w:rPr>
                <w:rStyle w:val="Hyperlink"/>
                <w:sz w:val="22"/>
                <w:szCs w:val="22"/>
              </w:rPr>
              <w:t>Summary</w:t>
            </w:r>
            <w:r w:rsidR="002641DE" w:rsidRPr="002641DE">
              <w:rPr>
                <w:webHidden/>
                <w:sz w:val="22"/>
                <w:szCs w:val="22"/>
              </w:rPr>
              <w:tab/>
            </w:r>
            <w:r w:rsidR="002641DE" w:rsidRPr="002641DE">
              <w:rPr>
                <w:webHidden/>
                <w:sz w:val="22"/>
                <w:szCs w:val="22"/>
              </w:rPr>
              <w:fldChar w:fldCharType="begin"/>
            </w:r>
            <w:r w:rsidR="002641DE" w:rsidRPr="002641DE">
              <w:rPr>
                <w:webHidden/>
                <w:sz w:val="22"/>
                <w:szCs w:val="22"/>
              </w:rPr>
              <w:instrText xml:space="preserve"> PAGEREF _Toc235436938 \h </w:instrText>
            </w:r>
            <w:r w:rsidR="002641DE" w:rsidRPr="002641DE">
              <w:rPr>
                <w:webHidden/>
                <w:sz w:val="22"/>
                <w:szCs w:val="22"/>
              </w:rPr>
            </w:r>
            <w:r w:rsidR="002641DE" w:rsidRPr="002641DE">
              <w:rPr>
                <w:webHidden/>
                <w:sz w:val="22"/>
                <w:szCs w:val="22"/>
              </w:rPr>
              <w:fldChar w:fldCharType="separate"/>
            </w:r>
            <w:r w:rsidR="002641DE" w:rsidRPr="002641DE">
              <w:rPr>
                <w:webHidden/>
                <w:sz w:val="22"/>
                <w:szCs w:val="22"/>
              </w:rPr>
              <w:t>3</w:t>
            </w:r>
            <w:r w:rsidR="002641DE" w:rsidRPr="002641DE">
              <w:rPr>
                <w:webHidden/>
                <w:sz w:val="22"/>
                <w:szCs w:val="22"/>
              </w:rPr>
              <w:fldChar w:fldCharType="end"/>
            </w:r>
          </w:hyperlink>
        </w:p>
        <w:p w14:paraId="50FADE87" w14:textId="593A6D97" w:rsidR="002641DE" w:rsidRPr="002641DE" w:rsidRDefault="002641DE">
          <w:pPr>
            <w:pStyle w:val="TOC1"/>
            <w:rPr>
              <w:rFonts w:asciiTheme="minorHAnsi" w:eastAsiaTheme="minorEastAsia" w:hAnsiTheme="minorHAnsi" w:cstheme="minorBidi"/>
              <w:sz w:val="22"/>
              <w:szCs w:val="22"/>
              <w:lang w:eastAsia="en-GB"/>
            </w:rPr>
          </w:pPr>
          <w:hyperlink w:anchor="_Toc235436939" w:history="1">
            <w:r w:rsidRPr="002641DE">
              <w:rPr>
                <w:rStyle w:val="Hyperlink"/>
                <w:sz w:val="22"/>
                <w:szCs w:val="22"/>
              </w:rPr>
              <w:t>Introduction</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_Toc235436939 \h </w:instrText>
            </w:r>
            <w:r w:rsidRPr="002641DE">
              <w:rPr>
                <w:webHidden/>
                <w:sz w:val="22"/>
                <w:szCs w:val="22"/>
              </w:rPr>
            </w:r>
            <w:r w:rsidRPr="002641DE">
              <w:rPr>
                <w:webHidden/>
                <w:sz w:val="22"/>
                <w:szCs w:val="22"/>
              </w:rPr>
              <w:fldChar w:fldCharType="separate"/>
            </w:r>
            <w:r w:rsidRPr="002641DE">
              <w:rPr>
                <w:webHidden/>
                <w:sz w:val="22"/>
                <w:szCs w:val="22"/>
              </w:rPr>
              <w:t>4</w:t>
            </w:r>
            <w:r w:rsidRPr="002641DE">
              <w:rPr>
                <w:webHidden/>
                <w:sz w:val="22"/>
                <w:szCs w:val="22"/>
              </w:rPr>
              <w:fldChar w:fldCharType="end"/>
            </w:r>
          </w:hyperlink>
        </w:p>
        <w:p w14:paraId="4337D2A2" w14:textId="416DCF18" w:rsidR="002641DE" w:rsidRPr="002641DE" w:rsidRDefault="002641DE">
          <w:pPr>
            <w:pStyle w:val="TOC1"/>
            <w:rPr>
              <w:rFonts w:asciiTheme="minorHAnsi" w:eastAsiaTheme="minorEastAsia" w:hAnsiTheme="minorHAnsi" w:cstheme="minorBidi"/>
              <w:sz w:val="22"/>
              <w:szCs w:val="22"/>
              <w:lang w:eastAsia="en-GB"/>
            </w:rPr>
          </w:pPr>
          <w:hyperlink w:anchor="_Toc235436940" w:history="1">
            <w:r w:rsidRPr="002641DE">
              <w:rPr>
                <w:rStyle w:val="Hyperlink"/>
                <w:sz w:val="22"/>
                <w:szCs w:val="22"/>
              </w:rPr>
              <w:t>Definition, Symptoms and Incidence</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_Toc235436940 \h </w:instrText>
            </w:r>
            <w:r w:rsidRPr="002641DE">
              <w:rPr>
                <w:webHidden/>
                <w:sz w:val="22"/>
                <w:szCs w:val="22"/>
              </w:rPr>
            </w:r>
            <w:r w:rsidRPr="002641DE">
              <w:rPr>
                <w:webHidden/>
                <w:sz w:val="22"/>
                <w:szCs w:val="22"/>
              </w:rPr>
              <w:fldChar w:fldCharType="separate"/>
            </w:r>
            <w:r w:rsidRPr="002641DE">
              <w:rPr>
                <w:webHidden/>
                <w:sz w:val="22"/>
                <w:szCs w:val="22"/>
              </w:rPr>
              <w:t>4</w:t>
            </w:r>
            <w:r w:rsidRPr="002641DE">
              <w:rPr>
                <w:webHidden/>
                <w:sz w:val="22"/>
                <w:szCs w:val="22"/>
              </w:rPr>
              <w:fldChar w:fldCharType="end"/>
            </w:r>
          </w:hyperlink>
        </w:p>
        <w:p w14:paraId="4F9878C7" w14:textId="404390F4" w:rsidR="002641DE" w:rsidRPr="002641DE" w:rsidRDefault="002641DE">
          <w:pPr>
            <w:pStyle w:val="TOC1"/>
            <w:rPr>
              <w:rFonts w:asciiTheme="minorHAnsi" w:eastAsiaTheme="minorEastAsia" w:hAnsiTheme="minorHAnsi" w:cstheme="minorBidi"/>
              <w:sz w:val="22"/>
              <w:szCs w:val="22"/>
              <w:lang w:eastAsia="en-GB"/>
            </w:rPr>
          </w:pPr>
          <w:hyperlink w:anchor="_Toc235436941" w:history="1">
            <w:r w:rsidRPr="002641DE">
              <w:rPr>
                <w:rStyle w:val="Hyperlink"/>
                <w:sz w:val="22"/>
                <w:szCs w:val="22"/>
              </w:rPr>
              <w:t>Measuring and Monitoring Polio</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_Toc235436941 \h </w:instrText>
            </w:r>
            <w:r w:rsidRPr="002641DE">
              <w:rPr>
                <w:webHidden/>
                <w:sz w:val="22"/>
                <w:szCs w:val="22"/>
              </w:rPr>
            </w:r>
            <w:r w:rsidRPr="002641DE">
              <w:rPr>
                <w:webHidden/>
                <w:sz w:val="22"/>
                <w:szCs w:val="22"/>
              </w:rPr>
              <w:fldChar w:fldCharType="separate"/>
            </w:r>
            <w:r w:rsidRPr="002641DE">
              <w:rPr>
                <w:webHidden/>
                <w:sz w:val="22"/>
                <w:szCs w:val="22"/>
              </w:rPr>
              <w:t>5</w:t>
            </w:r>
            <w:r w:rsidRPr="002641DE">
              <w:rPr>
                <w:webHidden/>
                <w:sz w:val="22"/>
                <w:szCs w:val="22"/>
              </w:rPr>
              <w:fldChar w:fldCharType="end"/>
            </w:r>
          </w:hyperlink>
        </w:p>
        <w:p w14:paraId="275E41A9" w14:textId="1744DCB4" w:rsidR="002641DE" w:rsidRPr="002641DE" w:rsidRDefault="002641DE">
          <w:pPr>
            <w:pStyle w:val="TOC1"/>
            <w:rPr>
              <w:rFonts w:asciiTheme="minorHAnsi" w:eastAsiaTheme="minorEastAsia" w:hAnsiTheme="minorHAnsi" w:cstheme="minorBidi"/>
              <w:sz w:val="22"/>
              <w:szCs w:val="22"/>
              <w:lang w:eastAsia="en-GB"/>
            </w:rPr>
          </w:pPr>
          <w:hyperlink w:anchor="_Toc235436942" w:history="1">
            <w:r w:rsidRPr="002641DE">
              <w:rPr>
                <w:rStyle w:val="Hyperlink"/>
                <w:sz w:val="22"/>
                <w:szCs w:val="22"/>
              </w:rPr>
              <w:t>Public Health Approaches to Controlling Polio</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_Toc235436942 \h </w:instrText>
            </w:r>
            <w:r w:rsidRPr="002641DE">
              <w:rPr>
                <w:webHidden/>
                <w:sz w:val="22"/>
                <w:szCs w:val="22"/>
              </w:rPr>
            </w:r>
            <w:r w:rsidRPr="002641DE">
              <w:rPr>
                <w:webHidden/>
                <w:sz w:val="22"/>
                <w:szCs w:val="22"/>
              </w:rPr>
              <w:fldChar w:fldCharType="separate"/>
            </w:r>
            <w:r w:rsidRPr="002641DE">
              <w:rPr>
                <w:webHidden/>
                <w:sz w:val="22"/>
                <w:szCs w:val="22"/>
              </w:rPr>
              <w:t>5</w:t>
            </w:r>
            <w:r w:rsidRPr="002641DE">
              <w:rPr>
                <w:webHidden/>
                <w:sz w:val="22"/>
                <w:szCs w:val="22"/>
              </w:rPr>
              <w:fldChar w:fldCharType="end"/>
            </w:r>
          </w:hyperlink>
        </w:p>
        <w:p w14:paraId="6609C24A" w14:textId="1EFAA786" w:rsidR="002641DE" w:rsidRPr="002641DE" w:rsidRDefault="002641DE">
          <w:pPr>
            <w:pStyle w:val="TOC1"/>
            <w:rPr>
              <w:rFonts w:asciiTheme="minorHAnsi" w:eastAsiaTheme="minorEastAsia" w:hAnsiTheme="minorHAnsi" w:cstheme="minorBidi"/>
              <w:sz w:val="22"/>
              <w:szCs w:val="22"/>
              <w:lang w:eastAsia="en-GB"/>
            </w:rPr>
          </w:pPr>
          <w:hyperlink w:anchor="_Toc235436943" w:history="1">
            <w:r w:rsidRPr="002641DE">
              <w:rPr>
                <w:rStyle w:val="Hyperlink"/>
                <w:sz w:val="22"/>
                <w:szCs w:val="22"/>
              </w:rPr>
              <w:t>Consequences of Polio for Individuals and Communities</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_Toc235436943 \h </w:instrText>
            </w:r>
            <w:r w:rsidRPr="002641DE">
              <w:rPr>
                <w:webHidden/>
                <w:sz w:val="22"/>
                <w:szCs w:val="22"/>
              </w:rPr>
            </w:r>
            <w:r w:rsidRPr="002641DE">
              <w:rPr>
                <w:webHidden/>
                <w:sz w:val="22"/>
                <w:szCs w:val="22"/>
              </w:rPr>
              <w:fldChar w:fldCharType="separate"/>
            </w:r>
            <w:r w:rsidRPr="002641DE">
              <w:rPr>
                <w:webHidden/>
                <w:sz w:val="22"/>
                <w:szCs w:val="22"/>
              </w:rPr>
              <w:t>6</w:t>
            </w:r>
            <w:r w:rsidRPr="002641DE">
              <w:rPr>
                <w:webHidden/>
                <w:sz w:val="22"/>
                <w:szCs w:val="22"/>
              </w:rPr>
              <w:fldChar w:fldCharType="end"/>
            </w:r>
          </w:hyperlink>
        </w:p>
        <w:p w14:paraId="1F6F7F2E" w14:textId="5124A4C4" w:rsidR="002641DE" w:rsidRPr="002641DE" w:rsidRDefault="002641DE">
          <w:pPr>
            <w:pStyle w:val="TOC1"/>
            <w:rPr>
              <w:rFonts w:asciiTheme="minorHAnsi" w:eastAsiaTheme="minorEastAsia" w:hAnsiTheme="minorHAnsi" w:cstheme="minorBidi"/>
              <w:sz w:val="22"/>
              <w:szCs w:val="22"/>
              <w:lang w:eastAsia="en-GB"/>
            </w:rPr>
          </w:pPr>
          <w:hyperlink w:anchor="_Toc235436944" w:history="1">
            <w:r w:rsidRPr="002641DE">
              <w:rPr>
                <w:rStyle w:val="Hyperlink"/>
                <w:sz w:val="22"/>
                <w:szCs w:val="22"/>
              </w:rPr>
              <w:t>Health and Social Care Support for People Affected by Polio</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_Toc235436944 \h </w:instrText>
            </w:r>
            <w:r w:rsidRPr="002641DE">
              <w:rPr>
                <w:webHidden/>
                <w:sz w:val="22"/>
                <w:szCs w:val="22"/>
              </w:rPr>
            </w:r>
            <w:r w:rsidRPr="002641DE">
              <w:rPr>
                <w:webHidden/>
                <w:sz w:val="22"/>
                <w:szCs w:val="22"/>
              </w:rPr>
              <w:fldChar w:fldCharType="separate"/>
            </w:r>
            <w:r w:rsidRPr="002641DE">
              <w:rPr>
                <w:webHidden/>
                <w:sz w:val="22"/>
                <w:szCs w:val="22"/>
              </w:rPr>
              <w:t>7</w:t>
            </w:r>
            <w:r w:rsidRPr="002641DE">
              <w:rPr>
                <w:webHidden/>
                <w:sz w:val="22"/>
                <w:szCs w:val="22"/>
              </w:rPr>
              <w:fldChar w:fldCharType="end"/>
            </w:r>
          </w:hyperlink>
        </w:p>
        <w:p w14:paraId="136EC993" w14:textId="5D3DEA75" w:rsidR="002641DE" w:rsidRPr="002641DE" w:rsidRDefault="002641DE">
          <w:pPr>
            <w:pStyle w:val="TOC1"/>
            <w:rPr>
              <w:rFonts w:asciiTheme="minorHAnsi" w:eastAsiaTheme="minorEastAsia" w:hAnsiTheme="minorHAnsi" w:cstheme="minorBidi"/>
              <w:sz w:val="22"/>
              <w:szCs w:val="22"/>
              <w:lang w:eastAsia="en-GB"/>
            </w:rPr>
          </w:pPr>
          <w:hyperlink w:anchor="_Toc235436945" w:history="1">
            <w:r w:rsidRPr="002641DE">
              <w:rPr>
                <w:rStyle w:val="Hyperlink"/>
                <w:sz w:val="22"/>
                <w:szCs w:val="22"/>
              </w:rPr>
              <w:t>Conclusion</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_Toc235436945 \h </w:instrText>
            </w:r>
            <w:r w:rsidRPr="002641DE">
              <w:rPr>
                <w:webHidden/>
                <w:sz w:val="22"/>
                <w:szCs w:val="22"/>
              </w:rPr>
            </w:r>
            <w:r w:rsidRPr="002641DE">
              <w:rPr>
                <w:webHidden/>
                <w:sz w:val="22"/>
                <w:szCs w:val="22"/>
              </w:rPr>
              <w:fldChar w:fldCharType="separate"/>
            </w:r>
            <w:r w:rsidRPr="002641DE">
              <w:rPr>
                <w:webHidden/>
                <w:sz w:val="22"/>
                <w:szCs w:val="22"/>
              </w:rPr>
              <w:t>7</w:t>
            </w:r>
            <w:r w:rsidRPr="002641DE">
              <w:rPr>
                <w:webHidden/>
                <w:sz w:val="22"/>
                <w:szCs w:val="22"/>
              </w:rPr>
              <w:fldChar w:fldCharType="end"/>
            </w:r>
          </w:hyperlink>
        </w:p>
        <w:p w14:paraId="1C37D948" w14:textId="7DD6DE8B" w:rsidR="002641DE" w:rsidRPr="002641DE" w:rsidRDefault="002641DE">
          <w:pPr>
            <w:pStyle w:val="TOC1"/>
            <w:rPr>
              <w:rFonts w:asciiTheme="minorHAnsi" w:eastAsiaTheme="minorEastAsia" w:hAnsiTheme="minorHAnsi" w:cstheme="minorBidi"/>
              <w:sz w:val="22"/>
              <w:szCs w:val="22"/>
              <w:lang w:eastAsia="en-GB"/>
            </w:rPr>
          </w:pPr>
          <w:hyperlink w:anchor="_Toc235436946" w:history="1">
            <w:r w:rsidRPr="002641DE">
              <w:rPr>
                <w:rStyle w:val="Hyperlink"/>
                <w:sz w:val="22"/>
                <w:szCs w:val="22"/>
              </w:rPr>
              <w:t>Reference List</w:t>
            </w:r>
            <w:r w:rsidRPr="002641DE">
              <w:rPr>
                <w:webHidden/>
                <w:sz w:val="22"/>
                <w:szCs w:val="22"/>
              </w:rPr>
              <w:tab/>
            </w:r>
            <w:r w:rsidRPr="002641DE">
              <w:rPr>
                <w:webHidden/>
                <w:sz w:val="22"/>
                <w:szCs w:val="22"/>
              </w:rPr>
              <w:fldChar w:fldCharType="begin"/>
            </w:r>
            <w:r w:rsidRPr="002641DE">
              <w:rPr>
                <w:webHidden/>
                <w:sz w:val="22"/>
                <w:szCs w:val="22"/>
              </w:rPr>
              <w:instrText xml:space="preserve"> PAGEREF _Toc235436946 \h </w:instrText>
            </w:r>
            <w:r w:rsidRPr="002641DE">
              <w:rPr>
                <w:webHidden/>
                <w:sz w:val="22"/>
                <w:szCs w:val="22"/>
              </w:rPr>
            </w:r>
            <w:r w:rsidRPr="002641DE">
              <w:rPr>
                <w:webHidden/>
                <w:sz w:val="22"/>
                <w:szCs w:val="22"/>
              </w:rPr>
              <w:fldChar w:fldCharType="separate"/>
            </w:r>
            <w:r w:rsidRPr="002641DE">
              <w:rPr>
                <w:webHidden/>
                <w:sz w:val="22"/>
                <w:szCs w:val="22"/>
              </w:rPr>
              <w:t>8</w:t>
            </w:r>
            <w:r w:rsidRPr="002641DE">
              <w:rPr>
                <w:webHidden/>
                <w:sz w:val="22"/>
                <w:szCs w:val="22"/>
              </w:rPr>
              <w:fldChar w:fldCharType="end"/>
            </w:r>
          </w:hyperlink>
        </w:p>
        <w:p w14:paraId="53DBA820" w14:textId="25976092" w:rsidR="00813166" w:rsidRPr="007737DC" w:rsidRDefault="00813166">
          <w:pPr>
            <w:rPr>
              <w:rFonts w:ascii="Arial" w:hAnsi="Arial" w:cs="Arial"/>
            </w:rPr>
          </w:pPr>
          <w:r w:rsidRPr="007737DC">
            <w:rPr>
              <w:rFonts w:ascii="Arial" w:hAnsi="Arial" w:cs="Arial"/>
            </w:rPr>
            <w:fldChar w:fldCharType="end"/>
          </w:r>
        </w:p>
      </w:sdtContent>
    </w:sdt>
    <w:p w14:paraId="349278B4" w14:textId="77777777" w:rsidR="00813166" w:rsidRPr="007737DC" w:rsidRDefault="00813166" w:rsidP="007E6424">
      <w:pPr>
        <w:spacing w:line="360" w:lineRule="auto"/>
        <w:jc w:val="center"/>
        <w:rPr>
          <w:rFonts w:ascii="Arial" w:hAnsi="Arial" w:cs="Arial"/>
          <w:b/>
          <w:bCs/>
          <w:sz w:val="28"/>
          <w:szCs w:val="28"/>
        </w:rPr>
      </w:pPr>
    </w:p>
    <w:p w14:paraId="18B18D4B" w14:textId="77777777" w:rsidR="001905E3" w:rsidRPr="007737DC" w:rsidRDefault="001905E3" w:rsidP="00813166">
      <w:pPr>
        <w:pStyle w:val="Title"/>
        <w:jc w:val="center"/>
        <w:rPr>
          <w:rFonts w:ascii="Arial" w:hAnsi="Arial" w:cs="Arial"/>
          <w:b/>
          <w:bCs/>
          <w:sz w:val="32"/>
          <w:szCs w:val="32"/>
        </w:rPr>
      </w:pPr>
    </w:p>
    <w:p w14:paraId="2B3DB86A" w14:textId="77777777" w:rsidR="001905E3" w:rsidRPr="007737DC" w:rsidRDefault="001905E3" w:rsidP="00813166">
      <w:pPr>
        <w:pStyle w:val="Title"/>
        <w:jc w:val="center"/>
        <w:rPr>
          <w:rFonts w:ascii="Arial" w:hAnsi="Arial" w:cs="Arial"/>
          <w:b/>
          <w:bCs/>
          <w:sz w:val="32"/>
          <w:szCs w:val="32"/>
        </w:rPr>
      </w:pPr>
    </w:p>
    <w:p w14:paraId="0532E6D6" w14:textId="77777777" w:rsidR="001905E3" w:rsidRPr="007737DC" w:rsidRDefault="001905E3" w:rsidP="00813166">
      <w:pPr>
        <w:pStyle w:val="Title"/>
        <w:jc w:val="center"/>
        <w:rPr>
          <w:rFonts w:ascii="Arial" w:hAnsi="Arial" w:cs="Arial"/>
          <w:b/>
          <w:bCs/>
          <w:sz w:val="32"/>
          <w:szCs w:val="32"/>
        </w:rPr>
      </w:pPr>
    </w:p>
    <w:p w14:paraId="609AF130" w14:textId="77777777" w:rsidR="001905E3" w:rsidRPr="007737DC" w:rsidRDefault="001905E3" w:rsidP="00813166">
      <w:pPr>
        <w:pStyle w:val="Title"/>
        <w:jc w:val="center"/>
        <w:rPr>
          <w:rFonts w:ascii="Arial" w:hAnsi="Arial" w:cs="Arial"/>
          <w:b/>
          <w:bCs/>
          <w:sz w:val="32"/>
          <w:szCs w:val="32"/>
        </w:rPr>
      </w:pPr>
    </w:p>
    <w:p w14:paraId="7BDFBC0F" w14:textId="77777777" w:rsidR="001905E3" w:rsidRPr="007737DC" w:rsidRDefault="001905E3" w:rsidP="00813166">
      <w:pPr>
        <w:pStyle w:val="Title"/>
        <w:jc w:val="center"/>
        <w:rPr>
          <w:rFonts w:ascii="Arial" w:hAnsi="Arial" w:cs="Arial"/>
          <w:b/>
          <w:bCs/>
          <w:sz w:val="32"/>
          <w:szCs w:val="32"/>
        </w:rPr>
      </w:pPr>
    </w:p>
    <w:p w14:paraId="673B5A84" w14:textId="77777777" w:rsidR="001905E3" w:rsidRPr="007737DC" w:rsidRDefault="001905E3" w:rsidP="00813166">
      <w:pPr>
        <w:pStyle w:val="Title"/>
        <w:jc w:val="center"/>
        <w:rPr>
          <w:rFonts w:ascii="Arial" w:hAnsi="Arial" w:cs="Arial"/>
          <w:b/>
          <w:bCs/>
          <w:sz w:val="32"/>
          <w:szCs w:val="32"/>
        </w:rPr>
      </w:pPr>
    </w:p>
    <w:p w14:paraId="574452E3" w14:textId="77777777" w:rsidR="001905E3" w:rsidRPr="007737DC" w:rsidRDefault="001905E3" w:rsidP="00813166">
      <w:pPr>
        <w:pStyle w:val="Title"/>
        <w:jc w:val="center"/>
        <w:rPr>
          <w:rFonts w:ascii="Arial" w:hAnsi="Arial" w:cs="Arial"/>
          <w:b/>
          <w:bCs/>
          <w:sz w:val="32"/>
          <w:szCs w:val="32"/>
        </w:rPr>
      </w:pPr>
    </w:p>
    <w:p w14:paraId="12615419" w14:textId="77777777" w:rsidR="001905E3" w:rsidRPr="007737DC" w:rsidRDefault="001905E3" w:rsidP="00813166">
      <w:pPr>
        <w:pStyle w:val="Title"/>
        <w:jc w:val="center"/>
        <w:rPr>
          <w:rFonts w:ascii="Arial" w:hAnsi="Arial" w:cs="Arial"/>
          <w:b/>
          <w:bCs/>
          <w:sz w:val="32"/>
          <w:szCs w:val="32"/>
        </w:rPr>
      </w:pPr>
    </w:p>
    <w:p w14:paraId="5893054E" w14:textId="77777777" w:rsidR="001905E3" w:rsidRPr="007737DC" w:rsidRDefault="001905E3" w:rsidP="00813166">
      <w:pPr>
        <w:pStyle w:val="Title"/>
        <w:jc w:val="center"/>
        <w:rPr>
          <w:rFonts w:ascii="Arial" w:hAnsi="Arial" w:cs="Arial"/>
          <w:b/>
          <w:bCs/>
          <w:sz w:val="32"/>
          <w:szCs w:val="32"/>
        </w:rPr>
      </w:pPr>
    </w:p>
    <w:p w14:paraId="6D28AA83" w14:textId="77777777" w:rsidR="001905E3" w:rsidRPr="007737DC" w:rsidRDefault="001905E3" w:rsidP="00813166">
      <w:pPr>
        <w:pStyle w:val="Title"/>
        <w:jc w:val="center"/>
        <w:rPr>
          <w:rFonts w:ascii="Arial" w:hAnsi="Arial" w:cs="Arial"/>
          <w:b/>
          <w:bCs/>
          <w:sz w:val="32"/>
          <w:szCs w:val="32"/>
        </w:rPr>
      </w:pPr>
    </w:p>
    <w:p w14:paraId="5AC35DE0" w14:textId="77777777" w:rsidR="001905E3" w:rsidRPr="007737DC" w:rsidRDefault="001905E3" w:rsidP="00813166">
      <w:pPr>
        <w:pStyle w:val="Title"/>
        <w:jc w:val="center"/>
        <w:rPr>
          <w:rFonts w:ascii="Arial" w:hAnsi="Arial" w:cs="Arial"/>
          <w:b/>
          <w:bCs/>
          <w:sz w:val="32"/>
          <w:szCs w:val="32"/>
        </w:rPr>
      </w:pPr>
    </w:p>
    <w:p w14:paraId="4402EF92" w14:textId="77777777" w:rsidR="001905E3" w:rsidRPr="007737DC" w:rsidRDefault="001905E3" w:rsidP="00813166">
      <w:pPr>
        <w:pStyle w:val="Title"/>
        <w:jc w:val="center"/>
        <w:rPr>
          <w:rFonts w:ascii="Arial" w:hAnsi="Arial" w:cs="Arial"/>
          <w:b/>
          <w:bCs/>
          <w:sz w:val="32"/>
          <w:szCs w:val="32"/>
        </w:rPr>
      </w:pPr>
    </w:p>
    <w:p w14:paraId="0042A140" w14:textId="77777777" w:rsidR="001905E3" w:rsidRPr="007737DC" w:rsidRDefault="001905E3" w:rsidP="00813166">
      <w:pPr>
        <w:pStyle w:val="Title"/>
        <w:jc w:val="center"/>
        <w:rPr>
          <w:rFonts w:ascii="Arial" w:hAnsi="Arial" w:cs="Arial"/>
          <w:b/>
          <w:bCs/>
          <w:sz w:val="32"/>
          <w:szCs w:val="32"/>
        </w:rPr>
      </w:pPr>
    </w:p>
    <w:p w14:paraId="458A9AD2" w14:textId="77777777" w:rsidR="001905E3" w:rsidRPr="007737DC" w:rsidRDefault="001905E3" w:rsidP="00813166">
      <w:pPr>
        <w:pStyle w:val="Title"/>
        <w:jc w:val="center"/>
        <w:rPr>
          <w:rFonts w:ascii="Arial" w:hAnsi="Arial" w:cs="Arial"/>
          <w:b/>
          <w:bCs/>
          <w:sz w:val="32"/>
          <w:szCs w:val="32"/>
        </w:rPr>
      </w:pPr>
    </w:p>
    <w:p w14:paraId="62E713AF" w14:textId="77777777" w:rsidR="001905E3" w:rsidRPr="007737DC" w:rsidRDefault="001905E3" w:rsidP="00813166">
      <w:pPr>
        <w:pStyle w:val="Title"/>
        <w:jc w:val="center"/>
        <w:rPr>
          <w:rFonts w:ascii="Arial" w:hAnsi="Arial" w:cs="Arial"/>
          <w:b/>
          <w:bCs/>
          <w:sz w:val="32"/>
          <w:szCs w:val="32"/>
        </w:rPr>
      </w:pPr>
    </w:p>
    <w:p w14:paraId="32FD0186" w14:textId="77777777" w:rsidR="001905E3" w:rsidRPr="007737DC" w:rsidRDefault="001905E3" w:rsidP="00813166">
      <w:pPr>
        <w:pStyle w:val="Title"/>
        <w:jc w:val="center"/>
        <w:rPr>
          <w:rFonts w:ascii="Arial" w:hAnsi="Arial" w:cs="Arial"/>
          <w:b/>
          <w:bCs/>
          <w:sz w:val="32"/>
          <w:szCs w:val="32"/>
        </w:rPr>
      </w:pPr>
    </w:p>
    <w:p w14:paraId="6B8036F8" w14:textId="77777777" w:rsidR="001905E3" w:rsidRPr="007737DC" w:rsidRDefault="001905E3" w:rsidP="00813166">
      <w:pPr>
        <w:pStyle w:val="Title"/>
        <w:jc w:val="center"/>
        <w:rPr>
          <w:rFonts w:ascii="Arial" w:hAnsi="Arial" w:cs="Arial"/>
          <w:b/>
          <w:bCs/>
          <w:sz w:val="32"/>
          <w:szCs w:val="32"/>
        </w:rPr>
      </w:pPr>
    </w:p>
    <w:p w14:paraId="642122EA" w14:textId="77777777" w:rsidR="001905E3" w:rsidRPr="007737DC" w:rsidRDefault="001905E3" w:rsidP="001905E3">
      <w:pPr>
        <w:pStyle w:val="Title"/>
        <w:rPr>
          <w:rFonts w:ascii="Arial" w:hAnsi="Arial" w:cs="Arial"/>
          <w:b/>
          <w:bCs/>
          <w:sz w:val="32"/>
          <w:szCs w:val="32"/>
        </w:rPr>
      </w:pPr>
    </w:p>
    <w:p w14:paraId="4C2F86DE" w14:textId="77777777" w:rsidR="001905E3" w:rsidRPr="007737DC" w:rsidRDefault="001905E3" w:rsidP="001905E3">
      <w:pPr>
        <w:rPr>
          <w:rFonts w:ascii="Arial" w:hAnsi="Arial" w:cs="Arial"/>
        </w:rPr>
      </w:pPr>
    </w:p>
    <w:p w14:paraId="358F9DB4" w14:textId="77777777" w:rsidR="001905E3" w:rsidRPr="007737DC" w:rsidRDefault="001905E3" w:rsidP="001905E3">
      <w:pPr>
        <w:rPr>
          <w:rFonts w:ascii="Arial" w:hAnsi="Arial" w:cs="Arial"/>
        </w:rPr>
      </w:pPr>
    </w:p>
    <w:p w14:paraId="69F5597F" w14:textId="77777777" w:rsidR="001905E3" w:rsidRPr="007737DC" w:rsidRDefault="001905E3" w:rsidP="001905E3">
      <w:pPr>
        <w:pStyle w:val="Heading1"/>
        <w:jc w:val="center"/>
        <w:rPr>
          <w:rFonts w:ascii="Arial" w:hAnsi="Arial" w:cs="Arial"/>
          <w:b/>
          <w:bCs/>
          <w:color w:val="000000" w:themeColor="text1"/>
          <w:sz w:val="24"/>
          <w:szCs w:val="24"/>
        </w:rPr>
      </w:pPr>
      <w:bookmarkStart w:id="0" w:name="_Toc235436938"/>
      <w:r w:rsidRPr="007737DC">
        <w:rPr>
          <w:rFonts w:ascii="Arial" w:hAnsi="Arial" w:cs="Arial"/>
          <w:b/>
          <w:bCs/>
          <w:color w:val="000000" w:themeColor="text1"/>
          <w:sz w:val="24"/>
          <w:szCs w:val="24"/>
        </w:rPr>
        <w:t>Summary</w:t>
      </w:r>
      <w:bookmarkEnd w:id="0"/>
    </w:p>
    <w:p w14:paraId="19ECFD80" w14:textId="77777777" w:rsidR="001905E3" w:rsidRPr="007737DC" w:rsidRDefault="001905E3" w:rsidP="001905E3">
      <w:pPr>
        <w:rPr>
          <w:rFonts w:ascii="Arial" w:hAnsi="Arial" w:cs="Arial"/>
        </w:rPr>
      </w:pPr>
    </w:p>
    <w:p w14:paraId="04774059" w14:textId="77777777" w:rsidR="001905E3" w:rsidRPr="007737DC" w:rsidRDefault="001905E3" w:rsidP="001905E3">
      <w:pPr>
        <w:spacing w:line="360" w:lineRule="auto"/>
        <w:jc w:val="both"/>
        <w:rPr>
          <w:rFonts w:ascii="Arial" w:hAnsi="Arial" w:cs="Arial"/>
          <w:sz w:val="22"/>
          <w:szCs w:val="22"/>
        </w:rPr>
      </w:pPr>
      <w:r w:rsidRPr="007737DC">
        <w:rPr>
          <w:rFonts w:ascii="Arial" w:hAnsi="Arial" w:cs="Arial"/>
          <w:sz w:val="22"/>
          <w:szCs w:val="22"/>
        </w:rPr>
        <w:t>Polio is a viral disease that can cause paralysis and long</w:t>
      </w:r>
      <w:r w:rsidRPr="007737DC">
        <w:rPr>
          <w:rFonts w:ascii="Arial" w:hAnsi="Arial" w:cs="Arial"/>
          <w:sz w:val="22"/>
          <w:szCs w:val="22"/>
        </w:rPr>
        <w:noBreakHyphen/>
        <w:t>term disability. Although global vaccination programmes have reduced cases by over 99%, recent poliovirus detections in London wastewater show that continued monitoring is essential. This report outlines polio’s symptoms, incidence, surveillance methods, public health control strategies, and the consequences for individuals and communities. It also identifies the health and social care services required to support affected people, highlighting the importance of strong public health systems and sustained vaccination coverage.</w:t>
      </w:r>
    </w:p>
    <w:p w14:paraId="16DE73E3" w14:textId="77777777" w:rsidR="001905E3" w:rsidRPr="007737DC" w:rsidRDefault="001905E3" w:rsidP="001905E3">
      <w:pPr>
        <w:rPr>
          <w:rFonts w:ascii="Arial" w:hAnsi="Arial" w:cs="Arial"/>
        </w:rPr>
      </w:pPr>
    </w:p>
    <w:p w14:paraId="6A13107E" w14:textId="77777777" w:rsidR="001905E3" w:rsidRPr="007737DC" w:rsidRDefault="001905E3" w:rsidP="001905E3">
      <w:pPr>
        <w:rPr>
          <w:rFonts w:ascii="Arial" w:hAnsi="Arial" w:cs="Arial"/>
        </w:rPr>
      </w:pPr>
    </w:p>
    <w:p w14:paraId="79FDB7A2" w14:textId="77777777" w:rsidR="001905E3" w:rsidRPr="007737DC" w:rsidRDefault="001905E3" w:rsidP="001905E3">
      <w:pPr>
        <w:rPr>
          <w:rFonts w:ascii="Arial" w:hAnsi="Arial" w:cs="Arial"/>
        </w:rPr>
      </w:pPr>
    </w:p>
    <w:p w14:paraId="1DB90FC5" w14:textId="77777777" w:rsidR="001905E3" w:rsidRPr="007737DC" w:rsidRDefault="001905E3" w:rsidP="001905E3">
      <w:pPr>
        <w:rPr>
          <w:rFonts w:ascii="Arial" w:hAnsi="Arial" w:cs="Arial"/>
        </w:rPr>
      </w:pPr>
    </w:p>
    <w:p w14:paraId="6A065C72" w14:textId="77777777" w:rsidR="001905E3" w:rsidRPr="007737DC" w:rsidRDefault="001905E3" w:rsidP="001905E3">
      <w:pPr>
        <w:rPr>
          <w:rFonts w:ascii="Arial" w:hAnsi="Arial" w:cs="Arial"/>
        </w:rPr>
      </w:pPr>
    </w:p>
    <w:p w14:paraId="7C09F665" w14:textId="77777777" w:rsidR="001905E3" w:rsidRPr="007737DC" w:rsidRDefault="001905E3" w:rsidP="001905E3">
      <w:pPr>
        <w:rPr>
          <w:rFonts w:ascii="Arial" w:hAnsi="Arial" w:cs="Arial"/>
        </w:rPr>
      </w:pPr>
    </w:p>
    <w:p w14:paraId="66A4E863" w14:textId="77777777" w:rsidR="001905E3" w:rsidRPr="007737DC" w:rsidRDefault="001905E3" w:rsidP="001905E3">
      <w:pPr>
        <w:rPr>
          <w:rFonts w:ascii="Arial" w:hAnsi="Arial" w:cs="Arial"/>
        </w:rPr>
      </w:pPr>
    </w:p>
    <w:p w14:paraId="013DF142" w14:textId="77777777" w:rsidR="001905E3" w:rsidRPr="007737DC" w:rsidRDefault="001905E3" w:rsidP="001905E3">
      <w:pPr>
        <w:rPr>
          <w:rFonts w:ascii="Arial" w:hAnsi="Arial" w:cs="Arial"/>
        </w:rPr>
      </w:pPr>
    </w:p>
    <w:p w14:paraId="51579BC9" w14:textId="77777777" w:rsidR="001905E3" w:rsidRPr="007737DC" w:rsidRDefault="001905E3" w:rsidP="001905E3">
      <w:pPr>
        <w:rPr>
          <w:rFonts w:ascii="Arial" w:hAnsi="Arial" w:cs="Arial"/>
        </w:rPr>
      </w:pPr>
    </w:p>
    <w:p w14:paraId="0C8680F1" w14:textId="77777777" w:rsidR="001905E3" w:rsidRPr="007737DC" w:rsidRDefault="001905E3" w:rsidP="001905E3">
      <w:pPr>
        <w:rPr>
          <w:rFonts w:ascii="Arial" w:hAnsi="Arial" w:cs="Arial"/>
        </w:rPr>
      </w:pPr>
    </w:p>
    <w:p w14:paraId="5AF621B7" w14:textId="77777777" w:rsidR="001905E3" w:rsidRPr="007737DC" w:rsidRDefault="001905E3" w:rsidP="001905E3">
      <w:pPr>
        <w:rPr>
          <w:rFonts w:ascii="Arial" w:hAnsi="Arial" w:cs="Arial"/>
        </w:rPr>
      </w:pPr>
    </w:p>
    <w:p w14:paraId="37A3C575" w14:textId="77777777" w:rsidR="001905E3" w:rsidRPr="007737DC" w:rsidRDefault="001905E3" w:rsidP="001905E3">
      <w:pPr>
        <w:rPr>
          <w:rFonts w:ascii="Arial" w:hAnsi="Arial" w:cs="Arial"/>
        </w:rPr>
      </w:pPr>
    </w:p>
    <w:p w14:paraId="0871A2C5" w14:textId="77777777" w:rsidR="001905E3" w:rsidRPr="007737DC" w:rsidRDefault="001905E3" w:rsidP="001905E3">
      <w:pPr>
        <w:rPr>
          <w:rFonts w:ascii="Arial" w:hAnsi="Arial" w:cs="Arial"/>
        </w:rPr>
      </w:pPr>
    </w:p>
    <w:p w14:paraId="1FE1735D" w14:textId="77777777" w:rsidR="001905E3" w:rsidRPr="007737DC" w:rsidRDefault="001905E3" w:rsidP="001905E3">
      <w:pPr>
        <w:rPr>
          <w:rFonts w:ascii="Arial" w:hAnsi="Arial" w:cs="Arial"/>
        </w:rPr>
      </w:pPr>
    </w:p>
    <w:p w14:paraId="2FE31260" w14:textId="77777777" w:rsidR="001905E3" w:rsidRPr="007737DC" w:rsidRDefault="001905E3" w:rsidP="001905E3">
      <w:pPr>
        <w:rPr>
          <w:rFonts w:ascii="Arial" w:hAnsi="Arial" w:cs="Arial"/>
        </w:rPr>
      </w:pPr>
    </w:p>
    <w:p w14:paraId="269FD929" w14:textId="77777777" w:rsidR="001905E3" w:rsidRPr="007737DC" w:rsidRDefault="001905E3" w:rsidP="001905E3">
      <w:pPr>
        <w:rPr>
          <w:rFonts w:ascii="Arial" w:hAnsi="Arial" w:cs="Arial"/>
        </w:rPr>
      </w:pPr>
    </w:p>
    <w:p w14:paraId="7CDC0E9C" w14:textId="77777777" w:rsidR="001905E3" w:rsidRPr="007737DC" w:rsidRDefault="001905E3" w:rsidP="001905E3">
      <w:pPr>
        <w:rPr>
          <w:rFonts w:ascii="Arial" w:hAnsi="Arial" w:cs="Arial"/>
        </w:rPr>
      </w:pPr>
    </w:p>
    <w:p w14:paraId="4C555D0E" w14:textId="77777777" w:rsidR="001905E3" w:rsidRPr="007737DC" w:rsidRDefault="001905E3" w:rsidP="001905E3">
      <w:pPr>
        <w:rPr>
          <w:rFonts w:ascii="Arial" w:hAnsi="Arial" w:cs="Arial"/>
        </w:rPr>
      </w:pPr>
    </w:p>
    <w:p w14:paraId="09B46E3A" w14:textId="77777777" w:rsidR="001905E3" w:rsidRDefault="001905E3" w:rsidP="001905E3">
      <w:pPr>
        <w:rPr>
          <w:rFonts w:ascii="Arial" w:hAnsi="Arial" w:cs="Arial"/>
        </w:rPr>
      </w:pPr>
    </w:p>
    <w:p w14:paraId="589762AA" w14:textId="77777777" w:rsidR="00C906DA" w:rsidRPr="007737DC" w:rsidRDefault="00C906DA" w:rsidP="001905E3">
      <w:pPr>
        <w:rPr>
          <w:rFonts w:ascii="Arial" w:hAnsi="Arial" w:cs="Arial"/>
        </w:rPr>
      </w:pPr>
    </w:p>
    <w:p w14:paraId="2BE9DD92" w14:textId="482B8D91" w:rsidR="007E6424" w:rsidRPr="007737DC" w:rsidRDefault="007E6424" w:rsidP="00813166">
      <w:pPr>
        <w:pStyle w:val="Title"/>
        <w:jc w:val="center"/>
        <w:rPr>
          <w:rFonts w:ascii="Arial" w:hAnsi="Arial" w:cs="Arial"/>
          <w:b/>
          <w:bCs/>
          <w:sz w:val="32"/>
          <w:szCs w:val="32"/>
        </w:rPr>
      </w:pPr>
      <w:r w:rsidRPr="007737DC">
        <w:rPr>
          <w:rFonts w:ascii="Arial" w:hAnsi="Arial" w:cs="Arial"/>
          <w:b/>
          <w:bCs/>
          <w:sz w:val="32"/>
          <w:szCs w:val="32"/>
        </w:rPr>
        <w:lastRenderedPageBreak/>
        <w:t>Report on a Health Issue: Polio</w:t>
      </w:r>
    </w:p>
    <w:p w14:paraId="745C759D" w14:textId="77777777" w:rsidR="00090999" w:rsidRPr="007737DC" w:rsidRDefault="00090999" w:rsidP="00090999">
      <w:pPr>
        <w:spacing w:line="360" w:lineRule="auto"/>
        <w:rPr>
          <w:rFonts w:ascii="Arial" w:hAnsi="Arial" w:cs="Arial"/>
          <w:b/>
          <w:bCs/>
          <w:sz w:val="28"/>
          <w:szCs w:val="28"/>
        </w:rPr>
      </w:pPr>
    </w:p>
    <w:p w14:paraId="45E60706" w14:textId="131E369D" w:rsidR="007E6424" w:rsidRPr="007737DC" w:rsidRDefault="007E6424" w:rsidP="001905E3">
      <w:pPr>
        <w:pStyle w:val="Heading1"/>
        <w:rPr>
          <w:rFonts w:ascii="Arial" w:hAnsi="Arial" w:cs="Arial"/>
          <w:b/>
          <w:bCs/>
          <w:color w:val="000000" w:themeColor="text1"/>
          <w:sz w:val="24"/>
          <w:szCs w:val="24"/>
        </w:rPr>
      </w:pPr>
      <w:bookmarkStart w:id="1" w:name="_Toc235436939"/>
      <w:r w:rsidRPr="007737DC">
        <w:rPr>
          <w:rFonts w:ascii="Arial" w:hAnsi="Arial" w:cs="Arial"/>
          <w:b/>
          <w:bCs/>
          <w:color w:val="000000" w:themeColor="text1"/>
          <w:sz w:val="24"/>
          <w:szCs w:val="24"/>
        </w:rPr>
        <w:t>Introduction</w:t>
      </w:r>
      <w:bookmarkEnd w:id="1"/>
      <w:r w:rsidRPr="007737DC">
        <w:rPr>
          <w:rFonts w:ascii="Arial" w:hAnsi="Arial" w:cs="Arial"/>
          <w:b/>
          <w:bCs/>
          <w:color w:val="000000" w:themeColor="text1"/>
          <w:sz w:val="24"/>
          <w:szCs w:val="24"/>
        </w:rPr>
        <w:t xml:space="preserve"> </w:t>
      </w:r>
    </w:p>
    <w:p w14:paraId="0DA1310C"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Polio, or poliomyelitis, is an infectious viral disease that affects the nervous system and can lead to paralysis, long-term disability, and in severe cases, death. Although polio has been eliminated in most countries through widespread vaccination, it remains a global public health concern because the virus continues to circulate in a small number of regions (WHO, 2024). Understanding polio is important for recognising how infectious diseases spread, how they impact communities, and how public health systems respond to prevent outbreaks.</w:t>
      </w:r>
    </w:p>
    <w:p w14:paraId="796FCF1D" w14:textId="42371835" w:rsidR="007E6424" w:rsidRPr="007737DC" w:rsidRDefault="00090999" w:rsidP="007E6424">
      <w:pPr>
        <w:spacing w:line="360" w:lineRule="auto"/>
        <w:jc w:val="both"/>
        <w:rPr>
          <w:rFonts w:ascii="Arial" w:hAnsi="Arial" w:cs="Arial"/>
          <w:sz w:val="22"/>
          <w:szCs w:val="22"/>
        </w:rPr>
      </w:pPr>
      <w:r w:rsidRPr="007737DC">
        <w:rPr>
          <w:rFonts w:ascii="Arial" w:hAnsi="Arial" w:cs="Arial"/>
          <w:sz w:val="22"/>
          <w:szCs w:val="22"/>
        </w:rPr>
        <w:t>This report explores polio by defining the condition, outlining its symptoms, and presenting global and UK incidence data. It then examines how polio is measured, monitored, and controlled through public health strategies. The report also considers the consequences of polio for individuals and communities and identifies the health and social care services required to support those affected. Together, these sections demonstrate why continued vigilance is essential to prevent the re-emergence of polio.</w:t>
      </w:r>
    </w:p>
    <w:p w14:paraId="2FAB3F83" w14:textId="50E4DE6E" w:rsidR="007E6424" w:rsidRPr="007737DC" w:rsidRDefault="007E6424" w:rsidP="001905E3">
      <w:pPr>
        <w:pStyle w:val="Heading1"/>
        <w:rPr>
          <w:rFonts w:ascii="Arial" w:hAnsi="Arial" w:cs="Arial"/>
          <w:b/>
          <w:bCs/>
          <w:color w:val="000000" w:themeColor="text1"/>
          <w:sz w:val="24"/>
          <w:szCs w:val="24"/>
        </w:rPr>
      </w:pPr>
      <w:bookmarkStart w:id="2" w:name="_Toc235436940"/>
      <w:r w:rsidRPr="007737DC">
        <w:rPr>
          <w:rFonts w:ascii="Arial" w:hAnsi="Arial" w:cs="Arial"/>
          <w:b/>
          <w:bCs/>
          <w:color w:val="000000" w:themeColor="text1"/>
          <w:sz w:val="24"/>
          <w:szCs w:val="24"/>
        </w:rPr>
        <w:t>Definition, Symptoms and Incidence</w:t>
      </w:r>
      <w:bookmarkEnd w:id="2"/>
      <w:r w:rsidRPr="007737DC">
        <w:rPr>
          <w:rFonts w:ascii="Arial" w:hAnsi="Arial" w:cs="Arial"/>
          <w:b/>
          <w:bCs/>
          <w:color w:val="000000" w:themeColor="text1"/>
          <w:sz w:val="24"/>
          <w:szCs w:val="24"/>
        </w:rPr>
        <w:t xml:space="preserve"> </w:t>
      </w:r>
    </w:p>
    <w:p w14:paraId="64A1E853"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Polio is a highly infectious viral disease caused by the poliovirus, which spreads mainly through the faecal–oral route. The virus multiplies in the intestines and can invade the nervous system, leading to muscle weakness and paralysis (WHO, 2024). Polio is most common in children under five, although unvaccinated adults can also be affected. There are three strains of wild poliovirus; types 2 and 3 have been eradicated globally, but poliovirus type 1 continues to circulate in a small number of countries (Patel &amp; Orenstein, 2016).</w:t>
      </w:r>
    </w:p>
    <w:p w14:paraId="325AA33A"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Symptoms vary widely. Many infected individuals experience no symptoms, which makes the virus difficult to detect and increases the risk of silent transmission. When symptoms do occur, they may include fever, fatigue, headache, vomiting, neck stiffness, and muscle pain (NHS, 2023). Severe cases involve paralysis, which may affect the legs or breathing muscles. Long-term effects include muscle weakness, deformities, and post-polio syndrome (CDC, 2023).</w:t>
      </w:r>
    </w:p>
    <w:p w14:paraId="5A34B133"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Globally, polio has decreased by more than 99% since 1988 due to the Global Polio Eradication Initiative (GPEI). In 1988, there were an estimated 350,000 cases worldwide; by 2023, only 12 confirmed cases of wild poliovirus were reported, mainly in Pakistan and Afghanistan (GPEI, 2024).</w:t>
      </w:r>
    </w:p>
    <w:p w14:paraId="70481FDD" w14:textId="7081E4E5" w:rsidR="007E6424" w:rsidRPr="007737DC" w:rsidRDefault="00090999" w:rsidP="007E6424">
      <w:pPr>
        <w:spacing w:line="360" w:lineRule="auto"/>
        <w:jc w:val="both"/>
        <w:rPr>
          <w:rFonts w:ascii="Arial" w:hAnsi="Arial" w:cs="Arial"/>
          <w:sz w:val="22"/>
          <w:szCs w:val="22"/>
        </w:rPr>
      </w:pPr>
      <w:r w:rsidRPr="007737DC">
        <w:rPr>
          <w:rFonts w:ascii="Arial" w:hAnsi="Arial" w:cs="Arial"/>
          <w:sz w:val="22"/>
          <w:szCs w:val="22"/>
        </w:rPr>
        <w:lastRenderedPageBreak/>
        <w:t>In the UK, polio was once a major public health issue, with thousands of cases reported annually during the 1940s and 1950s (ONS, 2024). Routine vaccination introduced in 1956 led to a rapid decline, and the UK has been officially polio-free since 2003 (UKHSA, 2023). However, poliovirus was detected in London sewage samples in 2022, prompting enhanced surveillance and targeted vaccination campaigns (UKHSA, 2023).</w:t>
      </w:r>
    </w:p>
    <w:p w14:paraId="0E6FC071" w14:textId="13EFC43D" w:rsidR="007E6424" w:rsidRPr="007737DC" w:rsidRDefault="007E6424" w:rsidP="001905E3">
      <w:pPr>
        <w:pStyle w:val="Heading1"/>
        <w:rPr>
          <w:rFonts w:ascii="Arial" w:hAnsi="Arial" w:cs="Arial"/>
          <w:b/>
          <w:bCs/>
          <w:color w:val="000000" w:themeColor="text1"/>
          <w:sz w:val="24"/>
          <w:szCs w:val="24"/>
        </w:rPr>
      </w:pPr>
      <w:bookmarkStart w:id="3" w:name="_Toc235436941"/>
      <w:r w:rsidRPr="007737DC">
        <w:rPr>
          <w:rFonts w:ascii="Arial" w:hAnsi="Arial" w:cs="Arial"/>
          <w:b/>
          <w:bCs/>
          <w:color w:val="000000" w:themeColor="text1"/>
          <w:sz w:val="24"/>
          <w:szCs w:val="24"/>
        </w:rPr>
        <w:t>Measuring and Monitoring Polio</w:t>
      </w:r>
      <w:bookmarkEnd w:id="3"/>
      <w:r w:rsidRPr="007737DC">
        <w:rPr>
          <w:rFonts w:ascii="Arial" w:hAnsi="Arial" w:cs="Arial"/>
          <w:b/>
          <w:bCs/>
          <w:color w:val="000000" w:themeColor="text1"/>
          <w:sz w:val="24"/>
          <w:szCs w:val="24"/>
        </w:rPr>
        <w:t xml:space="preserve"> </w:t>
      </w:r>
    </w:p>
    <w:p w14:paraId="122BDDDA"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Monitoring polio relies on surveillance systems, epidemiological methods, and laboratory testing. Because polio can spread silently, public health agencies must use multiple approaches to detect the virus early.</w:t>
      </w:r>
    </w:p>
    <w:p w14:paraId="37EABE73"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Acute flaccid paralysis (AFP) surveillance involves monitoring children under 15 for sudden onset paralysis. Any suspected case triggers laboratory testing to confirm whether poliovirus is present (WHO, 2024). AFP surveillance is used globally and is considered the “gold standard” for detecting potential outbreaks, especially in countries where health systems may be under pressure.</w:t>
      </w:r>
    </w:p>
    <w:p w14:paraId="43991BD7"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 xml:space="preserve">Environmental surveillance involves testing sewage samples for poliovirus. This method revealed silent transmission in London in 2022 (UKHSA, 2023). Environmental surveillance is particularly important in countries with high vaccination coverage, where paralytic cases are </w:t>
      </w:r>
      <w:proofErr w:type="gramStart"/>
      <w:r w:rsidRPr="007737DC">
        <w:rPr>
          <w:rFonts w:ascii="Arial" w:hAnsi="Arial" w:cs="Arial"/>
          <w:sz w:val="22"/>
          <w:szCs w:val="22"/>
        </w:rPr>
        <w:t>rare</w:t>
      </w:r>
      <w:proofErr w:type="gramEnd"/>
      <w:r w:rsidRPr="007737DC">
        <w:rPr>
          <w:rFonts w:ascii="Arial" w:hAnsi="Arial" w:cs="Arial"/>
          <w:sz w:val="22"/>
          <w:szCs w:val="22"/>
        </w:rPr>
        <w:t xml:space="preserve"> but transmission may still occur. It allows public health teams to detect poliovirus even when no symptoms are present in the community.</w:t>
      </w:r>
    </w:p>
    <w:p w14:paraId="63CDEDAE"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Laboratory testing includes stool sample analysis and genetic sequencing to identify virus strains and track transmission (GPEI, 2024; Jorba et al., 2021). Genetic sequencing helps determine whether detected poliovirus is linked to known outbreaks or represents new transmission. This information supports targeted vaccination campaigns and helps prevent further spread.</w:t>
      </w:r>
    </w:p>
    <w:p w14:paraId="6E241F99"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Epidemiological indicators such as incidence, prevalence, mortality, and vaccination coverage help public health agencies identify areas with low immunisation rates (PHE, 2024). In the UK, vaccination coverage is monitored through the NHS Childhood Vaccination Programme, which identifies regions where uptake falls below the recommended 95% threshold.</w:t>
      </w:r>
    </w:p>
    <w:p w14:paraId="7ADD264B"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Global monitoring is coordinated by WHO, UNICEF, and GPEI, ensuring consistent surveillance and international data sharing. These organisations support countries with limited resources by providing laboratory capacity, training, and emergency response teams.</w:t>
      </w:r>
    </w:p>
    <w:p w14:paraId="633AC3E8" w14:textId="19FB5AF9" w:rsidR="007E6424" w:rsidRPr="007737DC" w:rsidRDefault="007E6424" w:rsidP="001905E3">
      <w:pPr>
        <w:pStyle w:val="Heading1"/>
        <w:rPr>
          <w:rFonts w:ascii="Arial" w:hAnsi="Arial" w:cs="Arial"/>
          <w:b/>
          <w:bCs/>
          <w:color w:val="000000" w:themeColor="text1"/>
          <w:sz w:val="24"/>
          <w:szCs w:val="24"/>
        </w:rPr>
      </w:pPr>
      <w:bookmarkStart w:id="4" w:name="_Toc235436942"/>
      <w:r w:rsidRPr="007737DC">
        <w:rPr>
          <w:rFonts w:ascii="Arial" w:hAnsi="Arial" w:cs="Arial"/>
          <w:b/>
          <w:bCs/>
          <w:color w:val="000000" w:themeColor="text1"/>
          <w:sz w:val="24"/>
          <w:szCs w:val="24"/>
        </w:rPr>
        <w:lastRenderedPageBreak/>
        <w:t>Public Health Approaches to Controlling Polio</w:t>
      </w:r>
      <w:bookmarkEnd w:id="4"/>
      <w:r w:rsidRPr="007737DC">
        <w:rPr>
          <w:rFonts w:ascii="Arial" w:hAnsi="Arial" w:cs="Arial"/>
          <w:b/>
          <w:bCs/>
          <w:color w:val="000000" w:themeColor="text1"/>
          <w:sz w:val="24"/>
          <w:szCs w:val="24"/>
        </w:rPr>
        <w:t xml:space="preserve"> </w:t>
      </w:r>
    </w:p>
    <w:p w14:paraId="1CD94072"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Polio control relies heavily on vaccination, public health interventions, and international cooperation.</w:t>
      </w:r>
    </w:p>
    <w:p w14:paraId="558A16D3"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The oral polio vaccine (OPV) and inactivated polio vaccine (IPV) are the main tools for prevention. OPV provides strong community protection, while IPV avoids the rare risk of vaccine-derived poliovirus (NICE, 2023). Many countries use a combination of both vaccines depending on their risk level and health infrastructure.</w:t>
      </w:r>
    </w:p>
    <w:p w14:paraId="2D9A8C72"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Mass vaccination campaigns aim to vaccinate all children under five, especially in high-risk areas. These campaigns have significantly reduced polio cases worldwide (GPEI, 2024). In endemic countries such as Pakistan and Afghanistan, vaccination teams often travel door-to-door to reach children in remote or conflict-affected areas.</w:t>
      </w:r>
    </w:p>
    <w:p w14:paraId="1D0ACB8E"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Rapid response strategies, such as “mop-up campaigns,” target areas where poliovirus is detected to prevent further spread. These campaigns involve vaccinating all children in a defined area, regardless of previous vaccination status, to quickly boost immunity.</w:t>
      </w:r>
    </w:p>
    <w:p w14:paraId="422FCDC5"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In the UK, routine childhood vaccination includes IPV at 8, 12, and 16 weeks (NHS England, 2023). Booster doses are also provided later in childhood to ensure long-term protection. Public health messaging encourages parents to keep children up to date with vaccinations, especially following the 2022 wastewater detection.</w:t>
      </w:r>
    </w:p>
    <w:p w14:paraId="3EF5C779"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International cooperation is essential because poliovirus crosses borders. Organisations such as WHO and UNICEF coordinate global eradication efforts (UNICEF, 2024). Funding from partners such as the World Bank supports vaccination campaigns, surveillance, and emergency response.</w:t>
      </w:r>
    </w:p>
    <w:p w14:paraId="75F23CAE"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Challenges include conflict, misinformation, and limited access to healthcare in some regions (Patel &amp; Orenstein, 2016). In some communities, vaccine hesitancy and mistrust of health authorities can reduce uptake, making eradication more difficult.</w:t>
      </w:r>
    </w:p>
    <w:p w14:paraId="428CCEEC" w14:textId="1E5D9883" w:rsidR="007737DC" w:rsidRPr="007737DC" w:rsidRDefault="007737DC" w:rsidP="00FF6206">
      <w:pPr>
        <w:spacing w:line="360" w:lineRule="auto"/>
        <w:jc w:val="both"/>
        <w:rPr>
          <w:rFonts w:ascii="Arial" w:hAnsi="Arial" w:cs="Arial"/>
          <w:sz w:val="22"/>
          <w:szCs w:val="22"/>
        </w:rPr>
      </w:pPr>
      <w:r w:rsidRPr="007737DC">
        <w:rPr>
          <w:rFonts w:ascii="Arial" w:hAnsi="Arial" w:cs="Arial"/>
          <w:sz w:val="22"/>
          <w:szCs w:val="22"/>
        </w:rPr>
        <w:t>Recent research highlights that sustained vaccination coverage is essential to prevent re-emergence, especially in areas with unstable health systems (</w:t>
      </w:r>
      <w:proofErr w:type="spellStart"/>
      <w:r w:rsidRPr="007737DC">
        <w:rPr>
          <w:rFonts w:ascii="Arial" w:hAnsi="Arial" w:cs="Arial"/>
          <w:sz w:val="22"/>
          <w:szCs w:val="22"/>
        </w:rPr>
        <w:t>Duintjer</w:t>
      </w:r>
      <w:proofErr w:type="spellEnd"/>
      <w:r w:rsidRPr="007737DC">
        <w:rPr>
          <w:rFonts w:ascii="Arial" w:hAnsi="Arial" w:cs="Arial"/>
          <w:sz w:val="22"/>
          <w:szCs w:val="22"/>
        </w:rPr>
        <w:t xml:space="preserve"> Tebbens &amp; Thompson, 2017). Their analysis shows that gaps in routine immunisation remain one of the biggest barriers to global eradication.</w:t>
      </w:r>
    </w:p>
    <w:p w14:paraId="5AE902AF" w14:textId="16AC2434" w:rsidR="007E6424" w:rsidRPr="007737DC" w:rsidRDefault="007E6424" w:rsidP="001905E3">
      <w:pPr>
        <w:pStyle w:val="Heading1"/>
        <w:rPr>
          <w:rFonts w:ascii="Arial" w:hAnsi="Arial" w:cs="Arial"/>
          <w:b/>
          <w:bCs/>
          <w:color w:val="000000" w:themeColor="text1"/>
          <w:sz w:val="24"/>
          <w:szCs w:val="24"/>
        </w:rPr>
      </w:pPr>
      <w:bookmarkStart w:id="5" w:name="_Toc235436943"/>
      <w:r w:rsidRPr="007737DC">
        <w:rPr>
          <w:rFonts w:ascii="Arial" w:hAnsi="Arial" w:cs="Arial"/>
          <w:b/>
          <w:bCs/>
          <w:color w:val="000000" w:themeColor="text1"/>
          <w:sz w:val="24"/>
          <w:szCs w:val="24"/>
        </w:rPr>
        <w:t>Consequences of Polio for Individuals and Communities</w:t>
      </w:r>
      <w:bookmarkEnd w:id="5"/>
      <w:r w:rsidRPr="007737DC">
        <w:rPr>
          <w:rFonts w:ascii="Arial" w:hAnsi="Arial" w:cs="Arial"/>
          <w:b/>
          <w:bCs/>
          <w:color w:val="000000" w:themeColor="text1"/>
          <w:sz w:val="24"/>
          <w:szCs w:val="24"/>
        </w:rPr>
        <w:t xml:space="preserve"> </w:t>
      </w:r>
    </w:p>
    <w:p w14:paraId="4FBB2654"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 xml:space="preserve">Polio can cause paralysis, long-term disability, and post-polio syndrome, affecting mobility, breathing, and daily functioning (CDC, 2023). Individuals may require long-term rehabilitation, </w:t>
      </w:r>
      <w:r w:rsidRPr="007737DC">
        <w:rPr>
          <w:rFonts w:ascii="Arial" w:hAnsi="Arial" w:cs="Arial"/>
          <w:sz w:val="22"/>
          <w:szCs w:val="22"/>
        </w:rPr>
        <w:lastRenderedPageBreak/>
        <w:t>mobility aids, or respiratory support. Post-polio syndrome can appear decades after infection, causing fatigue, muscle weakness, and pain.</w:t>
      </w:r>
    </w:p>
    <w:p w14:paraId="59BA4BB1"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Families may face emotional and financial strain due to long-term care needs, home adaptations, and specialist equipment. Caring responsibilities can affect employment, income, and mental health. In low-income households, the cost of care can be particularly challenging.</w:t>
      </w:r>
    </w:p>
    <w:p w14:paraId="5AF6A3B6"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Communities may experience pressure on healthcare systems, especially during outbreaks requiring surveillance and vaccination resources. Hospitals may need additional staff, equipment, and isolation facilities. Public health teams must divert resources from other health priorities to respond to outbreaks.</w:t>
      </w:r>
    </w:p>
    <w:p w14:paraId="42F351DC"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Economic consequences include reduced ability to work, increased poverty, and greater demand for social support services. In countries where polio remains endemic, disability caused by polio can reduce workforce participation and productivity.</w:t>
      </w:r>
    </w:p>
    <w:p w14:paraId="0B984F79"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Polio outbreaks often highlight inequalities linked to poverty, conflict, and limited healthcare access. Communities with low vaccination coverage are at greater risk, demonstrating the importance of addressing social determinants of health.</w:t>
      </w:r>
    </w:p>
    <w:p w14:paraId="182A19ED" w14:textId="1573B8EE" w:rsidR="001905E3" w:rsidRPr="007737DC" w:rsidRDefault="00090999" w:rsidP="007737DC">
      <w:pPr>
        <w:pStyle w:val="Heading1"/>
        <w:rPr>
          <w:rFonts w:ascii="Arial" w:hAnsi="Arial" w:cs="Arial"/>
          <w:b/>
          <w:bCs/>
          <w:color w:val="000000" w:themeColor="text1"/>
          <w:sz w:val="24"/>
          <w:szCs w:val="24"/>
        </w:rPr>
      </w:pPr>
      <w:bookmarkStart w:id="6" w:name="_Toc235436944"/>
      <w:r w:rsidRPr="007737DC">
        <w:rPr>
          <w:rFonts w:ascii="Arial" w:hAnsi="Arial" w:cs="Arial"/>
          <w:b/>
          <w:bCs/>
          <w:color w:val="000000" w:themeColor="text1"/>
          <w:sz w:val="24"/>
          <w:szCs w:val="24"/>
        </w:rPr>
        <w:t>Health and Social Care Support for People Affected by Polio</w:t>
      </w:r>
      <w:bookmarkEnd w:id="6"/>
    </w:p>
    <w:p w14:paraId="35D2B446"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Supporting individuals affected by polio requires coordinated health and social care services.</w:t>
      </w:r>
    </w:p>
    <w:p w14:paraId="6F5AB978"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Physiotherapy improves mobility and strengthens weakened muscles. Occupational therapists help individuals adapt daily tasks and maintain independence (NICE, 2023). Medical care may include pain management, respiratory support, and treatment for post-polio syndrome.</w:t>
      </w:r>
    </w:p>
    <w:p w14:paraId="068A1AD9"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Social care services include home care, personal assistants, and support accessing benefits and housing adaptations. Local councils may provide equipment such as wheelchairs, ramps, or bathroom adaptations to support independent living.</w:t>
      </w:r>
    </w:p>
    <w:p w14:paraId="7B3499D2"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Charities such as the British Polio Fellowship provide advocacy, information, and practical support (British Polio Fellowship, 2024). They offer peer support groups, advice on managing post-polio syndrome, and guidance on accessing services.</w:t>
      </w:r>
    </w:p>
    <w:p w14:paraId="2BFE06D3" w14:textId="77777777" w:rsidR="00FF6206" w:rsidRPr="007737DC" w:rsidRDefault="00FF6206" w:rsidP="00FF6206">
      <w:pPr>
        <w:spacing w:line="360" w:lineRule="auto"/>
        <w:jc w:val="both"/>
        <w:rPr>
          <w:rFonts w:ascii="Arial" w:hAnsi="Arial" w:cs="Arial"/>
          <w:sz w:val="22"/>
          <w:szCs w:val="22"/>
        </w:rPr>
      </w:pPr>
      <w:r w:rsidRPr="007737DC">
        <w:rPr>
          <w:rFonts w:ascii="Arial" w:hAnsi="Arial" w:cs="Arial"/>
          <w:sz w:val="22"/>
          <w:szCs w:val="22"/>
        </w:rPr>
        <w:t>Professionals must assess mobility needs, arrange rehabilitation, provide assistive equipment, and ensure access to mental health support. Multi-agency working between the NHS, social care, and voluntary organisations ensures individuals receive coordinated care.</w:t>
      </w:r>
    </w:p>
    <w:p w14:paraId="73FAFCF4" w14:textId="77777777" w:rsidR="007E6424" w:rsidRPr="007737DC" w:rsidRDefault="007E6424" w:rsidP="007E6424">
      <w:pPr>
        <w:spacing w:line="360" w:lineRule="auto"/>
        <w:jc w:val="both"/>
        <w:rPr>
          <w:rFonts w:ascii="Arial" w:hAnsi="Arial" w:cs="Arial"/>
          <w:sz w:val="22"/>
          <w:szCs w:val="22"/>
        </w:rPr>
      </w:pPr>
    </w:p>
    <w:p w14:paraId="1B59BE97" w14:textId="3AEEBDFA" w:rsidR="007E6424" w:rsidRPr="007737DC" w:rsidRDefault="007E6424" w:rsidP="001905E3">
      <w:pPr>
        <w:pStyle w:val="Heading1"/>
        <w:rPr>
          <w:rFonts w:ascii="Arial" w:hAnsi="Arial" w:cs="Arial"/>
          <w:b/>
          <w:bCs/>
          <w:color w:val="000000" w:themeColor="text1"/>
          <w:sz w:val="24"/>
          <w:szCs w:val="24"/>
        </w:rPr>
      </w:pPr>
      <w:bookmarkStart w:id="7" w:name="_Toc235436945"/>
      <w:r w:rsidRPr="007737DC">
        <w:rPr>
          <w:rFonts w:ascii="Arial" w:hAnsi="Arial" w:cs="Arial"/>
          <w:b/>
          <w:bCs/>
          <w:color w:val="000000" w:themeColor="text1"/>
          <w:sz w:val="24"/>
          <w:szCs w:val="24"/>
        </w:rPr>
        <w:lastRenderedPageBreak/>
        <w:t>Conclusion</w:t>
      </w:r>
      <w:bookmarkEnd w:id="7"/>
      <w:r w:rsidRPr="007737DC">
        <w:rPr>
          <w:rFonts w:ascii="Arial" w:hAnsi="Arial" w:cs="Arial"/>
          <w:b/>
          <w:bCs/>
          <w:color w:val="000000" w:themeColor="text1"/>
          <w:sz w:val="24"/>
          <w:szCs w:val="24"/>
        </w:rPr>
        <w:t xml:space="preserve"> </w:t>
      </w:r>
    </w:p>
    <w:p w14:paraId="10723FF2"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Polio remains an important public health issue despite major progress in reducing global cases. Although the UK is polio-free, recent detections in wastewater highlight the need for continued vigilance. Understanding polio’s symptoms, incidence, and consequences demonstrates why monitoring and control strategies are essential. Vaccination, surveillance, and rapid response remain the most effective tools for preventing outbreaks and protecting communities.</w:t>
      </w:r>
    </w:p>
    <w:p w14:paraId="0A0BEEEC"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The consequences of polio can be severe, affecting individuals physically, emotionally, and socially. Communities may also face economic and healthcare pressures. Health and social care services play a vital role in supporting those affected, providing rehabilitation, medical care, and practical assistance.</w:t>
      </w:r>
    </w:p>
    <w:p w14:paraId="06D99C92"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sz w:val="22"/>
          <w:szCs w:val="22"/>
        </w:rPr>
        <w:t>Overall, polio demonstrates the importance of strong public health systems, international cooperation, and accessible healthcare. Continued efforts are needed to maintain high vaccination coverage and ensure that polio does not re-emerge in the UK or elsewhere.</w:t>
      </w:r>
    </w:p>
    <w:p w14:paraId="51224667" w14:textId="77777777" w:rsidR="00090999" w:rsidRPr="007737DC" w:rsidRDefault="00090999" w:rsidP="007E6424">
      <w:pPr>
        <w:spacing w:line="360" w:lineRule="auto"/>
        <w:jc w:val="center"/>
        <w:rPr>
          <w:rFonts w:ascii="Arial" w:hAnsi="Arial" w:cs="Arial"/>
          <w:b/>
          <w:bCs/>
        </w:rPr>
      </w:pPr>
    </w:p>
    <w:p w14:paraId="6481FCDC" w14:textId="77777777" w:rsidR="00090999" w:rsidRPr="007737DC" w:rsidRDefault="00090999" w:rsidP="007E6424">
      <w:pPr>
        <w:spacing w:line="360" w:lineRule="auto"/>
        <w:jc w:val="center"/>
        <w:rPr>
          <w:rFonts w:ascii="Arial" w:hAnsi="Arial" w:cs="Arial"/>
          <w:b/>
          <w:bCs/>
        </w:rPr>
      </w:pPr>
    </w:p>
    <w:p w14:paraId="301D4EEA" w14:textId="77777777" w:rsidR="00090999" w:rsidRPr="007737DC" w:rsidRDefault="00090999" w:rsidP="007E6424">
      <w:pPr>
        <w:spacing w:line="360" w:lineRule="auto"/>
        <w:jc w:val="center"/>
        <w:rPr>
          <w:rFonts w:ascii="Arial" w:hAnsi="Arial" w:cs="Arial"/>
          <w:b/>
          <w:bCs/>
        </w:rPr>
      </w:pPr>
    </w:p>
    <w:p w14:paraId="318B11CB" w14:textId="77777777" w:rsidR="00090999" w:rsidRPr="007737DC" w:rsidRDefault="00090999" w:rsidP="007E6424">
      <w:pPr>
        <w:spacing w:line="360" w:lineRule="auto"/>
        <w:jc w:val="center"/>
        <w:rPr>
          <w:rFonts w:ascii="Arial" w:hAnsi="Arial" w:cs="Arial"/>
          <w:b/>
          <w:bCs/>
        </w:rPr>
      </w:pPr>
    </w:p>
    <w:p w14:paraId="6EFFF0ED" w14:textId="77777777" w:rsidR="00FF6206" w:rsidRPr="007737DC" w:rsidRDefault="00FF6206" w:rsidP="007E6424">
      <w:pPr>
        <w:spacing w:line="360" w:lineRule="auto"/>
        <w:jc w:val="center"/>
        <w:rPr>
          <w:rFonts w:ascii="Arial" w:hAnsi="Arial" w:cs="Arial"/>
          <w:b/>
          <w:bCs/>
        </w:rPr>
      </w:pPr>
    </w:p>
    <w:p w14:paraId="58DE7207" w14:textId="77777777" w:rsidR="00FF6206" w:rsidRPr="007737DC" w:rsidRDefault="00FF6206" w:rsidP="007E6424">
      <w:pPr>
        <w:spacing w:line="360" w:lineRule="auto"/>
        <w:jc w:val="center"/>
        <w:rPr>
          <w:rFonts w:ascii="Arial" w:hAnsi="Arial" w:cs="Arial"/>
          <w:b/>
          <w:bCs/>
        </w:rPr>
      </w:pPr>
    </w:p>
    <w:p w14:paraId="10FD702B" w14:textId="77777777" w:rsidR="00FF6206" w:rsidRPr="007737DC" w:rsidRDefault="00FF6206" w:rsidP="007E6424">
      <w:pPr>
        <w:spacing w:line="360" w:lineRule="auto"/>
        <w:jc w:val="center"/>
        <w:rPr>
          <w:rFonts w:ascii="Arial" w:hAnsi="Arial" w:cs="Arial"/>
          <w:b/>
          <w:bCs/>
        </w:rPr>
      </w:pPr>
    </w:p>
    <w:p w14:paraId="3A35537D" w14:textId="77777777" w:rsidR="007737DC" w:rsidRPr="007737DC" w:rsidRDefault="007737DC" w:rsidP="007E6424">
      <w:pPr>
        <w:spacing w:line="360" w:lineRule="auto"/>
        <w:jc w:val="center"/>
        <w:rPr>
          <w:rFonts w:ascii="Arial" w:hAnsi="Arial" w:cs="Arial"/>
          <w:b/>
          <w:bCs/>
        </w:rPr>
      </w:pPr>
    </w:p>
    <w:p w14:paraId="2165FC5E" w14:textId="77777777" w:rsidR="007737DC" w:rsidRPr="007737DC" w:rsidRDefault="007737DC" w:rsidP="007E6424">
      <w:pPr>
        <w:spacing w:line="360" w:lineRule="auto"/>
        <w:jc w:val="center"/>
        <w:rPr>
          <w:rFonts w:ascii="Arial" w:hAnsi="Arial" w:cs="Arial"/>
          <w:b/>
          <w:bCs/>
        </w:rPr>
      </w:pPr>
    </w:p>
    <w:p w14:paraId="7A275B01" w14:textId="77777777" w:rsidR="007737DC" w:rsidRPr="007737DC" w:rsidRDefault="007737DC" w:rsidP="007E6424">
      <w:pPr>
        <w:spacing w:line="360" w:lineRule="auto"/>
        <w:jc w:val="center"/>
        <w:rPr>
          <w:rFonts w:ascii="Arial" w:hAnsi="Arial" w:cs="Arial"/>
          <w:b/>
          <w:bCs/>
        </w:rPr>
      </w:pPr>
    </w:p>
    <w:p w14:paraId="3C8385F1" w14:textId="77777777" w:rsidR="007737DC" w:rsidRPr="007737DC" w:rsidRDefault="007737DC" w:rsidP="007E6424">
      <w:pPr>
        <w:spacing w:line="360" w:lineRule="auto"/>
        <w:jc w:val="center"/>
        <w:rPr>
          <w:rFonts w:ascii="Arial" w:hAnsi="Arial" w:cs="Arial"/>
          <w:b/>
          <w:bCs/>
        </w:rPr>
      </w:pPr>
    </w:p>
    <w:p w14:paraId="16072CE5" w14:textId="77777777" w:rsidR="007737DC" w:rsidRPr="007737DC" w:rsidRDefault="007737DC" w:rsidP="007E6424">
      <w:pPr>
        <w:spacing w:line="360" w:lineRule="auto"/>
        <w:jc w:val="center"/>
        <w:rPr>
          <w:rFonts w:ascii="Arial" w:hAnsi="Arial" w:cs="Arial"/>
          <w:b/>
          <w:bCs/>
        </w:rPr>
      </w:pPr>
    </w:p>
    <w:p w14:paraId="4BA73E3B" w14:textId="77777777" w:rsidR="00FF6206" w:rsidRPr="007737DC" w:rsidRDefault="00FF6206" w:rsidP="001905E3">
      <w:pPr>
        <w:spacing w:line="360" w:lineRule="auto"/>
        <w:rPr>
          <w:rFonts w:ascii="Arial" w:hAnsi="Arial" w:cs="Arial"/>
          <w:b/>
          <w:bCs/>
        </w:rPr>
      </w:pPr>
    </w:p>
    <w:p w14:paraId="4959528D" w14:textId="6F693109" w:rsidR="00DB36F8" w:rsidRPr="007737DC" w:rsidRDefault="00DB36F8" w:rsidP="001905E3">
      <w:pPr>
        <w:pStyle w:val="Heading1"/>
        <w:jc w:val="center"/>
        <w:rPr>
          <w:rFonts w:ascii="Arial" w:hAnsi="Arial" w:cs="Arial"/>
          <w:b/>
          <w:bCs/>
          <w:color w:val="000000" w:themeColor="text1"/>
          <w:sz w:val="24"/>
          <w:szCs w:val="24"/>
        </w:rPr>
      </w:pPr>
      <w:bookmarkStart w:id="8" w:name="_Toc235436946"/>
      <w:r w:rsidRPr="007737DC">
        <w:rPr>
          <w:rFonts w:ascii="Arial" w:hAnsi="Arial" w:cs="Arial"/>
          <w:b/>
          <w:bCs/>
          <w:color w:val="000000" w:themeColor="text1"/>
          <w:sz w:val="24"/>
          <w:szCs w:val="24"/>
        </w:rPr>
        <w:lastRenderedPageBreak/>
        <w:t>Reference List</w:t>
      </w:r>
      <w:bookmarkEnd w:id="8"/>
    </w:p>
    <w:p w14:paraId="76CAD590" w14:textId="77777777" w:rsidR="007E6424" w:rsidRPr="007737DC" w:rsidRDefault="007E6424" w:rsidP="007E6424">
      <w:pPr>
        <w:spacing w:line="360" w:lineRule="auto"/>
        <w:jc w:val="both"/>
        <w:rPr>
          <w:rFonts w:ascii="Arial" w:hAnsi="Arial" w:cs="Arial"/>
          <w:sz w:val="22"/>
          <w:szCs w:val="22"/>
        </w:rPr>
      </w:pPr>
    </w:p>
    <w:p w14:paraId="1E43AF8B"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British Polio Fellowship</w:t>
      </w:r>
      <w:r w:rsidRPr="007737DC">
        <w:rPr>
          <w:rFonts w:ascii="Arial" w:hAnsi="Arial" w:cs="Arial"/>
          <w:sz w:val="22"/>
          <w:szCs w:val="22"/>
        </w:rPr>
        <w:t xml:space="preserve"> (2024) </w:t>
      </w:r>
      <w:r w:rsidRPr="007737DC">
        <w:rPr>
          <w:rFonts w:ascii="Arial" w:hAnsi="Arial" w:cs="Arial"/>
          <w:i/>
          <w:iCs/>
          <w:sz w:val="22"/>
          <w:szCs w:val="22"/>
        </w:rPr>
        <w:t>Support Services</w:t>
      </w:r>
      <w:r w:rsidRPr="007737DC">
        <w:rPr>
          <w:rFonts w:ascii="Arial" w:hAnsi="Arial" w:cs="Arial"/>
          <w:sz w:val="22"/>
          <w:szCs w:val="22"/>
        </w:rPr>
        <w:t xml:space="preserve">. Available at: </w:t>
      </w:r>
      <w:hyperlink r:id="rId7" w:history="1">
        <w:r w:rsidRPr="007737DC">
          <w:rPr>
            <w:rStyle w:val="Hyperlink"/>
            <w:rFonts w:ascii="Arial" w:hAnsi="Arial" w:cs="Arial"/>
            <w:sz w:val="22"/>
            <w:szCs w:val="22"/>
          </w:rPr>
          <w:t>https://www.britishpolio.org.uk</w:t>
        </w:r>
      </w:hyperlink>
      <w:r w:rsidRPr="007737DC">
        <w:rPr>
          <w:rFonts w:ascii="Arial" w:hAnsi="Arial" w:cs="Arial"/>
          <w:sz w:val="22"/>
          <w:szCs w:val="22"/>
        </w:rPr>
        <w:t xml:space="preserve"> (Accessed: 6 July 2026).</w:t>
      </w:r>
    </w:p>
    <w:p w14:paraId="25B22B62" w14:textId="77777777" w:rsidR="00090999" w:rsidRPr="007737DC" w:rsidRDefault="00090999" w:rsidP="00090999">
      <w:pPr>
        <w:spacing w:line="360" w:lineRule="auto"/>
        <w:jc w:val="both"/>
        <w:rPr>
          <w:rFonts w:ascii="Arial" w:hAnsi="Arial" w:cs="Arial"/>
          <w:sz w:val="22"/>
          <w:szCs w:val="22"/>
        </w:rPr>
      </w:pPr>
      <w:proofErr w:type="spellStart"/>
      <w:r w:rsidRPr="007737DC">
        <w:rPr>
          <w:rFonts w:ascii="Arial" w:hAnsi="Arial" w:cs="Arial"/>
          <w:b/>
          <w:bCs/>
          <w:sz w:val="22"/>
          <w:szCs w:val="22"/>
        </w:rPr>
        <w:t>Centers</w:t>
      </w:r>
      <w:proofErr w:type="spellEnd"/>
      <w:r w:rsidRPr="007737DC">
        <w:rPr>
          <w:rFonts w:ascii="Arial" w:hAnsi="Arial" w:cs="Arial"/>
          <w:b/>
          <w:bCs/>
          <w:sz w:val="22"/>
          <w:szCs w:val="22"/>
        </w:rPr>
        <w:t xml:space="preserve"> for Disease Control and Prevention (CDC)</w:t>
      </w:r>
      <w:r w:rsidRPr="007737DC">
        <w:rPr>
          <w:rFonts w:ascii="Arial" w:hAnsi="Arial" w:cs="Arial"/>
          <w:sz w:val="22"/>
          <w:szCs w:val="22"/>
        </w:rPr>
        <w:t xml:space="preserve"> (2023) </w:t>
      </w:r>
      <w:r w:rsidRPr="007737DC">
        <w:rPr>
          <w:rFonts w:ascii="Arial" w:hAnsi="Arial" w:cs="Arial"/>
          <w:i/>
          <w:iCs/>
          <w:sz w:val="22"/>
          <w:szCs w:val="22"/>
        </w:rPr>
        <w:t>Polio and Post-Polio Syndrome</w:t>
      </w:r>
      <w:r w:rsidRPr="007737DC">
        <w:rPr>
          <w:rFonts w:ascii="Arial" w:hAnsi="Arial" w:cs="Arial"/>
          <w:sz w:val="22"/>
          <w:szCs w:val="22"/>
        </w:rPr>
        <w:t xml:space="preserve">. Available at: </w:t>
      </w:r>
      <w:hyperlink r:id="rId8" w:history="1">
        <w:r w:rsidRPr="007737DC">
          <w:rPr>
            <w:rStyle w:val="Hyperlink"/>
            <w:rFonts w:ascii="Arial" w:hAnsi="Arial" w:cs="Arial"/>
            <w:sz w:val="22"/>
            <w:szCs w:val="22"/>
          </w:rPr>
          <w:t>https://www.cdc.gov</w:t>
        </w:r>
      </w:hyperlink>
      <w:r w:rsidRPr="007737DC">
        <w:rPr>
          <w:rFonts w:ascii="Arial" w:hAnsi="Arial" w:cs="Arial"/>
          <w:sz w:val="22"/>
          <w:szCs w:val="22"/>
        </w:rPr>
        <w:t xml:space="preserve"> (Accessed: 6 July 2026).</w:t>
      </w:r>
    </w:p>
    <w:p w14:paraId="588A2724" w14:textId="7F0B25A1" w:rsidR="007737DC" w:rsidRPr="007737DC" w:rsidRDefault="007737DC" w:rsidP="00090999">
      <w:pPr>
        <w:spacing w:line="360" w:lineRule="auto"/>
        <w:jc w:val="both"/>
        <w:rPr>
          <w:rFonts w:ascii="Arial" w:hAnsi="Arial" w:cs="Arial"/>
          <w:sz w:val="22"/>
          <w:szCs w:val="22"/>
        </w:rPr>
      </w:pPr>
      <w:proofErr w:type="spellStart"/>
      <w:r w:rsidRPr="007737DC">
        <w:rPr>
          <w:rFonts w:ascii="Arial" w:hAnsi="Arial" w:cs="Arial"/>
          <w:b/>
          <w:bCs/>
          <w:sz w:val="22"/>
          <w:szCs w:val="22"/>
        </w:rPr>
        <w:t>Duintjer</w:t>
      </w:r>
      <w:proofErr w:type="spellEnd"/>
      <w:r w:rsidRPr="007737DC">
        <w:rPr>
          <w:rFonts w:ascii="Arial" w:hAnsi="Arial" w:cs="Arial"/>
          <w:b/>
          <w:bCs/>
          <w:sz w:val="22"/>
          <w:szCs w:val="22"/>
        </w:rPr>
        <w:t xml:space="preserve"> Tebbens, R.J. and Thompson, K.M.</w:t>
      </w:r>
      <w:r w:rsidRPr="007737DC">
        <w:rPr>
          <w:rFonts w:ascii="Arial" w:hAnsi="Arial" w:cs="Arial"/>
          <w:sz w:val="22"/>
          <w:szCs w:val="22"/>
        </w:rPr>
        <w:t xml:space="preserve"> (2017) ‘Polio eradication: benefits, challenges, and lessons learned’, </w:t>
      </w:r>
      <w:r w:rsidRPr="007737DC">
        <w:rPr>
          <w:rFonts w:ascii="Arial" w:hAnsi="Arial" w:cs="Arial"/>
          <w:i/>
          <w:iCs/>
          <w:sz w:val="22"/>
          <w:szCs w:val="22"/>
        </w:rPr>
        <w:t>Journal of Infectious Diseases</w:t>
      </w:r>
      <w:r w:rsidRPr="007737DC">
        <w:rPr>
          <w:rFonts w:ascii="Arial" w:hAnsi="Arial" w:cs="Arial"/>
          <w:sz w:val="22"/>
          <w:szCs w:val="22"/>
        </w:rPr>
        <w:t>, 216(S1), pp. S1–S8.</w:t>
      </w:r>
    </w:p>
    <w:p w14:paraId="3F3717CF"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Global Polio Eradication Initiative (GPEI)</w:t>
      </w:r>
      <w:r w:rsidRPr="007737DC">
        <w:rPr>
          <w:rFonts w:ascii="Arial" w:hAnsi="Arial" w:cs="Arial"/>
          <w:sz w:val="22"/>
          <w:szCs w:val="22"/>
        </w:rPr>
        <w:t xml:space="preserve"> (2024) </w:t>
      </w:r>
      <w:r w:rsidRPr="007737DC">
        <w:rPr>
          <w:rFonts w:ascii="Arial" w:hAnsi="Arial" w:cs="Arial"/>
          <w:i/>
          <w:iCs/>
          <w:sz w:val="22"/>
          <w:szCs w:val="22"/>
        </w:rPr>
        <w:t>Polio Global Surveillance Data</w:t>
      </w:r>
      <w:r w:rsidRPr="007737DC">
        <w:rPr>
          <w:rFonts w:ascii="Arial" w:hAnsi="Arial" w:cs="Arial"/>
          <w:sz w:val="22"/>
          <w:szCs w:val="22"/>
        </w:rPr>
        <w:t xml:space="preserve">. Available at: </w:t>
      </w:r>
      <w:hyperlink r:id="rId9" w:history="1">
        <w:r w:rsidRPr="007737DC">
          <w:rPr>
            <w:rStyle w:val="Hyperlink"/>
            <w:rFonts w:ascii="Arial" w:hAnsi="Arial" w:cs="Arial"/>
            <w:sz w:val="22"/>
            <w:szCs w:val="22"/>
          </w:rPr>
          <w:t>https://polioeradication.org</w:t>
        </w:r>
      </w:hyperlink>
      <w:r w:rsidRPr="007737DC">
        <w:rPr>
          <w:rFonts w:ascii="Arial" w:hAnsi="Arial" w:cs="Arial"/>
          <w:sz w:val="22"/>
          <w:szCs w:val="22"/>
        </w:rPr>
        <w:t xml:space="preserve"> (Accessed: 6 July 2026).</w:t>
      </w:r>
    </w:p>
    <w:p w14:paraId="3F99256F"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Jorba, J., et al.</w:t>
      </w:r>
      <w:r w:rsidRPr="007737DC">
        <w:rPr>
          <w:rFonts w:ascii="Arial" w:hAnsi="Arial" w:cs="Arial"/>
          <w:sz w:val="22"/>
          <w:szCs w:val="22"/>
        </w:rPr>
        <w:t xml:space="preserve"> (2021) ‘Tracking poliovirus transmission using genetic sequencing’, </w:t>
      </w:r>
      <w:r w:rsidRPr="007737DC">
        <w:rPr>
          <w:rFonts w:ascii="Arial" w:hAnsi="Arial" w:cs="Arial"/>
          <w:i/>
          <w:iCs/>
          <w:sz w:val="22"/>
          <w:szCs w:val="22"/>
        </w:rPr>
        <w:t>Journal of Infectious Diseases</w:t>
      </w:r>
      <w:r w:rsidRPr="007737DC">
        <w:rPr>
          <w:rFonts w:ascii="Arial" w:hAnsi="Arial" w:cs="Arial"/>
          <w:sz w:val="22"/>
          <w:szCs w:val="22"/>
        </w:rPr>
        <w:t>, 224(1), pp. 30–39.</w:t>
      </w:r>
    </w:p>
    <w:p w14:paraId="713DE6DE"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NHS</w:t>
      </w:r>
      <w:r w:rsidRPr="007737DC">
        <w:rPr>
          <w:rFonts w:ascii="Arial" w:hAnsi="Arial" w:cs="Arial"/>
          <w:sz w:val="22"/>
          <w:szCs w:val="22"/>
        </w:rPr>
        <w:t xml:space="preserve"> (2023) </w:t>
      </w:r>
      <w:r w:rsidRPr="007737DC">
        <w:rPr>
          <w:rFonts w:ascii="Arial" w:hAnsi="Arial" w:cs="Arial"/>
          <w:i/>
          <w:iCs/>
          <w:sz w:val="22"/>
          <w:szCs w:val="22"/>
        </w:rPr>
        <w:t>Polio</w:t>
      </w:r>
      <w:r w:rsidRPr="007737DC">
        <w:rPr>
          <w:rFonts w:ascii="Arial" w:hAnsi="Arial" w:cs="Arial"/>
          <w:sz w:val="22"/>
          <w:szCs w:val="22"/>
        </w:rPr>
        <w:t xml:space="preserve">. Available at: </w:t>
      </w:r>
      <w:hyperlink r:id="rId10" w:history="1">
        <w:r w:rsidRPr="007737DC">
          <w:rPr>
            <w:rStyle w:val="Hyperlink"/>
            <w:rFonts w:ascii="Arial" w:hAnsi="Arial" w:cs="Arial"/>
            <w:sz w:val="22"/>
            <w:szCs w:val="22"/>
          </w:rPr>
          <w:t>https://www.nhs.uk</w:t>
        </w:r>
      </w:hyperlink>
      <w:r w:rsidRPr="007737DC">
        <w:rPr>
          <w:rFonts w:ascii="Arial" w:hAnsi="Arial" w:cs="Arial"/>
          <w:sz w:val="22"/>
          <w:szCs w:val="22"/>
        </w:rPr>
        <w:t xml:space="preserve"> (Accessed: 6 July 2026).</w:t>
      </w:r>
    </w:p>
    <w:p w14:paraId="6ECEC0CA"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NHS England</w:t>
      </w:r>
      <w:r w:rsidRPr="007737DC">
        <w:rPr>
          <w:rFonts w:ascii="Arial" w:hAnsi="Arial" w:cs="Arial"/>
          <w:sz w:val="22"/>
          <w:szCs w:val="22"/>
        </w:rPr>
        <w:t xml:space="preserve"> (2023) </w:t>
      </w:r>
      <w:r w:rsidRPr="007737DC">
        <w:rPr>
          <w:rFonts w:ascii="Arial" w:hAnsi="Arial" w:cs="Arial"/>
          <w:i/>
          <w:iCs/>
          <w:sz w:val="22"/>
          <w:szCs w:val="22"/>
        </w:rPr>
        <w:t>NHS Long Term Plan</w:t>
      </w:r>
      <w:r w:rsidRPr="007737DC">
        <w:rPr>
          <w:rFonts w:ascii="Arial" w:hAnsi="Arial" w:cs="Arial"/>
          <w:sz w:val="22"/>
          <w:szCs w:val="22"/>
        </w:rPr>
        <w:t xml:space="preserve">. Available at: </w:t>
      </w:r>
      <w:hyperlink r:id="rId11" w:history="1">
        <w:r w:rsidRPr="007737DC">
          <w:rPr>
            <w:rStyle w:val="Hyperlink"/>
            <w:rFonts w:ascii="Arial" w:hAnsi="Arial" w:cs="Arial"/>
            <w:sz w:val="22"/>
            <w:szCs w:val="22"/>
          </w:rPr>
          <w:t>https://www.england.nhs.uk</w:t>
        </w:r>
      </w:hyperlink>
      <w:r w:rsidRPr="007737DC">
        <w:rPr>
          <w:rFonts w:ascii="Arial" w:hAnsi="Arial" w:cs="Arial"/>
          <w:sz w:val="22"/>
          <w:szCs w:val="22"/>
        </w:rPr>
        <w:t xml:space="preserve"> (Accessed: 6 July 2026).</w:t>
      </w:r>
    </w:p>
    <w:p w14:paraId="0CC70630"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NICE</w:t>
      </w:r>
      <w:r w:rsidRPr="007737DC">
        <w:rPr>
          <w:rFonts w:ascii="Arial" w:hAnsi="Arial" w:cs="Arial"/>
          <w:sz w:val="22"/>
          <w:szCs w:val="22"/>
        </w:rPr>
        <w:t xml:space="preserve"> (2023) </w:t>
      </w:r>
      <w:r w:rsidRPr="007737DC">
        <w:rPr>
          <w:rFonts w:ascii="Arial" w:hAnsi="Arial" w:cs="Arial"/>
          <w:i/>
          <w:iCs/>
          <w:sz w:val="22"/>
          <w:szCs w:val="22"/>
        </w:rPr>
        <w:t>Immunisation Guidance</w:t>
      </w:r>
      <w:r w:rsidRPr="007737DC">
        <w:rPr>
          <w:rFonts w:ascii="Arial" w:hAnsi="Arial" w:cs="Arial"/>
          <w:sz w:val="22"/>
          <w:szCs w:val="22"/>
        </w:rPr>
        <w:t xml:space="preserve">. Available at: </w:t>
      </w:r>
      <w:hyperlink r:id="rId12" w:history="1">
        <w:r w:rsidRPr="007737DC">
          <w:rPr>
            <w:rStyle w:val="Hyperlink"/>
            <w:rFonts w:ascii="Arial" w:hAnsi="Arial" w:cs="Arial"/>
            <w:sz w:val="22"/>
            <w:szCs w:val="22"/>
          </w:rPr>
          <w:t>https://www.nice.org.uk</w:t>
        </w:r>
      </w:hyperlink>
      <w:r w:rsidRPr="007737DC">
        <w:rPr>
          <w:rFonts w:ascii="Arial" w:hAnsi="Arial" w:cs="Arial"/>
          <w:sz w:val="22"/>
          <w:szCs w:val="22"/>
        </w:rPr>
        <w:t xml:space="preserve"> (Accessed: 6 July 2026).</w:t>
      </w:r>
    </w:p>
    <w:p w14:paraId="4A451C34"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Office for National Statistics (ONS)</w:t>
      </w:r>
      <w:r w:rsidRPr="007737DC">
        <w:rPr>
          <w:rFonts w:ascii="Arial" w:hAnsi="Arial" w:cs="Arial"/>
          <w:sz w:val="22"/>
          <w:szCs w:val="22"/>
        </w:rPr>
        <w:t xml:space="preserve"> (2024) </w:t>
      </w:r>
      <w:r w:rsidRPr="007737DC">
        <w:rPr>
          <w:rFonts w:ascii="Arial" w:hAnsi="Arial" w:cs="Arial"/>
          <w:i/>
          <w:iCs/>
          <w:sz w:val="22"/>
          <w:szCs w:val="22"/>
        </w:rPr>
        <w:t>Historical Infectious Disease Data</w:t>
      </w:r>
      <w:r w:rsidRPr="007737DC">
        <w:rPr>
          <w:rFonts w:ascii="Arial" w:hAnsi="Arial" w:cs="Arial"/>
          <w:sz w:val="22"/>
          <w:szCs w:val="22"/>
        </w:rPr>
        <w:t xml:space="preserve">. Available at: </w:t>
      </w:r>
      <w:hyperlink r:id="rId13" w:history="1">
        <w:r w:rsidRPr="007737DC">
          <w:rPr>
            <w:rStyle w:val="Hyperlink"/>
            <w:rFonts w:ascii="Arial" w:hAnsi="Arial" w:cs="Arial"/>
            <w:sz w:val="22"/>
            <w:szCs w:val="22"/>
          </w:rPr>
          <w:t>https://www.ons.gov.uk</w:t>
        </w:r>
      </w:hyperlink>
      <w:r w:rsidRPr="007737DC">
        <w:rPr>
          <w:rFonts w:ascii="Arial" w:hAnsi="Arial" w:cs="Arial"/>
          <w:sz w:val="22"/>
          <w:szCs w:val="22"/>
        </w:rPr>
        <w:t xml:space="preserve"> (Accessed: 6 July 2026).</w:t>
      </w:r>
    </w:p>
    <w:p w14:paraId="5857DCA4"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Patel, M. and Orenstein, W.</w:t>
      </w:r>
      <w:r w:rsidRPr="007737DC">
        <w:rPr>
          <w:rFonts w:ascii="Arial" w:hAnsi="Arial" w:cs="Arial"/>
          <w:sz w:val="22"/>
          <w:szCs w:val="22"/>
        </w:rPr>
        <w:t xml:space="preserve"> (2016) ‘Polio eradication: current status and challenges’, </w:t>
      </w:r>
      <w:r w:rsidRPr="007737DC">
        <w:rPr>
          <w:rFonts w:ascii="Arial" w:hAnsi="Arial" w:cs="Arial"/>
          <w:i/>
          <w:iCs/>
          <w:sz w:val="22"/>
          <w:szCs w:val="22"/>
        </w:rPr>
        <w:t>Clinical Infectious Diseases</w:t>
      </w:r>
      <w:r w:rsidRPr="007737DC">
        <w:rPr>
          <w:rFonts w:ascii="Arial" w:hAnsi="Arial" w:cs="Arial"/>
          <w:sz w:val="22"/>
          <w:szCs w:val="22"/>
        </w:rPr>
        <w:t>, 62(12), pp. 158–164.</w:t>
      </w:r>
    </w:p>
    <w:p w14:paraId="3DB8730B"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Public Health England (PHE)</w:t>
      </w:r>
      <w:r w:rsidRPr="007737DC">
        <w:rPr>
          <w:rFonts w:ascii="Arial" w:hAnsi="Arial" w:cs="Arial"/>
          <w:sz w:val="22"/>
          <w:szCs w:val="22"/>
        </w:rPr>
        <w:t xml:space="preserve"> (2024) </w:t>
      </w:r>
      <w:r w:rsidRPr="007737DC">
        <w:rPr>
          <w:rFonts w:ascii="Arial" w:hAnsi="Arial" w:cs="Arial"/>
          <w:i/>
          <w:iCs/>
          <w:sz w:val="22"/>
          <w:szCs w:val="22"/>
        </w:rPr>
        <w:t>Polio Surveillance Overview</w:t>
      </w:r>
      <w:r w:rsidRPr="007737DC">
        <w:rPr>
          <w:rFonts w:ascii="Arial" w:hAnsi="Arial" w:cs="Arial"/>
          <w:sz w:val="22"/>
          <w:szCs w:val="22"/>
        </w:rPr>
        <w:t xml:space="preserve">. Available at: </w:t>
      </w:r>
      <w:hyperlink r:id="rId14" w:history="1">
        <w:r w:rsidRPr="007737DC">
          <w:rPr>
            <w:rStyle w:val="Hyperlink"/>
            <w:rFonts w:ascii="Arial" w:hAnsi="Arial" w:cs="Arial"/>
            <w:sz w:val="22"/>
            <w:szCs w:val="22"/>
          </w:rPr>
          <w:t>https://www.gov.uk</w:t>
        </w:r>
      </w:hyperlink>
      <w:r w:rsidRPr="007737DC">
        <w:rPr>
          <w:rFonts w:ascii="Arial" w:hAnsi="Arial" w:cs="Arial"/>
          <w:sz w:val="22"/>
          <w:szCs w:val="22"/>
        </w:rPr>
        <w:t xml:space="preserve"> (Accessed: 6 July 2026).</w:t>
      </w:r>
    </w:p>
    <w:p w14:paraId="68224350"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UK Health Security Agency (UKHSA)</w:t>
      </w:r>
      <w:r w:rsidRPr="007737DC">
        <w:rPr>
          <w:rFonts w:ascii="Arial" w:hAnsi="Arial" w:cs="Arial"/>
          <w:sz w:val="22"/>
          <w:szCs w:val="22"/>
        </w:rPr>
        <w:t xml:space="preserve"> (2023) </w:t>
      </w:r>
      <w:r w:rsidRPr="007737DC">
        <w:rPr>
          <w:rFonts w:ascii="Arial" w:hAnsi="Arial" w:cs="Arial"/>
          <w:i/>
          <w:iCs/>
          <w:sz w:val="22"/>
          <w:szCs w:val="22"/>
        </w:rPr>
        <w:t>Polio Detection in London</w:t>
      </w:r>
      <w:r w:rsidRPr="007737DC">
        <w:rPr>
          <w:rFonts w:ascii="Arial" w:hAnsi="Arial" w:cs="Arial"/>
          <w:sz w:val="22"/>
          <w:szCs w:val="22"/>
        </w:rPr>
        <w:t xml:space="preserve">. Available at: </w:t>
      </w:r>
      <w:hyperlink r:id="rId15" w:history="1">
        <w:r w:rsidRPr="007737DC">
          <w:rPr>
            <w:rStyle w:val="Hyperlink"/>
            <w:rFonts w:ascii="Arial" w:hAnsi="Arial" w:cs="Arial"/>
            <w:sz w:val="22"/>
            <w:szCs w:val="22"/>
          </w:rPr>
          <w:t>https://www.gov.uk</w:t>
        </w:r>
      </w:hyperlink>
      <w:r w:rsidRPr="007737DC">
        <w:rPr>
          <w:rFonts w:ascii="Arial" w:hAnsi="Arial" w:cs="Arial"/>
          <w:sz w:val="22"/>
          <w:szCs w:val="22"/>
        </w:rPr>
        <w:t xml:space="preserve"> (Accessed: 6 July 2026).</w:t>
      </w:r>
    </w:p>
    <w:p w14:paraId="057D377F"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UNICEF</w:t>
      </w:r>
      <w:r w:rsidRPr="007737DC">
        <w:rPr>
          <w:rFonts w:ascii="Arial" w:hAnsi="Arial" w:cs="Arial"/>
          <w:sz w:val="22"/>
          <w:szCs w:val="22"/>
        </w:rPr>
        <w:t xml:space="preserve"> (2024) </w:t>
      </w:r>
      <w:r w:rsidRPr="007737DC">
        <w:rPr>
          <w:rFonts w:ascii="Arial" w:hAnsi="Arial" w:cs="Arial"/>
          <w:i/>
          <w:iCs/>
          <w:sz w:val="22"/>
          <w:szCs w:val="22"/>
        </w:rPr>
        <w:t>Polio Vaccination Campaigns and Child Health Protection</w:t>
      </w:r>
      <w:r w:rsidRPr="007737DC">
        <w:rPr>
          <w:rFonts w:ascii="Arial" w:hAnsi="Arial" w:cs="Arial"/>
          <w:sz w:val="22"/>
          <w:szCs w:val="22"/>
        </w:rPr>
        <w:t xml:space="preserve">. Available at: </w:t>
      </w:r>
      <w:hyperlink r:id="rId16" w:history="1">
        <w:r w:rsidRPr="007737DC">
          <w:rPr>
            <w:rStyle w:val="Hyperlink"/>
            <w:rFonts w:ascii="Arial" w:hAnsi="Arial" w:cs="Arial"/>
            <w:sz w:val="22"/>
            <w:szCs w:val="22"/>
          </w:rPr>
          <w:t>https://www.unicef.org</w:t>
        </w:r>
      </w:hyperlink>
      <w:r w:rsidRPr="007737DC">
        <w:rPr>
          <w:rFonts w:ascii="Arial" w:hAnsi="Arial" w:cs="Arial"/>
          <w:sz w:val="22"/>
          <w:szCs w:val="22"/>
        </w:rPr>
        <w:t xml:space="preserve"> (Accessed: 6 July 2026).</w:t>
      </w:r>
    </w:p>
    <w:p w14:paraId="2FC6B80A"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t>World Bank</w:t>
      </w:r>
      <w:r w:rsidRPr="007737DC">
        <w:rPr>
          <w:rFonts w:ascii="Arial" w:hAnsi="Arial" w:cs="Arial"/>
          <w:sz w:val="22"/>
          <w:szCs w:val="22"/>
        </w:rPr>
        <w:t xml:space="preserve"> (2024) </w:t>
      </w:r>
      <w:r w:rsidRPr="007737DC">
        <w:rPr>
          <w:rFonts w:ascii="Arial" w:hAnsi="Arial" w:cs="Arial"/>
          <w:i/>
          <w:iCs/>
          <w:sz w:val="22"/>
          <w:szCs w:val="22"/>
        </w:rPr>
        <w:t>Global Health Overview: Polio Financing and Eradication Progress</w:t>
      </w:r>
      <w:r w:rsidRPr="007737DC">
        <w:rPr>
          <w:rFonts w:ascii="Arial" w:hAnsi="Arial" w:cs="Arial"/>
          <w:sz w:val="22"/>
          <w:szCs w:val="22"/>
        </w:rPr>
        <w:t xml:space="preserve">. Available at: </w:t>
      </w:r>
      <w:hyperlink r:id="rId17" w:history="1">
        <w:r w:rsidRPr="007737DC">
          <w:rPr>
            <w:rStyle w:val="Hyperlink"/>
            <w:rFonts w:ascii="Arial" w:hAnsi="Arial" w:cs="Arial"/>
            <w:sz w:val="22"/>
            <w:szCs w:val="22"/>
          </w:rPr>
          <w:t>https://www.worldbank.org</w:t>
        </w:r>
      </w:hyperlink>
      <w:r w:rsidRPr="007737DC">
        <w:rPr>
          <w:rFonts w:ascii="Arial" w:hAnsi="Arial" w:cs="Arial"/>
          <w:sz w:val="22"/>
          <w:szCs w:val="22"/>
        </w:rPr>
        <w:t xml:space="preserve"> (Accessed: 6 July 2026).</w:t>
      </w:r>
    </w:p>
    <w:p w14:paraId="758F143F" w14:textId="77777777" w:rsidR="00090999" w:rsidRPr="007737DC" w:rsidRDefault="00090999" w:rsidP="00090999">
      <w:pPr>
        <w:spacing w:line="360" w:lineRule="auto"/>
        <w:jc w:val="both"/>
        <w:rPr>
          <w:rFonts w:ascii="Arial" w:hAnsi="Arial" w:cs="Arial"/>
          <w:sz w:val="22"/>
          <w:szCs w:val="22"/>
        </w:rPr>
      </w:pPr>
      <w:r w:rsidRPr="007737DC">
        <w:rPr>
          <w:rFonts w:ascii="Arial" w:hAnsi="Arial" w:cs="Arial"/>
          <w:b/>
          <w:bCs/>
          <w:sz w:val="22"/>
          <w:szCs w:val="22"/>
        </w:rPr>
        <w:lastRenderedPageBreak/>
        <w:t>World Health Organization (WHO)</w:t>
      </w:r>
      <w:r w:rsidRPr="007737DC">
        <w:rPr>
          <w:rFonts w:ascii="Arial" w:hAnsi="Arial" w:cs="Arial"/>
          <w:sz w:val="22"/>
          <w:szCs w:val="22"/>
        </w:rPr>
        <w:t xml:space="preserve"> (2024) </w:t>
      </w:r>
      <w:r w:rsidRPr="007737DC">
        <w:rPr>
          <w:rFonts w:ascii="Arial" w:hAnsi="Arial" w:cs="Arial"/>
          <w:i/>
          <w:iCs/>
          <w:sz w:val="22"/>
          <w:szCs w:val="22"/>
        </w:rPr>
        <w:t>Poliomyelitis Fact Sheet</w:t>
      </w:r>
      <w:r w:rsidRPr="007737DC">
        <w:rPr>
          <w:rFonts w:ascii="Arial" w:hAnsi="Arial" w:cs="Arial"/>
          <w:sz w:val="22"/>
          <w:szCs w:val="22"/>
        </w:rPr>
        <w:t xml:space="preserve">. Available at: </w:t>
      </w:r>
      <w:hyperlink r:id="rId18" w:history="1">
        <w:r w:rsidRPr="007737DC">
          <w:rPr>
            <w:rStyle w:val="Hyperlink"/>
            <w:rFonts w:ascii="Arial" w:hAnsi="Arial" w:cs="Arial"/>
            <w:sz w:val="22"/>
            <w:szCs w:val="22"/>
          </w:rPr>
          <w:t>https://www.who.int</w:t>
        </w:r>
      </w:hyperlink>
      <w:r w:rsidRPr="007737DC">
        <w:rPr>
          <w:rFonts w:ascii="Arial" w:hAnsi="Arial" w:cs="Arial"/>
          <w:sz w:val="22"/>
          <w:szCs w:val="22"/>
        </w:rPr>
        <w:t xml:space="preserve"> (Accessed: 6 July 2026).</w:t>
      </w:r>
    </w:p>
    <w:p w14:paraId="1F3E7357" w14:textId="77777777" w:rsidR="004B1036" w:rsidRPr="007737DC" w:rsidRDefault="004B1036" w:rsidP="007E6424">
      <w:pPr>
        <w:spacing w:line="360" w:lineRule="auto"/>
        <w:jc w:val="both"/>
        <w:rPr>
          <w:rFonts w:ascii="Arial" w:hAnsi="Arial" w:cs="Arial"/>
          <w:sz w:val="22"/>
          <w:szCs w:val="22"/>
        </w:rPr>
      </w:pPr>
    </w:p>
    <w:sectPr w:rsidR="004B1036" w:rsidRPr="007737D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BDBCD" w14:textId="77777777" w:rsidR="00F803AE" w:rsidRDefault="00F803AE" w:rsidP="007E6424">
      <w:pPr>
        <w:spacing w:after="0" w:line="240" w:lineRule="auto"/>
      </w:pPr>
      <w:r>
        <w:separator/>
      </w:r>
    </w:p>
  </w:endnote>
  <w:endnote w:type="continuationSeparator" w:id="0">
    <w:p w14:paraId="55A84532" w14:textId="77777777" w:rsidR="00F803AE" w:rsidRDefault="00F803AE" w:rsidP="007E6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653534"/>
      <w:docPartObj>
        <w:docPartGallery w:val="Page Numbers (Bottom of Page)"/>
        <w:docPartUnique/>
      </w:docPartObj>
    </w:sdtPr>
    <w:sdtContent>
      <w:p w14:paraId="4C1A7EA1" w14:textId="443B21EC" w:rsidR="007E6424" w:rsidRDefault="007E6424">
        <w:pPr>
          <w:pStyle w:val="Footer"/>
          <w:jc w:val="center"/>
        </w:pPr>
        <w:r>
          <w:fldChar w:fldCharType="begin"/>
        </w:r>
        <w:r>
          <w:instrText>PAGE   \* MERGEFORMAT</w:instrText>
        </w:r>
        <w:r>
          <w:fldChar w:fldCharType="separate"/>
        </w:r>
        <w:r>
          <w:t>2</w:t>
        </w:r>
        <w:r>
          <w:fldChar w:fldCharType="end"/>
        </w:r>
      </w:p>
    </w:sdtContent>
  </w:sdt>
  <w:p w14:paraId="2C6E771D" w14:textId="77777777" w:rsidR="007E6424" w:rsidRDefault="007E6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6F6BC" w14:textId="77777777" w:rsidR="00F803AE" w:rsidRDefault="00F803AE" w:rsidP="007E6424">
      <w:pPr>
        <w:spacing w:after="0" w:line="240" w:lineRule="auto"/>
      </w:pPr>
      <w:r>
        <w:separator/>
      </w:r>
    </w:p>
  </w:footnote>
  <w:footnote w:type="continuationSeparator" w:id="0">
    <w:p w14:paraId="4C1F9952" w14:textId="77777777" w:rsidR="00F803AE" w:rsidRDefault="00F803AE" w:rsidP="007E64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036"/>
    <w:rsid w:val="00090999"/>
    <w:rsid w:val="000F03ED"/>
    <w:rsid w:val="001905E3"/>
    <w:rsid w:val="002641DE"/>
    <w:rsid w:val="00345D15"/>
    <w:rsid w:val="003D391B"/>
    <w:rsid w:val="004B1036"/>
    <w:rsid w:val="004F3E85"/>
    <w:rsid w:val="00555D90"/>
    <w:rsid w:val="0075641E"/>
    <w:rsid w:val="007737DC"/>
    <w:rsid w:val="007E6424"/>
    <w:rsid w:val="00813166"/>
    <w:rsid w:val="008C278E"/>
    <w:rsid w:val="008C66BD"/>
    <w:rsid w:val="00AE55C8"/>
    <w:rsid w:val="00B924B9"/>
    <w:rsid w:val="00C906DA"/>
    <w:rsid w:val="00CE135B"/>
    <w:rsid w:val="00DB36F8"/>
    <w:rsid w:val="00E86D2C"/>
    <w:rsid w:val="00EA3964"/>
    <w:rsid w:val="00EC285B"/>
    <w:rsid w:val="00F10ED9"/>
    <w:rsid w:val="00F803AE"/>
    <w:rsid w:val="00FF62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E153C"/>
  <w15:chartTrackingRefBased/>
  <w15:docId w15:val="{5B8C6CC2-707E-4201-8D20-A57B92C3D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0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1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10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0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0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0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0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0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0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0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1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1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1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1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1036"/>
    <w:rPr>
      <w:rFonts w:eastAsiaTheme="majorEastAsia" w:cstheme="majorBidi"/>
      <w:color w:val="272727" w:themeColor="text1" w:themeTint="D8"/>
    </w:rPr>
  </w:style>
  <w:style w:type="paragraph" w:styleId="Title">
    <w:name w:val="Title"/>
    <w:basedOn w:val="Normal"/>
    <w:next w:val="Normal"/>
    <w:link w:val="TitleChar"/>
    <w:uiPriority w:val="10"/>
    <w:qFormat/>
    <w:rsid w:val="004B10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0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1036"/>
    <w:pPr>
      <w:spacing w:before="160"/>
      <w:jc w:val="center"/>
    </w:pPr>
    <w:rPr>
      <w:i/>
      <w:iCs/>
      <w:color w:val="404040" w:themeColor="text1" w:themeTint="BF"/>
    </w:rPr>
  </w:style>
  <w:style w:type="character" w:customStyle="1" w:styleId="QuoteChar">
    <w:name w:val="Quote Char"/>
    <w:basedOn w:val="DefaultParagraphFont"/>
    <w:link w:val="Quote"/>
    <w:uiPriority w:val="29"/>
    <w:rsid w:val="004B1036"/>
    <w:rPr>
      <w:i/>
      <w:iCs/>
      <w:color w:val="404040" w:themeColor="text1" w:themeTint="BF"/>
    </w:rPr>
  </w:style>
  <w:style w:type="paragraph" w:styleId="ListParagraph">
    <w:name w:val="List Paragraph"/>
    <w:basedOn w:val="Normal"/>
    <w:uiPriority w:val="34"/>
    <w:qFormat/>
    <w:rsid w:val="004B1036"/>
    <w:pPr>
      <w:ind w:left="720"/>
      <w:contextualSpacing/>
    </w:pPr>
  </w:style>
  <w:style w:type="character" w:styleId="IntenseEmphasis">
    <w:name w:val="Intense Emphasis"/>
    <w:basedOn w:val="DefaultParagraphFont"/>
    <w:uiPriority w:val="21"/>
    <w:qFormat/>
    <w:rsid w:val="004B1036"/>
    <w:rPr>
      <w:i/>
      <w:iCs/>
      <w:color w:val="0F4761" w:themeColor="accent1" w:themeShade="BF"/>
    </w:rPr>
  </w:style>
  <w:style w:type="paragraph" w:styleId="IntenseQuote">
    <w:name w:val="Intense Quote"/>
    <w:basedOn w:val="Normal"/>
    <w:next w:val="Normal"/>
    <w:link w:val="IntenseQuoteChar"/>
    <w:uiPriority w:val="30"/>
    <w:qFormat/>
    <w:rsid w:val="004B1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036"/>
    <w:rPr>
      <w:i/>
      <w:iCs/>
      <w:color w:val="0F4761" w:themeColor="accent1" w:themeShade="BF"/>
    </w:rPr>
  </w:style>
  <w:style w:type="character" w:styleId="IntenseReference">
    <w:name w:val="Intense Reference"/>
    <w:basedOn w:val="DefaultParagraphFont"/>
    <w:uiPriority w:val="32"/>
    <w:qFormat/>
    <w:rsid w:val="004B1036"/>
    <w:rPr>
      <w:b/>
      <w:bCs/>
      <w:smallCaps/>
      <w:color w:val="0F4761" w:themeColor="accent1" w:themeShade="BF"/>
      <w:spacing w:val="5"/>
    </w:rPr>
  </w:style>
  <w:style w:type="character" w:styleId="Hyperlink">
    <w:name w:val="Hyperlink"/>
    <w:basedOn w:val="DefaultParagraphFont"/>
    <w:uiPriority w:val="99"/>
    <w:unhideWhenUsed/>
    <w:rsid w:val="00DB36F8"/>
    <w:rPr>
      <w:color w:val="467886" w:themeColor="hyperlink"/>
      <w:u w:val="single"/>
    </w:rPr>
  </w:style>
  <w:style w:type="character" w:styleId="UnresolvedMention">
    <w:name w:val="Unresolved Mention"/>
    <w:basedOn w:val="DefaultParagraphFont"/>
    <w:uiPriority w:val="99"/>
    <w:semiHidden/>
    <w:unhideWhenUsed/>
    <w:rsid w:val="00DB36F8"/>
    <w:rPr>
      <w:color w:val="605E5C"/>
      <w:shd w:val="clear" w:color="auto" w:fill="E1DFDD"/>
    </w:rPr>
  </w:style>
  <w:style w:type="paragraph" w:styleId="Header">
    <w:name w:val="header"/>
    <w:basedOn w:val="Normal"/>
    <w:link w:val="HeaderChar"/>
    <w:uiPriority w:val="99"/>
    <w:unhideWhenUsed/>
    <w:rsid w:val="007E6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424"/>
  </w:style>
  <w:style w:type="paragraph" w:styleId="Footer">
    <w:name w:val="footer"/>
    <w:basedOn w:val="Normal"/>
    <w:link w:val="FooterChar"/>
    <w:uiPriority w:val="99"/>
    <w:unhideWhenUsed/>
    <w:rsid w:val="007E6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424"/>
  </w:style>
  <w:style w:type="paragraph" w:styleId="TOCHeading">
    <w:name w:val="TOC Heading"/>
    <w:basedOn w:val="Heading1"/>
    <w:next w:val="Normal"/>
    <w:uiPriority w:val="39"/>
    <w:unhideWhenUsed/>
    <w:qFormat/>
    <w:rsid w:val="0081316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905E3"/>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 TargetMode="External"/><Relationship Id="rId13" Type="http://schemas.openxmlformats.org/officeDocument/2006/relationships/hyperlink" Target="https://www.ons.gov.uk" TargetMode="External"/><Relationship Id="rId18" Type="http://schemas.openxmlformats.org/officeDocument/2006/relationships/hyperlink" Target="https://www.who.int"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ritishpolio.org.uk" TargetMode="External"/><Relationship Id="rId12" Type="http://schemas.openxmlformats.org/officeDocument/2006/relationships/hyperlink" Target="https://www.nice.org.uk" TargetMode="External"/><Relationship Id="rId17" Type="http://schemas.openxmlformats.org/officeDocument/2006/relationships/hyperlink" Target="https://www.worldbank.org" TargetMode="External"/><Relationship Id="rId2" Type="http://schemas.openxmlformats.org/officeDocument/2006/relationships/settings" Target="settings.xml"/><Relationship Id="rId16" Type="http://schemas.openxmlformats.org/officeDocument/2006/relationships/hyperlink" Target="https://www.unicef.or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gland.nhs.uk" TargetMode="External"/><Relationship Id="rId5" Type="http://schemas.openxmlformats.org/officeDocument/2006/relationships/endnotes" Target="endnotes.xml"/><Relationship Id="rId15" Type="http://schemas.openxmlformats.org/officeDocument/2006/relationships/hyperlink" Target="https://www.gov.uk" TargetMode="External"/><Relationship Id="rId10" Type="http://schemas.openxmlformats.org/officeDocument/2006/relationships/hyperlink" Target="https://www.nhs.uk"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polioeradication.org" TargetMode="External"/><Relationship Id="rId14" Type="http://schemas.openxmlformats.org/officeDocument/2006/relationships/hyperlink" Target="https://www.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10</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16</cp:revision>
  <dcterms:created xsi:type="dcterms:W3CDTF">2026-07-06T06:59:00Z</dcterms:created>
  <dcterms:modified xsi:type="dcterms:W3CDTF">2026-07-20T12:17:00Z</dcterms:modified>
</cp:coreProperties>
</file>