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1E0EFA65"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6D38E0">
              <w:rPr>
                <w:rFonts w:ascii="Arial" w:hAnsi="Arial" w:cs="Arial"/>
                <w:b/>
                <w:sz w:val="22"/>
                <w:szCs w:val="22"/>
              </w:rPr>
              <w:t>Leah Powell</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013BE53E" w:rsidR="003B3F9D" w:rsidRPr="009601B8" w:rsidRDefault="006D38E0" w:rsidP="001E57C1">
            <w:pPr>
              <w:spacing w:before="120" w:after="120"/>
              <w:jc w:val="both"/>
              <w:rPr>
                <w:rFonts w:ascii="Arial" w:hAnsi="Arial" w:cs="Arial"/>
                <w:b/>
                <w:sz w:val="22"/>
                <w:szCs w:val="22"/>
              </w:rPr>
            </w:pPr>
            <w:r>
              <w:rPr>
                <w:rFonts w:ascii="Arial" w:hAnsi="Arial" w:cs="Arial"/>
                <w:b/>
                <w:sz w:val="22"/>
                <w:szCs w:val="22"/>
              </w:rPr>
              <w:t>1920878</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55C60B63"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6002D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29B419EE" w:rsidR="00474229" w:rsidRPr="009601B8" w:rsidRDefault="00894D56" w:rsidP="00474229">
            <w:pPr>
              <w:spacing w:before="120" w:after="120"/>
              <w:jc w:val="both"/>
              <w:rPr>
                <w:rFonts w:ascii="Arial" w:eastAsia="Calibri" w:hAnsi="Arial" w:cs="Arial"/>
                <w:b/>
                <w:bCs/>
                <w:sz w:val="22"/>
                <w:szCs w:val="22"/>
              </w:rPr>
            </w:pPr>
            <w:r>
              <w:rPr>
                <w:rFonts w:ascii="Arial" w:hAnsi="Arial" w:cs="Arial"/>
                <w:b/>
                <w:sz w:val="22"/>
                <w:szCs w:val="22"/>
              </w:rPr>
              <w:t xml:space="preserve">Jane Thomas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259E24E2">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220763D9" w:rsidR="00474229" w:rsidRPr="009601B8" w:rsidRDefault="00474229" w:rsidP="00474229">
            <w:pPr>
              <w:spacing w:before="120" w:after="120"/>
              <w:jc w:val="both"/>
              <w:rPr>
                <w:rFonts w:ascii="Arial" w:hAnsi="Arial" w:cs="Arial"/>
                <w:b/>
                <w:sz w:val="22"/>
                <w:szCs w:val="22"/>
              </w:rPr>
            </w:pP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07A99EE" w:rsidR="00474229" w:rsidRPr="009601B8" w:rsidRDefault="003A3FEA" w:rsidP="259E24E2">
            <w:pPr>
              <w:spacing w:before="120" w:after="120"/>
              <w:jc w:val="both"/>
              <w:rPr>
                <w:rFonts w:ascii="Arial" w:eastAsia="Calibri" w:hAnsi="Arial" w:cs="Arial"/>
                <w:b/>
                <w:bCs/>
                <w:sz w:val="22"/>
                <w:szCs w:val="22"/>
              </w:rPr>
            </w:pPr>
            <w:r>
              <w:rPr>
                <w:rFonts w:ascii="Arial" w:eastAsia="Calibri" w:hAnsi="Arial" w:cs="Arial"/>
                <w:b/>
                <w:bCs/>
                <w:sz w:val="22"/>
                <w:szCs w:val="22"/>
              </w:rPr>
              <w:t>22</w:t>
            </w:r>
            <w:r w:rsidRPr="003A3FEA">
              <w:rPr>
                <w:rFonts w:ascii="Arial" w:eastAsia="Calibri" w:hAnsi="Arial" w:cs="Arial"/>
                <w:b/>
                <w:bCs/>
                <w:sz w:val="22"/>
                <w:szCs w:val="22"/>
                <w:vertAlign w:val="superscript"/>
              </w:rPr>
              <w:t>nd</w:t>
            </w:r>
            <w:r>
              <w:rPr>
                <w:rFonts w:ascii="Arial" w:eastAsia="Calibri" w:hAnsi="Arial" w:cs="Arial"/>
                <w:b/>
                <w:bCs/>
                <w:sz w:val="22"/>
                <w:szCs w:val="22"/>
              </w:rPr>
              <w:t xml:space="preserve"> November</w:t>
            </w:r>
            <w:r w:rsidR="00894D56">
              <w:rPr>
                <w:rFonts w:ascii="Arial" w:eastAsia="Calibri" w:hAnsi="Arial" w:cs="Arial"/>
                <w:b/>
                <w:bCs/>
                <w:sz w:val="22"/>
                <w:szCs w:val="22"/>
              </w:rPr>
              <w:t xml:space="preserve"> 2021</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bookmarkStart w:id="0" w:name="_Hlk87962211"/>
      <w:r w:rsidRPr="00454735">
        <w:rPr>
          <w:rFonts w:ascii="Calibri" w:eastAsia="Calibri" w:hAnsi="Calibri" w:cs="Calibri"/>
          <w:b/>
          <w:bCs/>
          <w:sz w:val="28"/>
          <w:szCs w:val="28"/>
        </w:rPr>
        <w:t>1000 words - Understanding the role of Constable/Maintaining Professional Standards</w:t>
      </w:r>
    </w:p>
    <w:bookmarkEnd w:id="0"/>
    <w:p w14:paraId="1EEF5F6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03020D9"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E112270"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Community policing (strategies and incentives)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3E94E9A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Policing the roads (application of regulations) </w:t>
      </w:r>
    </w:p>
    <w:p w14:paraId="71D40E12"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Counter Terrorism Policing (Structure/ Risks/Insider threat).  </w:t>
      </w:r>
    </w:p>
    <w:p w14:paraId="6F2CAC0B" w14:textId="77777777" w:rsidR="00454735" w:rsidRPr="00454735" w:rsidRDefault="00454735" w:rsidP="00454735">
      <w:pPr>
        <w:numPr>
          <w:ilvl w:val="0"/>
          <w:numId w:val="1"/>
        </w:numPr>
        <w:contextualSpacing/>
        <w:rPr>
          <w:rFonts w:ascii="Calibri" w:hAnsi="Calibri" w:cs="Calibri"/>
          <w:sz w:val="28"/>
          <w:szCs w:val="28"/>
        </w:rPr>
      </w:pPr>
      <w:r w:rsidRPr="00454735">
        <w:rPr>
          <w:rFonts w:ascii="Calibri" w:eastAsia="Calibri" w:hAnsi="Calibri" w:cs="Calibri"/>
          <w:sz w:val="28"/>
          <w:szCs w:val="28"/>
        </w:rPr>
        <w:t xml:space="preserve">Digital Policing (Internet related crime / Digital evidence retrieval).  </w:t>
      </w:r>
    </w:p>
    <w:p w14:paraId="1FD1043B" w14:textId="77777777" w:rsidR="00454735" w:rsidRPr="00454735" w:rsidRDefault="00454735" w:rsidP="00454735">
      <w:pPr>
        <w:contextualSpacing/>
        <w:rPr>
          <w:rFonts w:ascii="Calibri" w:hAnsi="Calibri" w:cs="Calibri"/>
          <w:sz w:val="28"/>
          <w:szCs w:val="28"/>
        </w:rPr>
      </w:pPr>
    </w:p>
    <w:p w14:paraId="309C0401" w14:textId="77777777" w:rsidR="00454735" w:rsidRPr="00454735" w:rsidRDefault="00454735" w:rsidP="00454735">
      <w:pPr>
        <w:contextualSpacing/>
        <w:rPr>
          <w:rFonts w:ascii="Calibri" w:hAnsi="Calibri" w:cs="Calibri"/>
          <w:sz w:val="28"/>
          <w:szCs w:val="28"/>
        </w:rPr>
      </w:pPr>
      <w:r w:rsidRPr="00454735">
        <w:rPr>
          <w:rFonts w:ascii="Calibri" w:hAnsi="Calibri" w:cs="Calibri"/>
          <w:sz w:val="28"/>
          <w:szCs w:val="28"/>
        </w:rPr>
        <w:t>NB: If you wish to pursue a detective role within the police service, please choose the following option.</w:t>
      </w:r>
    </w:p>
    <w:p w14:paraId="6C527985" w14:textId="77777777" w:rsidR="00454735" w:rsidRPr="00454735" w:rsidRDefault="00454735" w:rsidP="00454735">
      <w:pPr>
        <w:contextualSpacing/>
        <w:rPr>
          <w:rFonts w:ascii="Calibri" w:hAnsi="Calibri" w:cs="Calibri"/>
          <w:sz w:val="28"/>
          <w:szCs w:val="28"/>
        </w:rPr>
      </w:pP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bookmarkStart w:id="1" w:name="_Hlk87962261"/>
      <w:r w:rsidRPr="00454735">
        <w:rPr>
          <w:rFonts w:ascii="Calibri" w:eastAsia="Arial" w:hAnsi="Calibri" w:cs="Calibri"/>
          <w:sz w:val="28"/>
          <w:szCs w:val="28"/>
        </w:rPr>
        <w:t xml:space="preserve">Conducting Investigations (Volume, serious and complex) </w:t>
      </w:r>
    </w:p>
    <w:bookmarkEnd w:id="1"/>
    <w:p w14:paraId="7F9B3EE1" w14:textId="77777777" w:rsidR="00454735" w:rsidRPr="00454735" w:rsidRDefault="00454735"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bookmarkStart w:id="2" w:name="_Hlk87962493"/>
      <w:r w:rsidRPr="00454735">
        <w:rPr>
          <w:rFonts w:ascii="Calibri" w:eastAsia="Calibri" w:hAnsi="Calibri" w:cs="Calibri"/>
          <w:b/>
          <w:bCs/>
          <w:sz w:val="28"/>
          <w:szCs w:val="28"/>
        </w:rPr>
        <w:t>1000 words - Information and Intelligence/Communication Skills</w:t>
      </w:r>
    </w:p>
    <w:bookmarkEnd w:id="2"/>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w:t>
      </w:r>
      <w:proofErr w:type="gramStart"/>
      <w:r w:rsidR="00795507">
        <w:rPr>
          <w:rFonts w:ascii="Arial" w:hAnsi="Arial" w:cs="Arial"/>
          <w:i/>
          <w:sz w:val="22"/>
          <w:szCs w:val="22"/>
        </w:rPr>
        <w:t>area,</w:t>
      </w:r>
      <w:proofErr w:type="gramEnd"/>
      <w:r w:rsidR="00795507">
        <w:rPr>
          <w:rFonts w:ascii="Arial" w:hAnsi="Arial" w:cs="Arial"/>
          <w:i/>
          <w:sz w:val="22"/>
          <w:szCs w:val="22"/>
        </w:rPr>
        <w:t xml:space="preserve"> your sources should be reliable. Try to limit the quantity of journalistic sources you use and, instead include peer reviewed journal articles or academic sources. The Universities library is 90% available </w:t>
      </w:r>
      <w:proofErr w:type="gramStart"/>
      <w:r w:rsidR="00795507">
        <w:rPr>
          <w:rFonts w:ascii="Arial" w:hAnsi="Arial" w:cs="Arial"/>
          <w:i/>
          <w:sz w:val="22"/>
          <w:szCs w:val="22"/>
        </w:rPr>
        <w:t>on line</w:t>
      </w:r>
      <w:proofErr w:type="gramEnd"/>
      <w:r w:rsidR="00795507">
        <w:rPr>
          <w:rFonts w:ascii="Arial" w:hAnsi="Arial" w:cs="Arial"/>
          <w:i/>
          <w:sz w:val="22"/>
          <w:szCs w:val="22"/>
        </w:rPr>
        <w:t xml:space="preserv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7A408040" w:rsidR="00045D04" w:rsidRDefault="00045D04" w:rsidP="00D22D9C">
      <w:pPr>
        <w:jc w:val="both"/>
        <w:rPr>
          <w:rFonts w:ascii="Arial" w:hAnsi="Arial" w:cs="Arial"/>
          <w:sz w:val="22"/>
          <w:szCs w:val="22"/>
        </w:rPr>
      </w:pPr>
    </w:p>
    <w:p w14:paraId="1784FD9B" w14:textId="6401DB94" w:rsidR="00056996" w:rsidRDefault="00056996" w:rsidP="00D22D9C">
      <w:pPr>
        <w:jc w:val="both"/>
        <w:rPr>
          <w:rFonts w:ascii="Arial" w:hAnsi="Arial" w:cs="Arial"/>
          <w:sz w:val="22"/>
          <w:szCs w:val="22"/>
        </w:rPr>
      </w:pPr>
    </w:p>
    <w:p w14:paraId="3651A66A" w14:textId="756A0EB1" w:rsidR="00056996" w:rsidRDefault="00056996" w:rsidP="00D22D9C">
      <w:pPr>
        <w:jc w:val="both"/>
        <w:rPr>
          <w:rFonts w:ascii="Arial" w:hAnsi="Arial" w:cs="Arial"/>
          <w:sz w:val="22"/>
          <w:szCs w:val="22"/>
        </w:rPr>
      </w:pPr>
    </w:p>
    <w:p w14:paraId="00C28282" w14:textId="41155F69" w:rsidR="00056996" w:rsidRDefault="00056996" w:rsidP="00D22D9C">
      <w:pPr>
        <w:jc w:val="both"/>
        <w:rPr>
          <w:rFonts w:ascii="Arial" w:hAnsi="Arial" w:cs="Arial"/>
          <w:sz w:val="22"/>
          <w:szCs w:val="22"/>
        </w:rPr>
      </w:pPr>
    </w:p>
    <w:p w14:paraId="6BFA2319" w14:textId="76216739" w:rsidR="00056996" w:rsidRDefault="00056996" w:rsidP="00D22D9C">
      <w:pPr>
        <w:jc w:val="both"/>
        <w:rPr>
          <w:rFonts w:ascii="Arial" w:hAnsi="Arial" w:cs="Arial"/>
          <w:sz w:val="22"/>
          <w:szCs w:val="22"/>
        </w:rPr>
      </w:pPr>
    </w:p>
    <w:p w14:paraId="7A81DA55" w14:textId="77777777" w:rsidR="00056996" w:rsidRDefault="00056996"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3B83FBAE" w14:textId="3CDA9342" w:rsidR="00027C17" w:rsidRPr="0075625B" w:rsidRDefault="00027C17" w:rsidP="00027C17">
      <w:pPr>
        <w:spacing w:after="160" w:line="259" w:lineRule="auto"/>
        <w:rPr>
          <w:rFonts w:asciiTheme="majorHAnsi" w:eastAsia="Calibri" w:hAnsiTheme="majorHAnsi" w:cstheme="majorHAnsi"/>
          <w:sz w:val="24"/>
          <w:szCs w:val="24"/>
          <w:u w:val="single"/>
          <w:lang w:eastAsia="en-US"/>
        </w:rPr>
      </w:pPr>
      <w:r w:rsidRPr="0075625B">
        <w:rPr>
          <w:rFonts w:asciiTheme="majorHAnsi" w:eastAsia="Calibri" w:hAnsiTheme="majorHAnsi" w:cstheme="majorHAnsi"/>
          <w:sz w:val="24"/>
          <w:szCs w:val="24"/>
          <w:u w:val="single"/>
          <w:lang w:eastAsia="en-US"/>
        </w:rPr>
        <w:lastRenderedPageBreak/>
        <w:t xml:space="preserve">TASK 1 - 1000 </w:t>
      </w:r>
      <w:r w:rsidR="0091023A" w:rsidRPr="0075625B">
        <w:rPr>
          <w:rFonts w:asciiTheme="majorHAnsi" w:eastAsia="Calibri" w:hAnsiTheme="majorHAnsi" w:cstheme="majorHAnsi"/>
          <w:sz w:val="24"/>
          <w:szCs w:val="24"/>
          <w:u w:val="single"/>
          <w:lang w:eastAsia="en-US"/>
        </w:rPr>
        <w:t>WORDS</w:t>
      </w:r>
      <w:r w:rsidRPr="0075625B">
        <w:rPr>
          <w:rFonts w:asciiTheme="majorHAnsi" w:eastAsia="Calibri" w:hAnsiTheme="majorHAnsi" w:cstheme="majorHAnsi"/>
          <w:sz w:val="24"/>
          <w:szCs w:val="24"/>
          <w:u w:val="single"/>
          <w:lang w:eastAsia="en-US"/>
        </w:rPr>
        <w:t xml:space="preserve"> </w:t>
      </w:r>
      <w:r w:rsidR="0091023A" w:rsidRPr="0075625B">
        <w:rPr>
          <w:rFonts w:asciiTheme="majorHAnsi" w:eastAsia="Calibri" w:hAnsiTheme="majorHAnsi" w:cstheme="majorHAnsi"/>
          <w:sz w:val="24"/>
          <w:szCs w:val="24"/>
          <w:u w:val="single"/>
          <w:lang w:eastAsia="en-US"/>
        </w:rPr>
        <w:t>–</w:t>
      </w:r>
      <w:r w:rsidRPr="0075625B">
        <w:rPr>
          <w:rFonts w:asciiTheme="majorHAnsi" w:eastAsia="Calibri" w:hAnsiTheme="majorHAnsi" w:cstheme="majorHAnsi"/>
          <w:sz w:val="24"/>
          <w:szCs w:val="24"/>
          <w:u w:val="single"/>
          <w:lang w:eastAsia="en-US"/>
        </w:rPr>
        <w:t xml:space="preserve"> </w:t>
      </w:r>
      <w:r w:rsidR="0091023A" w:rsidRPr="0075625B">
        <w:rPr>
          <w:rFonts w:asciiTheme="majorHAnsi" w:eastAsia="Calibri" w:hAnsiTheme="majorHAnsi" w:cstheme="majorHAnsi"/>
          <w:sz w:val="24"/>
          <w:szCs w:val="24"/>
          <w:u w:val="single"/>
          <w:lang w:eastAsia="en-US"/>
        </w:rPr>
        <w:t xml:space="preserve">UNDERSTANDING THE ROLE OF THE CONSTABLE </w:t>
      </w:r>
      <w:r w:rsidRPr="0075625B">
        <w:rPr>
          <w:rFonts w:asciiTheme="majorHAnsi" w:eastAsia="Calibri" w:hAnsiTheme="majorHAnsi" w:cstheme="majorHAnsi"/>
          <w:sz w:val="24"/>
          <w:szCs w:val="24"/>
          <w:u w:val="single"/>
          <w:lang w:eastAsia="en-US"/>
        </w:rPr>
        <w:t>/M</w:t>
      </w:r>
      <w:r w:rsidR="0091023A" w:rsidRPr="0075625B">
        <w:rPr>
          <w:rFonts w:asciiTheme="majorHAnsi" w:eastAsia="Calibri" w:hAnsiTheme="majorHAnsi" w:cstheme="majorHAnsi"/>
          <w:sz w:val="24"/>
          <w:szCs w:val="24"/>
          <w:u w:val="single"/>
          <w:lang w:eastAsia="en-US"/>
        </w:rPr>
        <w:t>AINTAINING</w:t>
      </w:r>
      <w:r w:rsidRPr="0075625B">
        <w:rPr>
          <w:rFonts w:asciiTheme="majorHAnsi" w:eastAsia="Calibri" w:hAnsiTheme="majorHAnsi" w:cstheme="majorHAnsi"/>
          <w:sz w:val="24"/>
          <w:szCs w:val="24"/>
          <w:u w:val="single"/>
          <w:lang w:eastAsia="en-US"/>
        </w:rPr>
        <w:t xml:space="preserve"> P</w:t>
      </w:r>
      <w:r w:rsidR="0091023A" w:rsidRPr="0075625B">
        <w:rPr>
          <w:rFonts w:asciiTheme="majorHAnsi" w:eastAsia="Calibri" w:hAnsiTheme="majorHAnsi" w:cstheme="majorHAnsi"/>
          <w:sz w:val="24"/>
          <w:szCs w:val="24"/>
          <w:u w:val="single"/>
          <w:lang w:eastAsia="en-US"/>
        </w:rPr>
        <w:t>ROFESSIONAL STANDARDS.</w:t>
      </w:r>
    </w:p>
    <w:p w14:paraId="3AC3384A" w14:textId="5EA3586B"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This assignment will critically evaluate the concept of ‘the professionalisation of the police service, and in doing so will consider the strategic drivers, including relevant national policing strategies.  </w:t>
      </w:r>
    </w:p>
    <w:p w14:paraId="6E5333BD"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It will then go on to explore the concept of ‘integrity’ within Policing and consider how ‘maintaining professional standards’, ‘ethical and inclusive’ and ‘coaching and mentoring’ approaches contribute to the ‘professionalising policing’ concept.</w:t>
      </w:r>
    </w:p>
    <w:p w14:paraId="08F4D718"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When considering the role of the Police Constable, it is perhaps fair to say that there is no other occupation quite like it.  The role varies extensively and therefore undoubtedly requires a plethora of skills and knowledge.</w:t>
      </w:r>
    </w:p>
    <w:p w14:paraId="33EC69E5"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So, when considering the concept of ‘the professionalisation of the Police service’, what does the term professionalisation mean?</w:t>
      </w:r>
    </w:p>
    <w:p w14:paraId="0FA7362F"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The term ‘professionalisation’ according to Oxford Dictionary is the “the action or process of giving an occupation, activity, or group professional qualities, typically by increasing training or raising required qualifications.” (Oxford Dictionary Online, 2021) </w:t>
      </w:r>
    </w:p>
    <w:p w14:paraId="1CD66133"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According to Sir Robert Peel’s ‘</w:t>
      </w:r>
      <w:proofErr w:type="spellStart"/>
      <w:r w:rsidRPr="0075625B">
        <w:rPr>
          <w:rFonts w:asciiTheme="majorHAnsi" w:eastAsia="Calibri" w:hAnsiTheme="majorHAnsi" w:cstheme="majorHAnsi"/>
          <w:sz w:val="24"/>
          <w:szCs w:val="24"/>
          <w:lang w:eastAsia="en-US"/>
        </w:rPr>
        <w:t>Peelian</w:t>
      </w:r>
      <w:proofErr w:type="spellEnd"/>
      <w:r w:rsidRPr="0075625B">
        <w:rPr>
          <w:rFonts w:asciiTheme="majorHAnsi" w:eastAsia="Calibri" w:hAnsiTheme="majorHAnsi" w:cstheme="majorHAnsi"/>
          <w:sz w:val="24"/>
          <w:szCs w:val="24"/>
          <w:lang w:eastAsia="en-US"/>
        </w:rPr>
        <w:t xml:space="preserve"> Principles’ (1829),  the Police rely on the trust and confidence of the public, it could be argued that this confidence will have firm footings with the knowledge that the Police who serve our communities are suitably qualified and trained to deal with a variety of situations.  However, arguably the introduction of the professionalisation concept may decrease the success of creating a diverse force due to academic barriers for new applicants.</w:t>
      </w:r>
    </w:p>
    <w:p w14:paraId="675B96E0"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Furthermore, the academic qualification is not mandatory for those officers who joined before the introduction of the programme; </w:t>
      </w:r>
      <w:proofErr w:type="gramStart"/>
      <w:r w:rsidRPr="0075625B">
        <w:rPr>
          <w:rFonts w:asciiTheme="majorHAnsi" w:eastAsia="Calibri" w:hAnsiTheme="majorHAnsi" w:cstheme="majorHAnsi"/>
          <w:sz w:val="24"/>
          <w:szCs w:val="24"/>
          <w:lang w:eastAsia="en-US"/>
        </w:rPr>
        <w:t>therefore</w:t>
      </w:r>
      <w:proofErr w:type="gramEnd"/>
      <w:r w:rsidRPr="0075625B">
        <w:rPr>
          <w:rFonts w:asciiTheme="majorHAnsi" w:eastAsia="Calibri" w:hAnsiTheme="majorHAnsi" w:cstheme="majorHAnsi"/>
          <w:sz w:val="24"/>
          <w:szCs w:val="24"/>
          <w:lang w:eastAsia="en-US"/>
        </w:rPr>
        <w:t xml:space="preserve"> some officers are not understanding of the pressures of the degree programme and the work based learning days allocated to new officers.</w:t>
      </w:r>
    </w:p>
    <w:p w14:paraId="3FB7F5CD"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New officers join on the basis that they will complete either a degree or higher diploma programme based on their existing level of qualifications.  They will study over the course of either 2 or 3 years towards to professional qualification as set out by the College of Policing. The programme consists of both academic and practical modules which are a combination of university </w:t>
      </w:r>
    </w:p>
    <w:p w14:paraId="0F5D9EEE"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Professionalising policing brings the occupation in line with modern day thinking and other statutory organisations.  This provides accountability and the professional status it quite rightly deserves.</w:t>
      </w:r>
    </w:p>
    <w:p w14:paraId="15A6C1B1"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However, it could be suggested that the attitudes and beliefs within the organisation also need to adjust in line with the concept of professionalisation, with existing officers and staff acknowledging that ability and adeptness do not necessarily depend on number of years of service. </w:t>
      </w:r>
    </w:p>
    <w:p w14:paraId="396163BD"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The College of Policing acts as the professional body for policing and in 2014 it introduced the Code of Ethics, under s.39A (5) of the Police Act 1996, it is suggested that “The Code of Ethics in central to the professionalisation of the police service and police practices.” (Blackstone’s, 2020, pg750).</w:t>
      </w:r>
    </w:p>
    <w:p w14:paraId="683C2B97"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Policing </w:t>
      </w:r>
      <w:proofErr w:type="gramStart"/>
      <w:r w:rsidRPr="0075625B">
        <w:rPr>
          <w:rFonts w:asciiTheme="majorHAnsi" w:eastAsia="Calibri" w:hAnsiTheme="majorHAnsi" w:cstheme="majorHAnsi"/>
          <w:sz w:val="24"/>
          <w:szCs w:val="24"/>
          <w:lang w:eastAsia="en-US"/>
        </w:rPr>
        <w:t>is considered to be</w:t>
      </w:r>
      <w:proofErr w:type="gramEnd"/>
      <w:r w:rsidRPr="0075625B">
        <w:rPr>
          <w:rFonts w:asciiTheme="majorHAnsi" w:eastAsia="Calibri" w:hAnsiTheme="majorHAnsi" w:cstheme="majorHAnsi"/>
          <w:sz w:val="24"/>
          <w:szCs w:val="24"/>
          <w:lang w:eastAsia="en-US"/>
        </w:rPr>
        <w:t xml:space="preserve"> a profession with officers and staff being suitably trained and qualified to a set standard to accordance with guidance set out by The College of Policing.</w:t>
      </w:r>
    </w:p>
    <w:p w14:paraId="67612934"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Embedded within the Code of Ethics, there are 9 policing principles that provide values and standards expected within the Policing profession, these are: “Accountability, Fairness, Openness, Integrity, Leadership, Selflessness, Honesty, Objectivity and Respect” (Code of Ethics, College of Policing, 2014)</w:t>
      </w:r>
    </w:p>
    <w:p w14:paraId="15769892"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p>
    <w:p w14:paraId="01C7C301"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Policing is a role that comes with responsibility and the expectation that officers are educated and trained in order to make informed decisions and dynamic risk assessments.  Police have a duty of care to the people they serve and hold powers in relation to role which may only be used lawfully and with the appropriate grounds in which they become applicable.</w:t>
      </w:r>
    </w:p>
    <w:p w14:paraId="6790A60C"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When considering the strategic drivers for professionalising policing, we look at policies that provide guidance and develop action plans to achieve overall desired goals.</w:t>
      </w:r>
    </w:p>
    <w:p w14:paraId="333F0C67"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The Policing Vision 2025 suggests that the service provided by the Police “needs to be delivered by a professional workforce equipped with the skills and capabilities necessary for policing in the 21</w:t>
      </w:r>
      <w:r w:rsidRPr="0075625B">
        <w:rPr>
          <w:rFonts w:asciiTheme="majorHAnsi" w:eastAsia="Calibri" w:hAnsiTheme="majorHAnsi" w:cstheme="majorHAnsi"/>
          <w:sz w:val="24"/>
          <w:szCs w:val="24"/>
          <w:vertAlign w:val="superscript"/>
          <w:lang w:eastAsia="en-US"/>
        </w:rPr>
        <w:t>st</w:t>
      </w:r>
      <w:r w:rsidRPr="0075625B">
        <w:rPr>
          <w:rFonts w:asciiTheme="majorHAnsi" w:eastAsia="Calibri" w:hAnsiTheme="majorHAnsi" w:cstheme="majorHAnsi"/>
          <w:sz w:val="24"/>
          <w:szCs w:val="24"/>
          <w:lang w:eastAsia="en-US"/>
        </w:rPr>
        <w:t xml:space="preserve"> Century” (Policing Vision 2025, </w:t>
      </w:r>
      <w:proofErr w:type="spellStart"/>
      <w:r w:rsidRPr="0075625B">
        <w:rPr>
          <w:rFonts w:asciiTheme="majorHAnsi" w:eastAsia="Calibri" w:hAnsiTheme="majorHAnsi" w:cstheme="majorHAnsi"/>
          <w:sz w:val="24"/>
          <w:szCs w:val="24"/>
          <w:lang w:eastAsia="en-US"/>
        </w:rPr>
        <w:t>pg</w:t>
      </w:r>
      <w:proofErr w:type="spellEnd"/>
      <w:r w:rsidRPr="0075625B">
        <w:rPr>
          <w:rFonts w:asciiTheme="majorHAnsi" w:eastAsia="Calibri" w:hAnsiTheme="majorHAnsi" w:cstheme="majorHAnsi"/>
          <w:sz w:val="24"/>
          <w:szCs w:val="24"/>
          <w:lang w:eastAsia="en-US"/>
        </w:rPr>
        <w:t xml:space="preserve"> 9).</w:t>
      </w:r>
    </w:p>
    <w:p w14:paraId="14CBA76F"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It could be argued that some of the terminology within this document is </w:t>
      </w:r>
      <w:proofErr w:type="gramStart"/>
      <w:r w:rsidRPr="0075625B">
        <w:rPr>
          <w:rFonts w:asciiTheme="majorHAnsi" w:eastAsia="Calibri" w:hAnsiTheme="majorHAnsi" w:cstheme="majorHAnsi"/>
          <w:sz w:val="24"/>
          <w:szCs w:val="24"/>
          <w:lang w:eastAsia="en-US"/>
        </w:rPr>
        <w:t>similar to</w:t>
      </w:r>
      <w:proofErr w:type="gramEnd"/>
      <w:r w:rsidRPr="0075625B">
        <w:rPr>
          <w:rFonts w:asciiTheme="majorHAnsi" w:eastAsia="Calibri" w:hAnsiTheme="majorHAnsi" w:cstheme="majorHAnsi"/>
          <w:sz w:val="24"/>
          <w:szCs w:val="24"/>
          <w:lang w:eastAsia="en-US"/>
        </w:rPr>
        <w:t xml:space="preserve"> that used within other professions such as social care, with terms such as ‘practitioner’ used throughout.</w:t>
      </w:r>
    </w:p>
    <w:p w14:paraId="63E302E5"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Furthermore, the Policing Vision 2025 highlights “a need for consistency, accreditation and defined roles” and “that roles need specific skills and knowledge, backed by qualifications” (College of Policing, 2020)</w:t>
      </w:r>
    </w:p>
    <w:p w14:paraId="16F30687" w14:textId="77777777" w:rsidR="00027C17" w:rsidRPr="0075625B" w:rsidRDefault="00027C17" w:rsidP="00027C17">
      <w:pPr>
        <w:rPr>
          <w:rFonts w:asciiTheme="majorHAnsi" w:hAnsiTheme="majorHAnsi" w:cstheme="majorHAnsi"/>
          <w:sz w:val="24"/>
          <w:szCs w:val="24"/>
        </w:rPr>
      </w:pPr>
      <w:r w:rsidRPr="0075625B">
        <w:rPr>
          <w:rFonts w:asciiTheme="majorHAnsi" w:hAnsiTheme="majorHAnsi" w:cstheme="majorHAnsi"/>
          <w:sz w:val="24"/>
          <w:szCs w:val="24"/>
        </w:rPr>
        <w:t xml:space="preserve">Professionalising policing supports the standardisation of Police training and promotes continuous learning and development. </w:t>
      </w:r>
    </w:p>
    <w:p w14:paraId="044E1BC6"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p>
    <w:p w14:paraId="438C2D48"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The definition of integrity according to Cambridge dictionary is “the quality of being honest and having strong moral principles that you refuse to change” (dictionary.cambridge.org).  Therefore, if you have integrity you will do the right thing regardless of the opinions and persuasions of others.</w:t>
      </w:r>
    </w:p>
    <w:p w14:paraId="73B1FF64"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When considering the concept of integrity in a professional policing context, it could be argued that integrity means ‘always doing the right thing, even when no-one else is watching’. We could also consider that integrity may be fuelled by our own moral compass and life experiences, thus promoting further thinking around “what is the right </w:t>
      </w:r>
      <w:proofErr w:type="gramStart"/>
      <w:r w:rsidRPr="0075625B">
        <w:rPr>
          <w:rFonts w:asciiTheme="majorHAnsi" w:eastAsia="Calibri" w:hAnsiTheme="majorHAnsi" w:cstheme="majorHAnsi"/>
          <w:sz w:val="24"/>
          <w:szCs w:val="24"/>
          <w:lang w:eastAsia="en-US"/>
        </w:rPr>
        <w:t>thing?,</w:t>
      </w:r>
      <w:proofErr w:type="gramEnd"/>
      <w:r w:rsidRPr="0075625B">
        <w:rPr>
          <w:rFonts w:asciiTheme="majorHAnsi" w:eastAsia="Calibri" w:hAnsiTheme="majorHAnsi" w:cstheme="majorHAnsi"/>
          <w:sz w:val="24"/>
          <w:szCs w:val="24"/>
          <w:lang w:eastAsia="en-US"/>
        </w:rPr>
        <w:t xml:space="preserve"> and “How do we determine what is right?”.  The concept of what is right to one person may not be the same to another.</w:t>
      </w:r>
    </w:p>
    <w:p w14:paraId="0E9F902C"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This is especially important in Policing as it is rare to please everybody </w:t>
      </w:r>
      <w:proofErr w:type="gramStart"/>
      <w:r w:rsidRPr="0075625B">
        <w:rPr>
          <w:rFonts w:asciiTheme="majorHAnsi" w:eastAsia="Calibri" w:hAnsiTheme="majorHAnsi" w:cstheme="majorHAnsi"/>
          <w:sz w:val="24"/>
          <w:szCs w:val="24"/>
          <w:lang w:eastAsia="en-US"/>
        </w:rPr>
        <w:t>all of</w:t>
      </w:r>
      <w:proofErr w:type="gramEnd"/>
      <w:r w:rsidRPr="0075625B">
        <w:rPr>
          <w:rFonts w:asciiTheme="majorHAnsi" w:eastAsia="Calibri" w:hAnsiTheme="majorHAnsi" w:cstheme="majorHAnsi"/>
          <w:sz w:val="24"/>
          <w:szCs w:val="24"/>
          <w:lang w:eastAsia="en-US"/>
        </w:rPr>
        <w:t xml:space="preserve"> the time, there will be people who disagree with the decision making of officers and therefore the officer needs to make informed decisions and justify any actions taken.  This is where the National Decision Model (NDM) is utilised in order to consider all options and to identify the best option or perhaps that one that considers the best outcomes for all involved.  The NDM is a framework used by officers to dynamically risk assess situations and make informed decisions based on evidence and powers available, it has the code of ethics at centre to ensure that we are always considering ‘what is right’.</w:t>
      </w:r>
    </w:p>
    <w:p w14:paraId="1A6AB0BE"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Professional standards are crucial within policing to maintain confidence and trust from the public.  Officers must adhere to the Code of Ethics and consider their responsibilities to their profession both on and off duty.  Officers who fall short of these standards may be investigated by PSD or in more serious cases the IOPC.</w:t>
      </w:r>
    </w:p>
    <w:p w14:paraId="0A0B2AD0"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As a policing profession, it is vital that we represent the communities that we serve, this means “making sure our culture and values reflect the diversity of our people and the communities in which we operate” (College of Policing, pg5, 2020). Through positive action, the force ensures that recruitment is inclusive and ethical leading to what is hoped will be a diverse </w:t>
      </w:r>
      <w:proofErr w:type="spellStart"/>
      <w:r w:rsidRPr="0075625B">
        <w:rPr>
          <w:rFonts w:asciiTheme="majorHAnsi" w:eastAsia="Calibri" w:hAnsiTheme="majorHAnsi" w:cstheme="majorHAnsi"/>
          <w:sz w:val="24"/>
          <w:szCs w:val="24"/>
          <w:lang w:eastAsia="en-US"/>
        </w:rPr>
        <w:t>worksforce</w:t>
      </w:r>
      <w:proofErr w:type="spellEnd"/>
      <w:r w:rsidRPr="0075625B">
        <w:rPr>
          <w:rFonts w:asciiTheme="majorHAnsi" w:eastAsia="Calibri" w:hAnsiTheme="majorHAnsi" w:cstheme="majorHAnsi"/>
          <w:sz w:val="24"/>
          <w:szCs w:val="24"/>
          <w:lang w:eastAsia="en-US"/>
        </w:rPr>
        <w:t xml:space="preserve">. </w:t>
      </w:r>
    </w:p>
    <w:p w14:paraId="69763378"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lastRenderedPageBreak/>
        <w:t>Coaching and mentoring are both forms of ‘on the job learning’ and provide the benefit of being able to learn from others and our own experiences ‘experiential learning’.  According to Kolb’s experiential learning theory, we learn by reflecting on experiences both in and on action and from both negative and positive experiences (as per Kolb’s experiential learning theory (KOLB, 1984).  Using Kolb’s model of reflection, it could be suggested that coaching and mentoring in the workplace can help promoting wider learning than a classroom experience.</w:t>
      </w:r>
    </w:p>
    <w:p w14:paraId="76A16E7D" w14:textId="77777777" w:rsidR="00027C17" w:rsidRPr="0075625B" w:rsidRDefault="00027C17" w:rsidP="00027C17">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However, a downside to this could be that the person </w:t>
      </w:r>
      <w:proofErr w:type="gramStart"/>
      <w:r w:rsidRPr="0075625B">
        <w:rPr>
          <w:rFonts w:asciiTheme="majorHAnsi" w:eastAsia="Calibri" w:hAnsiTheme="majorHAnsi" w:cstheme="majorHAnsi"/>
          <w:sz w:val="24"/>
          <w:szCs w:val="24"/>
          <w:lang w:eastAsia="en-US"/>
        </w:rPr>
        <w:t>coaching</w:t>
      </w:r>
      <w:proofErr w:type="gramEnd"/>
      <w:r w:rsidRPr="0075625B">
        <w:rPr>
          <w:rFonts w:asciiTheme="majorHAnsi" w:eastAsia="Calibri" w:hAnsiTheme="majorHAnsi" w:cstheme="majorHAnsi"/>
          <w:sz w:val="24"/>
          <w:szCs w:val="24"/>
          <w:lang w:eastAsia="en-US"/>
        </w:rPr>
        <w:t xml:space="preserve"> or mentoring is not actually following correct procedures themselves, therefore contributing to the learner picking up ‘bad habits’.</w:t>
      </w:r>
    </w:p>
    <w:p w14:paraId="746B783E" w14:textId="107206FD" w:rsidR="00045D04" w:rsidRDefault="00045D04" w:rsidP="00D22D9C">
      <w:pPr>
        <w:jc w:val="both"/>
        <w:rPr>
          <w:rFonts w:asciiTheme="majorHAnsi" w:hAnsiTheme="majorHAnsi" w:cstheme="majorHAnsi"/>
          <w:sz w:val="24"/>
          <w:szCs w:val="24"/>
        </w:rPr>
      </w:pPr>
    </w:p>
    <w:p w14:paraId="0182E012" w14:textId="14DAC2F2" w:rsidR="0075625B" w:rsidRDefault="0075625B" w:rsidP="00D22D9C">
      <w:pPr>
        <w:jc w:val="both"/>
        <w:rPr>
          <w:rFonts w:asciiTheme="majorHAnsi" w:hAnsiTheme="majorHAnsi" w:cstheme="majorHAnsi"/>
          <w:sz w:val="24"/>
          <w:szCs w:val="24"/>
        </w:rPr>
      </w:pPr>
    </w:p>
    <w:p w14:paraId="27757E6E" w14:textId="61800FFF" w:rsidR="0075625B" w:rsidRDefault="0075625B" w:rsidP="00D22D9C">
      <w:pPr>
        <w:jc w:val="both"/>
        <w:rPr>
          <w:rFonts w:asciiTheme="majorHAnsi" w:hAnsiTheme="majorHAnsi" w:cstheme="majorHAnsi"/>
          <w:sz w:val="24"/>
          <w:szCs w:val="24"/>
        </w:rPr>
      </w:pPr>
    </w:p>
    <w:p w14:paraId="08F29D84" w14:textId="5E919416" w:rsidR="0075625B" w:rsidRDefault="0075625B" w:rsidP="00D22D9C">
      <w:pPr>
        <w:jc w:val="both"/>
        <w:rPr>
          <w:rFonts w:asciiTheme="majorHAnsi" w:hAnsiTheme="majorHAnsi" w:cstheme="majorHAnsi"/>
          <w:sz w:val="24"/>
          <w:szCs w:val="24"/>
        </w:rPr>
      </w:pPr>
    </w:p>
    <w:p w14:paraId="11EB069B" w14:textId="00693065" w:rsidR="0075625B" w:rsidRDefault="0075625B" w:rsidP="00D22D9C">
      <w:pPr>
        <w:jc w:val="both"/>
        <w:rPr>
          <w:rFonts w:asciiTheme="majorHAnsi" w:hAnsiTheme="majorHAnsi" w:cstheme="majorHAnsi"/>
          <w:sz w:val="24"/>
          <w:szCs w:val="24"/>
        </w:rPr>
      </w:pPr>
    </w:p>
    <w:p w14:paraId="5E723C20" w14:textId="5F79829F" w:rsidR="0075625B" w:rsidRDefault="0075625B" w:rsidP="00D22D9C">
      <w:pPr>
        <w:jc w:val="both"/>
        <w:rPr>
          <w:rFonts w:asciiTheme="majorHAnsi" w:hAnsiTheme="majorHAnsi" w:cstheme="majorHAnsi"/>
          <w:sz w:val="24"/>
          <w:szCs w:val="24"/>
        </w:rPr>
      </w:pPr>
    </w:p>
    <w:p w14:paraId="539504AC" w14:textId="16E11E71" w:rsidR="0075625B" w:rsidRDefault="0075625B" w:rsidP="00D22D9C">
      <w:pPr>
        <w:jc w:val="both"/>
        <w:rPr>
          <w:rFonts w:asciiTheme="majorHAnsi" w:hAnsiTheme="majorHAnsi" w:cstheme="majorHAnsi"/>
          <w:sz w:val="24"/>
          <w:szCs w:val="24"/>
        </w:rPr>
      </w:pPr>
    </w:p>
    <w:p w14:paraId="5559945D" w14:textId="689DA047" w:rsidR="0075625B" w:rsidRDefault="0075625B" w:rsidP="00D22D9C">
      <w:pPr>
        <w:jc w:val="both"/>
        <w:rPr>
          <w:rFonts w:asciiTheme="majorHAnsi" w:hAnsiTheme="majorHAnsi" w:cstheme="majorHAnsi"/>
          <w:sz w:val="24"/>
          <w:szCs w:val="24"/>
        </w:rPr>
      </w:pPr>
    </w:p>
    <w:p w14:paraId="021AC499" w14:textId="57F4DE46" w:rsidR="0075625B" w:rsidRDefault="0075625B" w:rsidP="00D22D9C">
      <w:pPr>
        <w:jc w:val="both"/>
        <w:rPr>
          <w:rFonts w:asciiTheme="majorHAnsi" w:hAnsiTheme="majorHAnsi" w:cstheme="majorHAnsi"/>
          <w:sz w:val="24"/>
          <w:szCs w:val="24"/>
        </w:rPr>
      </w:pPr>
    </w:p>
    <w:p w14:paraId="68000237" w14:textId="6361E034" w:rsidR="0075625B" w:rsidRDefault="0075625B" w:rsidP="00D22D9C">
      <w:pPr>
        <w:jc w:val="both"/>
        <w:rPr>
          <w:rFonts w:asciiTheme="majorHAnsi" w:hAnsiTheme="majorHAnsi" w:cstheme="majorHAnsi"/>
          <w:sz w:val="24"/>
          <w:szCs w:val="24"/>
        </w:rPr>
      </w:pPr>
    </w:p>
    <w:p w14:paraId="3CE31E21" w14:textId="7007BFC3" w:rsidR="0075625B" w:rsidRDefault="0075625B" w:rsidP="00D22D9C">
      <w:pPr>
        <w:jc w:val="both"/>
        <w:rPr>
          <w:rFonts w:asciiTheme="majorHAnsi" w:hAnsiTheme="majorHAnsi" w:cstheme="majorHAnsi"/>
          <w:sz w:val="24"/>
          <w:szCs w:val="24"/>
        </w:rPr>
      </w:pPr>
    </w:p>
    <w:p w14:paraId="74548BA1" w14:textId="6A7D9FFD" w:rsidR="0075625B" w:rsidRDefault="0075625B" w:rsidP="00D22D9C">
      <w:pPr>
        <w:jc w:val="both"/>
        <w:rPr>
          <w:rFonts w:asciiTheme="majorHAnsi" w:hAnsiTheme="majorHAnsi" w:cstheme="majorHAnsi"/>
          <w:sz w:val="24"/>
          <w:szCs w:val="24"/>
        </w:rPr>
      </w:pPr>
    </w:p>
    <w:p w14:paraId="706F9A87" w14:textId="04882349" w:rsidR="0075625B" w:rsidRDefault="0075625B" w:rsidP="00D22D9C">
      <w:pPr>
        <w:jc w:val="both"/>
        <w:rPr>
          <w:rFonts w:asciiTheme="majorHAnsi" w:hAnsiTheme="majorHAnsi" w:cstheme="majorHAnsi"/>
          <w:sz w:val="24"/>
          <w:szCs w:val="24"/>
        </w:rPr>
      </w:pPr>
    </w:p>
    <w:p w14:paraId="75BE4CE8" w14:textId="209952A0" w:rsidR="0075625B" w:rsidRDefault="0075625B" w:rsidP="00D22D9C">
      <w:pPr>
        <w:jc w:val="both"/>
        <w:rPr>
          <w:rFonts w:asciiTheme="majorHAnsi" w:hAnsiTheme="majorHAnsi" w:cstheme="majorHAnsi"/>
          <w:sz w:val="24"/>
          <w:szCs w:val="24"/>
        </w:rPr>
      </w:pPr>
    </w:p>
    <w:p w14:paraId="35037ECB" w14:textId="62241433" w:rsidR="0075625B" w:rsidRDefault="0075625B" w:rsidP="00D22D9C">
      <w:pPr>
        <w:jc w:val="both"/>
        <w:rPr>
          <w:rFonts w:asciiTheme="majorHAnsi" w:hAnsiTheme="majorHAnsi" w:cstheme="majorHAnsi"/>
          <w:sz w:val="24"/>
          <w:szCs w:val="24"/>
        </w:rPr>
      </w:pPr>
    </w:p>
    <w:p w14:paraId="1D27DC4B" w14:textId="1D3AF513" w:rsidR="0075625B" w:rsidRDefault="0075625B" w:rsidP="00D22D9C">
      <w:pPr>
        <w:jc w:val="both"/>
        <w:rPr>
          <w:rFonts w:asciiTheme="majorHAnsi" w:hAnsiTheme="majorHAnsi" w:cstheme="majorHAnsi"/>
          <w:sz w:val="24"/>
          <w:szCs w:val="24"/>
        </w:rPr>
      </w:pPr>
    </w:p>
    <w:p w14:paraId="79D8ACD8" w14:textId="086BDD99" w:rsidR="0075625B" w:rsidRDefault="0075625B" w:rsidP="00D22D9C">
      <w:pPr>
        <w:jc w:val="both"/>
        <w:rPr>
          <w:rFonts w:asciiTheme="majorHAnsi" w:hAnsiTheme="majorHAnsi" w:cstheme="majorHAnsi"/>
          <w:sz w:val="24"/>
          <w:szCs w:val="24"/>
        </w:rPr>
      </w:pPr>
    </w:p>
    <w:p w14:paraId="2D20E544" w14:textId="62081B65" w:rsidR="0075625B" w:rsidRDefault="0075625B" w:rsidP="00D22D9C">
      <w:pPr>
        <w:jc w:val="both"/>
        <w:rPr>
          <w:rFonts w:asciiTheme="majorHAnsi" w:hAnsiTheme="majorHAnsi" w:cstheme="majorHAnsi"/>
          <w:sz w:val="24"/>
          <w:szCs w:val="24"/>
        </w:rPr>
      </w:pPr>
    </w:p>
    <w:p w14:paraId="6C0FECA5" w14:textId="39F678EB" w:rsidR="0075625B" w:rsidRDefault="0075625B" w:rsidP="00D22D9C">
      <w:pPr>
        <w:jc w:val="both"/>
        <w:rPr>
          <w:rFonts w:asciiTheme="majorHAnsi" w:hAnsiTheme="majorHAnsi" w:cstheme="majorHAnsi"/>
          <w:sz w:val="24"/>
          <w:szCs w:val="24"/>
        </w:rPr>
      </w:pPr>
    </w:p>
    <w:p w14:paraId="3F899654" w14:textId="1C58EEE2" w:rsidR="0075625B" w:rsidRDefault="0075625B" w:rsidP="00D22D9C">
      <w:pPr>
        <w:jc w:val="both"/>
        <w:rPr>
          <w:rFonts w:asciiTheme="majorHAnsi" w:hAnsiTheme="majorHAnsi" w:cstheme="majorHAnsi"/>
          <w:sz w:val="24"/>
          <w:szCs w:val="24"/>
        </w:rPr>
      </w:pPr>
    </w:p>
    <w:p w14:paraId="1AD109D4" w14:textId="6072C68E" w:rsidR="0075625B" w:rsidRDefault="0075625B" w:rsidP="00D22D9C">
      <w:pPr>
        <w:jc w:val="both"/>
        <w:rPr>
          <w:rFonts w:asciiTheme="majorHAnsi" w:hAnsiTheme="majorHAnsi" w:cstheme="majorHAnsi"/>
          <w:sz w:val="24"/>
          <w:szCs w:val="24"/>
        </w:rPr>
      </w:pPr>
    </w:p>
    <w:p w14:paraId="2E382CCC" w14:textId="3C1B6793" w:rsidR="0075625B" w:rsidRDefault="0075625B" w:rsidP="00D22D9C">
      <w:pPr>
        <w:jc w:val="both"/>
        <w:rPr>
          <w:rFonts w:asciiTheme="majorHAnsi" w:hAnsiTheme="majorHAnsi" w:cstheme="majorHAnsi"/>
          <w:sz w:val="24"/>
          <w:szCs w:val="24"/>
        </w:rPr>
      </w:pPr>
    </w:p>
    <w:p w14:paraId="0261479A" w14:textId="69048036" w:rsidR="0075625B" w:rsidRDefault="0075625B" w:rsidP="00D22D9C">
      <w:pPr>
        <w:jc w:val="both"/>
        <w:rPr>
          <w:rFonts w:asciiTheme="majorHAnsi" w:hAnsiTheme="majorHAnsi" w:cstheme="majorHAnsi"/>
          <w:sz w:val="24"/>
          <w:szCs w:val="24"/>
        </w:rPr>
      </w:pPr>
    </w:p>
    <w:p w14:paraId="6CB78A55" w14:textId="5842D33E" w:rsidR="0075625B" w:rsidRDefault="0075625B" w:rsidP="00D22D9C">
      <w:pPr>
        <w:jc w:val="both"/>
        <w:rPr>
          <w:rFonts w:asciiTheme="majorHAnsi" w:hAnsiTheme="majorHAnsi" w:cstheme="majorHAnsi"/>
          <w:sz w:val="24"/>
          <w:szCs w:val="24"/>
        </w:rPr>
      </w:pPr>
    </w:p>
    <w:p w14:paraId="16AECED0" w14:textId="4B40BA82" w:rsidR="0075625B" w:rsidRDefault="0075625B" w:rsidP="00D22D9C">
      <w:pPr>
        <w:jc w:val="both"/>
        <w:rPr>
          <w:rFonts w:asciiTheme="majorHAnsi" w:hAnsiTheme="majorHAnsi" w:cstheme="majorHAnsi"/>
          <w:sz w:val="24"/>
          <w:szCs w:val="24"/>
        </w:rPr>
      </w:pPr>
    </w:p>
    <w:p w14:paraId="0D3FE8DE" w14:textId="77777777" w:rsidR="0075625B" w:rsidRPr="0075625B" w:rsidRDefault="0075625B" w:rsidP="00D22D9C">
      <w:pPr>
        <w:jc w:val="both"/>
        <w:rPr>
          <w:rFonts w:asciiTheme="majorHAnsi" w:hAnsiTheme="majorHAnsi" w:cstheme="majorHAnsi"/>
          <w:sz w:val="24"/>
          <w:szCs w:val="24"/>
        </w:rPr>
      </w:pPr>
    </w:p>
    <w:p w14:paraId="0A1CC0FA" w14:textId="67D545BE" w:rsidR="00045D04" w:rsidRDefault="00045D04" w:rsidP="00D22D9C">
      <w:pPr>
        <w:jc w:val="both"/>
        <w:rPr>
          <w:rFonts w:asciiTheme="majorHAnsi" w:hAnsiTheme="majorHAnsi" w:cstheme="majorHAnsi"/>
          <w:sz w:val="24"/>
          <w:szCs w:val="24"/>
        </w:rPr>
      </w:pPr>
    </w:p>
    <w:p w14:paraId="7BE17398" w14:textId="131C8BCD" w:rsidR="0075625B" w:rsidRDefault="0075625B" w:rsidP="00D22D9C">
      <w:pPr>
        <w:jc w:val="both"/>
        <w:rPr>
          <w:rFonts w:asciiTheme="majorHAnsi" w:hAnsiTheme="majorHAnsi" w:cstheme="majorHAnsi"/>
          <w:sz w:val="24"/>
          <w:szCs w:val="24"/>
        </w:rPr>
      </w:pPr>
    </w:p>
    <w:p w14:paraId="492BFB6F" w14:textId="3759A180" w:rsidR="0075625B" w:rsidRDefault="0075625B" w:rsidP="00D22D9C">
      <w:pPr>
        <w:jc w:val="both"/>
        <w:rPr>
          <w:rFonts w:asciiTheme="majorHAnsi" w:hAnsiTheme="majorHAnsi" w:cstheme="majorHAnsi"/>
          <w:sz w:val="24"/>
          <w:szCs w:val="24"/>
        </w:rPr>
      </w:pPr>
    </w:p>
    <w:p w14:paraId="04956C9E" w14:textId="737496F4" w:rsidR="0075625B" w:rsidRDefault="0075625B" w:rsidP="00D22D9C">
      <w:pPr>
        <w:jc w:val="both"/>
        <w:rPr>
          <w:rFonts w:asciiTheme="majorHAnsi" w:hAnsiTheme="majorHAnsi" w:cstheme="majorHAnsi"/>
          <w:sz w:val="24"/>
          <w:szCs w:val="24"/>
        </w:rPr>
      </w:pPr>
    </w:p>
    <w:p w14:paraId="5ACFF943" w14:textId="779A6B75" w:rsidR="0075625B" w:rsidRDefault="0075625B" w:rsidP="00D22D9C">
      <w:pPr>
        <w:jc w:val="both"/>
        <w:rPr>
          <w:rFonts w:asciiTheme="majorHAnsi" w:hAnsiTheme="majorHAnsi" w:cstheme="majorHAnsi"/>
          <w:sz w:val="24"/>
          <w:szCs w:val="24"/>
        </w:rPr>
      </w:pPr>
    </w:p>
    <w:p w14:paraId="7A196BD3" w14:textId="3C4A7577" w:rsidR="0075625B" w:rsidRDefault="0075625B" w:rsidP="00D22D9C">
      <w:pPr>
        <w:jc w:val="both"/>
        <w:rPr>
          <w:rFonts w:asciiTheme="majorHAnsi" w:hAnsiTheme="majorHAnsi" w:cstheme="majorHAnsi"/>
          <w:sz w:val="24"/>
          <w:szCs w:val="24"/>
        </w:rPr>
      </w:pPr>
    </w:p>
    <w:p w14:paraId="0F891ACB" w14:textId="19D598F1" w:rsidR="0075625B" w:rsidRDefault="0075625B" w:rsidP="00D22D9C">
      <w:pPr>
        <w:jc w:val="both"/>
        <w:rPr>
          <w:rFonts w:asciiTheme="majorHAnsi" w:hAnsiTheme="majorHAnsi" w:cstheme="majorHAnsi"/>
          <w:sz w:val="24"/>
          <w:szCs w:val="24"/>
        </w:rPr>
      </w:pPr>
    </w:p>
    <w:p w14:paraId="32591C0F" w14:textId="1F96425E" w:rsidR="0075625B" w:rsidRDefault="0075625B" w:rsidP="00D22D9C">
      <w:pPr>
        <w:jc w:val="both"/>
        <w:rPr>
          <w:rFonts w:asciiTheme="majorHAnsi" w:hAnsiTheme="majorHAnsi" w:cstheme="majorHAnsi"/>
          <w:sz w:val="24"/>
          <w:szCs w:val="24"/>
        </w:rPr>
      </w:pPr>
    </w:p>
    <w:p w14:paraId="627CDE99" w14:textId="6B74743D" w:rsidR="0075625B" w:rsidRDefault="0075625B" w:rsidP="00D22D9C">
      <w:pPr>
        <w:jc w:val="both"/>
        <w:rPr>
          <w:rFonts w:asciiTheme="majorHAnsi" w:hAnsiTheme="majorHAnsi" w:cstheme="majorHAnsi"/>
          <w:sz w:val="24"/>
          <w:szCs w:val="24"/>
        </w:rPr>
      </w:pPr>
    </w:p>
    <w:p w14:paraId="6D9C2E23" w14:textId="1BA2D6CC" w:rsidR="0075625B" w:rsidRDefault="0075625B" w:rsidP="00D22D9C">
      <w:pPr>
        <w:jc w:val="both"/>
        <w:rPr>
          <w:rFonts w:asciiTheme="majorHAnsi" w:hAnsiTheme="majorHAnsi" w:cstheme="majorHAnsi"/>
          <w:sz w:val="24"/>
          <w:szCs w:val="24"/>
        </w:rPr>
      </w:pPr>
    </w:p>
    <w:p w14:paraId="5117211B" w14:textId="7F5DF035" w:rsidR="0075625B" w:rsidRDefault="0075625B" w:rsidP="00D22D9C">
      <w:pPr>
        <w:jc w:val="both"/>
        <w:rPr>
          <w:rFonts w:asciiTheme="majorHAnsi" w:hAnsiTheme="majorHAnsi" w:cstheme="majorHAnsi"/>
          <w:sz w:val="24"/>
          <w:szCs w:val="24"/>
        </w:rPr>
      </w:pPr>
    </w:p>
    <w:p w14:paraId="51D51491" w14:textId="7682ED7E" w:rsidR="0075625B" w:rsidRDefault="0075625B" w:rsidP="00D22D9C">
      <w:pPr>
        <w:jc w:val="both"/>
        <w:rPr>
          <w:rFonts w:asciiTheme="majorHAnsi" w:hAnsiTheme="majorHAnsi" w:cstheme="majorHAnsi"/>
          <w:sz w:val="24"/>
          <w:szCs w:val="24"/>
        </w:rPr>
      </w:pPr>
    </w:p>
    <w:p w14:paraId="1FC36C18" w14:textId="27168A4B" w:rsidR="0075625B" w:rsidRDefault="0075625B" w:rsidP="00D22D9C">
      <w:pPr>
        <w:jc w:val="both"/>
        <w:rPr>
          <w:rFonts w:asciiTheme="majorHAnsi" w:hAnsiTheme="majorHAnsi" w:cstheme="majorHAnsi"/>
          <w:sz w:val="24"/>
          <w:szCs w:val="24"/>
        </w:rPr>
      </w:pPr>
    </w:p>
    <w:p w14:paraId="26C43437" w14:textId="77777777" w:rsidR="0075625B" w:rsidRPr="0075625B" w:rsidRDefault="0075625B" w:rsidP="00D22D9C">
      <w:pPr>
        <w:jc w:val="both"/>
        <w:rPr>
          <w:rFonts w:asciiTheme="majorHAnsi" w:hAnsiTheme="majorHAnsi" w:cstheme="majorHAnsi"/>
          <w:sz w:val="24"/>
          <w:szCs w:val="24"/>
        </w:rPr>
      </w:pPr>
    </w:p>
    <w:p w14:paraId="309F84D6" w14:textId="72B7C8BA" w:rsidR="00027C17" w:rsidRPr="0075625B" w:rsidRDefault="00027C17" w:rsidP="00D22D9C">
      <w:pPr>
        <w:jc w:val="both"/>
        <w:rPr>
          <w:rFonts w:asciiTheme="majorHAnsi" w:hAnsiTheme="majorHAnsi" w:cstheme="majorHAnsi"/>
          <w:sz w:val="24"/>
          <w:szCs w:val="24"/>
        </w:rPr>
      </w:pPr>
    </w:p>
    <w:p w14:paraId="1B873D02" w14:textId="6F723D44" w:rsidR="00027C17" w:rsidRPr="0075625B" w:rsidRDefault="00027C17" w:rsidP="00027C17">
      <w:pPr>
        <w:spacing w:line="257" w:lineRule="auto"/>
        <w:contextualSpacing/>
        <w:rPr>
          <w:rFonts w:asciiTheme="majorHAnsi" w:hAnsiTheme="majorHAnsi" w:cstheme="majorHAnsi"/>
          <w:sz w:val="24"/>
          <w:szCs w:val="24"/>
          <w:u w:val="single"/>
        </w:rPr>
      </w:pPr>
      <w:r w:rsidRPr="0075625B">
        <w:rPr>
          <w:rFonts w:asciiTheme="majorHAnsi" w:hAnsiTheme="majorHAnsi" w:cstheme="majorHAnsi"/>
          <w:sz w:val="24"/>
          <w:szCs w:val="24"/>
          <w:u w:val="single"/>
        </w:rPr>
        <w:lastRenderedPageBreak/>
        <w:t xml:space="preserve">TASK 2 </w:t>
      </w:r>
      <w:r w:rsidR="00A75589" w:rsidRPr="0075625B">
        <w:rPr>
          <w:rFonts w:asciiTheme="majorHAnsi" w:hAnsiTheme="majorHAnsi" w:cstheme="majorHAnsi"/>
          <w:sz w:val="24"/>
          <w:szCs w:val="24"/>
          <w:u w:val="single"/>
        </w:rPr>
        <w:t>– 1000 WORDS –</w:t>
      </w:r>
      <w:r w:rsidRPr="0075625B">
        <w:rPr>
          <w:rFonts w:asciiTheme="majorHAnsi" w:hAnsiTheme="majorHAnsi" w:cstheme="majorHAnsi"/>
          <w:sz w:val="24"/>
          <w:szCs w:val="24"/>
          <w:u w:val="single"/>
        </w:rPr>
        <w:t xml:space="preserve"> </w:t>
      </w:r>
      <w:r w:rsidRPr="0075625B">
        <w:rPr>
          <w:rFonts w:asciiTheme="majorHAnsi" w:eastAsia="Arial" w:hAnsiTheme="majorHAnsi" w:cstheme="majorHAnsi"/>
          <w:sz w:val="24"/>
          <w:szCs w:val="24"/>
          <w:u w:val="single"/>
        </w:rPr>
        <w:t>C</w:t>
      </w:r>
      <w:r w:rsidR="00A75589" w:rsidRPr="0075625B">
        <w:rPr>
          <w:rFonts w:asciiTheme="majorHAnsi" w:eastAsia="Arial" w:hAnsiTheme="majorHAnsi" w:cstheme="majorHAnsi"/>
          <w:sz w:val="24"/>
          <w:szCs w:val="24"/>
          <w:u w:val="single"/>
        </w:rPr>
        <w:t>ONDUCTING INVESTIGATIONS</w:t>
      </w:r>
      <w:r w:rsidRPr="0075625B">
        <w:rPr>
          <w:rFonts w:asciiTheme="majorHAnsi" w:eastAsia="Arial" w:hAnsiTheme="majorHAnsi" w:cstheme="majorHAnsi"/>
          <w:sz w:val="24"/>
          <w:szCs w:val="24"/>
          <w:u w:val="single"/>
        </w:rPr>
        <w:t xml:space="preserve"> (Volume, serious and complex) </w:t>
      </w:r>
    </w:p>
    <w:p w14:paraId="0B9EECC1" w14:textId="6AED530B" w:rsidR="0017208F" w:rsidRPr="0075625B" w:rsidRDefault="0017208F" w:rsidP="00D22D9C">
      <w:pPr>
        <w:jc w:val="both"/>
        <w:rPr>
          <w:rFonts w:asciiTheme="majorHAnsi" w:hAnsiTheme="majorHAnsi" w:cstheme="majorHAnsi"/>
          <w:sz w:val="24"/>
          <w:szCs w:val="24"/>
        </w:rPr>
      </w:pPr>
    </w:p>
    <w:p w14:paraId="2D97D046" w14:textId="341DC9E6" w:rsidR="0017208F" w:rsidRPr="0075625B" w:rsidRDefault="0017208F" w:rsidP="00D22D9C">
      <w:pPr>
        <w:jc w:val="both"/>
        <w:rPr>
          <w:rFonts w:asciiTheme="majorHAnsi" w:hAnsiTheme="majorHAnsi" w:cstheme="majorHAnsi"/>
          <w:sz w:val="24"/>
          <w:szCs w:val="24"/>
        </w:rPr>
      </w:pPr>
    </w:p>
    <w:p w14:paraId="5B748244"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This assignment will critically evaluate the role of the police in ‘Conducting Investigations’.</w:t>
      </w:r>
    </w:p>
    <w:p w14:paraId="1FB64585"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In doing so it will consider the basic principles of an investigation and discuss different types of investigations (volume, serious and complex).</w:t>
      </w:r>
    </w:p>
    <w:p w14:paraId="2E95B87D"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Ultimately the role of the police in conducting investigations is to find out the truth and bring offenders to justice.</w:t>
      </w:r>
    </w:p>
    <w:p w14:paraId="40D35D97"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According to Blackstone’s 2000, “A criminal investigation is defined in s 22 of the Criminal Procedure and Investigations Act 1996 (CPIA) as “an investigation conducted by police officers with a view to ascertaining whether a person should be charged with an offence, or whether a person charged with an offence is guilty of it” (CPIA, 1996)</w:t>
      </w:r>
    </w:p>
    <w:p w14:paraId="07BA3CF4"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There is often a great amount of detail and work hours that goes into even the simplest of investigations and the outcome of an investigation is often determined early on.  Investigations with early actions to locate, gather and retain evidential material see the best results.</w:t>
      </w:r>
    </w:p>
    <w:p w14:paraId="0EC120FB"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The first part of the National Decision Model (NDM) used by officers is to ‘gather information and intelligence’, this is used not only to make decisions but during the investigation process it will help to assess these decisions.</w:t>
      </w:r>
    </w:p>
    <w:p w14:paraId="221AE379"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It is suggested that during the first hour after an incident has taken place is crucial in terms of locating offenders and finding and securing evidence, this time is referred to as the ‘Golden Hour’.  It is during this time that investigators complete fast track enquiries and actions, these actions are defined as “any investigative actions which if pursued immediately, are likely to establish more important facts, preserve evidence or lead to the early resolution of the investigation” (College of Policing, 2013).  These fast track actions could be guarding a scene, taking first accounts from victims and witnesses or identifying or securing evidential material.  This is also when officers may identify Forensic opportunities and should call for assistance in these circumstances, in accordance with </w:t>
      </w:r>
      <w:proofErr w:type="spellStart"/>
      <w:r w:rsidRPr="0075625B">
        <w:rPr>
          <w:rFonts w:asciiTheme="majorHAnsi" w:eastAsia="Calibri" w:hAnsiTheme="majorHAnsi" w:cstheme="majorHAnsi"/>
          <w:sz w:val="24"/>
          <w:szCs w:val="24"/>
          <w:lang w:eastAsia="en-US"/>
        </w:rPr>
        <w:t>Locard’s</w:t>
      </w:r>
      <w:proofErr w:type="spellEnd"/>
      <w:r w:rsidRPr="0075625B">
        <w:rPr>
          <w:rFonts w:asciiTheme="majorHAnsi" w:eastAsia="Calibri" w:hAnsiTheme="majorHAnsi" w:cstheme="majorHAnsi"/>
          <w:sz w:val="24"/>
          <w:szCs w:val="24"/>
          <w:lang w:eastAsia="en-US"/>
        </w:rPr>
        <w:t xml:space="preserve"> Exchange </w:t>
      </w:r>
      <w:proofErr w:type="spellStart"/>
      <w:r w:rsidRPr="0075625B">
        <w:rPr>
          <w:rFonts w:asciiTheme="majorHAnsi" w:eastAsia="Calibri" w:hAnsiTheme="majorHAnsi" w:cstheme="majorHAnsi"/>
          <w:sz w:val="24"/>
          <w:szCs w:val="24"/>
          <w:lang w:eastAsia="en-US"/>
        </w:rPr>
        <w:t>Prinicple</w:t>
      </w:r>
      <w:proofErr w:type="spellEnd"/>
      <w:r w:rsidRPr="0075625B">
        <w:rPr>
          <w:rFonts w:asciiTheme="majorHAnsi" w:eastAsia="Calibri" w:hAnsiTheme="majorHAnsi" w:cstheme="majorHAnsi"/>
          <w:sz w:val="24"/>
          <w:szCs w:val="24"/>
          <w:lang w:eastAsia="en-US"/>
        </w:rPr>
        <w:t xml:space="preserve"> “Every contact leaves a trace” (Edmund </w:t>
      </w:r>
      <w:proofErr w:type="spellStart"/>
      <w:r w:rsidRPr="0075625B">
        <w:rPr>
          <w:rFonts w:asciiTheme="majorHAnsi" w:eastAsia="Calibri" w:hAnsiTheme="majorHAnsi" w:cstheme="majorHAnsi"/>
          <w:sz w:val="24"/>
          <w:szCs w:val="24"/>
          <w:lang w:eastAsia="en-US"/>
        </w:rPr>
        <w:t>Locard</w:t>
      </w:r>
      <w:proofErr w:type="spellEnd"/>
      <w:r w:rsidRPr="0075625B">
        <w:rPr>
          <w:rFonts w:asciiTheme="majorHAnsi" w:eastAsia="Calibri" w:hAnsiTheme="majorHAnsi" w:cstheme="majorHAnsi"/>
          <w:sz w:val="24"/>
          <w:szCs w:val="24"/>
          <w:lang w:eastAsia="en-US"/>
        </w:rPr>
        <w:t xml:space="preserve">, 1920).  </w:t>
      </w:r>
      <w:proofErr w:type="spellStart"/>
      <w:r w:rsidRPr="0075625B">
        <w:rPr>
          <w:rFonts w:asciiTheme="majorHAnsi" w:eastAsia="Calibri" w:hAnsiTheme="majorHAnsi" w:cstheme="majorHAnsi"/>
          <w:sz w:val="24"/>
          <w:szCs w:val="24"/>
          <w:lang w:eastAsia="en-US"/>
        </w:rPr>
        <w:t>Locard</w:t>
      </w:r>
      <w:proofErr w:type="spellEnd"/>
      <w:r w:rsidRPr="0075625B">
        <w:rPr>
          <w:rFonts w:asciiTheme="majorHAnsi" w:eastAsia="Calibri" w:hAnsiTheme="majorHAnsi" w:cstheme="majorHAnsi"/>
          <w:sz w:val="24"/>
          <w:szCs w:val="24"/>
          <w:lang w:eastAsia="en-US"/>
        </w:rPr>
        <w:t xml:space="preserve"> suggested that “Any action of an individual, and obviously, the violent actions of a crime, cannot occur without leaving a trace.” (</w:t>
      </w:r>
      <w:proofErr w:type="spellStart"/>
      <w:r w:rsidRPr="0075625B">
        <w:rPr>
          <w:rFonts w:asciiTheme="majorHAnsi" w:eastAsia="Calibri" w:hAnsiTheme="majorHAnsi" w:cstheme="majorHAnsi"/>
          <w:sz w:val="24"/>
          <w:szCs w:val="24"/>
          <w:lang w:eastAsia="en-US"/>
        </w:rPr>
        <w:t>Locard</w:t>
      </w:r>
      <w:proofErr w:type="spellEnd"/>
      <w:r w:rsidRPr="0075625B">
        <w:rPr>
          <w:rFonts w:asciiTheme="majorHAnsi" w:eastAsia="Calibri" w:hAnsiTheme="majorHAnsi" w:cstheme="majorHAnsi"/>
          <w:sz w:val="24"/>
          <w:szCs w:val="24"/>
          <w:lang w:eastAsia="en-US"/>
        </w:rPr>
        <w:t>, 1934).</w:t>
      </w:r>
    </w:p>
    <w:p w14:paraId="7C956BD3"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Investigators will often carry out further lines of enquiry such as CCTV, witness statements, house to house enquiries and any other leads which may help during the investigation process.  </w:t>
      </w:r>
    </w:p>
    <w:p w14:paraId="0B5679D0"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It is important to note that officers should be aware of any bias, for example the previous knowledge of persons involved as the role of the Police is to be impartial during an investigation.  The focus should be on finding the truth and not to only look for the evidence which suits the outcome desired by the conscious or unconscious bias.  </w:t>
      </w:r>
    </w:p>
    <w:p w14:paraId="0F8BD34B"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The Police have the duty to disclose materials which may have a bearing on the case or the circumstances, this is done by a disclosure officer.   Disclosure is a part of the Criminal Procedure and Investigations Act 1996 (CPIA) and it takes into consideration any materials which may undermine the prosecution or assist the defence, materials can include any types of information, objects or evidence which have been obtained as part of the investigation process. </w:t>
      </w:r>
    </w:p>
    <w:p w14:paraId="0235969A"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It is crucial that all lines of investigation are pursued in order to offer a fair trial, in accordance with Article 6 of the Human Rights Act 1998 ‘The right to a fair trial’.</w:t>
      </w:r>
    </w:p>
    <w:p w14:paraId="5CDF47D1"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lastRenderedPageBreak/>
        <w:t>During investigations, Police have a duty to support and protect victims &amp; witnesses.  The Code of Practice for Victims of Crime provides the standards expected for the treatment of victims of crime.</w:t>
      </w:r>
    </w:p>
    <w:p w14:paraId="7CD30DC4"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Investigating officers should consider the type of crime they are investigating and offer the appropriate level of victim support, for example vulnerable victims of crimes such as hate crimes, modern day slavery and trafficking may require enhanced victim support.</w:t>
      </w:r>
    </w:p>
    <w:p w14:paraId="47C41E2D"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There are a range of options and provisions available to victims and witnesses, these are collectively referred to as Special Measures and are used to assist the vulnerable and intimidated to give evidence in criminal investigations.  Special Measures are defined within the (YJCEA) Youth Justice and Criminal Evidence Act 1999, and it should be considered if they apply when dealing with all victims and witnesses. Victims and witnesses often withdraw from then investigation process due to fear or stress, these measures are designed to help support them in these cases.  It is crucial that officers are aware of threat and risk, to protect the most vulnerable in our society even when they do not see the risk themselves. </w:t>
      </w:r>
    </w:p>
    <w:p w14:paraId="49C6757F"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The College of Policing sets out a tiered system to conducting investigations, the Professionalising Investigations Programme (PIP structure) which has 4 levels.  Investigators should be allocated investigations appropriate to the level in which they are trained.</w:t>
      </w:r>
    </w:p>
    <w:p w14:paraId="5D96581C" w14:textId="77777777" w:rsidR="0017208F" w:rsidRPr="0075625B" w:rsidRDefault="0017208F" w:rsidP="0017208F">
      <w:pPr>
        <w:spacing w:after="150" w:line="330" w:lineRule="atLeast"/>
        <w:rPr>
          <w:rFonts w:asciiTheme="majorHAnsi" w:hAnsiTheme="majorHAnsi" w:cstheme="majorHAnsi"/>
          <w:color w:val="333333"/>
          <w:sz w:val="24"/>
          <w:szCs w:val="24"/>
        </w:rPr>
      </w:pPr>
      <w:r w:rsidRPr="0075625B">
        <w:rPr>
          <w:rFonts w:asciiTheme="majorHAnsi" w:hAnsiTheme="majorHAnsi" w:cstheme="majorHAnsi"/>
          <w:color w:val="333333"/>
          <w:sz w:val="24"/>
          <w:szCs w:val="24"/>
        </w:rPr>
        <w:t xml:space="preserve">The College of Policing states that </w:t>
      </w:r>
    </w:p>
    <w:p w14:paraId="6BBF153E" w14:textId="77777777" w:rsidR="0017208F" w:rsidRPr="0075625B" w:rsidRDefault="0017208F" w:rsidP="0017208F">
      <w:pPr>
        <w:spacing w:after="150" w:line="330" w:lineRule="atLeast"/>
        <w:rPr>
          <w:rFonts w:asciiTheme="majorHAnsi" w:hAnsiTheme="majorHAnsi" w:cstheme="majorHAnsi"/>
          <w:color w:val="333333"/>
          <w:sz w:val="24"/>
          <w:szCs w:val="24"/>
        </w:rPr>
      </w:pPr>
      <w:r w:rsidRPr="0075625B">
        <w:rPr>
          <w:rFonts w:asciiTheme="majorHAnsi" w:hAnsiTheme="majorHAnsi" w:cstheme="majorHAnsi"/>
          <w:color w:val="333333"/>
          <w:sz w:val="24"/>
          <w:szCs w:val="24"/>
        </w:rPr>
        <w:t>“The PIP structure involves a series of levels:</w:t>
      </w:r>
    </w:p>
    <w:p w14:paraId="1C9EDB05" w14:textId="77777777" w:rsidR="0017208F" w:rsidRPr="0075625B" w:rsidRDefault="0017208F" w:rsidP="0017208F">
      <w:pPr>
        <w:numPr>
          <w:ilvl w:val="0"/>
          <w:numId w:val="32"/>
        </w:numPr>
        <w:spacing w:before="100" w:beforeAutospacing="1" w:after="100" w:afterAutospacing="1" w:line="330" w:lineRule="atLeast"/>
        <w:rPr>
          <w:rFonts w:asciiTheme="majorHAnsi" w:hAnsiTheme="majorHAnsi" w:cstheme="majorHAnsi"/>
          <w:color w:val="333333"/>
          <w:sz w:val="24"/>
          <w:szCs w:val="24"/>
        </w:rPr>
      </w:pPr>
      <w:r w:rsidRPr="0075625B">
        <w:rPr>
          <w:rFonts w:asciiTheme="majorHAnsi" w:hAnsiTheme="majorHAnsi" w:cstheme="majorHAnsi"/>
          <w:color w:val="333333"/>
          <w:sz w:val="24"/>
          <w:szCs w:val="24"/>
        </w:rPr>
        <w:t>PIP level 1 – priority and volume crime investigations</w:t>
      </w:r>
    </w:p>
    <w:p w14:paraId="15450D16" w14:textId="77777777" w:rsidR="0017208F" w:rsidRPr="0075625B" w:rsidRDefault="0017208F" w:rsidP="0017208F">
      <w:pPr>
        <w:numPr>
          <w:ilvl w:val="0"/>
          <w:numId w:val="32"/>
        </w:numPr>
        <w:spacing w:before="100" w:beforeAutospacing="1" w:after="100" w:afterAutospacing="1" w:line="330" w:lineRule="atLeast"/>
        <w:rPr>
          <w:rFonts w:asciiTheme="majorHAnsi" w:hAnsiTheme="majorHAnsi" w:cstheme="majorHAnsi"/>
          <w:color w:val="333333"/>
          <w:sz w:val="24"/>
          <w:szCs w:val="24"/>
        </w:rPr>
      </w:pPr>
      <w:r w:rsidRPr="0075625B">
        <w:rPr>
          <w:rFonts w:asciiTheme="majorHAnsi" w:hAnsiTheme="majorHAnsi" w:cstheme="majorHAnsi"/>
          <w:color w:val="333333"/>
          <w:sz w:val="24"/>
          <w:szCs w:val="24"/>
        </w:rPr>
        <w:t>PIP level 2 – serious and complex investigations</w:t>
      </w:r>
    </w:p>
    <w:p w14:paraId="1513B64C" w14:textId="77777777" w:rsidR="0017208F" w:rsidRPr="0075625B" w:rsidRDefault="0017208F" w:rsidP="0017208F">
      <w:pPr>
        <w:numPr>
          <w:ilvl w:val="0"/>
          <w:numId w:val="32"/>
        </w:numPr>
        <w:spacing w:before="100" w:beforeAutospacing="1" w:after="100" w:afterAutospacing="1" w:line="330" w:lineRule="atLeast"/>
        <w:rPr>
          <w:rFonts w:asciiTheme="majorHAnsi" w:hAnsiTheme="majorHAnsi" w:cstheme="majorHAnsi"/>
          <w:color w:val="333333"/>
          <w:sz w:val="24"/>
          <w:szCs w:val="24"/>
        </w:rPr>
      </w:pPr>
      <w:r w:rsidRPr="0075625B">
        <w:rPr>
          <w:rFonts w:asciiTheme="majorHAnsi" w:hAnsiTheme="majorHAnsi" w:cstheme="majorHAnsi"/>
          <w:color w:val="333333"/>
          <w:sz w:val="24"/>
          <w:szCs w:val="24"/>
        </w:rPr>
        <w:t>PIP level 3 – major investigations</w:t>
      </w:r>
    </w:p>
    <w:p w14:paraId="30454904" w14:textId="77777777" w:rsidR="0017208F" w:rsidRPr="0075625B" w:rsidRDefault="0017208F" w:rsidP="0017208F">
      <w:pPr>
        <w:numPr>
          <w:ilvl w:val="0"/>
          <w:numId w:val="32"/>
        </w:numPr>
        <w:spacing w:before="100" w:beforeAutospacing="1" w:after="100" w:afterAutospacing="1" w:line="330" w:lineRule="atLeast"/>
        <w:rPr>
          <w:rFonts w:asciiTheme="majorHAnsi" w:hAnsiTheme="majorHAnsi" w:cstheme="majorHAnsi"/>
          <w:color w:val="333333"/>
          <w:sz w:val="24"/>
          <w:szCs w:val="24"/>
        </w:rPr>
      </w:pPr>
      <w:r w:rsidRPr="0075625B">
        <w:rPr>
          <w:rFonts w:asciiTheme="majorHAnsi" w:hAnsiTheme="majorHAnsi" w:cstheme="majorHAnsi"/>
          <w:color w:val="333333"/>
          <w:sz w:val="24"/>
          <w:szCs w:val="24"/>
        </w:rPr>
        <w:t xml:space="preserve">PIP level 4 – strategic management of highly complex investigations.”  </w:t>
      </w:r>
    </w:p>
    <w:p w14:paraId="6D0EFC43" w14:textId="77777777" w:rsidR="0017208F" w:rsidRPr="0075625B" w:rsidRDefault="0017208F" w:rsidP="0017208F">
      <w:pPr>
        <w:spacing w:before="100" w:beforeAutospacing="1" w:after="100" w:afterAutospacing="1" w:line="330" w:lineRule="atLeast"/>
        <w:rPr>
          <w:rFonts w:asciiTheme="majorHAnsi" w:hAnsiTheme="majorHAnsi" w:cstheme="majorHAnsi"/>
          <w:color w:val="333333"/>
          <w:sz w:val="24"/>
          <w:szCs w:val="24"/>
        </w:rPr>
      </w:pPr>
      <w:r w:rsidRPr="0075625B">
        <w:rPr>
          <w:rFonts w:asciiTheme="majorHAnsi" w:hAnsiTheme="majorHAnsi" w:cstheme="majorHAnsi"/>
          <w:color w:val="333333"/>
          <w:sz w:val="24"/>
          <w:szCs w:val="24"/>
        </w:rPr>
        <w:t>(College of Policing, 2013)</w:t>
      </w:r>
    </w:p>
    <w:p w14:paraId="72F08010" w14:textId="77777777" w:rsidR="0017208F" w:rsidRPr="0075625B" w:rsidRDefault="0017208F" w:rsidP="0017208F">
      <w:pPr>
        <w:rPr>
          <w:rFonts w:asciiTheme="majorHAnsi" w:eastAsia="+mn-ea" w:hAnsiTheme="majorHAnsi" w:cstheme="majorHAnsi"/>
          <w:color w:val="000000"/>
          <w:kern w:val="24"/>
          <w:sz w:val="24"/>
          <w:szCs w:val="24"/>
        </w:rPr>
      </w:pPr>
    </w:p>
    <w:p w14:paraId="0F6DCB0B" w14:textId="77777777" w:rsidR="0017208F" w:rsidRPr="0075625B" w:rsidRDefault="0017208F" w:rsidP="0017208F">
      <w:pPr>
        <w:rPr>
          <w:rFonts w:asciiTheme="majorHAnsi" w:eastAsia="+mn-ea" w:hAnsiTheme="majorHAnsi" w:cstheme="majorHAnsi"/>
          <w:color w:val="000000"/>
          <w:kern w:val="24"/>
          <w:sz w:val="24"/>
          <w:szCs w:val="24"/>
        </w:rPr>
      </w:pPr>
    </w:p>
    <w:p w14:paraId="021327C3" w14:textId="77777777" w:rsidR="0017208F" w:rsidRPr="0075625B" w:rsidRDefault="0017208F" w:rsidP="0017208F">
      <w:pPr>
        <w:rPr>
          <w:rFonts w:asciiTheme="majorHAnsi" w:hAnsiTheme="majorHAnsi" w:cstheme="majorHAnsi"/>
          <w:sz w:val="24"/>
          <w:szCs w:val="24"/>
        </w:rPr>
      </w:pPr>
      <w:r w:rsidRPr="0075625B">
        <w:rPr>
          <w:rFonts w:asciiTheme="majorHAnsi" w:eastAsia="+mn-ea" w:hAnsiTheme="majorHAnsi" w:cstheme="majorHAnsi"/>
          <w:color w:val="000000"/>
          <w:kern w:val="24"/>
          <w:sz w:val="24"/>
          <w:szCs w:val="24"/>
        </w:rPr>
        <w:t xml:space="preserve">Volume crime has been defined as “…any crime which, through its sheer volume, has a significant impact on the community and the ability of the local police to tackle it. Volume crime often includes priority crimes such as street robbery, burglary and vehicle-related criminality, but can also apply to criminal damage or </w:t>
      </w:r>
      <w:proofErr w:type="gramStart"/>
      <w:r w:rsidRPr="0075625B">
        <w:rPr>
          <w:rFonts w:asciiTheme="majorHAnsi" w:eastAsia="+mn-ea" w:hAnsiTheme="majorHAnsi" w:cstheme="majorHAnsi"/>
          <w:color w:val="000000"/>
          <w:kern w:val="24"/>
          <w:sz w:val="24"/>
          <w:szCs w:val="24"/>
        </w:rPr>
        <w:t>assaults.​</w:t>
      </w:r>
      <w:proofErr w:type="gramEnd"/>
      <w:r w:rsidRPr="0075625B">
        <w:rPr>
          <w:rFonts w:asciiTheme="majorHAnsi" w:eastAsia="+mn-ea" w:hAnsiTheme="majorHAnsi" w:cstheme="majorHAnsi"/>
          <w:color w:val="000000"/>
          <w:kern w:val="24"/>
          <w:sz w:val="24"/>
          <w:szCs w:val="24"/>
        </w:rPr>
        <w:t>”</w:t>
      </w:r>
      <w:r w:rsidRPr="0075625B">
        <w:rPr>
          <w:rFonts w:asciiTheme="majorHAnsi" w:eastAsia="+mn-ea" w:hAnsiTheme="majorHAnsi" w:cstheme="majorHAnsi"/>
          <w:kern w:val="24"/>
          <w:sz w:val="24"/>
          <w:szCs w:val="24"/>
        </w:rPr>
        <w:t xml:space="preserve"> (ACPO, 2009)</w:t>
      </w:r>
    </w:p>
    <w:p w14:paraId="33E9113F" w14:textId="77777777" w:rsidR="0017208F" w:rsidRPr="0075625B" w:rsidRDefault="0017208F" w:rsidP="0017208F">
      <w:pPr>
        <w:spacing w:after="160" w:line="259" w:lineRule="auto"/>
        <w:rPr>
          <w:rFonts w:asciiTheme="majorHAnsi" w:eastAsia="Calibri" w:hAnsiTheme="majorHAnsi" w:cstheme="majorHAnsi"/>
          <w:b/>
          <w:bCs/>
          <w:sz w:val="24"/>
          <w:szCs w:val="24"/>
          <w:lang w:eastAsia="en-US"/>
        </w:rPr>
      </w:pPr>
    </w:p>
    <w:p w14:paraId="0F477A94"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PIP 1 investigators will investigate these types of crimes, even at this lowest level of investigation there are many hours which go into the process and often many lines of enquiry to follow. </w:t>
      </w:r>
    </w:p>
    <w:p w14:paraId="44363E55"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There is no specific definition for serious and complex crimes, however the nature of these crimes is that they are serious by nature, for example weapons are involved, there are many offenders of victims, financial loss or gain and sexual assaults. </w:t>
      </w:r>
    </w:p>
    <w:p w14:paraId="7002100D" w14:textId="77777777" w:rsidR="0017208F" w:rsidRPr="0075625B" w:rsidRDefault="0017208F" w:rsidP="0017208F">
      <w:pPr>
        <w:spacing w:after="150" w:line="330" w:lineRule="atLeast"/>
        <w:rPr>
          <w:rFonts w:asciiTheme="majorHAnsi" w:hAnsiTheme="majorHAnsi" w:cstheme="majorHAnsi"/>
          <w:sz w:val="24"/>
          <w:szCs w:val="24"/>
        </w:rPr>
      </w:pPr>
      <w:r w:rsidRPr="0075625B">
        <w:rPr>
          <w:rFonts w:asciiTheme="majorHAnsi" w:hAnsiTheme="majorHAnsi" w:cstheme="majorHAnsi"/>
          <w:sz w:val="24"/>
          <w:szCs w:val="24"/>
        </w:rPr>
        <w:t xml:space="preserve">The Police Act 1997 defines Serious crime within </w:t>
      </w:r>
      <w:hyperlink r:id="rId12" w:tgtFrame="_blank" w:history="1">
        <w:r w:rsidRPr="0075625B">
          <w:rPr>
            <w:rFonts w:asciiTheme="majorHAnsi" w:hAnsiTheme="majorHAnsi" w:cstheme="majorHAnsi"/>
            <w:sz w:val="24"/>
            <w:szCs w:val="24"/>
          </w:rPr>
          <w:t>section 93(4)</w:t>
        </w:r>
      </w:hyperlink>
      <w:r w:rsidRPr="0075625B">
        <w:rPr>
          <w:rFonts w:asciiTheme="majorHAnsi" w:hAnsiTheme="majorHAnsi" w:cstheme="majorHAnsi"/>
          <w:sz w:val="24"/>
          <w:szCs w:val="24"/>
        </w:rPr>
        <w:t xml:space="preserve"> as:</w:t>
      </w:r>
    </w:p>
    <w:p w14:paraId="1A2EC660" w14:textId="77777777" w:rsidR="0017208F" w:rsidRPr="0075625B" w:rsidRDefault="0017208F" w:rsidP="0017208F">
      <w:pPr>
        <w:spacing w:after="150" w:line="330" w:lineRule="atLeast"/>
        <w:rPr>
          <w:rFonts w:asciiTheme="majorHAnsi" w:hAnsiTheme="majorHAnsi" w:cstheme="majorHAnsi"/>
          <w:sz w:val="24"/>
          <w:szCs w:val="24"/>
        </w:rPr>
      </w:pPr>
      <w:r w:rsidRPr="0075625B">
        <w:rPr>
          <w:rFonts w:asciiTheme="majorHAnsi" w:hAnsiTheme="majorHAnsi" w:cstheme="majorHAnsi"/>
          <w:sz w:val="24"/>
          <w:szCs w:val="24"/>
        </w:rPr>
        <w:t>“Conduct which</w:t>
      </w:r>
    </w:p>
    <w:p w14:paraId="0F7D09E6" w14:textId="77777777" w:rsidR="0017208F" w:rsidRPr="0075625B" w:rsidRDefault="0017208F" w:rsidP="0017208F">
      <w:pPr>
        <w:spacing w:after="150" w:line="330" w:lineRule="atLeast"/>
        <w:rPr>
          <w:rFonts w:asciiTheme="majorHAnsi" w:hAnsiTheme="majorHAnsi" w:cstheme="majorHAnsi"/>
          <w:sz w:val="24"/>
          <w:szCs w:val="24"/>
        </w:rPr>
      </w:pPr>
      <w:r w:rsidRPr="0075625B">
        <w:rPr>
          <w:rFonts w:asciiTheme="majorHAnsi" w:hAnsiTheme="majorHAnsi" w:cstheme="majorHAnsi"/>
          <w:sz w:val="24"/>
          <w:szCs w:val="24"/>
        </w:rPr>
        <w:t>(a)  involves the use of violence, results in substantial financial gain or is conducted by a large number of persons in pursuit of a common purpose or</w:t>
      </w:r>
    </w:p>
    <w:p w14:paraId="4AF178CC" w14:textId="77777777" w:rsidR="0017208F" w:rsidRPr="0075625B" w:rsidRDefault="0017208F" w:rsidP="0017208F">
      <w:pPr>
        <w:spacing w:after="150" w:line="330" w:lineRule="atLeast"/>
        <w:rPr>
          <w:rFonts w:asciiTheme="majorHAnsi" w:hAnsiTheme="majorHAnsi" w:cstheme="majorHAnsi"/>
          <w:sz w:val="24"/>
          <w:szCs w:val="24"/>
        </w:rPr>
      </w:pPr>
      <w:r w:rsidRPr="0075625B">
        <w:rPr>
          <w:rFonts w:asciiTheme="majorHAnsi" w:hAnsiTheme="majorHAnsi" w:cstheme="majorHAnsi"/>
          <w:sz w:val="24"/>
          <w:szCs w:val="24"/>
        </w:rPr>
        <w:lastRenderedPageBreak/>
        <w:t>(b) the offence or one of the offences is an offence for which a person who has attained the age of twenty-one and has no previous convictions could reasonably be expected to be sentenced to imprisonment for a term of three years or more.” (Police Act, 1997)</w:t>
      </w:r>
    </w:p>
    <w:p w14:paraId="2CB40573"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PIP 2 investigators will conduct investigations which fall into this category.</w:t>
      </w:r>
    </w:p>
    <w:p w14:paraId="75D7466E" w14:textId="5EB5EDE8" w:rsidR="0017208F" w:rsidRPr="0075625B" w:rsidRDefault="0017208F" w:rsidP="00D22D9C">
      <w:pPr>
        <w:jc w:val="both"/>
        <w:rPr>
          <w:rFonts w:asciiTheme="majorHAnsi" w:hAnsiTheme="majorHAnsi" w:cstheme="majorHAnsi"/>
          <w:sz w:val="24"/>
          <w:szCs w:val="24"/>
        </w:rPr>
      </w:pPr>
    </w:p>
    <w:p w14:paraId="0474D88B" w14:textId="11A3F842" w:rsidR="0017208F" w:rsidRPr="0075625B" w:rsidRDefault="0017208F" w:rsidP="00D22D9C">
      <w:pPr>
        <w:jc w:val="both"/>
        <w:rPr>
          <w:rFonts w:asciiTheme="majorHAnsi" w:hAnsiTheme="majorHAnsi" w:cstheme="majorHAnsi"/>
          <w:sz w:val="24"/>
          <w:szCs w:val="24"/>
        </w:rPr>
      </w:pPr>
    </w:p>
    <w:p w14:paraId="5A77B273" w14:textId="3D05C1A4" w:rsidR="0017208F" w:rsidRPr="0075625B" w:rsidRDefault="0017208F" w:rsidP="00D22D9C">
      <w:pPr>
        <w:jc w:val="both"/>
        <w:rPr>
          <w:rFonts w:asciiTheme="majorHAnsi" w:hAnsiTheme="majorHAnsi" w:cstheme="majorHAnsi"/>
          <w:sz w:val="24"/>
          <w:szCs w:val="24"/>
        </w:rPr>
      </w:pPr>
    </w:p>
    <w:p w14:paraId="20E27E95" w14:textId="2C1ED0FA" w:rsidR="0017208F" w:rsidRPr="0075625B" w:rsidRDefault="0017208F" w:rsidP="00D22D9C">
      <w:pPr>
        <w:jc w:val="both"/>
        <w:rPr>
          <w:rFonts w:asciiTheme="majorHAnsi" w:hAnsiTheme="majorHAnsi" w:cstheme="majorHAnsi"/>
          <w:sz w:val="24"/>
          <w:szCs w:val="24"/>
        </w:rPr>
      </w:pPr>
    </w:p>
    <w:p w14:paraId="3543DF29" w14:textId="07D507A8" w:rsidR="0017208F" w:rsidRPr="0075625B" w:rsidRDefault="0017208F" w:rsidP="00D22D9C">
      <w:pPr>
        <w:jc w:val="both"/>
        <w:rPr>
          <w:rFonts w:asciiTheme="majorHAnsi" w:hAnsiTheme="majorHAnsi" w:cstheme="majorHAnsi"/>
          <w:sz w:val="24"/>
          <w:szCs w:val="24"/>
        </w:rPr>
      </w:pPr>
    </w:p>
    <w:p w14:paraId="129370C1" w14:textId="3D5962D9" w:rsidR="0017208F" w:rsidRPr="0075625B" w:rsidRDefault="0017208F" w:rsidP="00D22D9C">
      <w:pPr>
        <w:jc w:val="both"/>
        <w:rPr>
          <w:rFonts w:asciiTheme="majorHAnsi" w:hAnsiTheme="majorHAnsi" w:cstheme="majorHAnsi"/>
          <w:sz w:val="24"/>
          <w:szCs w:val="24"/>
        </w:rPr>
      </w:pPr>
    </w:p>
    <w:p w14:paraId="2931E44B" w14:textId="758DD8DD" w:rsidR="0017208F" w:rsidRPr="0075625B" w:rsidRDefault="0017208F" w:rsidP="00D22D9C">
      <w:pPr>
        <w:jc w:val="both"/>
        <w:rPr>
          <w:rFonts w:asciiTheme="majorHAnsi" w:hAnsiTheme="majorHAnsi" w:cstheme="majorHAnsi"/>
          <w:sz w:val="24"/>
          <w:szCs w:val="24"/>
        </w:rPr>
      </w:pPr>
    </w:p>
    <w:p w14:paraId="5DC587E0" w14:textId="7DFA844C" w:rsidR="0017208F" w:rsidRPr="0075625B" w:rsidRDefault="0017208F" w:rsidP="00D22D9C">
      <w:pPr>
        <w:jc w:val="both"/>
        <w:rPr>
          <w:rFonts w:asciiTheme="majorHAnsi" w:hAnsiTheme="majorHAnsi" w:cstheme="majorHAnsi"/>
          <w:sz w:val="24"/>
          <w:szCs w:val="24"/>
        </w:rPr>
      </w:pPr>
    </w:p>
    <w:p w14:paraId="0EB25558" w14:textId="6A80BCA6" w:rsidR="0017208F" w:rsidRPr="0075625B" w:rsidRDefault="0017208F" w:rsidP="00D22D9C">
      <w:pPr>
        <w:jc w:val="both"/>
        <w:rPr>
          <w:rFonts w:asciiTheme="majorHAnsi" w:hAnsiTheme="majorHAnsi" w:cstheme="majorHAnsi"/>
          <w:sz w:val="24"/>
          <w:szCs w:val="24"/>
        </w:rPr>
      </w:pPr>
    </w:p>
    <w:p w14:paraId="67D22889" w14:textId="0469EFC2" w:rsidR="0017208F" w:rsidRPr="0075625B" w:rsidRDefault="0017208F" w:rsidP="00D22D9C">
      <w:pPr>
        <w:jc w:val="both"/>
        <w:rPr>
          <w:rFonts w:asciiTheme="majorHAnsi" w:hAnsiTheme="majorHAnsi" w:cstheme="majorHAnsi"/>
          <w:sz w:val="24"/>
          <w:szCs w:val="24"/>
        </w:rPr>
      </w:pPr>
    </w:p>
    <w:p w14:paraId="6F1F8CBD" w14:textId="28670F65" w:rsidR="0017208F" w:rsidRPr="0075625B" w:rsidRDefault="0017208F" w:rsidP="00D22D9C">
      <w:pPr>
        <w:jc w:val="both"/>
        <w:rPr>
          <w:rFonts w:asciiTheme="majorHAnsi" w:hAnsiTheme="majorHAnsi" w:cstheme="majorHAnsi"/>
          <w:sz w:val="24"/>
          <w:szCs w:val="24"/>
        </w:rPr>
      </w:pPr>
    </w:p>
    <w:p w14:paraId="14C65C5A" w14:textId="18D1A730" w:rsidR="0017208F" w:rsidRPr="0075625B" w:rsidRDefault="0017208F" w:rsidP="00D22D9C">
      <w:pPr>
        <w:jc w:val="both"/>
        <w:rPr>
          <w:rFonts w:asciiTheme="majorHAnsi" w:hAnsiTheme="majorHAnsi" w:cstheme="majorHAnsi"/>
          <w:sz w:val="24"/>
          <w:szCs w:val="24"/>
        </w:rPr>
      </w:pPr>
    </w:p>
    <w:p w14:paraId="3E07A2A5" w14:textId="45F77559" w:rsidR="0017208F" w:rsidRPr="0075625B" w:rsidRDefault="0017208F" w:rsidP="00D22D9C">
      <w:pPr>
        <w:jc w:val="both"/>
        <w:rPr>
          <w:rFonts w:asciiTheme="majorHAnsi" w:hAnsiTheme="majorHAnsi" w:cstheme="majorHAnsi"/>
          <w:sz w:val="24"/>
          <w:szCs w:val="24"/>
        </w:rPr>
      </w:pPr>
    </w:p>
    <w:p w14:paraId="415DB644" w14:textId="43262DDD" w:rsidR="0017208F" w:rsidRPr="0075625B" w:rsidRDefault="0017208F" w:rsidP="00D22D9C">
      <w:pPr>
        <w:jc w:val="both"/>
        <w:rPr>
          <w:rFonts w:asciiTheme="majorHAnsi" w:hAnsiTheme="majorHAnsi" w:cstheme="majorHAnsi"/>
          <w:sz w:val="24"/>
          <w:szCs w:val="24"/>
        </w:rPr>
      </w:pPr>
    </w:p>
    <w:p w14:paraId="2ABA44FD" w14:textId="46F55F3F" w:rsidR="0017208F" w:rsidRPr="0075625B" w:rsidRDefault="0017208F" w:rsidP="00D22D9C">
      <w:pPr>
        <w:jc w:val="both"/>
        <w:rPr>
          <w:rFonts w:asciiTheme="majorHAnsi" w:hAnsiTheme="majorHAnsi" w:cstheme="majorHAnsi"/>
          <w:sz w:val="24"/>
          <w:szCs w:val="24"/>
        </w:rPr>
      </w:pPr>
    </w:p>
    <w:p w14:paraId="4E53DCB6" w14:textId="02471062" w:rsidR="0017208F" w:rsidRPr="0075625B" w:rsidRDefault="0017208F" w:rsidP="00D22D9C">
      <w:pPr>
        <w:jc w:val="both"/>
        <w:rPr>
          <w:rFonts w:asciiTheme="majorHAnsi" w:hAnsiTheme="majorHAnsi" w:cstheme="majorHAnsi"/>
          <w:sz w:val="24"/>
          <w:szCs w:val="24"/>
        </w:rPr>
      </w:pPr>
    </w:p>
    <w:p w14:paraId="7B4C200B" w14:textId="327638CA" w:rsidR="0017208F" w:rsidRPr="0075625B" w:rsidRDefault="0017208F" w:rsidP="00D22D9C">
      <w:pPr>
        <w:jc w:val="both"/>
        <w:rPr>
          <w:rFonts w:asciiTheme="majorHAnsi" w:hAnsiTheme="majorHAnsi" w:cstheme="majorHAnsi"/>
          <w:sz w:val="24"/>
          <w:szCs w:val="24"/>
        </w:rPr>
      </w:pPr>
    </w:p>
    <w:p w14:paraId="7C6D726C" w14:textId="0DCB9FA9" w:rsidR="0017208F" w:rsidRPr="0075625B" w:rsidRDefault="0017208F" w:rsidP="00D22D9C">
      <w:pPr>
        <w:jc w:val="both"/>
        <w:rPr>
          <w:rFonts w:asciiTheme="majorHAnsi" w:hAnsiTheme="majorHAnsi" w:cstheme="majorHAnsi"/>
          <w:sz w:val="24"/>
          <w:szCs w:val="24"/>
        </w:rPr>
      </w:pPr>
    </w:p>
    <w:p w14:paraId="57B8C4C6" w14:textId="6661CA7A" w:rsidR="0017208F" w:rsidRPr="0075625B" w:rsidRDefault="0017208F" w:rsidP="00D22D9C">
      <w:pPr>
        <w:jc w:val="both"/>
        <w:rPr>
          <w:rFonts w:asciiTheme="majorHAnsi" w:hAnsiTheme="majorHAnsi" w:cstheme="majorHAnsi"/>
          <w:sz w:val="24"/>
          <w:szCs w:val="24"/>
        </w:rPr>
      </w:pPr>
    </w:p>
    <w:p w14:paraId="50A18F66" w14:textId="6107172A" w:rsidR="0017208F" w:rsidRPr="0075625B" w:rsidRDefault="0017208F" w:rsidP="00D22D9C">
      <w:pPr>
        <w:jc w:val="both"/>
        <w:rPr>
          <w:rFonts w:asciiTheme="majorHAnsi" w:hAnsiTheme="majorHAnsi" w:cstheme="majorHAnsi"/>
          <w:sz w:val="24"/>
          <w:szCs w:val="24"/>
        </w:rPr>
      </w:pPr>
    </w:p>
    <w:p w14:paraId="6810A1AA" w14:textId="6116D6D0" w:rsidR="0017208F" w:rsidRPr="0075625B" w:rsidRDefault="0017208F" w:rsidP="00D22D9C">
      <w:pPr>
        <w:jc w:val="both"/>
        <w:rPr>
          <w:rFonts w:asciiTheme="majorHAnsi" w:hAnsiTheme="majorHAnsi" w:cstheme="majorHAnsi"/>
          <w:sz w:val="24"/>
          <w:szCs w:val="24"/>
        </w:rPr>
      </w:pPr>
    </w:p>
    <w:p w14:paraId="443BE485" w14:textId="48BA9EED" w:rsidR="0017208F" w:rsidRPr="0075625B" w:rsidRDefault="0017208F" w:rsidP="00D22D9C">
      <w:pPr>
        <w:jc w:val="both"/>
        <w:rPr>
          <w:rFonts w:asciiTheme="majorHAnsi" w:hAnsiTheme="majorHAnsi" w:cstheme="majorHAnsi"/>
          <w:sz w:val="24"/>
          <w:szCs w:val="24"/>
        </w:rPr>
      </w:pPr>
    </w:p>
    <w:p w14:paraId="3A6FD76B" w14:textId="6FA7FE3B" w:rsidR="0017208F" w:rsidRPr="0075625B" w:rsidRDefault="0017208F" w:rsidP="00D22D9C">
      <w:pPr>
        <w:jc w:val="both"/>
        <w:rPr>
          <w:rFonts w:asciiTheme="majorHAnsi" w:hAnsiTheme="majorHAnsi" w:cstheme="majorHAnsi"/>
          <w:sz w:val="24"/>
          <w:szCs w:val="24"/>
        </w:rPr>
      </w:pPr>
    </w:p>
    <w:p w14:paraId="1AD11FE3" w14:textId="63C10414" w:rsidR="0017208F" w:rsidRPr="0075625B" w:rsidRDefault="0017208F" w:rsidP="00D22D9C">
      <w:pPr>
        <w:jc w:val="both"/>
        <w:rPr>
          <w:rFonts w:asciiTheme="majorHAnsi" w:hAnsiTheme="majorHAnsi" w:cstheme="majorHAnsi"/>
          <w:sz w:val="24"/>
          <w:szCs w:val="24"/>
        </w:rPr>
      </w:pPr>
    </w:p>
    <w:p w14:paraId="7EC67171" w14:textId="1DFAF7C3" w:rsidR="0017208F" w:rsidRPr="0075625B" w:rsidRDefault="0017208F" w:rsidP="00D22D9C">
      <w:pPr>
        <w:jc w:val="both"/>
        <w:rPr>
          <w:rFonts w:asciiTheme="majorHAnsi" w:hAnsiTheme="majorHAnsi" w:cstheme="majorHAnsi"/>
          <w:sz w:val="24"/>
          <w:szCs w:val="24"/>
        </w:rPr>
      </w:pPr>
    </w:p>
    <w:p w14:paraId="3FFFA31F" w14:textId="4D21A757" w:rsidR="0017208F" w:rsidRPr="0075625B" w:rsidRDefault="0017208F" w:rsidP="00D22D9C">
      <w:pPr>
        <w:jc w:val="both"/>
        <w:rPr>
          <w:rFonts w:asciiTheme="majorHAnsi" w:hAnsiTheme="majorHAnsi" w:cstheme="majorHAnsi"/>
          <w:sz w:val="24"/>
          <w:szCs w:val="24"/>
        </w:rPr>
      </w:pPr>
    </w:p>
    <w:p w14:paraId="1F1D8E99" w14:textId="4BF43CD4" w:rsidR="0017208F" w:rsidRPr="0075625B" w:rsidRDefault="0017208F" w:rsidP="00D22D9C">
      <w:pPr>
        <w:jc w:val="both"/>
        <w:rPr>
          <w:rFonts w:asciiTheme="majorHAnsi" w:hAnsiTheme="majorHAnsi" w:cstheme="majorHAnsi"/>
          <w:sz w:val="24"/>
          <w:szCs w:val="24"/>
        </w:rPr>
      </w:pPr>
    </w:p>
    <w:p w14:paraId="73CE6229" w14:textId="4F98B43B" w:rsidR="0017208F" w:rsidRPr="0075625B" w:rsidRDefault="0017208F" w:rsidP="00D22D9C">
      <w:pPr>
        <w:jc w:val="both"/>
        <w:rPr>
          <w:rFonts w:asciiTheme="majorHAnsi" w:hAnsiTheme="majorHAnsi" w:cstheme="majorHAnsi"/>
          <w:sz w:val="24"/>
          <w:szCs w:val="24"/>
        </w:rPr>
      </w:pPr>
    </w:p>
    <w:p w14:paraId="304726A8" w14:textId="34A2D219" w:rsidR="0017208F" w:rsidRPr="0075625B" w:rsidRDefault="0017208F" w:rsidP="00D22D9C">
      <w:pPr>
        <w:jc w:val="both"/>
        <w:rPr>
          <w:rFonts w:asciiTheme="majorHAnsi" w:hAnsiTheme="majorHAnsi" w:cstheme="majorHAnsi"/>
          <w:sz w:val="24"/>
          <w:szCs w:val="24"/>
        </w:rPr>
      </w:pPr>
    </w:p>
    <w:p w14:paraId="6562E577" w14:textId="1E0A0503" w:rsidR="0017208F" w:rsidRPr="0075625B" w:rsidRDefault="0017208F" w:rsidP="00D22D9C">
      <w:pPr>
        <w:jc w:val="both"/>
        <w:rPr>
          <w:rFonts w:asciiTheme="majorHAnsi" w:hAnsiTheme="majorHAnsi" w:cstheme="majorHAnsi"/>
          <w:sz w:val="24"/>
          <w:szCs w:val="24"/>
        </w:rPr>
      </w:pPr>
    </w:p>
    <w:p w14:paraId="016F0475" w14:textId="1B0AB11B" w:rsidR="0017208F" w:rsidRPr="0075625B" w:rsidRDefault="0017208F" w:rsidP="00D22D9C">
      <w:pPr>
        <w:jc w:val="both"/>
        <w:rPr>
          <w:rFonts w:asciiTheme="majorHAnsi" w:hAnsiTheme="majorHAnsi" w:cstheme="majorHAnsi"/>
          <w:sz w:val="24"/>
          <w:szCs w:val="24"/>
        </w:rPr>
      </w:pPr>
    </w:p>
    <w:p w14:paraId="04391FEC" w14:textId="1E8A47D0" w:rsidR="0017208F" w:rsidRPr="0075625B" w:rsidRDefault="0017208F" w:rsidP="00D22D9C">
      <w:pPr>
        <w:jc w:val="both"/>
        <w:rPr>
          <w:rFonts w:asciiTheme="majorHAnsi" w:hAnsiTheme="majorHAnsi" w:cstheme="majorHAnsi"/>
          <w:sz w:val="24"/>
          <w:szCs w:val="24"/>
        </w:rPr>
      </w:pPr>
    </w:p>
    <w:p w14:paraId="39F1B2B1" w14:textId="0861145F" w:rsidR="0017208F" w:rsidRPr="0075625B" w:rsidRDefault="0017208F" w:rsidP="00D22D9C">
      <w:pPr>
        <w:jc w:val="both"/>
        <w:rPr>
          <w:rFonts w:asciiTheme="majorHAnsi" w:hAnsiTheme="majorHAnsi" w:cstheme="majorHAnsi"/>
          <w:sz w:val="24"/>
          <w:szCs w:val="24"/>
        </w:rPr>
      </w:pPr>
    </w:p>
    <w:p w14:paraId="0F573710" w14:textId="1FE81D48" w:rsidR="0017208F" w:rsidRPr="0075625B" w:rsidRDefault="0017208F" w:rsidP="00D22D9C">
      <w:pPr>
        <w:jc w:val="both"/>
        <w:rPr>
          <w:rFonts w:asciiTheme="majorHAnsi" w:hAnsiTheme="majorHAnsi" w:cstheme="majorHAnsi"/>
          <w:sz w:val="24"/>
          <w:szCs w:val="24"/>
        </w:rPr>
      </w:pPr>
    </w:p>
    <w:p w14:paraId="26B81D0A" w14:textId="003EBFDC" w:rsidR="0017208F" w:rsidRPr="0075625B" w:rsidRDefault="0017208F" w:rsidP="00D22D9C">
      <w:pPr>
        <w:jc w:val="both"/>
        <w:rPr>
          <w:rFonts w:asciiTheme="majorHAnsi" w:hAnsiTheme="majorHAnsi" w:cstheme="majorHAnsi"/>
          <w:sz w:val="24"/>
          <w:szCs w:val="24"/>
        </w:rPr>
      </w:pPr>
    </w:p>
    <w:p w14:paraId="02530962" w14:textId="469B9965" w:rsidR="0017208F" w:rsidRPr="0075625B" w:rsidRDefault="0017208F" w:rsidP="00D22D9C">
      <w:pPr>
        <w:jc w:val="both"/>
        <w:rPr>
          <w:rFonts w:asciiTheme="majorHAnsi" w:hAnsiTheme="majorHAnsi" w:cstheme="majorHAnsi"/>
          <w:sz w:val="24"/>
          <w:szCs w:val="24"/>
        </w:rPr>
      </w:pPr>
    </w:p>
    <w:p w14:paraId="5A5880A9" w14:textId="104CAA2A" w:rsidR="0017208F" w:rsidRPr="0075625B" w:rsidRDefault="0017208F" w:rsidP="00D22D9C">
      <w:pPr>
        <w:jc w:val="both"/>
        <w:rPr>
          <w:rFonts w:asciiTheme="majorHAnsi" w:hAnsiTheme="majorHAnsi" w:cstheme="majorHAnsi"/>
          <w:sz w:val="24"/>
          <w:szCs w:val="24"/>
        </w:rPr>
      </w:pPr>
    </w:p>
    <w:p w14:paraId="6828CDC5" w14:textId="006AE778" w:rsidR="0017208F" w:rsidRPr="0075625B" w:rsidRDefault="0017208F" w:rsidP="00D22D9C">
      <w:pPr>
        <w:jc w:val="both"/>
        <w:rPr>
          <w:rFonts w:asciiTheme="majorHAnsi" w:hAnsiTheme="majorHAnsi" w:cstheme="majorHAnsi"/>
          <w:sz w:val="24"/>
          <w:szCs w:val="24"/>
        </w:rPr>
      </w:pPr>
    </w:p>
    <w:p w14:paraId="203EA576" w14:textId="1E5E628F" w:rsidR="0017208F" w:rsidRPr="0075625B" w:rsidRDefault="0017208F" w:rsidP="00D22D9C">
      <w:pPr>
        <w:jc w:val="both"/>
        <w:rPr>
          <w:rFonts w:asciiTheme="majorHAnsi" w:hAnsiTheme="majorHAnsi" w:cstheme="majorHAnsi"/>
          <w:sz w:val="24"/>
          <w:szCs w:val="24"/>
        </w:rPr>
      </w:pPr>
    </w:p>
    <w:p w14:paraId="25F7B9E4" w14:textId="2BA328EC" w:rsidR="0017208F" w:rsidRPr="0075625B" w:rsidRDefault="0017208F" w:rsidP="00D22D9C">
      <w:pPr>
        <w:jc w:val="both"/>
        <w:rPr>
          <w:rFonts w:asciiTheme="majorHAnsi" w:hAnsiTheme="majorHAnsi" w:cstheme="majorHAnsi"/>
          <w:sz w:val="24"/>
          <w:szCs w:val="24"/>
        </w:rPr>
      </w:pPr>
    </w:p>
    <w:p w14:paraId="2D65B3B3" w14:textId="31ABA093" w:rsidR="0017208F" w:rsidRPr="0075625B" w:rsidRDefault="0017208F" w:rsidP="00D22D9C">
      <w:pPr>
        <w:jc w:val="both"/>
        <w:rPr>
          <w:rFonts w:asciiTheme="majorHAnsi" w:hAnsiTheme="majorHAnsi" w:cstheme="majorHAnsi"/>
          <w:sz w:val="24"/>
          <w:szCs w:val="24"/>
        </w:rPr>
      </w:pPr>
    </w:p>
    <w:p w14:paraId="203BEEA0" w14:textId="363E2955" w:rsidR="0017208F" w:rsidRPr="0075625B" w:rsidRDefault="0017208F" w:rsidP="00D22D9C">
      <w:pPr>
        <w:jc w:val="both"/>
        <w:rPr>
          <w:rFonts w:asciiTheme="majorHAnsi" w:hAnsiTheme="majorHAnsi" w:cstheme="majorHAnsi"/>
          <w:sz w:val="24"/>
          <w:szCs w:val="24"/>
        </w:rPr>
      </w:pPr>
    </w:p>
    <w:p w14:paraId="09C482BA" w14:textId="52D7D776" w:rsidR="0017208F" w:rsidRPr="0075625B" w:rsidRDefault="0017208F" w:rsidP="00D22D9C">
      <w:pPr>
        <w:jc w:val="both"/>
        <w:rPr>
          <w:rFonts w:asciiTheme="majorHAnsi" w:hAnsiTheme="majorHAnsi" w:cstheme="majorHAnsi"/>
          <w:sz w:val="24"/>
          <w:szCs w:val="24"/>
        </w:rPr>
      </w:pPr>
    </w:p>
    <w:p w14:paraId="3D71A50E" w14:textId="4BD5E619" w:rsidR="0017208F" w:rsidRPr="0075625B" w:rsidRDefault="0017208F" w:rsidP="00D22D9C">
      <w:pPr>
        <w:jc w:val="both"/>
        <w:rPr>
          <w:rFonts w:asciiTheme="majorHAnsi" w:hAnsiTheme="majorHAnsi" w:cstheme="majorHAnsi"/>
          <w:sz w:val="24"/>
          <w:szCs w:val="24"/>
        </w:rPr>
      </w:pPr>
    </w:p>
    <w:p w14:paraId="2993BA41" w14:textId="77777777" w:rsidR="0075625B" w:rsidRDefault="0075625B" w:rsidP="0017208F">
      <w:pPr>
        <w:spacing w:line="257" w:lineRule="auto"/>
        <w:rPr>
          <w:rFonts w:asciiTheme="majorHAnsi" w:hAnsiTheme="majorHAnsi" w:cstheme="majorHAnsi"/>
          <w:sz w:val="24"/>
          <w:szCs w:val="24"/>
        </w:rPr>
      </w:pPr>
    </w:p>
    <w:p w14:paraId="7CAB894E" w14:textId="5013FB12" w:rsidR="0017208F" w:rsidRPr="0075625B" w:rsidRDefault="0017208F" w:rsidP="0017208F">
      <w:pPr>
        <w:spacing w:line="257" w:lineRule="auto"/>
        <w:rPr>
          <w:rFonts w:asciiTheme="majorHAnsi" w:eastAsia="Calibri" w:hAnsiTheme="majorHAnsi" w:cstheme="majorHAnsi"/>
          <w:sz w:val="24"/>
          <w:szCs w:val="24"/>
          <w:u w:val="single"/>
        </w:rPr>
      </w:pPr>
      <w:r w:rsidRPr="0075625B">
        <w:rPr>
          <w:rFonts w:asciiTheme="majorHAnsi" w:eastAsia="Calibri" w:hAnsiTheme="majorHAnsi" w:cstheme="majorHAnsi"/>
          <w:sz w:val="24"/>
          <w:szCs w:val="24"/>
          <w:u w:val="single"/>
        </w:rPr>
        <w:lastRenderedPageBreak/>
        <w:t xml:space="preserve">Task 3 - 1000 </w:t>
      </w:r>
      <w:r w:rsidR="00A75589" w:rsidRPr="0075625B">
        <w:rPr>
          <w:rFonts w:asciiTheme="majorHAnsi" w:eastAsia="Calibri" w:hAnsiTheme="majorHAnsi" w:cstheme="majorHAnsi"/>
          <w:sz w:val="24"/>
          <w:szCs w:val="24"/>
          <w:u w:val="single"/>
        </w:rPr>
        <w:t>WORDS</w:t>
      </w:r>
      <w:r w:rsidRPr="0075625B">
        <w:rPr>
          <w:rFonts w:asciiTheme="majorHAnsi" w:eastAsia="Calibri" w:hAnsiTheme="majorHAnsi" w:cstheme="majorHAnsi"/>
          <w:sz w:val="24"/>
          <w:szCs w:val="24"/>
          <w:u w:val="single"/>
        </w:rPr>
        <w:t xml:space="preserve"> </w:t>
      </w:r>
      <w:r w:rsidR="00A75589" w:rsidRPr="0075625B">
        <w:rPr>
          <w:rFonts w:asciiTheme="majorHAnsi" w:eastAsia="Calibri" w:hAnsiTheme="majorHAnsi" w:cstheme="majorHAnsi"/>
          <w:sz w:val="24"/>
          <w:szCs w:val="24"/>
          <w:u w:val="single"/>
        </w:rPr>
        <w:t>–</w:t>
      </w:r>
      <w:r w:rsidRPr="0075625B">
        <w:rPr>
          <w:rFonts w:asciiTheme="majorHAnsi" w:eastAsia="Calibri" w:hAnsiTheme="majorHAnsi" w:cstheme="majorHAnsi"/>
          <w:sz w:val="24"/>
          <w:szCs w:val="24"/>
          <w:u w:val="single"/>
        </w:rPr>
        <w:t xml:space="preserve"> I</w:t>
      </w:r>
      <w:r w:rsidR="00A75589" w:rsidRPr="0075625B">
        <w:rPr>
          <w:rFonts w:asciiTheme="majorHAnsi" w:eastAsia="Calibri" w:hAnsiTheme="majorHAnsi" w:cstheme="majorHAnsi"/>
          <w:sz w:val="24"/>
          <w:szCs w:val="24"/>
          <w:u w:val="single"/>
        </w:rPr>
        <w:t>NFORMATION AND INTELLIGENCE</w:t>
      </w:r>
    </w:p>
    <w:p w14:paraId="5BBF6833"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590D57E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This assignment will critically evaluate the methods used by Police in gathering information and intelligence, how this information contributes to the ‘tasking and coordinating’ process and how information and intelligence is communicated. </w:t>
      </w:r>
    </w:p>
    <w:p w14:paraId="6FF1F78E" w14:textId="77777777" w:rsidR="0017208F" w:rsidRPr="0075625B" w:rsidRDefault="0017208F" w:rsidP="0017208F">
      <w:pPr>
        <w:textAlignment w:val="baseline"/>
        <w:rPr>
          <w:rFonts w:asciiTheme="majorHAnsi" w:hAnsiTheme="majorHAnsi" w:cstheme="majorHAnsi"/>
          <w:sz w:val="24"/>
          <w:szCs w:val="24"/>
        </w:rPr>
      </w:pPr>
      <w:r w:rsidRPr="0075625B">
        <w:rPr>
          <w:rFonts w:asciiTheme="majorHAnsi" w:hAnsiTheme="majorHAnsi" w:cstheme="majorHAnsi"/>
          <w:sz w:val="24"/>
          <w:szCs w:val="24"/>
        </w:rPr>
        <w:t xml:space="preserve">According to Innes and </w:t>
      </w:r>
      <w:proofErr w:type="spellStart"/>
      <w:r w:rsidRPr="0075625B">
        <w:rPr>
          <w:rFonts w:asciiTheme="majorHAnsi" w:hAnsiTheme="majorHAnsi" w:cstheme="majorHAnsi"/>
          <w:sz w:val="24"/>
          <w:szCs w:val="24"/>
        </w:rPr>
        <w:t>Sheptycki</w:t>
      </w:r>
      <w:proofErr w:type="spellEnd"/>
      <w:r w:rsidRPr="0075625B">
        <w:rPr>
          <w:rFonts w:asciiTheme="majorHAnsi" w:hAnsiTheme="majorHAnsi" w:cstheme="majorHAnsi"/>
          <w:sz w:val="24"/>
          <w:szCs w:val="24"/>
        </w:rPr>
        <w:t xml:space="preserve"> (2004) “</w:t>
      </w:r>
      <w:r w:rsidRPr="0075625B">
        <w:rPr>
          <w:rFonts w:asciiTheme="majorHAnsi" w:eastAsia="+mn-ea" w:hAnsiTheme="majorHAnsi" w:cstheme="majorHAnsi"/>
          <w:color w:val="000000"/>
          <w:kern w:val="24"/>
          <w:sz w:val="24"/>
          <w:szCs w:val="24"/>
        </w:rPr>
        <w:t xml:space="preserve">Information consists of bits of data that, when combined and viewed together with relevant background knowledge, may be used to produce intelligence, which informs the actions and decisions of policing organisations.” (Innes and </w:t>
      </w:r>
      <w:proofErr w:type="spellStart"/>
      <w:r w:rsidRPr="0075625B">
        <w:rPr>
          <w:rFonts w:asciiTheme="majorHAnsi" w:eastAsia="+mn-ea" w:hAnsiTheme="majorHAnsi" w:cstheme="majorHAnsi"/>
          <w:color w:val="000000"/>
          <w:kern w:val="24"/>
          <w:sz w:val="24"/>
          <w:szCs w:val="24"/>
        </w:rPr>
        <w:t>Sheptycki</w:t>
      </w:r>
      <w:proofErr w:type="spellEnd"/>
      <w:r w:rsidRPr="0075625B">
        <w:rPr>
          <w:rFonts w:asciiTheme="majorHAnsi" w:eastAsia="+mn-ea" w:hAnsiTheme="majorHAnsi" w:cstheme="majorHAnsi"/>
          <w:color w:val="000000"/>
          <w:kern w:val="24"/>
          <w:sz w:val="24"/>
          <w:szCs w:val="24"/>
        </w:rPr>
        <w:t>, p.6, 2004)</w:t>
      </w:r>
    </w:p>
    <w:p w14:paraId="30B2FD18" w14:textId="77777777" w:rsidR="0017208F" w:rsidRPr="0075625B" w:rsidRDefault="0017208F" w:rsidP="0017208F">
      <w:pPr>
        <w:spacing w:after="160" w:line="259" w:lineRule="auto"/>
        <w:rPr>
          <w:rFonts w:asciiTheme="majorHAnsi" w:eastAsia="Calibri" w:hAnsiTheme="majorHAnsi" w:cstheme="majorHAnsi"/>
          <w:color w:val="FF0000"/>
          <w:sz w:val="24"/>
          <w:szCs w:val="24"/>
          <w:lang w:eastAsia="en-US"/>
        </w:rPr>
      </w:pPr>
    </w:p>
    <w:p w14:paraId="5DA45AF5"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Intelligence is crucial to policing, it forms part of the National Decision Model (NDM).  Information and Intelligence in a Policing context forms a key role in the management of crime, criminals, disorder and problems.</w:t>
      </w:r>
    </w:p>
    <w:p w14:paraId="05424FA9"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Information and intelligence are received from many sources “… ranging from information picked up during conversations with a member of the public…… to specialist covert surveillance operations. (Blackstone’s, p.523, 2000).  Information sources also include witnesses, victims, offenders and ‘Covert Human Intelligence Source (CHIS) also known as informants.  The assistance of a CHIS has </w:t>
      </w:r>
      <w:proofErr w:type="gramStart"/>
      <w:r w:rsidRPr="0075625B">
        <w:rPr>
          <w:rFonts w:asciiTheme="majorHAnsi" w:eastAsia="Calibri" w:hAnsiTheme="majorHAnsi" w:cstheme="majorHAnsi"/>
          <w:sz w:val="24"/>
          <w:szCs w:val="24"/>
          <w:lang w:eastAsia="en-US"/>
        </w:rPr>
        <w:t>be</w:t>
      </w:r>
      <w:proofErr w:type="gramEnd"/>
      <w:r w:rsidRPr="0075625B">
        <w:rPr>
          <w:rFonts w:asciiTheme="majorHAnsi" w:eastAsia="Calibri" w:hAnsiTheme="majorHAnsi" w:cstheme="majorHAnsi"/>
          <w:sz w:val="24"/>
          <w:szCs w:val="24"/>
          <w:lang w:eastAsia="en-US"/>
        </w:rPr>
        <w:t xml:space="preserve"> carefully managed and a CHIS handler will ensure that they are acting lawfully according to the Regulation of Investigatory Powers Act (RIPA) 2000.</w:t>
      </w:r>
    </w:p>
    <w:p w14:paraId="5BF6B40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Information and intelligence which comes generally from members of the public are often referred to as Open sources, included in this category are online sources, with social media becoming increasingly valuable in terms of information.  However, not </w:t>
      </w:r>
      <w:proofErr w:type="gramStart"/>
      <w:r w:rsidRPr="0075625B">
        <w:rPr>
          <w:rFonts w:asciiTheme="majorHAnsi" w:eastAsia="Calibri" w:hAnsiTheme="majorHAnsi" w:cstheme="majorHAnsi"/>
          <w:sz w:val="24"/>
          <w:szCs w:val="24"/>
          <w:lang w:eastAsia="en-US"/>
        </w:rPr>
        <w:t>all of</w:t>
      </w:r>
      <w:proofErr w:type="gramEnd"/>
      <w:r w:rsidRPr="0075625B">
        <w:rPr>
          <w:rFonts w:asciiTheme="majorHAnsi" w:eastAsia="Calibri" w:hAnsiTheme="majorHAnsi" w:cstheme="majorHAnsi"/>
          <w:sz w:val="24"/>
          <w:szCs w:val="24"/>
          <w:lang w:eastAsia="en-US"/>
        </w:rPr>
        <w:t xml:space="preserve"> this information is reliable, in fact it can sometimes be malicious in nature, therefore may require some further development of the intelligence to establish whether the information is correct and factual.</w:t>
      </w:r>
    </w:p>
    <w:p w14:paraId="22653BC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Closed sources of information and intelligence are thought to be reliable and come from sources such as other police forces, The National Crime Agency and other partners and organisations. </w:t>
      </w:r>
    </w:p>
    <w:p w14:paraId="20B2DC7F"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Police can request certain types of information from other organisations if there is a legitimate policing purpose, for example “Some types of information, particularly financial, can be obtained under the provisions of the Proceeds of Crime Act 2002” (Blackstone’s, </w:t>
      </w:r>
      <w:proofErr w:type="spellStart"/>
      <w:r w:rsidRPr="0075625B">
        <w:rPr>
          <w:rFonts w:asciiTheme="majorHAnsi" w:eastAsia="Calibri" w:hAnsiTheme="majorHAnsi" w:cstheme="majorHAnsi"/>
          <w:sz w:val="24"/>
          <w:szCs w:val="24"/>
          <w:lang w:eastAsia="en-US"/>
        </w:rPr>
        <w:t>pg</w:t>
      </w:r>
      <w:proofErr w:type="spellEnd"/>
      <w:r w:rsidRPr="0075625B">
        <w:rPr>
          <w:rFonts w:asciiTheme="majorHAnsi" w:eastAsia="Calibri" w:hAnsiTheme="majorHAnsi" w:cstheme="majorHAnsi"/>
          <w:sz w:val="24"/>
          <w:szCs w:val="24"/>
          <w:lang w:eastAsia="en-US"/>
        </w:rPr>
        <w:t xml:space="preserve"> 523, 2020).  In relation to the proceeds of crime, certain organisations have the responsibility to provide information in relation to the processing of large sums of money which may constitute as criminal activity. </w:t>
      </w:r>
    </w:p>
    <w:p w14:paraId="08C1A525"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In 2000 the National Intelligence Model (NIM) was launched and is concerned with using intelligence to determine key priorities for policing” (Blackstone’s, </w:t>
      </w:r>
      <w:proofErr w:type="spellStart"/>
      <w:r w:rsidRPr="0075625B">
        <w:rPr>
          <w:rFonts w:asciiTheme="majorHAnsi" w:eastAsia="Calibri" w:hAnsiTheme="majorHAnsi" w:cstheme="majorHAnsi"/>
          <w:sz w:val="24"/>
          <w:szCs w:val="24"/>
          <w:lang w:eastAsia="en-US"/>
        </w:rPr>
        <w:t>pg</w:t>
      </w:r>
      <w:proofErr w:type="spellEnd"/>
      <w:r w:rsidRPr="0075625B">
        <w:rPr>
          <w:rFonts w:asciiTheme="majorHAnsi" w:eastAsia="Calibri" w:hAnsiTheme="majorHAnsi" w:cstheme="majorHAnsi"/>
          <w:sz w:val="24"/>
          <w:szCs w:val="24"/>
          <w:lang w:eastAsia="en-US"/>
        </w:rPr>
        <w:t xml:space="preserve"> 536, 2000).  The National intelligence model (NIM) is used by Police and “is ‘A Model for Policing’ that ensures that information is fully researched, developed and analysed to provide intelligence that senior managers can use to provide strategic direction, make tactical resourcing decisions about operational policing and manage risk” (Home Office Guide to the National Intelligence Model, 2005)</w:t>
      </w:r>
    </w:p>
    <w:p w14:paraId="07E927FA"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16AF69C1"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6278D2F9"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50428DB2"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lastRenderedPageBreak/>
        <w:t xml:space="preserve">In terms of managing, and processing intelligence, the Police use the 3 x 5 x 2 model for grading intelligence.  These gradings are applied to evaluate the reliability of the source, the reliability of the intelligence and how it can be distributed. </w:t>
      </w:r>
    </w:p>
    <w:p w14:paraId="2442CD71"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The NIM operates at 3 levels “Level 1 – Local/Basic Command Unit (BCU) of known locally as ( LPA for Gwent Police.), Level 2 – Force and/or regional and Level 3 – Serious and organised crime that is usually national or international” (Home Office Guide to the National Intelligence Model, 2005).</w:t>
      </w:r>
    </w:p>
    <w:p w14:paraId="31D0317B" w14:textId="77777777" w:rsidR="0017208F" w:rsidRPr="0075625B" w:rsidRDefault="0017208F" w:rsidP="0017208F">
      <w:pPr>
        <w:spacing w:after="160" w:line="259" w:lineRule="auto"/>
        <w:rPr>
          <w:rFonts w:asciiTheme="majorHAnsi" w:eastAsia="Calibri" w:hAnsiTheme="majorHAnsi" w:cstheme="majorHAnsi"/>
          <w:color w:val="FF0000"/>
          <w:sz w:val="24"/>
          <w:szCs w:val="24"/>
          <w:lang w:eastAsia="en-US"/>
        </w:rPr>
      </w:pPr>
      <w:r w:rsidRPr="0075625B">
        <w:rPr>
          <w:rFonts w:asciiTheme="majorHAnsi" w:eastAsia="Calibri" w:hAnsiTheme="majorHAnsi" w:cstheme="majorHAnsi"/>
          <w:sz w:val="24"/>
          <w:szCs w:val="24"/>
          <w:lang w:eastAsia="en-US"/>
        </w:rPr>
        <w:t>As part of the NIM process, the tasking and coordinating group identifies information needed in order to develop intelligence. Intelligence at tasking level provides local crime trends and crime patterns, this informs decision making, resourcing and tactical plans.</w:t>
      </w:r>
    </w:p>
    <w:p w14:paraId="1B0715D3"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The Home Office suggests that as part of the tasking and Co-ordinating process: </w:t>
      </w:r>
    </w:p>
    <w:p w14:paraId="79DD06D5"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“1. The Strategic Tasking and Co-ordinating Group (Strategic T&amp;CG) sits twice yearly at each level and, informed by the Strategic Assessment, sets the Control Strategy for its area of command. The Strategic T&amp;CG also approves an Intelligence Requirement that provides direction to all police staff regarding the collection of intelligence. </w:t>
      </w:r>
    </w:p>
    <w:p w14:paraId="2F5C08A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2. The Tactical Tasking and Co-ordinating Group (Tactical T&amp;CG) sits at least fortnightly at BCU and force levels, and 3-monthly at a regional level. Informed by the Tactical Assessment and the resources available, it prioritises the proposed tactical activity for the BCU, force or region for the next period and ensures that it is aligned to the priorities identified within the Control Strategy. The Tactical T&amp;CG also commissions the remaining two Intelligence Products – the Problem Profile and the Target Profile – as and when </w:t>
      </w:r>
      <w:proofErr w:type="gramStart"/>
      <w:r w:rsidRPr="0075625B">
        <w:rPr>
          <w:rFonts w:asciiTheme="majorHAnsi" w:eastAsia="Calibri" w:hAnsiTheme="majorHAnsi" w:cstheme="majorHAnsi"/>
          <w:sz w:val="24"/>
          <w:szCs w:val="24"/>
          <w:lang w:eastAsia="en-US"/>
        </w:rPr>
        <w:t>required, and</w:t>
      </w:r>
      <w:proofErr w:type="gramEnd"/>
      <w:r w:rsidRPr="0075625B">
        <w:rPr>
          <w:rFonts w:asciiTheme="majorHAnsi" w:eastAsia="Calibri" w:hAnsiTheme="majorHAnsi" w:cstheme="majorHAnsi"/>
          <w:sz w:val="24"/>
          <w:szCs w:val="24"/>
          <w:lang w:eastAsia="en-US"/>
        </w:rPr>
        <w:t xml:space="preserve"> prioritises the tactical activity to be taken against each.” </w:t>
      </w:r>
    </w:p>
    <w:p w14:paraId="78C4981A"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(Home Office Guide to the National Intelligence Model, 2005)</w:t>
      </w:r>
    </w:p>
    <w:p w14:paraId="290C0872" w14:textId="77777777" w:rsidR="0017208F" w:rsidRPr="0075625B" w:rsidRDefault="0017208F" w:rsidP="0017208F">
      <w:pPr>
        <w:autoSpaceDE w:val="0"/>
        <w:autoSpaceDN w:val="0"/>
        <w:adjustRightInd w:val="0"/>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However </w:t>
      </w:r>
      <w:hyperlink r:id="rId13" w:history="1">
        <w:r w:rsidRPr="0075625B">
          <w:rPr>
            <w:rFonts w:asciiTheme="majorHAnsi" w:eastAsia="Calibri" w:hAnsiTheme="majorHAnsi" w:cstheme="majorHAnsi"/>
            <w:sz w:val="24"/>
            <w:szCs w:val="24"/>
            <w:lang w:val="en" w:eastAsia="en-US"/>
          </w:rPr>
          <w:t xml:space="preserve">Gill and </w:t>
        </w:r>
        <w:proofErr w:type="spellStart"/>
        <w:r w:rsidRPr="0075625B">
          <w:rPr>
            <w:rFonts w:asciiTheme="majorHAnsi" w:eastAsia="Calibri" w:hAnsiTheme="majorHAnsi" w:cstheme="majorHAnsi"/>
            <w:sz w:val="24"/>
            <w:szCs w:val="24"/>
            <w:lang w:val="en" w:eastAsia="en-US"/>
          </w:rPr>
          <w:t>Phythian</w:t>
        </w:r>
        <w:proofErr w:type="spellEnd"/>
        <w:r w:rsidRPr="0075625B">
          <w:rPr>
            <w:rFonts w:asciiTheme="majorHAnsi" w:eastAsia="Calibri" w:hAnsiTheme="majorHAnsi" w:cstheme="majorHAnsi"/>
            <w:sz w:val="24"/>
            <w:szCs w:val="24"/>
            <w:lang w:val="en" w:eastAsia="en-US"/>
          </w:rPr>
          <w:t xml:space="preserve"> (2012)</w:t>
        </w:r>
      </w:hyperlink>
      <w:r w:rsidRPr="0075625B">
        <w:rPr>
          <w:rFonts w:asciiTheme="majorHAnsi" w:eastAsia="Calibri" w:hAnsiTheme="majorHAnsi" w:cstheme="majorHAnsi"/>
          <w:sz w:val="24"/>
          <w:szCs w:val="24"/>
          <w:lang w:val="en" w:eastAsia="en-US"/>
        </w:rPr>
        <w:t xml:space="preserve"> suggest that forces are at different stages with the implementation of the NIM, resulting in inconsistency with the use of the NIM across forces. It is suggested that as a result, this could affect decision making and different interpretations.</w:t>
      </w:r>
    </w:p>
    <w:p w14:paraId="4DACBF93" w14:textId="77777777" w:rsidR="0017208F" w:rsidRPr="0075625B" w:rsidRDefault="0017208F" w:rsidP="0017208F">
      <w:pPr>
        <w:spacing w:after="160" w:line="259" w:lineRule="auto"/>
        <w:rPr>
          <w:rFonts w:asciiTheme="majorHAnsi" w:eastAsia="Calibri" w:hAnsiTheme="majorHAnsi" w:cstheme="majorHAnsi"/>
          <w:color w:val="FF0000"/>
          <w:sz w:val="24"/>
          <w:szCs w:val="24"/>
          <w:lang w:eastAsia="en-US"/>
        </w:rPr>
      </w:pPr>
    </w:p>
    <w:p w14:paraId="773E532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Intelligence may be communicated to officers </w:t>
      </w:r>
      <w:proofErr w:type="gramStart"/>
      <w:r w:rsidRPr="0075625B">
        <w:rPr>
          <w:rFonts w:asciiTheme="majorHAnsi" w:eastAsia="Calibri" w:hAnsiTheme="majorHAnsi" w:cstheme="majorHAnsi"/>
          <w:sz w:val="24"/>
          <w:szCs w:val="24"/>
          <w:lang w:eastAsia="en-US"/>
        </w:rPr>
        <w:t>in order for</w:t>
      </w:r>
      <w:proofErr w:type="gramEnd"/>
      <w:r w:rsidRPr="0075625B">
        <w:rPr>
          <w:rFonts w:asciiTheme="majorHAnsi" w:eastAsia="Calibri" w:hAnsiTheme="majorHAnsi" w:cstheme="majorHAnsi"/>
          <w:sz w:val="24"/>
          <w:szCs w:val="24"/>
          <w:lang w:eastAsia="en-US"/>
        </w:rPr>
        <w:t xml:space="preserve"> their awareness of matters such as certain individuals, vehicles and areas or properties of interest.  This intelligence has usually been sanitised at this point to protect the source of the information.</w:t>
      </w:r>
    </w:p>
    <w:p w14:paraId="2D08D67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 Intelligence may be disseminated to certain officers / departments </w:t>
      </w:r>
      <w:proofErr w:type="gramStart"/>
      <w:r w:rsidRPr="0075625B">
        <w:rPr>
          <w:rFonts w:asciiTheme="majorHAnsi" w:eastAsia="Calibri" w:hAnsiTheme="majorHAnsi" w:cstheme="majorHAnsi"/>
          <w:sz w:val="24"/>
          <w:szCs w:val="24"/>
          <w:lang w:eastAsia="en-US"/>
        </w:rPr>
        <w:t>in order for</w:t>
      </w:r>
      <w:proofErr w:type="gramEnd"/>
      <w:r w:rsidRPr="0075625B">
        <w:rPr>
          <w:rFonts w:asciiTheme="majorHAnsi" w:eastAsia="Calibri" w:hAnsiTheme="majorHAnsi" w:cstheme="majorHAnsi"/>
          <w:sz w:val="24"/>
          <w:szCs w:val="24"/>
          <w:lang w:eastAsia="en-US"/>
        </w:rPr>
        <w:t xml:space="preserve"> the development and tactical planning.  Policing departments such a Serious and Organised Crime rely on intelligence developed and then communicated to the courts in order to obtain warrants.</w:t>
      </w:r>
    </w:p>
    <w:p w14:paraId="471837DF"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Intelligence may be communicated to partner agencies, for example if Police have received intelligence regarding a child dealing drugs, there may be requirement to submit a PPN to Social Services, therefore delivering a joined-up approach to ensure that we are working together to protect the vulnerable.</w:t>
      </w:r>
    </w:p>
    <w:p w14:paraId="07243909"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However, any information shared with other agencies must be shared lawfully and in accordance with human rights, freedom of information and data protection.  This must also be proportionate with a legitimate purpose, i.e. for the protection of a vulnerable person. </w:t>
      </w:r>
    </w:p>
    <w:p w14:paraId="496C3F87" w14:textId="77777777" w:rsidR="0017208F" w:rsidRPr="0075625B" w:rsidRDefault="0017208F" w:rsidP="00D22D9C">
      <w:pPr>
        <w:jc w:val="both"/>
        <w:rPr>
          <w:rFonts w:asciiTheme="majorHAnsi" w:hAnsiTheme="majorHAnsi" w:cstheme="majorHAnsi"/>
          <w:sz w:val="24"/>
          <w:szCs w:val="24"/>
        </w:rPr>
      </w:pPr>
    </w:p>
    <w:p w14:paraId="4C2B45A9" w14:textId="331C3FE2" w:rsidR="0017208F" w:rsidRPr="0075625B" w:rsidRDefault="0017208F" w:rsidP="00D22D9C">
      <w:pPr>
        <w:jc w:val="both"/>
        <w:rPr>
          <w:rFonts w:asciiTheme="majorHAnsi" w:hAnsiTheme="majorHAnsi" w:cstheme="majorHAnsi"/>
          <w:sz w:val="24"/>
          <w:szCs w:val="24"/>
        </w:rPr>
      </w:pPr>
    </w:p>
    <w:p w14:paraId="5DCB929F" w14:textId="65C4CF93" w:rsidR="0017208F" w:rsidRPr="0075625B" w:rsidRDefault="0017208F" w:rsidP="00D22D9C">
      <w:pPr>
        <w:jc w:val="both"/>
        <w:rPr>
          <w:rFonts w:asciiTheme="majorHAnsi" w:hAnsiTheme="majorHAnsi" w:cstheme="majorHAnsi"/>
          <w:sz w:val="24"/>
          <w:szCs w:val="24"/>
        </w:rPr>
      </w:pPr>
    </w:p>
    <w:p w14:paraId="4A5C373C" w14:textId="4EBFC3CD" w:rsidR="0017208F" w:rsidRPr="0075625B" w:rsidRDefault="0017208F" w:rsidP="00D22D9C">
      <w:pPr>
        <w:jc w:val="both"/>
        <w:rPr>
          <w:rFonts w:asciiTheme="majorHAnsi" w:hAnsiTheme="majorHAnsi" w:cstheme="majorHAnsi"/>
          <w:sz w:val="24"/>
          <w:szCs w:val="24"/>
        </w:rPr>
      </w:pPr>
    </w:p>
    <w:p w14:paraId="486814AD" w14:textId="77777777" w:rsidR="0075625B" w:rsidRDefault="0075625B" w:rsidP="00037F8B">
      <w:pPr>
        <w:spacing w:line="257" w:lineRule="auto"/>
        <w:rPr>
          <w:rFonts w:asciiTheme="majorHAnsi" w:hAnsiTheme="majorHAnsi" w:cstheme="majorHAnsi"/>
          <w:sz w:val="24"/>
          <w:szCs w:val="24"/>
        </w:rPr>
      </w:pPr>
    </w:p>
    <w:p w14:paraId="3DA551DD" w14:textId="235D2BDA" w:rsidR="00037F8B" w:rsidRPr="0075625B" w:rsidRDefault="0017208F" w:rsidP="00037F8B">
      <w:pPr>
        <w:spacing w:line="257" w:lineRule="auto"/>
        <w:rPr>
          <w:rFonts w:asciiTheme="majorHAnsi" w:hAnsiTheme="majorHAnsi" w:cstheme="majorHAnsi"/>
          <w:sz w:val="24"/>
          <w:szCs w:val="24"/>
          <w:u w:val="single"/>
        </w:rPr>
      </w:pPr>
      <w:r w:rsidRPr="0075625B">
        <w:rPr>
          <w:rFonts w:asciiTheme="majorHAnsi" w:hAnsiTheme="majorHAnsi" w:cstheme="majorHAnsi"/>
          <w:sz w:val="24"/>
          <w:szCs w:val="24"/>
          <w:u w:val="single"/>
        </w:rPr>
        <w:lastRenderedPageBreak/>
        <w:t xml:space="preserve">TASK 4 – </w:t>
      </w:r>
      <w:r w:rsidR="00037F8B" w:rsidRPr="0075625B">
        <w:rPr>
          <w:rFonts w:asciiTheme="majorHAnsi" w:eastAsia="Calibri" w:hAnsiTheme="majorHAnsi" w:cstheme="majorHAnsi"/>
          <w:sz w:val="24"/>
          <w:szCs w:val="24"/>
          <w:u w:val="single"/>
        </w:rPr>
        <w:t xml:space="preserve">1000 </w:t>
      </w:r>
      <w:r w:rsidR="00A75589" w:rsidRPr="0075625B">
        <w:rPr>
          <w:rFonts w:asciiTheme="majorHAnsi" w:eastAsia="Calibri" w:hAnsiTheme="majorHAnsi" w:cstheme="majorHAnsi"/>
          <w:sz w:val="24"/>
          <w:szCs w:val="24"/>
          <w:u w:val="single"/>
        </w:rPr>
        <w:t>WORDS</w:t>
      </w:r>
      <w:r w:rsidR="00037F8B" w:rsidRPr="0075625B">
        <w:rPr>
          <w:rFonts w:asciiTheme="majorHAnsi" w:eastAsia="Calibri" w:hAnsiTheme="majorHAnsi" w:cstheme="majorHAnsi"/>
          <w:sz w:val="24"/>
          <w:szCs w:val="24"/>
          <w:u w:val="single"/>
        </w:rPr>
        <w:t xml:space="preserve"> </w:t>
      </w:r>
      <w:r w:rsidR="00A75589" w:rsidRPr="0075625B">
        <w:rPr>
          <w:rFonts w:asciiTheme="majorHAnsi" w:eastAsia="Calibri" w:hAnsiTheme="majorHAnsi" w:cstheme="majorHAnsi"/>
          <w:sz w:val="24"/>
          <w:szCs w:val="24"/>
          <w:u w:val="single"/>
        </w:rPr>
        <w:t>–</w:t>
      </w:r>
      <w:r w:rsidR="00037F8B" w:rsidRPr="0075625B">
        <w:rPr>
          <w:rFonts w:asciiTheme="majorHAnsi" w:eastAsia="Calibri" w:hAnsiTheme="majorHAnsi" w:cstheme="majorHAnsi"/>
          <w:sz w:val="24"/>
          <w:szCs w:val="24"/>
          <w:u w:val="single"/>
        </w:rPr>
        <w:t xml:space="preserve"> P</w:t>
      </w:r>
      <w:r w:rsidR="00A75589" w:rsidRPr="0075625B">
        <w:rPr>
          <w:rFonts w:asciiTheme="majorHAnsi" w:eastAsia="Calibri" w:hAnsiTheme="majorHAnsi" w:cstheme="majorHAnsi"/>
          <w:sz w:val="24"/>
          <w:szCs w:val="24"/>
          <w:u w:val="single"/>
        </w:rPr>
        <w:t>UBLIC PROTECTION.</w:t>
      </w:r>
    </w:p>
    <w:p w14:paraId="125DE4A4" w14:textId="3C288172" w:rsidR="0017208F" w:rsidRPr="0075625B" w:rsidRDefault="0017208F" w:rsidP="00D22D9C">
      <w:pPr>
        <w:jc w:val="both"/>
        <w:rPr>
          <w:rFonts w:asciiTheme="majorHAnsi" w:hAnsiTheme="majorHAnsi" w:cstheme="majorHAnsi"/>
          <w:sz w:val="24"/>
          <w:szCs w:val="24"/>
        </w:rPr>
      </w:pPr>
    </w:p>
    <w:p w14:paraId="5122FE68" w14:textId="78FAD671" w:rsidR="0017208F" w:rsidRPr="0075625B" w:rsidRDefault="0017208F" w:rsidP="00D22D9C">
      <w:pPr>
        <w:jc w:val="both"/>
        <w:rPr>
          <w:rFonts w:asciiTheme="majorHAnsi" w:hAnsiTheme="majorHAnsi" w:cstheme="majorHAnsi"/>
          <w:sz w:val="24"/>
          <w:szCs w:val="24"/>
        </w:rPr>
      </w:pPr>
    </w:p>
    <w:p w14:paraId="05F0C5D5" w14:textId="77777777" w:rsidR="0017208F" w:rsidRPr="0075625B" w:rsidRDefault="0017208F" w:rsidP="0017208F">
      <w:pPr>
        <w:spacing w:after="160" w:line="257"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This assignment will critically evaluate police strategies for dealing with public protection incidents.  It will then go on to consider the impact of abuse on victims, the impact of personal attitudes and values on the investigative process and the association between Serious and Organised Crime groups and public protection issues. </w:t>
      </w:r>
    </w:p>
    <w:p w14:paraId="00E2400B"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Multi Agency Public Protection Arrangements (MAPPA) were established within the Criminal Justice Act in 2003.   MAPPA was created “for the assessment and management of the risks posed by sexual and violent offenders” (GOV.UK). Offenders are assessed an allocated into one of 3 categories, this is dependent on the offence committed and any potential risk they pose. MAPPA, as suggested by the title is the multi-agency approach to protecting the public from the risks posed by violent and sexual offenders.  </w:t>
      </w:r>
    </w:p>
    <w:p w14:paraId="02BF9A4D" w14:textId="77777777" w:rsidR="0017208F" w:rsidRPr="0075625B" w:rsidRDefault="0017208F" w:rsidP="0017208F">
      <w:pPr>
        <w:spacing w:after="160" w:line="259" w:lineRule="auto"/>
        <w:rPr>
          <w:rFonts w:asciiTheme="majorHAnsi" w:eastAsia="Calibri" w:hAnsiTheme="majorHAnsi" w:cstheme="majorHAnsi"/>
          <w:color w:val="FF0000"/>
          <w:sz w:val="24"/>
          <w:szCs w:val="24"/>
          <w:lang w:val="en-US" w:eastAsia="en-US"/>
        </w:rPr>
      </w:pPr>
      <w:r w:rsidRPr="0075625B">
        <w:rPr>
          <w:rFonts w:asciiTheme="majorHAnsi" w:eastAsia="Calibri" w:hAnsiTheme="majorHAnsi" w:cstheme="majorHAnsi"/>
          <w:sz w:val="24"/>
          <w:szCs w:val="24"/>
          <w:lang w:eastAsia="en-US"/>
        </w:rPr>
        <w:t>However, as per recommendations from a thematic review on MAPPA, this is still requiring improvements in certain areas, such as risk assessments still not be being ‘good enough’ and other areas including the recommendation that “neighbourhood policing teams are made fully aware of Registered Sex Offenders living within their policing areas”  (HM Inspectorate of Probation, 2015).</w:t>
      </w:r>
    </w:p>
    <w:p w14:paraId="0B8F273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A Police department known as MOSOVO (Management of Sexual and Violent Offenders</w:t>
      </w:r>
      <w:proofErr w:type="gramStart"/>
      <w:r w:rsidRPr="0075625B">
        <w:rPr>
          <w:rFonts w:asciiTheme="majorHAnsi" w:eastAsia="Calibri" w:hAnsiTheme="majorHAnsi" w:cstheme="majorHAnsi"/>
          <w:sz w:val="24"/>
          <w:szCs w:val="24"/>
          <w:lang w:eastAsia="en-US"/>
        </w:rPr>
        <w:t>),is</w:t>
      </w:r>
      <w:proofErr w:type="gramEnd"/>
      <w:r w:rsidRPr="0075625B">
        <w:rPr>
          <w:rFonts w:asciiTheme="majorHAnsi" w:eastAsia="Calibri" w:hAnsiTheme="majorHAnsi" w:cstheme="majorHAnsi"/>
          <w:sz w:val="24"/>
          <w:szCs w:val="24"/>
          <w:lang w:eastAsia="en-US"/>
        </w:rPr>
        <w:t xml:space="preserve"> responsible for monitoring the whereabouts and activities of offenders under their supervision, recording any changes as necessary on </w:t>
      </w:r>
      <w:proofErr w:type="spellStart"/>
      <w:r w:rsidRPr="0075625B">
        <w:rPr>
          <w:rFonts w:asciiTheme="majorHAnsi" w:eastAsia="Calibri" w:hAnsiTheme="majorHAnsi" w:cstheme="majorHAnsi"/>
          <w:sz w:val="24"/>
          <w:szCs w:val="24"/>
          <w:lang w:eastAsia="en-US"/>
        </w:rPr>
        <w:t>ViSOR</w:t>
      </w:r>
      <w:proofErr w:type="spellEnd"/>
      <w:r w:rsidRPr="0075625B">
        <w:rPr>
          <w:rFonts w:asciiTheme="majorHAnsi" w:eastAsia="Calibri" w:hAnsiTheme="majorHAnsi" w:cstheme="majorHAnsi"/>
          <w:sz w:val="24"/>
          <w:szCs w:val="24"/>
          <w:lang w:eastAsia="en-US"/>
        </w:rPr>
        <w:t>.  A management tool for perpetrators of violent and sexual crimes is known as ‘</w:t>
      </w:r>
      <w:proofErr w:type="spellStart"/>
      <w:r w:rsidRPr="0075625B">
        <w:rPr>
          <w:rFonts w:asciiTheme="majorHAnsi" w:eastAsia="Calibri" w:hAnsiTheme="majorHAnsi" w:cstheme="majorHAnsi"/>
          <w:sz w:val="24"/>
          <w:szCs w:val="24"/>
          <w:lang w:eastAsia="en-US"/>
        </w:rPr>
        <w:t>ViSOR</w:t>
      </w:r>
      <w:proofErr w:type="spellEnd"/>
      <w:r w:rsidRPr="0075625B">
        <w:rPr>
          <w:rFonts w:asciiTheme="majorHAnsi" w:eastAsia="Calibri" w:hAnsiTheme="majorHAnsi" w:cstheme="majorHAnsi"/>
          <w:sz w:val="24"/>
          <w:szCs w:val="24"/>
          <w:lang w:eastAsia="en-US"/>
        </w:rPr>
        <w:t xml:space="preserve">’, this has many purposes including the creation of a register for sex offenders and it also allows the sharing of information for the protection of the public.  Police, probation service and prisons have access to </w:t>
      </w:r>
      <w:proofErr w:type="spellStart"/>
      <w:r w:rsidRPr="0075625B">
        <w:rPr>
          <w:rFonts w:asciiTheme="majorHAnsi" w:eastAsia="Calibri" w:hAnsiTheme="majorHAnsi" w:cstheme="majorHAnsi"/>
          <w:sz w:val="24"/>
          <w:szCs w:val="24"/>
          <w:lang w:eastAsia="en-US"/>
        </w:rPr>
        <w:t>ViSOR</w:t>
      </w:r>
      <w:proofErr w:type="spellEnd"/>
      <w:r w:rsidRPr="0075625B">
        <w:rPr>
          <w:rFonts w:asciiTheme="majorHAnsi" w:eastAsia="Calibri" w:hAnsiTheme="majorHAnsi" w:cstheme="majorHAnsi"/>
          <w:sz w:val="24"/>
          <w:szCs w:val="24"/>
          <w:lang w:eastAsia="en-US"/>
        </w:rPr>
        <w:t xml:space="preserve"> and update records as necessary.</w:t>
      </w:r>
    </w:p>
    <w:p w14:paraId="0DDFFA2D"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The Serious and Organised Crime (SOC) Strategy 2018 highlights 4 strands to their approach, known as the 4 P’s: Prevent, Pursue, Protect and Prepare.  The Police have their own Serious and Organised Crime (SOC) Team, who target perpetrators of offences which come under this umbrella term of Serious and Organised Crime.</w:t>
      </w:r>
    </w:p>
    <w:p w14:paraId="648D5A59"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Risk assessments provide officers with a framework for applying suitable protection measures to protect victims and children based on the level of threat, risk or harm.  For example, incidents of domestic abuse are risk assessed with a form known as the DASH (Domestic Abuse, Stalking and Harassment), this helps officers to identify factors that are high risk.</w:t>
      </w:r>
    </w:p>
    <w:p w14:paraId="1DCFEC70"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Police have powers in relation to children under 18, as per the Section of the Children’s Act, officers have public protection order powers to remove a child to a place of safety if deemed they are at immediate risk of significant harm.  The term ‘significant harm’ can be very subjective and it is advised that officers should seek advice before using this power.  In instances where it is deemed a child is at risk but not in the immediate moment, officers’ complete referrals to other agencies via a PPN (Public Protection Notification). When risk is identified, Police and Social Services may hold Strategy meetings, whereby all organisations involved are invited to attend in order to plan how to best protect and support a vulnerable child or person. </w:t>
      </w:r>
    </w:p>
    <w:p w14:paraId="4CAE51F0"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Victims of violent and sexual crimes are often left with the physical and psychological scars caused by the abuse.  It is fair to say that the impact of trauma can vary between victims and what may be particularly traumatic for one person, may not bear the same effect on another.  Some victims are diagnosed with mental disorders such as PTSD and some victims can even form attachment’s to their abuser, this is known as Trauma Bonding or Stockholm Syndrome, leading to the victim wanting to protect their abuser, believing that the relationship is genuine and that the safest place to be is with their abuser.  It could be </w:t>
      </w:r>
      <w:r w:rsidRPr="0075625B">
        <w:rPr>
          <w:rFonts w:asciiTheme="majorHAnsi" w:eastAsia="Calibri" w:hAnsiTheme="majorHAnsi" w:cstheme="majorHAnsi"/>
          <w:sz w:val="24"/>
          <w:szCs w:val="24"/>
          <w:lang w:eastAsia="en-US"/>
        </w:rPr>
        <w:lastRenderedPageBreak/>
        <w:t>suggested that this happens in many cases of child criminal exploitation and child sexual exploitation as we often see children running away or going missing in order to be with their abuser.</w:t>
      </w:r>
    </w:p>
    <w:p w14:paraId="568A4871"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Krystal 1968 suggests that a survivor of trauma may go through a cycle of “depersonalisation, de-realisation and denial” (Krystal, 1968), in attempts to deny what has happened to them.  This would cause obvious issues for Police officers trying to obtain statements and evidence from victims who are either refusing to co-operate due to finding it too difficult to accept what has happened or maybe struggling to recall facts. </w:t>
      </w:r>
    </w:p>
    <w:p w14:paraId="1209F23E"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Henry (2012) suggests that “detachment” is often the price for survival” (Henry, p,5, 2012), it can be surmised that when trauma becomes too much, too painful, that the brain goes into survival mode; therefore detaching from the trauma is a way of surviving.</w:t>
      </w:r>
    </w:p>
    <w:p w14:paraId="229EEA2D"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From a policing perspective it is crucial that we are aware of the complexities surrounding trauma and how this can impact victims of crime and abuse.</w:t>
      </w:r>
    </w:p>
    <w:p w14:paraId="458A75EC"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It is perhaps an important question for all serving officers to ask themselves from time to time, how do we define victimhood?  Do we see some people as more worthy of being a victim than others?  Is there a sense that when a crime happens to a criminal that this is simply karma and they should not be viewed as victims?</w:t>
      </w:r>
    </w:p>
    <w:p w14:paraId="6BDAB3B3"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For example, would an officer recognise a person found working at the location of a cannabis cultivation as a victim or offender? Would they consider Modern Day slavery and that the person may be exploited and that they may be there against their will?  These are things that we absolutely must consider as part of our decision-making process.</w:t>
      </w:r>
    </w:p>
    <w:p w14:paraId="402CD97B"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It can be frustrating during investigations when victims withdraw complaints or keep going back to the abuser, however as with above, officers must be aware of how trauma can affect victims and that the victim / abuser relationship is very complex.  Officers cannot let this frustration result in the opinion that therefore the victim is ‘not actually a victim’.   Opinions such as this can result in officers becoming unsupportive of a victim which may impact the investigation.</w:t>
      </w:r>
    </w:p>
    <w:p w14:paraId="13A01C7A"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In cases of children who are exploited by criminal gangs, how many times have we heard that it is the child’s choice that they are missing again?  It is crucial that officers remember that this is never the child’s choice and that there are many complex circumstances around a child being recruited by gang members.  </w:t>
      </w:r>
    </w:p>
    <w:p w14:paraId="0071312B"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When considering Serious and organised crime groups’ it is suggested that “offences covered by the term are: child sexual exploitation and abuse; illegal drugs; illegal firearms; fraud; money laundering and other economic crime; bribery and corruption; organised immigration crime; modern slavery and human trafficking; and cybercrime.” (Serious and Organised Crime Strategy, </w:t>
      </w:r>
      <w:proofErr w:type="spellStart"/>
      <w:r w:rsidRPr="0075625B">
        <w:rPr>
          <w:rFonts w:asciiTheme="majorHAnsi" w:eastAsia="Calibri" w:hAnsiTheme="majorHAnsi" w:cstheme="majorHAnsi"/>
          <w:sz w:val="24"/>
          <w:szCs w:val="24"/>
          <w:lang w:eastAsia="en-US"/>
        </w:rPr>
        <w:t>pg</w:t>
      </w:r>
      <w:proofErr w:type="spellEnd"/>
      <w:r w:rsidRPr="0075625B">
        <w:rPr>
          <w:rFonts w:asciiTheme="majorHAnsi" w:eastAsia="Calibri" w:hAnsiTheme="majorHAnsi" w:cstheme="majorHAnsi"/>
          <w:sz w:val="24"/>
          <w:szCs w:val="24"/>
          <w:lang w:eastAsia="en-US"/>
        </w:rPr>
        <w:t xml:space="preserve"> 14, 2018)</w:t>
      </w:r>
    </w:p>
    <w:p w14:paraId="1177DE9E"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Furthermore, the Serious and Organised Crime Strategy 2018 highlights how it is linked to public protection issues by stating that “Serious and organised criminals operating in the UK sexually exploit children and ruthlessly target the most vulnerable, ruining lives and blighting communities.” (Serious and Organised Crime, </w:t>
      </w:r>
      <w:proofErr w:type="spellStart"/>
      <w:r w:rsidRPr="0075625B">
        <w:rPr>
          <w:rFonts w:asciiTheme="majorHAnsi" w:eastAsia="Calibri" w:hAnsiTheme="majorHAnsi" w:cstheme="majorHAnsi"/>
          <w:sz w:val="24"/>
          <w:szCs w:val="24"/>
          <w:lang w:eastAsia="en-US"/>
        </w:rPr>
        <w:t>pg</w:t>
      </w:r>
      <w:proofErr w:type="spellEnd"/>
      <w:r w:rsidRPr="0075625B">
        <w:rPr>
          <w:rFonts w:asciiTheme="majorHAnsi" w:eastAsia="Calibri" w:hAnsiTheme="majorHAnsi" w:cstheme="majorHAnsi"/>
          <w:sz w:val="24"/>
          <w:szCs w:val="24"/>
          <w:lang w:eastAsia="en-US"/>
        </w:rPr>
        <w:t xml:space="preserve"> 6 Strategy, 2018).</w:t>
      </w:r>
    </w:p>
    <w:p w14:paraId="3EA41C61" w14:textId="5BEDF974" w:rsidR="0017208F"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It is suggested that perpetrators of these crimes prey on the most vulnerable members of society and that “Serious and organised crime affects more UK citizens, more often, than any other national security threat and leads to more deaths in the UK each year than all other national security threats combined.” (Serious and Organised Crime Strategy, 2018).</w:t>
      </w:r>
    </w:p>
    <w:p w14:paraId="5387B15A" w14:textId="77777777" w:rsidR="0075625B" w:rsidRPr="0075625B" w:rsidRDefault="0075625B" w:rsidP="0017208F">
      <w:pPr>
        <w:spacing w:after="160" w:line="259" w:lineRule="auto"/>
        <w:rPr>
          <w:rFonts w:asciiTheme="majorHAnsi" w:eastAsia="Calibri" w:hAnsiTheme="majorHAnsi" w:cstheme="majorHAnsi"/>
          <w:sz w:val="24"/>
          <w:szCs w:val="24"/>
          <w:lang w:eastAsia="en-US"/>
        </w:rPr>
      </w:pPr>
    </w:p>
    <w:p w14:paraId="4A0199B2" w14:textId="77777777" w:rsidR="0017208F" w:rsidRPr="0075625B" w:rsidRDefault="0017208F" w:rsidP="00D22D9C">
      <w:pPr>
        <w:jc w:val="both"/>
        <w:rPr>
          <w:rFonts w:asciiTheme="majorHAnsi" w:hAnsiTheme="majorHAnsi" w:cstheme="majorHAnsi"/>
          <w:sz w:val="24"/>
          <w:szCs w:val="24"/>
        </w:rPr>
      </w:pPr>
    </w:p>
    <w:p w14:paraId="5B99BDF4" w14:textId="5C9A3B0B" w:rsidR="0017208F" w:rsidRPr="0075625B" w:rsidRDefault="00037F8B" w:rsidP="00D22D9C">
      <w:pPr>
        <w:jc w:val="both"/>
        <w:rPr>
          <w:rFonts w:asciiTheme="majorHAnsi" w:hAnsiTheme="majorHAnsi" w:cstheme="majorHAnsi"/>
          <w:sz w:val="24"/>
          <w:szCs w:val="24"/>
          <w:u w:val="single"/>
        </w:rPr>
      </w:pPr>
      <w:r w:rsidRPr="0075625B">
        <w:rPr>
          <w:rFonts w:asciiTheme="majorHAnsi" w:hAnsiTheme="majorHAnsi" w:cstheme="majorHAnsi"/>
          <w:sz w:val="24"/>
          <w:szCs w:val="24"/>
          <w:u w:val="single"/>
        </w:rPr>
        <w:t>TASK 5 –</w:t>
      </w:r>
      <w:r w:rsidR="00A75589" w:rsidRPr="0075625B">
        <w:rPr>
          <w:rFonts w:asciiTheme="majorHAnsi" w:hAnsiTheme="majorHAnsi" w:cstheme="majorHAnsi"/>
          <w:sz w:val="24"/>
          <w:szCs w:val="24"/>
          <w:u w:val="single"/>
        </w:rPr>
        <w:t xml:space="preserve"> 1000 WORDS -</w:t>
      </w:r>
      <w:r w:rsidRPr="0075625B">
        <w:rPr>
          <w:rFonts w:asciiTheme="majorHAnsi" w:hAnsiTheme="majorHAnsi" w:cstheme="majorHAnsi"/>
          <w:sz w:val="24"/>
          <w:szCs w:val="24"/>
          <w:u w:val="single"/>
        </w:rPr>
        <w:t xml:space="preserve"> EVIDENCE BASED POLICING</w:t>
      </w:r>
    </w:p>
    <w:p w14:paraId="59155A3A" w14:textId="23333CB0" w:rsidR="00A47005" w:rsidRPr="0075625B" w:rsidRDefault="00A47005" w:rsidP="00D22D9C">
      <w:pPr>
        <w:jc w:val="both"/>
        <w:rPr>
          <w:rFonts w:asciiTheme="majorHAnsi" w:hAnsiTheme="majorHAnsi" w:cstheme="majorHAnsi"/>
          <w:sz w:val="24"/>
          <w:szCs w:val="24"/>
        </w:rPr>
      </w:pPr>
    </w:p>
    <w:p w14:paraId="41386B0E" w14:textId="77777777" w:rsidR="00A47005" w:rsidRPr="00A47005" w:rsidRDefault="00A47005" w:rsidP="00A47005">
      <w:pPr>
        <w:spacing w:after="160" w:line="257"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 xml:space="preserve">This essay will critically analyse the concept of evidence-based policing and ‘what works’ in policing.  In doing so it will evaluate crime prevention theories and strategies, considering the options open to reduce re offending. </w:t>
      </w:r>
    </w:p>
    <w:p w14:paraId="2C6FDD77"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Crime is and always has been an interesting topic for many, the causes and reasons behind why people commit crimes are long studied and debated. Preventing and deterring crime and is also a much-researched area, this is particularly important in terms of police duties to prevent crime and the causes of it.</w:t>
      </w:r>
    </w:p>
    <w:p w14:paraId="5A8FEEDA"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Professor Lawrence Sherman (1998) developed evidence-based policing (EBP) in 1998 and the idea of evidence-based policing (EBP) has been promoted by various academic writers and professional bodies as way of putting theories of ‘what works’ into practice to tackle crime and the causes of it.</w:t>
      </w:r>
    </w:p>
    <w:p w14:paraId="5ECB0C1E"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EBP is “concerned with research on what works best (when implemented properly under controlled conditions), followed by further research into ongoing outcomes over time.” (Blackstone’s, p.51, 2000).  However, that it could be argued that this works in science and medicine (the origins from which Evidence Based Practice began) but cannot be applied in the same manner to policing and social situations as the conditions cannot be controlled in the same way.</w:t>
      </w:r>
    </w:p>
    <w:p w14:paraId="2E9CBC75"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 xml:space="preserve">However, it could be argued that we cannot view evidence-based policing as a ‘one size fits all’ solution to policing issues, every situation must be considered on its individual circumstances, therefore what may have worked somewhere else may not necessarily work for every similar situation.  Furthermore, it could be suggested that we risk removing the human element in Policing by applying a scientific approach in repeating the same practice over and over expecting the same results and with little consideration to ‘what </w:t>
      </w:r>
      <w:proofErr w:type="gramStart"/>
      <w:r w:rsidRPr="00A47005">
        <w:rPr>
          <w:rFonts w:asciiTheme="majorHAnsi" w:eastAsia="Calibri" w:hAnsiTheme="majorHAnsi" w:cstheme="majorHAnsi"/>
          <w:sz w:val="24"/>
          <w:szCs w:val="24"/>
          <w:lang w:eastAsia="en-US"/>
        </w:rPr>
        <w:t>matters’</w:t>
      </w:r>
      <w:proofErr w:type="gramEnd"/>
      <w:r w:rsidRPr="00A47005">
        <w:rPr>
          <w:rFonts w:asciiTheme="majorHAnsi" w:eastAsia="Calibri" w:hAnsiTheme="majorHAnsi" w:cstheme="majorHAnsi"/>
          <w:sz w:val="24"/>
          <w:szCs w:val="24"/>
          <w:lang w:eastAsia="en-US"/>
        </w:rPr>
        <w:t>.</w:t>
      </w:r>
    </w:p>
    <w:p w14:paraId="4DF69B03"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It is key if using this approach that outcomes are monitored and evaluated, the College of Policing promotes the use of the ‘logic model’ for evaluating a response to a problem using the 4 areas: Problem, response, outputs and outcomes. (College of Policing, 2020).  The College of Policing also has a website for evidence-based research on what works in terms of reducing crime, this is called the Crime Reduction Toolkit, it importantly highlights the cost vs benefit issue with some strategies.</w:t>
      </w:r>
    </w:p>
    <w:p w14:paraId="08A59903"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Other tools used to evaluate and assess the evidence of EBP are “EMMIE” (Johnson, Tilley and Bowers, 2015).  Originally created by the College of Policing, this is a framework / guide to assessing and evaluating crime prevention approaches and strategies.  It consists of 5 elements “Effect, Mechanism, Moderators, Implementation, Economic Cost”, which are evaluated separately.  Therefore, a method which may be effect at reducing crime may not be sustainable in terms of ‘Economic Cost’.  The College of Policing use EMMIE as an evaluation tool on their website ‘Crime Reduction Toolkit’.</w:t>
      </w:r>
    </w:p>
    <w:p w14:paraId="53EBB02D"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p>
    <w:p w14:paraId="13D28F02"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 xml:space="preserve">Another tool often referred to is the Maryland Scientific Methods Scale which also evaluates crime prevention evidence.  The Maryland Scientific Methods Scale “…is a five-point scale ranging from 1, for evaluations based on simple </w:t>
      </w:r>
      <w:proofErr w:type="gramStart"/>
      <w:r w:rsidRPr="00A47005">
        <w:rPr>
          <w:rFonts w:asciiTheme="majorHAnsi" w:eastAsia="Calibri" w:hAnsiTheme="majorHAnsi" w:cstheme="majorHAnsi"/>
          <w:sz w:val="24"/>
          <w:szCs w:val="24"/>
          <w:lang w:eastAsia="en-US"/>
        </w:rPr>
        <w:t>cross sectional</w:t>
      </w:r>
      <w:proofErr w:type="gramEnd"/>
      <w:r w:rsidRPr="00A47005">
        <w:rPr>
          <w:rFonts w:asciiTheme="majorHAnsi" w:eastAsia="Calibri" w:hAnsiTheme="majorHAnsi" w:cstheme="majorHAnsi"/>
          <w:sz w:val="24"/>
          <w:szCs w:val="24"/>
          <w:lang w:eastAsia="en-US"/>
        </w:rPr>
        <w:t xml:space="preserve"> correlations, to 5 for randomised control trials.” (What works centre for local economic growth, 2021).  Randomised control trials </w:t>
      </w:r>
      <w:proofErr w:type="gramStart"/>
      <w:r w:rsidRPr="00A47005">
        <w:rPr>
          <w:rFonts w:asciiTheme="majorHAnsi" w:eastAsia="Calibri" w:hAnsiTheme="majorHAnsi" w:cstheme="majorHAnsi"/>
          <w:sz w:val="24"/>
          <w:szCs w:val="24"/>
          <w:lang w:eastAsia="en-US"/>
        </w:rPr>
        <w:t>are seen as</w:t>
      </w:r>
      <w:proofErr w:type="gramEnd"/>
      <w:r w:rsidRPr="00A47005">
        <w:rPr>
          <w:rFonts w:asciiTheme="majorHAnsi" w:eastAsia="Calibri" w:hAnsiTheme="majorHAnsi" w:cstheme="majorHAnsi"/>
          <w:sz w:val="24"/>
          <w:szCs w:val="24"/>
          <w:lang w:eastAsia="en-US"/>
        </w:rPr>
        <w:t xml:space="preserve"> the ‘gold standard’ within empirical research, it is a way to test the findings in a scientific controlled manner on a randomised sample with a view to comparing and analysing the outcomes.   </w:t>
      </w:r>
    </w:p>
    <w:p w14:paraId="0FC4FF58"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lastRenderedPageBreak/>
        <w:t>The National Policing Crime Prevention Strategy suggests that “The Aim of Preventive Policing is:</w:t>
      </w:r>
      <w:r w:rsidRPr="00A47005">
        <w:rPr>
          <w:rFonts w:asciiTheme="majorHAnsi" w:eastAsia="Calibri" w:hAnsiTheme="majorHAnsi" w:cstheme="majorHAnsi"/>
          <w:b/>
          <w:bCs/>
          <w:sz w:val="24"/>
          <w:szCs w:val="24"/>
          <w:lang w:eastAsia="en-US"/>
        </w:rPr>
        <w:t xml:space="preserve"> </w:t>
      </w:r>
      <w:r w:rsidRPr="00A47005">
        <w:rPr>
          <w:rFonts w:asciiTheme="majorHAnsi" w:eastAsia="Calibri" w:hAnsiTheme="majorHAnsi" w:cstheme="majorHAnsi"/>
          <w:sz w:val="24"/>
          <w:szCs w:val="24"/>
          <w:lang w:eastAsia="en-US"/>
        </w:rPr>
        <w:t>Fewer victims, fewer offences, and less demand on policing achieved by addressing the causes of crime, utilising sophisticated partnership-oriented problem solving.” (NPCC, 2015)</w:t>
      </w:r>
    </w:p>
    <w:p w14:paraId="13848E9D"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 xml:space="preserve">Some theories and strategies are based on the concept of ‘Design Out Crime’, this put very basically is creating environments which make it harder for offenders to commit crimes.  Crime Prevention Through Environmental Design (CPTED), was first introduced in 1970’s and is based on the principle that criminals </w:t>
      </w:r>
      <w:proofErr w:type="gramStart"/>
      <w:r w:rsidRPr="00A47005">
        <w:rPr>
          <w:rFonts w:asciiTheme="majorHAnsi" w:eastAsia="Calibri" w:hAnsiTheme="majorHAnsi" w:cstheme="majorHAnsi"/>
          <w:sz w:val="24"/>
          <w:szCs w:val="24"/>
          <w:lang w:eastAsia="en-US"/>
        </w:rPr>
        <w:t>are more or less</w:t>
      </w:r>
      <w:proofErr w:type="gramEnd"/>
      <w:r w:rsidRPr="00A47005">
        <w:rPr>
          <w:rFonts w:asciiTheme="majorHAnsi" w:eastAsia="Calibri" w:hAnsiTheme="majorHAnsi" w:cstheme="majorHAnsi"/>
          <w:sz w:val="24"/>
          <w:szCs w:val="24"/>
          <w:lang w:eastAsia="en-US"/>
        </w:rPr>
        <w:t xml:space="preserve"> influenced by their immediate environment and that this environment determines the likelihood of them committing an offence.  </w:t>
      </w:r>
    </w:p>
    <w:p w14:paraId="5F5FE6FD"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Using this concept, we could consider Routine Activity Theory (RAT), which suggests that for crime to occur there must be a likely offender, suitable target and absence of a capable guardian.  Target hardening come from evidence-based policing and is concerned with making it harder for offenders to commit crime, i.e. the installation of visible security cameras, alarms, video doorbells.</w:t>
      </w:r>
    </w:p>
    <w:p w14:paraId="7D2D5C76"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 xml:space="preserve">A Gwent specific strategy which follows this theory of designing out crime is the ‘We Don’t Buy Crime’ acquisitive crime taskforce.  We don’t buy crime promote the use of Smart Water on property suggesting that it sends out the message to offender “It’s been proven to reduce acquisitive crime offending, even when Smart Water isn’t </w:t>
      </w:r>
      <w:proofErr w:type="gramStart"/>
      <w:r w:rsidRPr="00A47005">
        <w:rPr>
          <w:rFonts w:asciiTheme="majorHAnsi" w:eastAsia="Calibri" w:hAnsiTheme="majorHAnsi" w:cstheme="majorHAnsi"/>
          <w:sz w:val="24"/>
          <w:szCs w:val="24"/>
          <w:lang w:eastAsia="en-US"/>
        </w:rPr>
        <w:t>found:</w:t>
      </w:r>
      <w:proofErr w:type="gramEnd"/>
      <w:r w:rsidRPr="00A47005">
        <w:rPr>
          <w:rFonts w:asciiTheme="majorHAnsi" w:eastAsia="Calibri" w:hAnsiTheme="majorHAnsi" w:cstheme="majorHAnsi"/>
          <w:sz w:val="24"/>
          <w:szCs w:val="24"/>
          <w:lang w:eastAsia="en-US"/>
        </w:rPr>
        <w:t xml:space="preserve"> word of mouth among offenders can be very effective.” (The Beat, Gwent Police, 2021).  The we don’t buy crime team offer crime prevention advice and initiatives, often holding events where they will offer to mark property using smart water.</w:t>
      </w:r>
    </w:p>
    <w:p w14:paraId="504111ED"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p>
    <w:p w14:paraId="6B59A310"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Out of court disposals (OOCD) are often utilised for lower level offences.  These can be in the form of Restorative approaches such as Community resolutions and opportunities to repair the harm done, i.e. in a case of low-level criminal damage the offender to offer to pay for repairs or even fix it themselves.   The Restorative Justice Council suggests that an important principle with Restorative Justice is the voluntary participation, if any party is unwilling to partake in the process it will not proceed, and the formal criminal justice pathway will take place in its place.  Furthermore, this process is victim led and will seek the views of the victim in terms of what they would consider is appropriate to repair the harm, this gives the victim empowerment and participation in the process.</w:t>
      </w:r>
    </w:p>
    <w:p w14:paraId="68D18137"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Fines for certain offences have now been replaced with awareness courses, for example cannabis use awareness and speeding awareness courses.  Research has shown that awareness courses are more impactful and effective at reducing re-offending.</w:t>
      </w:r>
    </w:p>
    <w:p w14:paraId="4857041B"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Police often refer individuals to other services for support with issues that may be contributing to the offending behaviours, the agencies support with issues such as drug and alcohol misuse.  Gwent Police also offer a Women’s Pathway programme for younger female offenders up to the age of 25 to support them in desistance from crime.</w:t>
      </w:r>
    </w:p>
    <w:p w14:paraId="4D455394" w14:textId="77777777" w:rsidR="00A47005" w:rsidRPr="00A47005" w:rsidRDefault="00A47005" w:rsidP="00A47005">
      <w:pPr>
        <w:spacing w:after="160" w:line="259" w:lineRule="auto"/>
        <w:rPr>
          <w:rFonts w:asciiTheme="majorHAnsi" w:eastAsia="Calibri" w:hAnsiTheme="majorHAnsi" w:cstheme="majorHAnsi"/>
          <w:sz w:val="24"/>
          <w:szCs w:val="24"/>
          <w:lang w:eastAsia="en-US"/>
        </w:rPr>
      </w:pPr>
      <w:r w:rsidRPr="00A47005">
        <w:rPr>
          <w:rFonts w:asciiTheme="majorHAnsi" w:eastAsia="Calibri" w:hAnsiTheme="majorHAnsi" w:cstheme="majorHAnsi"/>
          <w:sz w:val="24"/>
          <w:szCs w:val="24"/>
          <w:lang w:eastAsia="en-US"/>
        </w:rPr>
        <w:t>For children and young people under 18 who are involved in anti-social behaviour or crime, this is often viewed as a safeguarding issue and attempts are made to keep the child out of the criminal justice system by referring to the Youth Offending Service who will support the child to reduce re-offending.</w:t>
      </w:r>
    </w:p>
    <w:p w14:paraId="7FABE8B3" w14:textId="77777777" w:rsidR="00A47005" w:rsidRPr="0075625B" w:rsidRDefault="00A47005" w:rsidP="00D22D9C">
      <w:pPr>
        <w:jc w:val="both"/>
        <w:rPr>
          <w:rFonts w:asciiTheme="majorHAnsi" w:hAnsiTheme="majorHAnsi" w:cstheme="majorHAnsi"/>
          <w:sz w:val="24"/>
          <w:szCs w:val="24"/>
        </w:rPr>
      </w:pPr>
    </w:p>
    <w:p w14:paraId="406F0E78" w14:textId="7F8AE775" w:rsidR="0017208F" w:rsidRPr="0075625B" w:rsidRDefault="0017208F" w:rsidP="00D22D9C">
      <w:pPr>
        <w:jc w:val="both"/>
        <w:rPr>
          <w:rFonts w:asciiTheme="majorHAnsi" w:hAnsiTheme="majorHAnsi" w:cstheme="majorHAnsi"/>
          <w:sz w:val="24"/>
          <w:szCs w:val="24"/>
        </w:rPr>
      </w:pPr>
    </w:p>
    <w:p w14:paraId="0EDE79DB" w14:textId="07F56DE6" w:rsidR="0017208F" w:rsidRPr="0075625B" w:rsidRDefault="0017208F" w:rsidP="00D22D9C">
      <w:pPr>
        <w:jc w:val="both"/>
        <w:rPr>
          <w:rFonts w:asciiTheme="majorHAnsi" w:hAnsiTheme="majorHAnsi" w:cstheme="majorHAnsi"/>
          <w:sz w:val="24"/>
          <w:szCs w:val="24"/>
        </w:rPr>
      </w:pPr>
    </w:p>
    <w:p w14:paraId="6D85D1E4" w14:textId="41D200A7" w:rsidR="0017208F" w:rsidRPr="0075625B" w:rsidRDefault="0017208F" w:rsidP="00D22D9C">
      <w:pPr>
        <w:jc w:val="both"/>
        <w:rPr>
          <w:rFonts w:asciiTheme="majorHAnsi" w:hAnsiTheme="majorHAnsi" w:cstheme="majorHAnsi"/>
          <w:sz w:val="24"/>
          <w:szCs w:val="24"/>
        </w:rPr>
      </w:pPr>
    </w:p>
    <w:p w14:paraId="306FE501" w14:textId="4FB12523" w:rsidR="0017208F" w:rsidRPr="0075625B" w:rsidRDefault="0017208F" w:rsidP="00D22D9C">
      <w:pPr>
        <w:jc w:val="both"/>
        <w:rPr>
          <w:rFonts w:asciiTheme="majorHAnsi" w:hAnsiTheme="majorHAnsi" w:cstheme="majorHAnsi"/>
          <w:sz w:val="24"/>
          <w:szCs w:val="24"/>
        </w:rPr>
      </w:pPr>
    </w:p>
    <w:p w14:paraId="59EA9E62" w14:textId="18CAFA4F" w:rsidR="0017208F" w:rsidRPr="0075625B" w:rsidRDefault="0017208F" w:rsidP="00D22D9C">
      <w:pPr>
        <w:jc w:val="both"/>
        <w:rPr>
          <w:rFonts w:asciiTheme="majorHAnsi" w:hAnsiTheme="majorHAnsi" w:cstheme="majorHAnsi"/>
          <w:sz w:val="24"/>
          <w:szCs w:val="24"/>
        </w:rPr>
      </w:pPr>
    </w:p>
    <w:p w14:paraId="40F8F227" w14:textId="296EA48D" w:rsidR="0017208F" w:rsidRPr="0075625B" w:rsidRDefault="0017208F" w:rsidP="00D22D9C">
      <w:pPr>
        <w:jc w:val="both"/>
        <w:rPr>
          <w:rFonts w:asciiTheme="majorHAnsi" w:hAnsiTheme="majorHAnsi" w:cstheme="majorHAnsi"/>
          <w:sz w:val="24"/>
          <w:szCs w:val="24"/>
        </w:rPr>
      </w:pPr>
    </w:p>
    <w:p w14:paraId="557DA1F8" w14:textId="77777777" w:rsidR="0017208F" w:rsidRPr="00F3097B" w:rsidRDefault="0017208F" w:rsidP="0017208F">
      <w:pPr>
        <w:spacing w:after="160" w:line="259" w:lineRule="auto"/>
        <w:rPr>
          <w:rFonts w:asciiTheme="majorHAnsi" w:eastAsia="Calibri" w:hAnsiTheme="majorHAnsi" w:cstheme="majorHAnsi"/>
          <w:sz w:val="24"/>
          <w:szCs w:val="24"/>
          <w:u w:val="single"/>
          <w:lang w:eastAsia="en-US"/>
        </w:rPr>
      </w:pPr>
      <w:r w:rsidRPr="00F3097B">
        <w:rPr>
          <w:rFonts w:asciiTheme="majorHAnsi" w:eastAsia="Calibri" w:hAnsiTheme="majorHAnsi" w:cstheme="majorHAnsi"/>
          <w:sz w:val="24"/>
          <w:szCs w:val="24"/>
          <w:u w:val="single"/>
          <w:lang w:eastAsia="en-US"/>
        </w:rPr>
        <w:t>References.</w:t>
      </w:r>
    </w:p>
    <w:p w14:paraId="4FBB92D7"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69FD239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Oxford Dictionary, Oxford University Press. </w:t>
      </w:r>
    </w:p>
    <w:p w14:paraId="2F4B1765"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Available online at: </w:t>
      </w:r>
      <w:hyperlink r:id="rId14" w:history="1">
        <w:r w:rsidRPr="0075625B">
          <w:rPr>
            <w:rFonts w:asciiTheme="majorHAnsi" w:eastAsia="Calibri" w:hAnsiTheme="majorHAnsi" w:cstheme="majorHAnsi"/>
            <w:color w:val="0563C1"/>
            <w:sz w:val="24"/>
            <w:szCs w:val="24"/>
            <w:u w:val="single"/>
            <w:lang w:eastAsia="en-US"/>
          </w:rPr>
          <w:t>https://www.oxfordlearnersdictionaries.com/definition/English/professionalization?q=professionalisation</w:t>
        </w:r>
      </w:hyperlink>
      <w:r w:rsidRPr="0075625B">
        <w:rPr>
          <w:rFonts w:asciiTheme="majorHAnsi" w:eastAsia="Calibri" w:hAnsiTheme="majorHAnsi" w:cstheme="majorHAnsi"/>
          <w:sz w:val="24"/>
          <w:szCs w:val="24"/>
          <w:lang w:eastAsia="en-US"/>
        </w:rPr>
        <w:t xml:space="preserve">  </w:t>
      </w:r>
    </w:p>
    <w:p w14:paraId="56D1CC02" w14:textId="46E038BE" w:rsidR="0017208F"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 </w:t>
      </w:r>
      <w:r w:rsidR="00F3097B">
        <w:rPr>
          <w:rFonts w:asciiTheme="majorHAnsi" w:eastAsia="Calibri" w:hAnsiTheme="majorHAnsi" w:cstheme="majorHAnsi"/>
          <w:sz w:val="24"/>
          <w:szCs w:val="24"/>
          <w:lang w:eastAsia="en-US"/>
        </w:rPr>
        <w:t>Last accessed on Tuesday 16</w:t>
      </w:r>
      <w:r w:rsidR="00F3097B" w:rsidRPr="00F3097B">
        <w:rPr>
          <w:rFonts w:asciiTheme="majorHAnsi" w:eastAsia="Calibri" w:hAnsiTheme="majorHAnsi" w:cstheme="majorHAnsi"/>
          <w:sz w:val="24"/>
          <w:szCs w:val="24"/>
          <w:vertAlign w:val="superscript"/>
          <w:lang w:eastAsia="en-US"/>
        </w:rPr>
        <w:t>th</w:t>
      </w:r>
      <w:r w:rsidR="00F3097B">
        <w:rPr>
          <w:rFonts w:asciiTheme="majorHAnsi" w:eastAsia="Calibri" w:hAnsiTheme="majorHAnsi" w:cstheme="majorHAnsi"/>
          <w:sz w:val="24"/>
          <w:szCs w:val="24"/>
          <w:lang w:eastAsia="en-US"/>
        </w:rPr>
        <w:t xml:space="preserve"> November 2021.</w:t>
      </w:r>
    </w:p>
    <w:p w14:paraId="22ED9F53" w14:textId="77777777" w:rsidR="00F3097B" w:rsidRPr="0075625B" w:rsidRDefault="00F3097B" w:rsidP="0017208F">
      <w:pPr>
        <w:spacing w:after="160" w:line="259" w:lineRule="auto"/>
        <w:rPr>
          <w:rFonts w:asciiTheme="majorHAnsi" w:eastAsia="Calibri" w:hAnsiTheme="majorHAnsi" w:cstheme="majorHAnsi"/>
          <w:sz w:val="24"/>
          <w:szCs w:val="24"/>
          <w:lang w:eastAsia="en-US"/>
        </w:rPr>
      </w:pPr>
    </w:p>
    <w:p w14:paraId="498C4D0E"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Crown Copyright (2011), Police Reform and Social Responsibility Act, The Stationery Office (Her Majesty’s Stationery Office; London.</w:t>
      </w:r>
    </w:p>
    <w:p w14:paraId="512AACD2"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6D34C5BC" w14:textId="668CFAB0"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Kolb, D. A. (1984) </w:t>
      </w:r>
      <w:r w:rsidRPr="0075625B">
        <w:rPr>
          <w:rFonts w:asciiTheme="majorHAnsi" w:eastAsia="Calibri" w:hAnsiTheme="majorHAnsi" w:cstheme="majorHAnsi"/>
          <w:i/>
          <w:iCs/>
          <w:sz w:val="24"/>
          <w:szCs w:val="24"/>
          <w:lang w:eastAsia="en-US"/>
        </w:rPr>
        <w:t>Experiential learning: experience as the source of learning and development</w:t>
      </w:r>
      <w:r w:rsidRPr="0075625B">
        <w:rPr>
          <w:rFonts w:asciiTheme="majorHAnsi" w:eastAsia="Calibri" w:hAnsiTheme="majorHAnsi" w:cstheme="majorHAnsi"/>
          <w:sz w:val="24"/>
          <w:szCs w:val="24"/>
          <w:lang w:eastAsia="en-US"/>
        </w:rPr>
        <w:t xml:space="preserve">. Englewood Cliffs: Prentice-Hall.  </w:t>
      </w:r>
    </w:p>
    <w:p w14:paraId="41496E2E"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3914B347"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College of Policing. Policing education qualifications framework (PEQF).  16</w:t>
      </w:r>
      <w:r w:rsidRPr="0075625B">
        <w:rPr>
          <w:rFonts w:asciiTheme="majorHAnsi" w:eastAsia="Calibri" w:hAnsiTheme="majorHAnsi" w:cstheme="majorHAnsi"/>
          <w:sz w:val="24"/>
          <w:szCs w:val="24"/>
          <w:vertAlign w:val="superscript"/>
          <w:lang w:eastAsia="en-US"/>
        </w:rPr>
        <w:t>th</w:t>
      </w:r>
      <w:r w:rsidRPr="0075625B">
        <w:rPr>
          <w:rFonts w:asciiTheme="majorHAnsi" w:eastAsia="Calibri" w:hAnsiTheme="majorHAnsi" w:cstheme="majorHAnsi"/>
          <w:sz w:val="24"/>
          <w:szCs w:val="24"/>
          <w:lang w:eastAsia="en-US"/>
        </w:rPr>
        <w:t xml:space="preserve"> November 2020. </w:t>
      </w:r>
    </w:p>
    <w:p w14:paraId="6A2E7917"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Available online at: </w:t>
      </w:r>
      <w:hyperlink r:id="rId15" w:history="1">
        <w:r w:rsidRPr="0075625B">
          <w:rPr>
            <w:rFonts w:asciiTheme="majorHAnsi" w:eastAsia="Calibri" w:hAnsiTheme="majorHAnsi" w:cstheme="majorHAnsi"/>
            <w:color w:val="0563C1"/>
            <w:sz w:val="24"/>
            <w:szCs w:val="24"/>
            <w:u w:val="single"/>
            <w:lang w:eastAsia="en-US"/>
          </w:rPr>
          <w:t>https://www.college.police.uk/guidance/policing-education-qualifications-framework-peqf</w:t>
        </w:r>
      </w:hyperlink>
    </w:p>
    <w:p w14:paraId="13E86071"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Last accessed on Tuesday 9</w:t>
      </w:r>
      <w:r w:rsidRPr="0075625B">
        <w:rPr>
          <w:rFonts w:asciiTheme="majorHAnsi" w:eastAsia="Calibri" w:hAnsiTheme="majorHAnsi" w:cstheme="majorHAnsi"/>
          <w:sz w:val="24"/>
          <w:szCs w:val="24"/>
          <w:vertAlign w:val="superscript"/>
          <w:lang w:eastAsia="en-US"/>
        </w:rPr>
        <w:t>th</w:t>
      </w:r>
      <w:r w:rsidRPr="0075625B">
        <w:rPr>
          <w:rFonts w:asciiTheme="majorHAnsi" w:eastAsia="Calibri" w:hAnsiTheme="majorHAnsi" w:cstheme="majorHAnsi"/>
          <w:sz w:val="24"/>
          <w:szCs w:val="24"/>
          <w:lang w:eastAsia="en-US"/>
        </w:rPr>
        <w:t xml:space="preserve"> November 2021.</w:t>
      </w:r>
    </w:p>
    <w:p w14:paraId="54C896E8"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2E52238A"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202A3622"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College of Policing.  Positive Action: A guide for police recruitment. March 2020.</w:t>
      </w:r>
    </w:p>
    <w:p w14:paraId="0E6B7765"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Available online at: </w:t>
      </w:r>
      <w:hyperlink r:id="rId16" w:history="1">
        <w:r w:rsidRPr="0075625B">
          <w:rPr>
            <w:rFonts w:asciiTheme="majorHAnsi" w:eastAsia="Calibri" w:hAnsiTheme="majorHAnsi" w:cstheme="majorHAnsi"/>
            <w:color w:val="0563C1"/>
            <w:sz w:val="24"/>
            <w:szCs w:val="24"/>
            <w:u w:val="single"/>
            <w:lang w:eastAsia="en-US"/>
          </w:rPr>
          <w:t>https://paas-s3-broker-prod-Ion-6453d964-1d1a-432a-9260-5e0ba7d2fc51.s3.eu-west-2.amazonaws.com/s3fs-public/College-of-Policing-Positive-Action-Guidance.pdf</w:t>
        </w:r>
      </w:hyperlink>
      <w:r w:rsidRPr="0075625B">
        <w:rPr>
          <w:rFonts w:asciiTheme="majorHAnsi" w:eastAsia="Calibri" w:hAnsiTheme="majorHAnsi" w:cstheme="majorHAnsi"/>
          <w:sz w:val="24"/>
          <w:szCs w:val="24"/>
          <w:lang w:eastAsia="en-US"/>
        </w:rPr>
        <w:t xml:space="preserve"> </w:t>
      </w:r>
    </w:p>
    <w:p w14:paraId="4BD00447"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Last accessed on Wednesday 10</w:t>
      </w:r>
      <w:r w:rsidRPr="0075625B">
        <w:rPr>
          <w:rFonts w:asciiTheme="majorHAnsi" w:eastAsia="Calibri" w:hAnsiTheme="majorHAnsi" w:cstheme="majorHAnsi"/>
          <w:sz w:val="24"/>
          <w:szCs w:val="24"/>
          <w:vertAlign w:val="superscript"/>
          <w:lang w:eastAsia="en-US"/>
        </w:rPr>
        <w:t>th</w:t>
      </w:r>
      <w:r w:rsidRPr="0075625B">
        <w:rPr>
          <w:rFonts w:asciiTheme="majorHAnsi" w:eastAsia="Calibri" w:hAnsiTheme="majorHAnsi" w:cstheme="majorHAnsi"/>
          <w:sz w:val="24"/>
          <w:szCs w:val="24"/>
          <w:lang w:eastAsia="en-US"/>
        </w:rPr>
        <w:t xml:space="preserve"> November 2021. </w:t>
      </w:r>
    </w:p>
    <w:p w14:paraId="1664CBB4" w14:textId="77777777" w:rsidR="0017208F" w:rsidRPr="0075625B" w:rsidRDefault="0017208F" w:rsidP="00D22D9C">
      <w:pPr>
        <w:jc w:val="both"/>
        <w:rPr>
          <w:rFonts w:asciiTheme="majorHAnsi" w:hAnsiTheme="majorHAnsi" w:cstheme="majorHAnsi"/>
          <w:sz w:val="24"/>
          <w:szCs w:val="24"/>
        </w:rPr>
      </w:pPr>
    </w:p>
    <w:p w14:paraId="56707358" w14:textId="3305DC46" w:rsidR="00045D04" w:rsidRPr="0075625B" w:rsidRDefault="00045D04" w:rsidP="00D22D9C">
      <w:pPr>
        <w:jc w:val="both"/>
        <w:rPr>
          <w:rFonts w:asciiTheme="majorHAnsi" w:hAnsiTheme="majorHAnsi" w:cstheme="majorHAnsi"/>
          <w:sz w:val="24"/>
          <w:szCs w:val="24"/>
        </w:rPr>
      </w:pPr>
    </w:p>
    <w:p w14:paraId="02E03317" w14:textId="6E149BAC" w:rsidR="00045D04" w:rsidRPr="0075625B" w:rsidRDefault="00045D04" w:rsidP="00D22D9C">
      <w:pPr>
        <w:jc w:val="both"/>
        <w:rPr>
          <w:rFonts w:asciiTheme="majorHAnsi" w:hAnsiTheme="majorHAnsi" w:cstheme="majorHAnsi"/>
          <w:sz w:val="24"/>
          <w:szCs w:val="24"/>
        </w:rPr>
      </w:pPr>
    </w:p>
    <w:p w14:paraId="74FA5ED6" w14:textId="0F06E653" w:rsidR="0017208F" w:rsidRPr="0075625B" w:rsidRDefault="0017208F" w:rsidP="0017208F">
      <w:pPr>
        <w:spacing w:after="160" w:line="259" w:lineRule="auto"/>
        <w:rPr>
          <w:rFonts w:asciiTheme="majorHAnsi" w:eastAsia="Calibri" w:hAnsiTheme="majorHAnsi" w:cstheme="majorHAnsi"/>
          <w:sz w:val="24"/>
          <w:szCs w:val="24"/>
          <w:lang w:eastAsia="en-US"/>
        </w:rPr>
      </w:pPr>
      <w:proofErr w:type="spellStart"/>
      <w:r w:rsidRPr="0075625B">
        <w:rPr>
          <w:rFonts w:asciiTheme="majorHAnsi" w:eastAsia="Calibri" w:hAnsiTheme="majorHAnsi" w:cstheme="majorHAnsi"/>
          <w:sz w:val="24"/>
          <w:szCs w:val="24"/>
          <w:lang w:eastAsia="en-US"/>
        </w:rPr>
        <w:t>Locard</w:t>
      </w:r>
      <w:proofErr w:type="spellEnd"/>
      <w:r w:rsidR="00313B3A">
        <w:rPr>
          <w:rFonts w:asciiTheme="majorHAnsi" w:eastAsia="Calibri" w:hAnsiTheme="majorHAnsi" w:cstheme="majorHAnsi"/>
          <w:sz w:val="24"/>
          <w:szCs w:val="24"/>
          <w:lang w:eastAsia="en-US"/>
        </w:rPr>
        <w:t xml:space="preserve">, E. </w:t>
      </w:r>
      <w:r w:rsidRPr="0075625B">
        <w:rPr>
          <w:rFonts w:asciiTheme="majorHAnsi" w:eastAsia="Calibri" w:hAnsiTheme="majorHAnsi" w:cstheme="majorHAnsi"/>
          <w:sz w:val="24"/>
          <w:szCs w:val="24"/>
          <w:lang w:eastAsia="en-US"/>
        </w:rPr>
        <w:t xml:space="preserve">La Police at Les </w:t>
      </w:r>
      <w:proofErr w:type="spellStart"/>
      <w:r w:rsidRPr="0075625B">
        <w:rPr>
          <w:rFonts w:asciiTheme="majorHAnsi" w:eastAsia="Calibri" w:hAnsiTheme="majorHAnsi" w:cstheme="majorHAnsi"/>
          <w:sz w:val="24"/>
          <w:szCs w:val="24"/>
          <w:lang w:eastAsia="en-US"/>
        </w:rPr>
        <w:t>Methodes</w:t>
      </w:r>
      <w:proofErr w:type="spellEnd"/>
      <w:r w:rsidRPr="0075625B">
        <w:rPr>
          <w:rFonts w:asciiTheme="majorHAnsi" w:eastAsia="Calibri" w:hAnsiTheme="majorHAnsi" w:cstheme="majorHAnsi"/>
          <w:sz w:val="24"/>
          <w:szCs w:val="24"/>
          <w:lang w:eastAsia="en-US"/>
        </w:rPr>
        <w:t xml:space="preserve"> </w:t>
      </w:r>
      <w:proofErr w:type="spellStart"/>
      <w:r w:rsidRPr="0075625B">
        <w:rPr>
          <w:rFonts w:asciiTheme="majorHAnsi" w:eastAsia="Calibri" w:hAnsiTheme="majorHAnsi" w:cstheme="majorHAnsi"/>
          <w:sz w:val="24"/>
          <w:szCs w:val="24"/>
          <w:lang w:eastAsia="en-US"/>
        </w:rPr>
        <w:t>Scientifiques</w:t>
      </w:r>
      <w:proofErr w:type="spellEnd"/>
      <w:r w:rsidRPr="0075625B">
        <w:rPr>
          <w:rFonts w:asciiTheme="majorHAnsi" w:eastAsia="Calibri" w:hAnsiTheme="majorHAnsi" w:cstheme="majorHAnsi"/>
          <w:sz w:val="24"/>
          <w:szCs w:val="24"/>
          <w:lang w:eastAsia="en-US"/>
        </w:rPr>
        <w:t xml:space="preserve"> (1934). Page 8. </w:t>
      </w:r>
    </w:p>
    <w:p w14:paraId="7B7DA2C3"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1DDA1B10"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College of Policing.  Investigation Process. 23</w:t>
      </w:r>
      <w:r w:rsidRPr="0075625B">
        <w:rPr>
          <w:rFonts w:asciiTheme="majorHAnsi" w:eastAsia="Calibri" w:hAnsiTheme="majorHAnsi" w:cstheme="majorHAnsi"/>
          <w:sz w:val="24"/>
          <w:szCs w:val="24"/>
          <w:vertAlign w:val="superscript"/>
          <w:lang w:eastAsia="en-US"/>
        </w:rPr>
        <w:t>rd</w:t>
      </w:r>
      <w:r w:rsidRPr="0075625B">
        <w:rPr>
          <w:rFonts w:asciiTheme="majorHAnsi" w:eastAsia="Calibri" w:hAnsiTheme="majorHAnsi" w:cstheme="majorHAnsi"/>
          <w:sz w:val="24"/>
          <w:szCs w:val="24"/>
          <w:lang w:eastAsia="en-US"/>
        </w:rPr>
        <w:t xml:space="preserve"> October 2013.</w:t>
      </w:r>
    </w:p>
    <w:p w14:paraId="534CF0FB"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Available at: </w:t>
      </w:r>
      <w:hyperlink r:id="rId17" w:history="1">
        <w:r w:rsidRPr="0075625B">
          <w:rPr>
            <w:rFonts w:asciiTheme="majorHAnsi" w:eastAsia="Calibri" w:hAnsiTheme="majorHAnsi" w:cstheme="majorHAnsi"/>
            <w:color w:val="0000FF"/>
            <w:sz w:val="24"/>
            <w:szCs w:val="24"/>
            <w:u w:val="single"/>
            <w:lang w:eastAsia="en-US"/>
          </w:rPr>
          <w:t>https://www.app.college.police.uk/app-content/investigations/investigation-process</w:t>
        </w:r>
      </w:hyperlink>
    </w:p>
    <w:p w14:paraId="49C5A18D"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Last accessed on Friday 12</w:t>
      </w:r>
      <w:r w:rsidRPr="0075625B">
        <w:rPr>
          <w:rFonts w:asciiTheme="majorHAnsi" w:eastAsia="Calibri" w:hAnsiTheme="majorHAnsi" w:cstheme="majorHAnsi"/>
          <w:sz w:val="24"/>
          <w:szCs w:val="24"/>
          <w:vertAlign w:val="superscript"/>
          <w:lang w:eastAsia="en-US"/>
        </w:rPr>
        <w:t>th</w:t>
      </w:r>
      <w:r w:rsidRPr="0075625B">
        <w:rPr>
          <w:rFonts w:asciiTheme="majorHAnsi" w:eastAsia="Calibri" w:hAnsiTheme="majorHAnsi" w:cstheme="majorHAnsi"/>
          <w:sz w:val="24"/>
          <w:szCs w:val="24"/>
          <w:lang w:eastAsia="en-US"/>
        </w:rPr>
        <w:t xml:space="preserve"> November 2021</w:t>
      </w:r>
    </w:p>
    <w:p w14:paraId="77B9EC90" w14:textId="77777777" w:rsidR="0017208F" w:rsidRPr="0075625B" w:rsidRDefault="0017208F" w:rsidP="0017208F">
      <w:pPr>
        <w:spacing w:after="160" w:line="259" w:lineRule="auto"/>
        <w:rPr>
          <w:rFonts w:asciiTheme="majorHAnsi" w:eastAsia="Calibri" w:hAnsiTheme="majorHAnsi" w:cstheme="majorHAnsi"/>
          <w:b/>
          <w:bCs/>
          <w:sz w:val="24"/>
          <w:szCs w:val="24"/>
          <w:lang w:eastAsia="en-US"/>
        </w:rPr>
      </w:pPr>
    </w:p>
    <w:p w14:paraId="32B54FEB" w14:textId="0B543073" w:rsidR="0017208F" w:rsidRPr="0075625B" w:rsidRDefault="00313B3A" w:rsidP="0017208F">
      <w:pPr>
        <w:spacing w:after="160" w:line="259" w:lineRule="auto"/>
        <w:rPr>
          <w:rFonts w:asciiTheme="majorHAnsi" w:eastAsia="Calibri" w:hAnsiTheme="majorHAnsi" w:cstheme="majorHAnsi"/>
          <w:sz w:val="24"/>
          <w:szCs w:val="24"/>
          <w:lang w:eastAsia="en-US"/>
        </w:rPr>
      </w:pPr>
      <w:r>
        <w:rPr>
          <w:rFonts w:asciiTheme="majorHAnsi" w:eastAsia="Calibri" w:hAnsiTheme="majorHAnsi" w:cstheme="majorHAnsi"/>
          <w:sz w:val="24"/>
          <w:szCs w:val="24"/>
          <w:lang w:eastAsia="en-US"/>
        </w:rPr>
        <w:t xml:space="preserve">The </w:t>
      </w:r>
      <w:r w:rsidR="0017208F" w:rsidRPr="0075625B">
        <w:rPr>
          <w:rFonts w:asciiTheme="majorHAnsi" w:eastAsia="Calibri" w:hAnsiTheme="majorHAnsi" w:cstheme="majorHAnsi"/>
          <w:sz w:val="24"/>
          <w:szCs w:val="24"/>
          <w:lang w:eastAsia="en-US"/>
        </w:rPr>
        <w:t>Human Rights Act. 1998.</w:t>
      </w:r>
    </w:p>
    <w:p w14:paraId="70C7AABB" w14:textId="77777777" w:rsidR="0017208F" w:rsidRPr="0075625B" w:rsidRDefault="0017208F" w:rsidP="0017208F">
      <w:pPr>
        <w:spacing w:after="160" w:line="259" w:lineRule="auto"/>
        <w:rPr>
          <w:rFonts w:asciiTheme="majorHAnsi" w:eastAsia="Calibri" w:hAnsiTheme="majorHAnsi" w:cstheme="majorHAnsi"/>
          <w:b/>
          <w:bCs/>
          <w:sz w:val="24"/>
          <w:szCs w:val="24"/>
          <w:lang w:eastAsia="en-US"/>
        </w:rPr>
      </w:pPr>
    </w:p>
    <w:p w14:paraId="36EDC943" w14:textId="77777777" w:rsidR="0017208F" w:rsidRPr="0075625B" w:rsidRDefault="0017208F" w:rsidP="0017208F">
      <w:pPr>
        <w:rPr>
          <w:rFonts w:asciiTheme="majorHAnsi" w:hAnsiTheme="majorHAnsi" w:cstheme="majorHAnsi"/>
          <w:sz w:val="24"/>
          <w:szCs w:val="24"/>
        </w:rPr>
      </w:pPr>
      <w:hyperlink r:id="rId18" w:history="1">
        <w:r w:rsidRPr="0075625B">
          <w:rPr>
            <w:rFonts w:asciiTheme="majorHAnsi" w:eastAsia="+mn-ea" w:hAnsiTheme="majorHAnsi" w:cstheme="majorHAnsi"/>
            <w:kern w:val="24"/>
            <w:sz w:val="24"/>
            <w:szCs w:val="24"/>
          </w:rPr>
          <w:t>ACPO (2009) Practice Advice on the Management of Priority and Volume Crime (The Volume Crime Management Model) (Second Edition)</w:t>
        </w:r>
      </w:hyperlink>
    </w:p>
    <w:p w14:paraId="5B4ED698" w14:textId="77777777" w:rsidR="0017208F" w:rsidRPr="0075625B" w:rsidRDefault="0017208F" w:rsidP="0017208F">
      <w:pPr>
        <w:spacing w:after="160" w:line="259" w:lineRule="auto"/>
        <w:rPr>
          <w:rFonts w:asciiTheme="majorHAnsi" w:eastAsia="Calibri" w:hAnsiTheme="majorHAnsi" w:cstheme="majorHAnsi"/>
          <w:b/>
          <w:bCs/>
          <w:sz w:val="24"/>
          <w:szCs w:val="24"/>
          <w:lang w:eastAsia="en-US"/>
        </w:rPr>
      </w:pPr>
    </w:p>
    <w:p w14:paraId="7A8B7B74" w14:textId="027B8BFE"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Police Act. 1997</w:t>
      </w:r>
      <w:r w:rsidR="00313B3A">
        <w:rPr>
          <w:rFonts w:asciiTheme="majorHAnsi" w:eastAsia="Calibri" w:hAnsiTheme="majorHAnsi" w:cstheme="majorHAnsi"/>
          <w:sz w:val="24"/>
          <w:szCs w:val="24"/>
          <w:lang w:eastAsia="en-US"/>
        </w:rPr>
        <w:t>. Crown Copyright. The Stationary Office Limited.</w:t>
      </w:r>
    </w:p>
    <w:p w14:paraId="27A4F6AC" w14:textId="7E97DF26" w:rsidR="00045D04" w:rsidRPr="0075625B" w:rsidRDefault="00045D04" w:rsidP="00D22D9C">
      <w:pPr>
        <w:jc w:val="both"/>
        <w:rPr>
          <w:rFonts w:asciiTheme="majorHAnsi" w:hAnsiTheme="majorHAnsi" w:cstheme="majorHAnsi"/>
          <w:sz w:val="24"/>
          <w:szCs w:val="24"/>
        </w:rPr>
      </w:pPr>
    </w:p>
    <w:p w14:paraId="2358BDA0" w14:textId="55393628" w:rsidR="00045D04" w:rsidRPr="0075625B" w:rsidRDefault="00045D04" w:rsidP="00D22D9C">
      <w:pPr>
        <w:jc w:val="both"/>
        <w:rPr>
          <w:rFonts w:asciiTheme="majorHAnsi" w:hAnsiTheme="majorHAnsi" w:cstheme="majorHAnsi"/>
          <w:sz w:val="24"/>
          <w:szCs w:val="24"/>
        </w:rPr>
      </w:pPr>
    </w:p>
    <w:p w14:paraId="48B41458"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Innes, M. and </w:t>
      </w:r>
      <w:proofErr w:type="spellStart"/>
      <w:r w:rsidRPr="0075625B">
        <w:rPr>
          <w:rFonts w:asciiTheme="majorHAnsi" w:eastAsia="Calibri" w:hAnsiTheme="majorHAnsi" w:cstheme="majorHAnsi"/>
          <w:sz w:val="24"/>
          <w:szCs w:val="24"/>
          <w:lang w:eastAsia="en-US"/>
        </w:rPr>
        <w:t>Sheptycki</w:t>
      </w:r>
      <w:proofErr w:type="spellEnd"/>
      <w:r w:rsidRPr="0075625B">
        <w:rPr>
          <w:rFonts w:asciiTheme="majorHAnsi" w:eastAsia="Calibri" w:hAnsiTheme="majorHAnsi" w:cstheme="majorHAnsi"/>
          <w:sz w:val="24"/>
          <w:szCs w:val="24"/>
          <w:lang w:eastAsia="en-US"/>
        </w:rPr>
        <w:t xml:space="preserve">, J. W. E. (2004) ‘From Detection to Disruption’, </w:t>
      </w:r>
      <w:r w:rsidRPr="0075625B">
        <w:rPr>
          <w:rFonts w:asciiTheme="majorHAnsi" w:eastAsia="Calibri" w:hAnsiTheme="majorHAnsi" w:cstheme="majorHAnsi"/>
          <w:i/>
          <w:iCs/>
          <w:sz w:val="24"/>
          <w:szCs w:val="24"/>
          <w:lang w:eastAsia="en-US"/>
        </w:rPr>
        <w:t>International Criminal Justice Review</w:t>
      </w:r>
      <w:r w:rsidRPr="0075625B">
        <w:rPr>
          <w:rFonts w:asciiTheme="majorHAnsi" w:eastAsia="Calibri" w:hAnsiTheme="majorHAnsi" w:cstheme="majorHAnsi"/>
          <w:sz w:val="24"/>
          <w:szCs w:val="24"/>
          <w:lang w:eastAsia="en-US"/>
        </w:rPr>
        <w:t xml:space="preserve">, 14(1), pp. 1–24. </w:t>
      </w:r>
      <w:proofErr w:type="spellStart"/>
      <w:r w:rsidRPr="0075625B">
        <w:rPr>
          <w:rFonts w:asciiTheme="majorHAnsi" w:eastAsia="Calibri" w:hAnsiTheme="majorHAnsi" w:cstheme="majorHAnsi"/>
          <w:sz w:val="24"/>
          <w:szCs w:val="24"/>
          <w:lang w:eastAsia="en-US"/>
        </w:rPr>
        <w:t>doi</w:t>
      </w:r>
      <w:proofErr w:type="spellEnd"/>
      <w:r w:rsidRPr="0075625B">
        <w:rPr>
          <w:rFonts w:asciiTheme="majorHAnsi" w:eastAsia="Calibri" w:hAnsiTheme="majorHAnsi" w:cstheme="majorHAnsi"/>
          <w:sz w:val="24"/>
          <w:szCs w:val="24"/>
          <w:lang w:eastAsia="en-US"/>
        </w:rPr>
        <w:t xml:space="preserve">: </w:t>
      </w:r>
      <w:hyperlink r:id="rId19" w:history="1">
        <w:r w:rsidRPr="0075625B">
          <w:rPr>
            <w:rFonts w:asciiTheme="majorHAnsi" w:eastAsia="Calibri" w:hAnsiTheme="majorHAnsi" w:cstheme="majorHAnsi"/>
            <w:color w:val="006ACC"/>
            <w:sz w:val="24"/>
            <w:szCs w:val="24"/>
            <w:lang w:eastAsia="en-US"/>
          </w:rPr>
          <w:t>10.1177/105756770401400101</w:t>
        </w:r>
      </w:hyperlink>
      <w:r w:rsidRPr="0075625B">
        <w:rPr>
          <w:rFonts w:asciiTheme="majorHAnsi" w:eastAsia="Calibri" w:hAnsiTheme="majorHAnsi" w:cstheme="majorHAnsi"/>
          <w:sz w:val="24"/>
          <w:szCs w:val="24"/>
          <w:lang w:eastAsia="en-US"/>
        </w:rPr>
        <w:t>.</w:t>
      </w:r>
    </w:p>
    <w:p w14:paraId="3F7D4916"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Available at: </w:t>
      </w:r>
      <w:hyperlink r:id="rId20" w:history="1">
        <w:r w:rsidRPr="0075625B">
          <w:rPr>
            <w:rFonts w:asciiTheme="majorHAnsi" w:eastAsia="Calibri" w:hAnsiTheme="majorHAnsi" w:cstheme="majorHAnsi"/>
            <w:color w:val="0000FF"/>
            <w:sz w:val="24"/>
            <w:szCs w:val="24"/>
            <w:u w:val="single"/>
            <w:lang w:eastAsia="en-US"/>
          </w:rPr>
          <w:t>https://journals.sagepub.com/doi/abs/10.1177/105756770401400101?journalCode=icja&amp;</w:t>
        </w:r>
      </w:hyperlink>
      <w:r w:rsidRPr="0075625B">
        <w:rPr>
          <w:rFonts w:asciiTheme="majorHAnsi" w:eastAsia="Calibri" w:hAnsiTheme="majorHAnsi" w:cstheme="majorHAnsi"/>
          <w:sz w:val="24"/>
          <w:szCs w:val="24"/>
          <w:lang w:eastAsia="en-US"/>
        </w:rPr>
        <w:t xml:space="preserve"> </w:t>
      </w:r>
    </w:p>
    <w:p w14:paraId="4469B805"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Last accessed on Sunday 14</w:t>
      </w:r>
      <w:r w:rsidRPr="0075625B">
        <w:rPr>
          <w:rFonts w:asciiTheme="majorHAnsi" w:eastAsia="Calibri" w:hAnsiTheme="majorHAnsi" w:cstheme="majorHAnsi"/>
          <w:sz w:val="24"/>
          <w:szCs w:val="24"/>
          <w:vertAlign w:val="superscript"/>
          <w:lang w:eastAsia="en-US"/>
        </w:rPr>
        <w:t>th</w:t>
      </w:r>
      <w:r w:rsidRPr="0075625B">
        <w:rPr>
          <w:rFonts w:asciiTheme="majorHAnsi" w:eastAsia="Calibri" w:hAnsiTheme="majorHAnsi" w:cstheme="majorHAnsi"/>
          <w:sz w:val="24"/>
          <w:szCs w:val="24"/>
          <w:lang w:eastAsia="en-US"/>
        </w:rPr>
        <w:t xml:space="preserve"> November 2021.</w:t>
      </w:r>
    </w:p>
    <w:p w14:paraId="26C5684B"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7E3EBBDE"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Home Office Guide to The National Intelligence Model.  Crown Copyright 1995 – 2005</w:t>
      </w:r>
    </w:p>
    <w:p w14:paraId="47BA1D72" w14:textId="77777777" w:rsidR="0017208F" w:rsidRPr="0075625B" w:rsidRDefault="0017208F" w:rsidP="0017208F">
      <w:pPr>
        <w:spacing w:after="160" w:line="259" w:lineRule="auto"/>
        <w:rPr>
          <w:rFonts w:asciiTheme="majorHAnsi" w:eastAsia="Calibri" w:hAnsiTheme="majorHAnsi" w:cstheme="majorHAnsi"/>
          <w:sz w:val="24"/>
          <w:szCs w:val="24"/>
          <w:lang w:eastAsia="en-US"/>
        </w:rPr>
      </w:pPr>
    </w:p>
    <w:p w14:paraId="4A088A89" w14:textId="5A8C1410" w:rsidR="0017208F" w:rsidRPr="0075625B" w:rsidRDefault="00313B3A" w:rsidP="0017208F">
      <w:pPr>
        <w:spacing w:after="160" w:line="259" w:lineRule="auto"/>
        <w:rPr>
          <w:rFonts w:asciiTheme="majorHAnsi" w:eastAsia="Calibri" w:hAnsiTheme="majorHAnsi" w:cstheme="majorHAnsi"/>
          <w:sz w:val="24"/>
          <w:szCs w:val="24"/>
          <w:lang w:eastAsia="en-US"/>
        </w:rPr>
      </w:pPr>
      <w:r>
        <w:rPr>
          <w:rFonts w:asciiTheme="majorHAnsi" w:eastAsia="Calibri" w:hAnsiTheme="majorHAnsi" w:cstheme="majorHAnsi"/>
          <w:sz w:val="24"/>
          <w:szCs w:val="24"/>
          <w:lang w:eastAsia="en-US"/>
        </w:rPr>
        <w:t xml:space="preserve">Bryant, R and Bryan, S.  </w:t>
      </w:r>
      <w:r w:rsidR="0017208F" w:rsidRPr="0075625B">
        <w:rPr>
          <w:rFonts w:asciiTheme="majorHAnsi" w:eastAsia="Calibri" w:hAnsiTheme="majorHAnsi" w:cstheme="majorHAnsi"/>
          <w:sz w:val="24"/>
          <w:szCs w:val="24"/>
          <w:lang w:eastAsia="en-US"/>
        </w:rPr>
        <w:t>Blackstone’s</w:t>
      </w:r>
      <w:r>
        <w:rPr>
          <w:rFonts w:asciiTheme="majorHAnsi" w:eastAsia="Calibri" w:hAnsiTheme="majorHAnsi" w:cstheme="majorHAnsi"/>
          <w:sz w:val="24"/>
          <w:szCs w:val="24"/>
          <w:lang w:eastAsia="en-US"/>
        </w:rPr>
        <w:t xml:space="preserve"> Handbook for Policing Students</w:t>
      </w:r>
      <w:r w:rsidR="0017208F" w:rsidRPr="0075625B">
        <w:rPr>
          <w:rFonts w:asciiTheme="majorHAnsi" w:eastAsia="Calibri" w:hAnsiTheme="majorHAnsi" w:cstheme="majorHAnsi"/>
          <w:sz w:val="24"/>
          <w:szCs w:val="24"/>
          <w:lang w:eastAsia="en-US"/>
        </w:rPr>
        <w:t>.</w:t>
      </w:r>
      <w:r>
        <w:rPr>
          <w:rFonts w:asciiTheme="majorHAnsi" w:eastAsia="Calibri" w:hAnsiTheme="majorHAnsi" w:cstheme="majorHAnsi"/>
          <w:sz w:val="24"/>
          <w:szCs w:val="24"/>
          <w:lang w:eastAsia="en-US"/>
        </w:rPr>
        <w:t xml:space="preserve">  Fourteenth Edition. Oxford University Press.</w:t>
      </w:r>
      <w:r w:rsidR="0017208F" w:rsidRPr="0075625B">
        <w:rPr>
          <w:rFonts w:asciiTheme="majorHAnsi" w:eastAsia="Calibri" w:hAnsiTheme="majorHAnsi" w:cstheme="majorHAnsi"/>
          <w:sz w:val="24"/>
          <w:szCs w:val="24"/>
          <w:lang w:eastAsia="en-US"/>
        </w:rPr>
        <w:t xml:space="preserve">  2000</w:t>
      </w:r>
      <w:r>
        <w:rPr>
          <w:rFonts w:asciiTheme="majorHAnsi" w:eastAsia="Calibri" w:hAnsiTheme="majorHAnsi" w:cstheme="majorHAnsi"/>
          <w:sz w:val="24"/>
          <w:szCs w:val="24"/>
          <w:lang w:eastAsia="en-US"/>
        </w:rPr>
        <w:t>.</w:t>
      </w:r>
    </w:p>
    <w:p w14:paraId="7D3A4834" w14:textId="3FF0F172" w:rsidR="0017208F" w:rsidRPr="0075625B" w:rsidRDefault="0017208F" w:rsidP="00D22D9C">
      <w:pPr>
        <w:jc w:val="both"/>
        <w:rPr>
          <w:rFonts w:asciiTheme="majorHAnsi" w:hAnsiTheme="majorHAnsi" w:cstheme="majorHAnsi"/>
          <w:sz w:val="24"/>
          <w:szCs w:val="24"/>
        </w:rPr>
      </w:pPr>
    </w:p>
    <w:p w14:paraId="196B7450" w14:textId="4A59E8FE" w:rsidR="0017208F" w:rsidRPr="0075625B" w:rsidRDefault="0017208F" w:rsidP="00D22D9C">
      <w:pPr>
        <w:jc w:val="both"/>
        <w:rPr>
          <w:rFonts w:asciiTheme="majorHAnsi" w:hAnsiTheme="majorHAnsi" w:cstheme="majorHAnsi"/>
          <w:sz w:val="24"/>
          <w:szCs w:val="24"/>
        </w:rPr>
      </w:pPr>
    </w:p>
    <w:p w14:paraId="04EF1812"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Multi-Agency Public Protection Arrangements (MAPPA): Guidance.  Gov.uk. March 2014.</w:t>
      </w:r>
    </w:p>
    <w:p w14:paraId="637B1060"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Available at: </w:t>
      </w:r>
      <w:hyperlink r:id="rId21" w:history="1">
        <w:r w:rsidRPr="0075625B">
          <w:rPr>
            <w:rFonts w:asciiTheme="majorHAnsi" w:eastAsia="Calibri" w:hAnsiTheme="majorHAnsi" w:cstheme="majorHAnsi"/>
            <w:color w:val="0563C1"/>
            <w:sz w:val="24"/>
            <w:szCs w:val="24"/>
            <w:u w:val="single"/>
            <w:lang w:eastAsia="en-US"/>
          </w:rPr>
          <w:t>https://www.gov.uk/governemtn/publications/multi-agency-public-protection-arrangements-mappa-guidance</w:t>
        </w:r>
      </w:hyperlink>
    </w:p>
    <w:p w14:paraId="033028AB"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Last accessed on Friday 11</w:t>
      </w:r>
      <w:r w:rsidRPr="0075625B">
        <w:rPr>
          <w:rFonts w:asciiTheme="majorHAnsi" w:eastAsia="Calibri" w:hAnsiTheme="majorHAnsi" w:cstheme="majorHAnsi"/>
          <w:sz w:val="24"/>
          <w:szCs w:val="24"/>
          <w:vertAlign w:val="superscript"/>
          <w:lang w:eastAsia="en-US"/>
        </w:rPr>
        <w:t>th</w:t>
      </w:r>
      <w:r w:rsidRPr="0075625B">
        <w:rPr>
          <w:rFonts w:asciiTheme="majorHAnsi" w:eastAsia="Calibri" w:hAnsiTheme="majorHAnsi" w:cstheme="majorHAnsi"/>
          <w:sz w:val="24"/>
          <w:szCs w:val="24"/>
          <w:lang w:eastAsia="en-US"/>
        </w:rPr>
        <w:t xml:space="preserve"> November 2021.</w:t>
      </w:r>
    </w:p>
    <w:p w14:paraId="6994C9E9"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p>
    <w:p w14:paraId="0C12ECC8"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Sajid Javid, MP Home Secretary. For HM Government:  Serious and Organised Crime Strategy. November 2018.</w:t>
      </w:r>
    </w:p>
    <w:p w14:paraId="4D1265CF"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 xml:space="preserve">Available at:  </w:t>
      </w:r>
      <w:hyperlink r:id="rId22" w:history="1">
        <w:r w:rsidRPr="0075625B">
          <w:rPr>
            <w:rFonts w:asciiTheme="majorHAnsi" w:eastAsia="Calibri" w:hAnsiTheme="majorHAnsi" w:cstheme="majorHAnsi"/>
            <w:color w:val="0563C1"/>
            <w:sz w:val="24"/>
            <w:szCs w:val="24"/>
            <w:u w:val="single"/>
            <w:lang w:eastAsia="en-US"/>
          </w:rPr>
          <w:t>https://assets.publishing.service.gov.uk/government/uploads/system/uploads/attachment_data/file/752850/SOC-2018-web.pdf</w:t>
        </w:r>
      </w:hyperlink>
      <w:r w:rsidRPr="0075625B">
        <w:rPr>
          <w:rFonts w:asciiTheme="majorHAnsi" w:eastAsia="Calibri" w:hAnsiTheme="majorHAnsi" w:cstheme="majorHAnsi"/>
          <w:sz w:val="24"/>
          <w:szCs w:val="24"/>
          <w:lang w:eastAsia="en-US"/>
        </w:rPr>
        <w:t xml:space="preserve"> </w:t>
      </w:r>
    </w:p>
    <w:p w14:paraId="55D89608"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Last accessed on Friday 12</w:t>
      </w:r>
      <w:r w:rsidRPr="0075625B">
        <w:rPr>
          <w:rFonts w:asciiTheme="majorHAnsi" w:eastAsia="Calibri" w:hAnsiTheme="majorHAnsi" w:cstheme="majorHAnsi"/>
          <w:sz w:val="24"/>
          <w:szCs w:val="24"/>
          <w:vertAlign w:val="superscript"/>
          <w:lang w:eastAsia="en-US"/>
        </w:rPr>
        <w:t>th</w:t>
      </w:r>
      <w:r w:rsidRPr="0075625B">
        <w:rPr>
          <w:rFonts w:asciiTheme="majorHAnsi" w:eastAsia="Calibri" w:hAnsiTheme="majorHAnsi" w:cstheme="majorHAnsi"/>
          <w:sz w:val="24"/>
          <w:szCs w:val="24"/>
          <w:lang w:eastAsia="en-US"/>
        </w:rPr>
        <w:t xml:space="preserve"> November 2021.</w:t>
      </w:r>
    </w:p>
    <w:p w14:paraId="710096F5"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p>
    <w:p w14:paraId="3EAC1DFB"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Krystal, Henry (Ed.) Massive Psychic Trauma, NY: International Universities Press, Inc. 1968</w:t>
      </w:r>
    </w:p>
    <w:p w14:paraId="6C06EC17"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p>
    <w:p w14:paraId="609C1A40"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Henry, Sherry Lewis. Trauma &amp; Survivor Syndrome: Effects on Children who witness Domestic Violence.  2012.  Strategic Book Publishing and Rights Co. Houston.</w:t>
      </w:r>
    </w:p>
    <w:p w14:paraId="5FA7F8AB"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p>
    <w:p w14:paraId="49FB95C8" w14:textId="77777777" w:rsidR="00037F8B" w:rsidRPr="0075625B" w:rsidRDefault="00037F8B" w:rsidP="00037F8B">
      <w:pPr>
        <w:spacing w:after="160" w:line="259" w:lineRule="auto"/>
        <w:rPr>
          <w:rFonts w:asciiTheme="majorHAnsi" w:eastAsia="Calibri" w:hAnsiTheme="majorHAnsi" w:cstheme="majorHAnsi"/>
          <w:sz w:val="24"/>
          <w:szCs w:val="24"/>
          <w:lang w:eastAsia="en-US"/>
        </w:rPr>
      </w:pPr>
      <w:r w:rsidRPr="0075625B">
        <w:rPr>
          <w:rFonts w:asciiTheme="majorHAnsi" w:eastAsia="Calibri" w:hAnsiTheme="majorHAnsi" w:cstheme="majorHAnsi"/>
          <w:sz w:val="24"/>
          <w:szCs w:val="24"/>
          <w:lang w:eastAsia="en-US"/>
        </w:rPr>
        <w:t>Criminal Justice Joint Inspection. HM Inspectorate of Probation: A follow-up inspection of Multi-Agency Public Protection Arrangements. A joint inspection by HM Inspectorate of Probation and HM Inspectorate of Constabulary.  October 2015.</w:t>
      </w:r>
    </w:p>
    <w:p w14:paraId="764C407F" w14:textId="77777777" w:rsidR="0017208F" w:rsidRPr="0075625B" w:rsidRDefault="0017208F" w:rsidP="00D22D9C">
      <w:pPr>
        <w:jc w:val="both"/>
        <w:rPr>
          <w:rFonts w:asciiTheme="majorHAnsi" w:hAnsiTheme="majorHAnsi" w:cstheme="majorHAnsi"/>
          <w:sz w:val="24"/>
          <w:szCs w:val="24"/>
        </w:rPr>
      </w:pPr>
    </w:p>
    <w:p w14:paraId="3442769D" w14:textId="74CD2FBC" w:rsidR="00045D04" w:rsidRPr="0075625B" w:rsidRDefault="00045D04" w:rsidP="00D22D9C">
      <w:pPr>
        <w:jc w:val="both"/>
        <w:rPr>
          <w:rFonts w:asciiTheme="majorHAnsi" w:hAnsiTheme="majorHAnsi" w:cstheme="majorHAnsi"/>
          <w:sz w:val="24"/>
          <w:szCs w:val="24"/>
        </w:rPr>
      </w:pPr>
    </w:p>
    <w:p w14:paraId="2FB72D18" w14:textId="2149B2E9" w:rsidR="00045D04" w:rsidRPr="0075625B" w:rsidRDefault="00045D04" w:rsidP="00D22D9C">
      <w:pPr>
        <w:jc w:val="both"/>
        <w:rPr>
          <w:rFonts w:asciiTheme="majorHAnsi" w:hAnsiTheme="majorHAnsi" w:cstheme="majorHAnsi"/>
          <w:sz w:val="24"/>
          <w:szCs w:val="24"/>
        </w:rPr>
      </w:pPr>
    </w:p>
    <w:p w14:paraId="6B938268" w14:textId="4AEA8A9F"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Sherman, L. (1998) Evidence-Based Policing. Ideas in American Policing Series. Washington, DC: Police Foundation.</w:t>
      </w:r>
    </w:p>
    <w:p w14:paraId="14FEAF65"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p>
    <w:p w14:paraId="099B607B"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Wedlock, E and Tapley, J. What Works in Supporting Victims of Crime: A Rapid Evidence Assessment. 2016.</w:t>
      </w:r>
    </w:p>
    <w:p w14:paraId="28D0F74C"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p>
    <w:p w14:paraId="73ABE351"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The What Works Centre for Local Economic Growth.  The Maryland Scientific Scale.</w:t>
      </w:r>
    </w:p>
    <w:p w14:paraId="243C89EC"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 xml:space="preserve">Available </w:t>
      </w:r>
      <w:proofErr w:type="gramStart"/>
      <w:r w:rsidRPr="00A75589">
        <w:rPr>
          <w:rFonts w:asciiTheme="majorHAnsi" w:eastAsia="Calibri" w:hAnsiTheme="majorHAnsi" w:cstheme="majorHAnsi"/>
          <w:sz w:val="24"/>
          <w:szCs w:val="24"/>
          <w:lang w:eastAsia="en-US"/>
        </w:rPr>
        <w:t>at:https://whatworksgrowth.org/resources/the-scientific-maryland-scale/</w:t>
      </w:r>
      <w:proofErr w:type="gramEnd"/>
    </w:p>
    <w:p w14:paraId="4183E100"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Last accessed on Tuesday 16</w:t>
      </w:r>
      <w:r w:rsidRPr="00A75589">
        <w:rPr>
          <w:rFonts w:asciiTheme="majorHAnsi" w:eastAsia="Calibri" w:hAnsiTheme="majorHAnsi" w:cstheme="majorHAnsi"/>
          <w:sz w:val="24"/>
          <w:szCs w:val="24"/>
          <w:vertAlign w:val="superscript"/>
          <w:lang w:eastAsia="en-US"/>
        </w:rPr>
        <w:t>th</w:t>
      </w:r>
      <w:r w:rsidRPr="00A75589">
        <w:rPr>
          <w:rFonts w:asciiTheme="majorHAnsi" w:eastAsia="Calibri" w:hAnsiTheme="majorHAnsi" w:cstheme="majorHAnsi"/>
          <w:sz w:val="24"/>
          <w:szCs w:val="24"/>
          <w:lang w:eastAsia="en-US"/>
        </w:rPr>
        <w:t xml:space="preserve"> November 2021.</w:t>
      </w:r>
    </w:p>
    <w:p w14:paraId="03632B88"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bookmarkStart w:id="3" w:name="_GoBack"/>
      <w:bookmarkEnd w:id="3"/>
    </w:p>
    <w:p w14:paraId="0E89B7EE"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 xml:space="preserve">Restorative Justice Council. RJC Principles of Restorative Practice. </w:t>
      </w:r>
    </w:p>
    <w:p w14:paraId="5461EFCA"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 xml:space="preserve">Available online at: </w:t>
      </w:r>
      <w:hyperlink r:id="rId23" w:history="1">
        <w:r w:rsidRPr="00A75589">
          <w:rPr>
            <w:rFonts w:asciiTheme="majorHAnsi" w:eastAsia="Calibri" w:hAnsiTheme="majorHAnsi" w:cstheme="majorHAnsi"/>
            <w:color w:val="0563C1"/>
            <w:sz w:val="24"/>
            <w:szCs w:val="24"/>
            <w:u w:val="single"/>
            <w:lang w:eastAsia="en-US"/>
          </w:rPr>
          <w:t>https://restorativejustice.org.uk/sites/default/files/The%20RJC%27s%20Principles%20of%20Restorative%20Practice.pdf</w:t>
        </w:r>
      </w:hyperlink>
      <w:r w:rsidRPr="00A75589">
        <w:rPr>
          <w:rFonts w:asciiTheme="majorHAnsi" w:eastAsia="Calibri" w:hAnsiTheme="majorHAnsi" w:cstheme="majorHAnsi"/>
          <w:sz w:val="24"/>
          <w:szCs w:val="24"/>
          <w:lang w:eastAsia="en-US"/>
        </w:rPr>
        <w:t xml:space="preserve">   </w:t>
      </w:r>
    </w:p>
    <w:p w14:paraId="4C38F96A"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Last accessed on Tuesday 16</w:t>
      </w:r>
      <w:r w:rsidRPr="00A75589">
        <w:rPr>
          <w:rFonts w:asciiTheme="majorHAnsi" w:eastAsia="Calibri" w:hAnsiTheme="majorHAnsi" w:cstheme="majorHAnsi"/>
          <w:sz w:val="24"/>
          <w:szCs w:val="24"/>
          <w:vertAlign w:val="superscript"/>
          <w:lang w:eastAsia="en-US"/>
        </w:rPr>
        <w:t>th</w:t>
      </w:r>
      <w:r w:rsidRPr="00A75589">
        <w:rPr>
          <w:rFonts w:asciiTheme="majorHAnsi" w:eastAsia="Calibri" w:hAnsiTheme="majorHAnsi" w:cstheme="majorHAnsi"/>
          <w:sz w:val="24"/>
          <w:szCs w:val="24"/>
          <w:lang w:eastAsia="en-US"/>
        </w:rPr>
        <w:t xml:space="preserve"> November 2021</w:t>
      </w:r>
    </w:p>
    <w:p w14:paraId="694D8621"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p>
    <w:p w14:paraId="5E1F922D"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Johnson, S. D., Tilley, N., &amp; Bowers, K. J. (2015).</w:t>
      </w:r>
      <w:hyperlink r:id="rId24" w:history="1">
        <w:r w:rsidRPr="00A75589">
          <w:rPr>
            <w:rFonts w:asciiTheme="majorHAnsi" w:eastAsia="Calibri" w:hAnsiTheme="majorHAnsi" w:cstheme="majorHAnsi"/>
            <w:sz w:val="24"/>
            <w:szCs w:val="24"/>
            <w:lang w:eastAsia="en-US"/>
          </w:rPr>
          <w:t xml:space="preserve"> Introducing EMMIE: An evidence rating scale to encourage mixed-method crime prevention synthesis reviews</w:t>
        </w:r>
      </w:hyperlink>
      <w:r w:rsidRPr="00A75589">
        <w:rPr>
          <w:rFonts w:asciiTheme="majorHAnsi" w:eastAsia="Calibri" w:hAnsiTheme="majorHAnsi" w:cstheme="majorHAnsi"/>
          <w:sz w:val="24"/>
          <w:szCs w:val="24"/>
          <w:lang w:eastAsia="en-US"/>
        </w:rPr>
        <w:t>. Journal of Experimental Criminology, 11(3), 459-473.</w:t>
      </w:r>
    </w:p>
    <w:p w14:paraId="7C37C1A7"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p>
    <w:p w14:paraId="020D26CC" w14:textId="77777777" w:rsidR="00A75589" w:rsidRPr="00A75589" w:rsidRDefault="00A75589" w:rsidP="00A75589">
      <w:pPr>
        <w:spacing w:after="160" w:line="259" w:lineRule="auto"/>
        <w:rPr>
          <w:rFonts w:asciiTheme="majorHAnsi" w:eastAsia="Calibri" w:hAnsiTheme="majorHAnsi" w:cstheme="majorHAnsi"/>
          <w:sz w:val="24"/>
          <w:szCs w:val="24"/>
          <w:lang w:eastAsia="en-US"/>
        </w:rPr>
      </w:pPr>
      <w:r w:rsidRPr="00A75589">
        <w:rPr>
          <w:rFonts w:asciiTheme="majorHAnsi" w:eastAsia="Calibri" w:hAnsiTheme="majorHAnsi" w:cstheme="majorHAnsi"/>
          <w:sz w:val="24"/>
          <w:szCs w:val="24"/>
          <w:lang w:eastAsia="en-US"/>
        </w:rPr>
        <w:t>Gwent Police.  We Don’t Buy Crime. 2021.</w:t>
      </w: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22D4D1B3" w:rsidR="464F7901" w:rsidRDefault="464F7901" w:rsidP="464F7901">
      <w:pPr>
        <w:jc w:val="both"/>
        <w:rPr>
          <w:rFonts w:ascii="Arial" w:hAnsi="Arial" w:cs="Arial"/>
          <w:sz w:val="22"/>
          <w:szCs w:val="22"/>
        </w:rPr>
      </w:pPr>
    </w:p>
    <w:p w14:paraId="597D94FF" w14:textId="41C9D3BA" w:rsidR="00313B3A" w:rsidRDefault="00313B3A" w:rsidP="464F7901">
      <w:pPr>
        <w:jc w:val="both"/>
        <w:rPr>
          <w:rFonts w:ascii="Arial" w:hAnsi="Arial" w:cs="Arial"/>
          <w:sz w:val="22"/>
          <w:szCs w:val="22"/>
        </w:rPr>
      </w:pPr>
    </w:p>
    <w:p w14:paraId="76CC5F48" w14:textId="19704FC2" w:rsidR="00313B3A" w:rsidRDefault="00313B3A" w:rsidP="464F7901">
      <w:pPr>
        <w:jc w:val="both"/>
        <w:rPr>
          <w:rFonts w:ascii="Arial" w:hAnsi="Arial" w:cs="Arial"/>
          <w:sz w:val="22"/>
          <w:szCs w:val="22"/>
        </w:rPr>
      </w:pPr>
    </w:p>
    <w:p w14:paraId="04B09009" w14:textId="0492527C" w:rsidR="00313B3A" w:rsidRDefault="00313B3A" w:rsidP="464F7901">
      <w:pPr>
        <w:jc w:val="both"/>
        <w:rPr>
          <w:rFonts w:ascii="Arial" w:hAnsi="Arial" w:cs="Arial"/>
          <w:sz w:val="22"/>
          <w:szCs w:val="22"/>
        </w:rPr>
      </w:pPr>
    </w:p>
    <w:p w14:paraId="7C730EC6" w14:textId="650AB6D1" w:rsidR="00313B3A" w:rsidRDefault="00313B3A" w:rsidP="464F7901">
      <w:pPr>
        <w:jc w:val="both"/>
        <w:rPr>
          <w:rFonts w:ascii="Arial" w:hAnsi="Arial" w:cs="Arial"/>
          <w:sz w:val="22"/>
          <w:szCs w:val="22"/>
        </w:rPr>
      </w:pPr>
    </w:p>
    <w:p w14:paraId="6714578D" w14:textId="126F9E15" w:rsidR="00313B3A" w:rsidRDefault="00313B3A" w:rsidP="464F7901">
      <w:pPr>
        <w:jc w:val="both"/>
        <w:rPr>
          <w:rFonts w:ascii="Arial" w:hAnsi="Arial" w:cs="Arial"/>
          <w:sz w:val="22"/>
          <w:szCs w:val="22"/>
        </w:rPr>
      </w:pPr>
    </w:p>
    <w:p w14:paraId="5F1047A5" w14:textId="0E9971BE" w:rsidR="00313B3A" w:rsidRDefault="00313B3A" w:rsidP="464F7901">
      <w:pPr>
        <w:jc w:val="both"/>
        <w:rPr>
          <w:rFonts w:ascii="Arial" w:hAnsi="Arial" w:cs="Arial"/>
          <w:sz w:val="22"/>
          <w:szCs w:val="22"/>
        </w:rPr>
      </w:pPr>
    </w:p>
    <w:p w14:paraId="2FAD2F9C" w14:textId="2208463F" w:rsidR="00313B3A" w:rsidRDefault="00313B3A" w:rsidP="464F7901">
      <w:pPr>
        <w:jc w:val="both"/>
        <w:rPr>
          <w:rFonts w:ascii="Arial" w:hAnsi="Arial" w:cs="Arial"/>
          <w:sz w:val="22"/>
          <w:szCs w:val="22"/>
        </w:rPr>
      </w:pPr>
    </w:p>
    <w:p w14:paraId="327B98CF" w14:textId="4AA20056" w:rsidR="00313B3A" w:rsidRDefault="00313B3A" w:rsidP="464F7901">
      <w:pPr>
        <w:jc w:val="both"/>
        <w:rPr>
          <w:rFonts w:ascii="Arial" w:hAnsi="Arial" w:cs="Arial"/>
          <w:sz w:val="22"/>
          <w:szCs w:val="22"/>
        </w:rPr>
      </w:pPr>
    </w:p>
    <w:p w14:paraId="43F3B37E" w14:textId="7739B0DA" w:rsidR="00313B3A" w:rsidRDefault="00313B3A" w:rsidP="464F7901">
      <w:pPr>
        <w:jc w:val="both"/>
        <w:rPr>
          <w:rFonts w:ascii="Arial" w:hAnsi="Arial" w:cs="Arial"/>
          <w:sz w:val="22"/>
          <w:szCs w:val="22"/>
        </w:rPr>
      </w:pPr>
    </w:p>
    <w:p w14:paraId="7B42915B" w14:textId="43CF3B22" w:rsidR="00313B3A" w:rsidRDefault="00313B3A" w:rsidP="464F7901">
      <w:pPr>
        <w:jc w:val="both"/>
        <w:rPr>
          <w:rFonts w:ascii="Arial" w:hAnsi="Arial" w:cs="Arial"/>
          <w:sz w:val="22"/>
          <w:szCs w:val="22"/>
        </w:rPr>
      </w:pPr>
    </w:p>
    <w:p w14:paraId="001C5090" w14:textId="594B432F" w:rsidR="00313B3A" w:rsidRDefault="00313B3A" w:rsidP="464F7901">
      <w:pPr>
        <w:jc w:val="both"/>
        <w:rPr>
          <w:rFonts w:ascii="Arial" w:hAnsi="Arial" w:cs="Arial"/>
          <w:sz w:val="22"/>
          <w:szCs w:val="22"/>
        </w:rPr>
      </w:pPr>
    </w:p>
    <w:p w14:paraId="375D359F" w14:textId="77777777" w:rsidR="00313B3A" w:rsidRDefault="00313B3A"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25"/>
          <w:headerReference w:type="default" r:id="rId26"/>
          <w:footerReference w:type="even" r:id="rId27"/>
          <w:footerReference w:type="default" r:id="rId28"/>
          <w:headerReference w:type="first" r:id="rId29"/>
          <w:footerReference w:type="first" r:id="rId30"/>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31"/>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037F8B">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037F8B">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037F8B">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037F8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037F8B">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037F8B">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037F8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037F8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037F8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037F8B">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037F8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037F8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037F8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037F8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037F8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037F8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037F8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037F8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037F8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037F8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037F8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037F8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037F8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037F8B">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037F8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037F8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037F8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037F8B">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037F8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037F8B">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037F8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037F8B">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037F8B">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037F8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037F8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037F8B">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037F8B">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037F8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037F8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037F8B">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037F8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037F8B">
            <w:pPr>
              <w:rPr>
                <w:rFonts w:ascii="Arial" w:hAnsi="Arial" w:cs="Arial"/>
              </w:rPr>
            </w:pPr>
          </w:p>
        </w:tc>
        <w:tc>
          <w:tcPr>
            <w:tcW w:w="1736" w:type="dxa"/>
          </w:tcPr>
          <w:p w14:paraId="1E350914" w14:textId="77777777" w:rsidR="00C073F1" w:rsidRPr="00B669B1" w:rsidRDefault="00C073F1" w:rsidP="00037F8B">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037F8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037F8B">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324B66" w14:textId="77777777" w:rsidR="00C073F1" w:rsidRPr="00E518DC" w:rsidRDefault="00C073F1" w:rsidP="00037F8B">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037F8B">
            <w:pPr>
              <w:rPr>
                <w:rFonts w:ascii="Arial" w:hAnsi="Arial" w:cs="Arial"/>
              </w:rPr>
            </w:pPr>
          </w:p>
        </w:tc>
        <w:tc>
          <w:tcPr>
            <w:tcW w:w="1736" w:type="dxa"/>
          </w:tcPr>
          <w:p w14:paraId="677FE6A5" w14:textId="77777777" w:rsidR="00C073F1" w:rsidRPr="00B669B1" w:rsidRDefault="00C073F1" w:rsidP="00037F8B">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037F8B">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037F8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 xml:space="preserve">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D9E6A9D" w14:textId="77777777" w:rsidR="00C073F1" w:rsidRPr="00795507" w:rsidRDefault="00C073F1" w:rsidP="00037F8B">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037F8B">
            <w:pPr>
              <w:rPr>
                <w:rFonts w:ascii="Arial" w:hAnsi="Arial" w:cs="Arial"/>
              </w:rPr>
            </w:pPr>
          </w:p>
        </w:tc>
        <w:tc>
          <w:tcPr>
            <w:tcW w:w="1736" w:type="dxa"/>
          </w:tcPr>
          <w:p w14:paraId="22F905BB" w14:textId="77777777" w:rsidR="00C073F1" w:rsidRPr="00B669B1" w:rsidRDefault="00C073F1" w:rsidP="00037F8B">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037F8B">
            <w:pPr>
              <w:rPr>
                <w:rFonts w:ascii="Arial" w:hAnsi="Arial" w:cs="Arial"/>
              </w:rPr>
            </w:pPr>
          </w:p>
        </w:tc>
        <w:tc>
          <w:tcPr>
            <w:tcW w:w="1736" w:type="dxa"/>
          </w:tcPr>
          <w:p w14:paraId="0FA49806" w14:textId="77777777" w:rsidR="00C073F1" w:rsidRPr="00B669B1" w:rsidRDefault="00C073F1" w:rsidP="00037F8B">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037F8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037F8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037F8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037F8B">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037F8B">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037F8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037F8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037F8B">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037F8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037F8B">
            <w:pPr>
              <w:rPr>
                <w:rFonts w:ascii="Arial" w:hAnsi="Arial" w:cs="Arial"/>
              </w:rPr>
            </w:pPr>
          </w:p>
          <w:p w14:paraId="70F79EE5" w14:textId="77777777" w:rsidR="00C073F1" w:rsidRPr="00B669B1" w:rsidRDefault="00C073F1" w:rsidP="00037F8B">
            <w:pPr>
              <w:rPr>
                <w:rFonts w:ascii="Arial" w:hAnsi="Arial" w:cs="Arial"/>
              </w:rPr>
            </w:pPr>
          </w:p>
        </w:tc>
        <w:tc>
          <w:tcPr>
            <w:tcW w:w="1736" w:type="dxa"/>
          </w:tcPr>
          <w:p w14:paraId="6697BDD6" w14:textId="77777777" w:rsidR="00C073F1" w:rsidRPr="00B669B1" w:rsidRDefault="00C073F1" w:rsidP="00037F8B">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037F8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037F8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037F8B">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037F8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037F8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037F8B">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037F8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037F8B">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037F8B">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037F8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037F8B">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037F8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037F8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037F8B">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037F8B">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037F8B">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037F8B">
            <w:pPr>
              <w:rPr>
                <w:rFonts w:ascii="Arial" w:hAnsi="Arial" w:cs="Arial"/>
              </w:rPr>
            </w:pPr>
          </w:p>
          <w:p w14:paraId="1F6375EF" w14:textId="77777777" w:rsidR="00C073F1" w:rsidRPr="00E07BE3" w:rsidRDefault="00C073F1" w:rsidP="00037F8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037F8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037F8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037F8B">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037F8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037F8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037F8B">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 xml:space="preserve">format, </w:t>
            </w:r>
            <w:r w:rsidRPr="00E07BE3">
              <w:rPr>
                <w:rFonts w:ascii="Arial" w:hAnsi="Arial" w:cs="Arial"/>
              </w:rPr>
              <w:lastRenderedPageBreak/>
              <w:t>but</w:t>
            </w:r>
            <w:proofErr w:type="gramEnd"/>
            <w:r w:rsidRPr="00E07BE3">
              <w:rPr>
                <w:rFonts w:ascii="Arial" w:hAnsi="Arial" w:cs="Arial"/>
              </w:rPr>
              <w:t xml:space="preserve"> may have minor errors.</w:t>
            </w:r>
          </w:p>
          <w:p w14:paraId="6F44E642" w14:textId="77777777" w:rsidR="00C073F1" w:rsidRPr="00E07BE3" w:rsidRDefault="00C073F1" w:rsidP="00037F8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037F8B">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037F8B">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1FF76C38" w14:textId="77777777" w:rsidR="00C073F1" w:rsidRPr="00E07BE3" w:rsidRDefault="00C073F1" w:rsidP="00037F8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037F8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037F8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037F8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037F8B">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037F8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03E9EFAA"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42792C" w14:textId="77777777" w:rsidR="00037F8B" w:rsidRDefault="00037F8B">
      <w:r>
        <w:separator/>
      </w:r>
    </w:p>
  </w:endnote>
  <w:endnote w:type="continuationSeparator" w:id="0">
    <w:p w14:paraId="34BE4251" w14:textId="77777777" w:rsidR="00037F8B" w:rsidRDefault="00037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25F0C" w14:textId="77777777" w:rsidR="00037F8B" w:rsidRDefault="00037F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84959" w14:textId="77777777" w:rsidR="00037F8B" w:rsidRDefault="00037F8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0042A60A" w14:textId="77777777" w:rsidR="00037F8B" w:rsidRDefault="00037F8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0516A" w14:textId="77777777" w:rsidR="00037F8B" w:rsidRDefault="00037F8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ABA82" w14:textId="77777777" w:rsidR="00037F8B" w:rsidRDefault="00037F8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CB7C09" w14:textId="77777777" w:rsidR="00037F8B" w:rsidRDefault="00037F8B">
      <w:r>
        <w:separator/>
      </w:r>
    </w:p>
  </w:footnote>
  <w:footnote w:type="continuationSeparator" w:id="0">
    <w:p w14:paraId="71AC4E6A" w14:textId="77777777" w:rsidR="00037F8B" w:rsidRDefault="00037F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D7E3D" w14:textId="77777777" w:rsidR="00037F8B" w:rsidRDefault="00037F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CA769" w14:textId="77777777" w:rsidR="00037F8B" w:rsidRDefault="00037F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A911E" w14:textId="77777777" w:rsidR="00037F8B" w:rsidRDefault="00037F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3in;height:3in" o:bullet="t"/>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B66702D"/>
    <w:multiLevelType w:val="multilevel"/>
    <w:tmpl w:val="8842D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1"/>
  </w:num>
  <w:num w:numId="6">
    <w:abstractNumId w:val="21"/>
  </w:num>
  <w:num w:numId="7">
    <w:abstractNumId w:val="12"/>
  </w:num>
  <w:num w:numId="8">
    <w:abstractNumId w:val="30"/>
  </w:num>
  <w:num w:numId="9">
    <w:abstractNumId w:val="6"/>
  </w:num>
  <w:num w:numId="10">
    <w:abstractNumId w:val="27"/>
  </w:num>
  <w:num w:numId="11">
    <w:abstractNumId w:val="17"/>
  </w:num>
  <w:num w:numId="12">
    <w:abstractNumId w:val="8"/>
  </w:num>
  <w:num w:numId="13">
    <w:abstractNumId w:val="9"/>
  </w:num>
  <w:num w:numId="14">
    <w:abstractNumId w:val="14"/>
  </w:num>
  <w:num w:numId="15">
    <w:abstractNumId w:val="25"/>
  </w:num>
  <w:num w:numId="16">
    <w:abstractNumId w:val="7"/>
  </w:num>
  <w:num w:numId="17">
    <w:abstractNumId w:val="0"/>
  </w:num>
  <w:num w:numId="18">
    <w:abstractNumId w:val="10"/>
  </w:num>
  <w:num w:numId="19">
    <w:abstractNumId w:val="26"/>
  </w:num>
  <w:num w:numId="20">
    <w:abstractNumId w:val="4"/>
  </w:num>
  <w:num w:numId="21">
    <w:abstractNumId w:val="15"/>
  </w:num>
  <w:num w:numId="22">
    <w:abstractNumId w:val="2"/>
  </w:num>
  <w:num w:numId="23">
    <w:abstractNumId w:val="20"/>
  </w:num>
  <w:num w:numId="24">
    <w:abstractNumId w:val="23"/>
  </w:num>
  <w:num w:numId="25">
    <w:abstractNumId w:val="1"/>
  </w:num>
  <w:num w:numId="26">
    <w:abstractNumId w:val="29"/>
  </w:num>
  <w:num w:numId="27">
    <w:abstractNumId w:val="5"/>
  </w:num>
  <w:num w:numId="28">
    <w:abstractNumId w:val="24"/>
  </w:num>
  <w:num w:numId="29">
    <w:abstractNumId w:val="28"/>
  </w:num>
  <w:num w:numId="30">
    <w:abstractNumId w:val="22"/>
  </w:num>
  <w:num w:numId="31">
    <w:abstractNumId w:val="13"/>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27C17"/>
    <w:rsid w:val="00037F8B"/>
    <w:rsid w:val="00045D04"/>
    <w:rsid w:val="00056996"/>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208F"/>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3B3A"/>
    <w:rsid w:val="003223E0"/>
    <w:rsid w:val="00352C4A"/>
    <w:rsid w:val="00362560"/>
    <w:rsid w:val="003732FD"/>
    <w:rsid w:val="003753B2"/>
    <w:rsid w:val="00376559"/>
    <w:rsid w:val="00382BAA"/>
    <w:rsid w:val="00384D73"/>
    <w:rsid w:val="00393EB6"/>
    <w:rsid w:val="003A3CE5"/>
    <w:rsid w:val="003A3FEA"/>
    <w:rsid w:val="003B366F"/>
    <w:rsid w:val="003B3F9D"/>
    <w:rsid w:val="003B6C95"/>
    <w:rsid w:val="003E5751"/>
    <w:rsid w:val="004046A9"/>
    <w:rsid w:val="00404C50"/>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C0523"/>
    <w:rsid w:val="005D1D58"/>
    <w:rsid w:val="005D432C"/>
    <w:rsid w:val="005E285E"/>
    <w:rsid w:val="005E72F8"/>
    <w:rsid w:val="005F0579"/>
    <w:rsid w:val="005F2A93"/>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38E0"/>
    <w:rsid w:val="006D49ED"/>
    <w:rsid w:val="006D55CE"/>
    <w:rsid w:val="006D637A"/>
    <w:rsid w:val="006D6B5E"/>
    <w:rsid w:val="006D6F24"/>
    <w:rsid w:val="006E3E4E"/>
    <w:rsid w:val="006F45BF"/>
    <w:rsid w:val="006F60E0"/>
    <w:rsid w:val="00702F71"/>
    <w:rsid w:val="007366DF"/>
    <w:rsid w:val="0075625B"/>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023A"/>
    <w:rsid w:val="00911394"/>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47005"/>
    <w:rsid w:val="00A55876"/>
    <w:rsid w:val="00A67FB1"/>
    <w:rsid w:val="00A75589"/>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097B"/>
    <w:rsid w:val="00F31163"/>
    <w:rsid w:val="00F31C04"/>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iley.com/en-us/Intelligence+in+an+Insecure+World%2C+2nd+Edition-p-9780745680897" TargetMode="External"/><Relationship Id="rId18" Type="http://schemas.openxmlformats.org/officeDocument/2006/relationships/hyperlink" Target="http://library.college.police.uk/docs/acpo/VCMM-191109.pdf"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gov.uk/governemtn/publications/multi-agency-public-protection-arrangements-mappa-guidance" TargetMode="External"/><Relationship Id="rId7" Type="http://schemas.openxmlformats.org/officeDocument/2006/relationships/webSettings" Target="webSettings.xml"/><Relationship Id="rId12" Type="http://schemas.openxmlformats.org/officeDocument/2006/relationships/hyperlink" Target="http://www.legislation.gov.uk/ukpga/1997/50/section/93" TargetMode="External"/><Relationship Id="rId17" Type="http://schemas.openxmlformats.org/officeDocument/2006/relationships/hyperlink" Target="https://www.app.college.police.uk/app-content/investigations/investigation-process"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as-s3-broker-prod-Ion-6453d964-1d1a-432a-9260-5e0ba7d2fc51.s3.eu-west-2.amazonaws.com/s3fs-public/College-of-Policing-Positive-Action-Guidance.pdf" TargetMode="External"/><Relationship Id="rId20" Type="http://schemas.openxmlformats.org/officeDocument/2006/relationships/hyperlink" Target="https://journals.sagepub.com/doi/abs/10.1177/105756770401400101?journalCode=icja&amp;"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link.springer.com/article/10.1007/s11292-015-9238-7"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college.police.uk/guidance/policing-education-qualifications-framework-peqf" TargetMode="External"/><Relationship Id="rId23" Type="http://schemas.openxmlformats.org/officeDocument/2006/relationships/hyperlink" Target="https://restorativejustice.org.uk/sites/default/files/The%20RJC%27s%20Principles%20of%20Restorative%20Practice.pdf" TargetMode="External"/><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doi.org/10.1177/105756770401400101" TargetMode="External"/><Relationship Id="rId31"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xfordlearnersdictionaries.com/definition/English/professionalization?q=professionalisation" TargetMode="External"/><Relationship Id="rId22" Type="http://schemas.openxmlformats.org/officeDocument/2006/relationships/hyperlink" Target="https://assets.publishing.service.gov.uk/government/uploads/system/uploads/attachment_data/file/752850/SOC-2018-web.pdf" TargetMode="External"/><Relationship Id="rId27" Type="http://schemas.openxmlformats.org/officeDocument/2006/relationships/footer" Target="footer1.xml"/><Relationship Id="rId30"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E9C27-BDBD-4E83-86C2-D0D2DD942277}">
  <ds:schemaRefs>
    <ds:schemaRef ds:uri="http://purl.org/dc/terms/"/>
    <ds:schemaRef ds:uri="http://schemas.microsoft.com/office/2006/documentManagement/types"/>
    <ds:schemaRef ds:uri="2e89cfda-a374-4413-9f0d-8b601eddeb70"/>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10AECCF6-D9B8-4AC0-A403-D5F7926ED0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31</TotalTime>
  <Pages>25</Pages>
  <Words>9598</Words>
  <Characters>57649</Characters>
  <Application>Microsoft Office Word</Application>
  <DocSecurity>0</DocSecurity>
  <Lines>480</Lines>
  <Paragraphs>134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Powell, Leah</cp:lastModifiedBy>
  <cp:revision>12</cp:revision>
  <cp:lastPrinted>2014-10-10T07:42:00Z</cp:lastPrinted>
  <dcterms:created xsi:type="dcterms:W3CDTF">2021-08-20T15:40:00Z</dcterms:created>
  <dcterms:modified xsi:type="dcterms:W3CDTF">2021-11-16T14:03:00Z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f2acd28b-79a3-4a0f-b0ff-4b75658b1549_Enabled">
    <vt:lpwstr>true</vt:lpwstr>
  </property>
  <property fmtid="{D5CDD505-2E9C-101B-9397-08002B2CF9AE}" pid="7" name="MSIP_Label_f2acd28b-79a3-4a0f-b0ff-4b75658b1549_SetDate">
    <vt:lpwstr>2021-08-20T15:40:25Z</vt:lpwstr>
  </property>
  <property fmtid="{D5CDD505-2E9C-101B-9397-08002B2CF9AE}" pid="8" name="MSIP_Label_f2acd28b-79a3-4a0f-b0ff-4b75658b1549_Method">
    <vt:lpwstr>Standard</vt:lpwstr>
  </property>
  <property fmtid="{D5CDD505-2E9C-101B-9397-08002B2CF9AE}" pid="9" name="MSIP_Label_f2acd28b-79a3-4a0f-b0ff-4b75658b1549_Name">
    <vt:lpwstr>OFFICIAL</vt:lpwstr>
  </property>
  <property fmtid="{D5CDD505-2E9C-101B-9397-08002B2CF9AE}" pid="10" name="MSIP_Label_f2acd28b-79a3-4a0f-b0ff-4b75658b1549_SiteId">
    <vt:lpwstr>e46c8472-ef5d-4b63-bc74-4a60db42c371</vt:lpwstr>
  </property>
  <property fmtid="{D5CDD505-2E9C-101B-9397-08002B2CF9AE}" pid="11" name="MSIP_Label_f2acd28b-79a3-4a0f-b0ff-4b75658b1549_ActionId">
    <vt:lpwstr>1a3bde26-bb71-48e9-b636-d2745b8b1776</vt:lpwstr>
  </property>
  <property fmtid="{D5CDD505-2E9C-101B-9397-08002B2CF9AE}" pid="12" name="MSIP_Label_f2acd28b-79a3-4a0f-b0ff-4b75658b1549_ContentBits">
    <vt:lpwstr>0</vt:lpwstr>
  </property>
</Properties>
</file>