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276933" w14:textId="77777777" w:rsidR="00031B30" w:rsidRDefault="00000000">
      <w:pPr>
        <w:pStyle w:val="Normal1"/>
        <w:jc w:val="both"/>
        <w:rPr>
          <w:rFonts w:ascii="Arial" w:hAnsi="Arial" w:cs="Arial"/>
          <w:b/>
          <w:bCs/>
          <w:sz w:val="24"/>
          <w:szCs w:val="24"/>
        </w:rPr>
      </w:pPr>
      <w:r>
        <w:rPr>
          <w:noProof/>
        </w:rPr>
        <w:drawing>
          <wp:anchor distT="0" distB="0" distL="0" distR="0" simplePos="0" relativeHeight="7" behindDoc="0" locked="0" layoutInCell="0" allowOverlap="1" wp14:anchorId="2AB9E8EE" wp14:editId="6FF7B3B6">
            <wp:simplePos x="0" y="0"/>
            <wp:positionH relativeFrom="margin">
              <wp:posOffset>381000</wp:posOffset>
            </wp:positionH>
            <wp:positionV relativeFrom="paragraph">
              <wp:posOffset>0</wp:posOffset>
            </wp:positionV>
            <wp:extent cx="3954780" cy="1566545"/>
            <wp:effectExtent l="0" t="0" r="7620" b="0"/>
            <wp:wrapSquare wrapText="bothSides"/>
            <wp:docPr id="1" name="Picture_20_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_20_2" descr="Discover University of Wales Trinity Saint David"/>
                    <pic:cNvPicPr>
                      <a:picLocks noChangeAspect="1" noChangeArrowheads="1"/>
                    </pic:cNvPicPr>
                  </pic:nvPicPr>
                  <pic:blipFill>
                    <a:blip r:embed="rId5"/>
                    <a:stretch>
                      <a:fillRect/>
                    </a:stretch>
                  </pic:blipFill>
                  <pic:spPr bwMode="auto">
                    <a:xfrm>
                      <a:off x="0" y="0"/>
                      <a:ext cx="3954780" cy="1566545"/>
                    </a:xfrm>
                    <a:prstGeom prst="rect">
                      <a:avLst/>
                    </a:prstGeom>
                    <a:noFill/>
                  </pic:spPr>
                </pic:pic>
              </a:graphicData>
            </a:graphic>
            <wp14:sizeRelH relativeFrom="margin">
              <wp14:pctWidth>0</wp14:pctWidth>
            </wp14:sizeRelH>
            <wp14:sizeRelV relativeFrom="margin">
              <wp14:pctHeight>0</wp14:pctHeight>
            </wp14:sizeRelV>
          </wp:anchor>
        </w:drawing>
      </w:r>
    </w:p>
    <w:p w14:paraId="2EFB9488" w14:textId="77777777" w:rsidR="00031B30" w:rsidRDefault="00031B30">
      <w:pPr>
        <w:pStyle w:val="Normal1"/>
        <w:jc w:val="both"/>
        <w:rPr>
          <w:rFonts w:ascii="Arial" w:hAnsi="Arial" w:cs="Arial"/>
          <w:b/>
          <w:bCs/>
          <w:sz w:val="24"/>
          <w:szCs w:val="24"/>
          <w:lang w:val="en-IN"/>
        </w:rPr>
      </w:pPr>
    </w:p>
    <w:p w14:paraId="047DF86E" w14:textId="77777777" w:rsidR="00031B30" w:rsidRDefault="00031B30">
      <w:pPr>
        <w:pStyle w:val="Normal1"/>
        <w:jc w:val="both"/>
        <w:rPr>
          <w:rFonts w:ascii="Arial" w:hAnsi="Arial" w:cs="Arial"/>
          <w:b/>
          <w:bCs/>
          <w:sz w:val="24"/>
          <w:szCs w:val="24"/>
          <w:lang w:val="en-IN"/>
        </w:rPr>
      </w:pPr>
    </w:p>
    <w:p w14:paraId="6FB05153" w14:textId="77777777" w:rsidR="00031B30" w:rsidRDefault="00031B30">
      <w:pPr>
        <w:pStyle w:val="Normal1"/>
        <w:jc w:val="both"/>
        <w:rPr>
          <w:rFonts w:ascii="Arial" w:hAnsi="Arial" w:cs="Arial"/>
          <w:b/>
          <w:bCs/>
          <w:sz w:val="24"/>
          <w:szCs w:val="24"/>
          <w:lang w:val="en-IN"/>
        </w:rPr>
      </w:pPr>
    </w:p>
    <w:p w14:paraId="5A2CD449" w14:textId="77777777" w:rsidR="00031B30" w:rsidRDefault="00031B30">
      <w:pPr>
        <w:pStyle w:val="Normal1"/>
        <w:jc w:val="both"/>
        <w:rPr>
          <w:rFonts w:ascii="Arial" w:hAnsi="Arial" w:cs="Arial"/>
          <w:b/>
          <w:bCs/>
          <w:sz w:val="24"/>
          <w:szCs w:val="24"/>
          <w:lang w:val="en-IN"/>
        </w:rPr>
      </w:pPr>
    </w:p>
    <w:p w14:paraId="04D8ED88" w14:textId="77777777" w:rsidR="00031B30" w:rsidRDefault="00031B30">
      <w:pPr>
        <w:pStyle w:val="Normal1"/>
        <w:jc w:val="both"/>
        <w:rPr>
          <w:rFonts w:ascii="Arial" w:hAnsi="Arial" w:cs="Arial"/>
          <w:b/>
          <w:bCs/>
          <w:sz w:val="24"/>
          <w:szCs w:val="24"/>
          <w:lang w:val="en-IN"/>
        </w:rPr>
      </w:pPr>
    </w:p>
    <w:p w14:paraId="111D3B4C" w14:textId="77777777" w:rsidR="00031B30" w:rsidRDefault="00000000">
      <w:pPr>
        <w:pStyle w:val="Normal1"/>
        <w:jc w:val="both"/>
        <w:rPr>
          <w:rFonts w:ascii="Arial" w:hAnsi="Arial" w:cs="Arial"/>
          <w:b/>
          <w:bCs/>
          <w:sz w:val="24"/>
          <w:szCs w:val="24"/>
          <w:lang w:val="en-IN"/>
        </w:rPr>
      </w:pPr>
      <w:r>
        <w:rPr>
          <w:rFonts w:ascii="Arial" w:hAnsi="Arial" w:cs="Arial"/>
          <w:b/>
          <w:bCs/>
          <w:sz w:val="24"/>
          <w:szCs w:val="24"/>
          <w:lang w:val="en-IN"/>
        </w:rPr>
        <w:t>MSc Public Health and Social Care in Practice</w:t>
      </w:r>
    </w:p>
    <w:p w14:paraId="297891A0" w14:textId="77777777" w:rsidR="00031B30" w:rsidRDefault="00000000">
      <w:pPr>
        <w:pStyle w:val="Normal1"/>
        <w:jc w:val="both"/>
        <w:rPr>
          <w:rFonts w:ascii="Arial" w:hAnsi="Arial" w:cs="Arial"/>
          <w:b/>
          <w:bCs/>
          <w:sz w:val="24"/>
          <w:szCs w:val="24"/>
          <w:lang w:val="en-IN"/>
        </w:rPr>
      </w:pPr>
      <w:r>
        <w:rPr>
          <w:rFonts w:ascii="Arial" w:hAnsi="Arial" w:cs="Arial"/>
          <w:b/>
          <w:bCs/>
          <w:sz w:val="24"/>
          <w:szCs w:val="24"/>
          <w:lang w:val="en-IN"/>
        </w:rPr>
        <w:t>Module Code: LCHS7009</w:t>
      </w:r>
    </w:p>
    <w:p w14:paraId="117777C0" w14:textId="77777777" w:rsidR="00031B30" w:rsidRDefault="00000000">
      <w:pPr>
        <w:pStyle w:val="Normal1"/>
        <w:jc w:val="both"/>
        <w:rPr>
          <w:rFonts w:ascii="Arial" w:hAnsi="Arial" w:cs="Arial"/>
          <w:b/>
          <w:bCs/>
          <w:sz w:val="24"/>
          <w:szCs w:val="24"/>
          <w:lang w:val="en-IN"/>
        </w:rPr>
      </w:pPr>
      <w:r>
        <w:rPr>
          <w:rFonts w:ascii="Arial" w:hAnsi="Arial" w:cs="Arial"/>
          <w:b/>
          <w:bCs/>
          <w:sz w:val="24"/>
          <w:szCs w:val="24"/>
          <w:lang w:val="en-IN"/>
        </w:rPr>
        <w:t>Module Title: Population Health and Digital Health Promotion</w:t>
      </w:r>
    </w:p>
    <w:p w14:paraId="2F39C550" w14:textId="77777777" w:rsidR="00031B30" w:rsidRDefault="00000000">
      <w:pPr>
        <w:pStyle w:val="Normal1"/>
        <w:jc w:val="both"/>
        <w:rPr>
          <w:rFonts w:ascii="Arial" w:hAnsi="Arial" w:cs="Arial"/>
          <w:b/>
          <w:bCs/>
          <w:sz w:val="24"/>
          <w:szCs w:val="24"/>
          <w:lang w:val="en-IN"/>
        </w:rPr>
      </w:pPr>
      <w:r>
        <w:rPr>
          <w:rFonts w:ascii="Arial" w:hAnsi="Arial" w:cs="Arial"/>
          <w:b/>
          <w:bCs/>
          <w:sz w:val="24"/>
          <w:szCs w:val="24"/>
          <w:lang w:val="en-IN"/>
        </w:rPr>
        <w:t>Assessment Title</w:t>
      </w:r>
    </w:p>
    <w:p w14:paraId="56534941" w14:textId="77777777" w:rsidR="00031B30" w:rsidRDefault="00000000">
      <w:pPr>
        <w:pStyle w:val="Normal1"/>
        <w:jc w:val="both"/>
        <w:rPr>
          <w:rFonts w:ascii="Arial" w:hAnsi="Arial" w:cs="Arial"/>
          <w:b/>
          <w:bCs/>
          <w:sz w:val="24"/>
          <w:szCs w:val="24"/>
          <w:lang w:val="en-IN"/>
        </w:rPr>
      </w:pPr>
      <w:r>
        <w:rPr>
          <w:rFonts w:ascii="Arial" w:hAnsi="Arial" w:cs="Arial"/>
          <w:b/>
          <w:bCs/>
          <w:sz w:val="24"/>
          <w:szCs w:val="24"/>
          <w:lang w:val="en-IN"/>
        </w:rPr>
        <w:t>Component 1: Two Blogs on Digital Health Promotion</w:t>
      </w:r>
    </w:p>
    <w:p w14:paraId="542E2F7C" w14:textId="4BE957DC" w:rsidR="00031B30" w:rsidRDefault="00000000">
      <w:pPr>
        <w:pStyle w:val="Normal1"/>
        <w:jc w:val="both"/>
        <w:rPr>
          <w:rFonts w:ascii="Arial" w:hAnsi="Arial" w:cs="Arial"/>
          <w:b/>
          <w:bCs/>
          <w:sz w:val="24"/>
          <w:szCs w:val="24"/>
          <w:lang w:val="en-IN"/>
        </w:rPr>
      </w:pPr>
      <w:r>
        <w:rPr>
          <w:rFonts w:ascii="Arial" w:hAnsi="Arial" w:cs="Arial"/>
          <w:b/>
          <w:bCs/>
          <w:sz w:val="24"/>
          <w:szCs w:val="24"/>
          <w:lang w:val="en-IN"/>
        </w:rPr>
        <w:t xml:space="preserve">Student </w:t>
      </w:r>
      <w:r w:rsidR="00D958B5">
        <w:rPr>
          <w:rFonts w:ascii="Arial" w:hAnsi="Arial" w:cs="Arial"/>
          <w:b/>
          <w:bCs/>
          <w:sz w:val="24"/>
          <w:szCs w:val="24"/>
          <w:lang w:val="en-IN"/>
        </w:rPr>
        <w:t>Name:</w:t>
      </w:r>
      <w:r>
        <w:rPr>
          <w:rFonts w:ascii="Arial" w:hAnsi="Arial" w:cs="Arial"/>
          <w:b/>
          <w:bCs/>
          <w:sz w:val="24"/>
          <w:szCs w:val="24"/>
          <w:lang w:val="en-IN"/>
        </w:rPr>
        <w:t xml:space="preserve"> Vaishnavi </w:t>
      </w:r>
      <w:r w:rsidR="00D958B5">
        <w:rPr>
          <w:rFonts w:ascii="Arial" w:hAnsi="Arial" w:cs="Arial"/>
          <w:b/>
          <w:bCs/>
          <w:sz w:val="24"/>
          <w:szCs w:val="24"/>
          <w:lang w:val="en-IN"/>
        </w:rPr>
        <w:t>Odedra</w:t>
      </w:r>
    </w:p>
    <w:p w14:paraId="0AE07EF8" w14:textId="77777777" w:rsidR="00031B30" w:rsidRDefault="00000000">
      <w:pPr>
        <w:pStyle w:val="Normal1"/>
        <w:jc w:val="both"/>
        <w:rPr>
          <w:rFonts w:ascii="Arial" w:hAnsi="Arial" w:cs="Arial"/>
          <w:b/>
          <w:bCs/>
          <w:sz w:val="24"/>
          <w:szCs w:val="24"/>
          <w:lang w:val="en-IN"/>
        </w:rPr>
      </w:pPr>
      <w:r>
        <w:rPr>
          <w:rFonts w:ascii="Arial" w:hAnsi="Arial" w:cs="Arial"/>
          <w:b/>
          <w:bCs/>
          <w:sz w:val="24"/>
          <w:szCs w:val="24"/>
          <w:lang w:val="en-IN"/>
        </w:rPr>
        <w:t>Student ID number: 2541605</w:t>
      </w:r>
    </w:p>
    <w:p w14:paraId="6173982E" w14:textId="77777777" w:rsidR="00031B30" w:rsidRDefault="00000000">
      <w:pPr>
        <w:pStyle w:val="Normal1"/>
        <w:jc w:val="both"/>
        <w:rPr>
          <w:rFonts w:ascii="Arial" w:hAnsi="Arial" w:cs="Arial"/>
          <w:b/>
          <w:bCs/>
          <w:sz w:val="24"/>
          <w:szCs w:val="24"/>
          <w:lang w:val="en-IN"/>
        </w:rPr>
      </w:pPr>
      <w:r>
        <w:rPr>
          <w:rFonts w:ascii="Arial" w:hAnsi="Arial" w:cs="Arial"/>
          <w:b/>
          <w:bCs/>
          <w:sz w:val="24"/>
          <w:szCs w:val="24"/>
          <w:lang w:val="en-IN"/>
        </w:rPr>
        <w:t>Lecturer: Dr Raheela Shaikh</w:t>
      </w:r>
    </w:p>
    <w:p w14:paraId="2AA1FD5F" w14:textId="77777777" w:rsidR="00031B30" w:rsidRDefault="00031B30">
      <w:pPr>
        <w:pStyle w:val="Normal1"/>
        <w:jc w:val="both"/>
        <w:rPr>
          <w:rFonts w:ascii="Arial" w:hAnsi="Arial" w:cs="Arial"/>
          <w:b/>
          <w:bCs/>
          <w:sz w:val="24"/>
          <w:szCs w:val="24"/>
        </w:rPr>
      </w:pPr>
    </w:p>
    <w:p w14:paraId="2381E521" w14:textId="77777777" w:rsidR="00031B30" w:rsidRDefault="00031B30">
      <w:pPr>
        <w:pStyle w:val="Normal1"/>
        <w:jc w:val="both"/>
        <w:rPr>
          <w:rFonts w:ascii="Arial" w:hAnsi="Arial" w:cs="Arial"/>
          <w:b/>
          <w:bCs/>
          <w:sz w:val="24"/>
          <w:szCs w:val="24"/>
        </w:rPr>
      </w:pPr>
    </w:p>
    <w:p w14:paraId="493FDEA2" w14:textId="77777777" w:rsidR="00031B30" w:rsidRDefault="00031B30">
      <w:pPr>
        <w:pStyle w:val="Normal1"/>
        <w:jc w:val="both"/>
        <w:rPr>
          <w:rFonts w:ascii="Arial" w:hAnsi="Arial" w:cs="Arial"/>
          <w:b/>
          <w:bCs/>
          <w:sz w:val="24"/>
          <w:szCs w:val="24"/>
        </w:rPr>
      </w:pPr>
    </w:p>
    <w:p w14:paraId="324CB6CF" w14:textId="77777777" w:rsidR="00031B30" w:rsidRDefault="00031B30">
      <w:pPr>
        <w:pStyle w:val="Normal1"/>
        <w:jc w:val="both"/>
        <w:rPr>
          <w:rFonts w:ascii="Arial" w:hAnsi="Arial" w:cs="Arial"/>
          <w:b/>
          <w:bCs/>
          <w:sz w:val="24"/>
          <w:szCs w:val="24"/>
        </w:rPr>
      </w:pPr>
    </w:p>
    <w:p w14:paraId="440DE164" w14:textId="77777777" w:rsidR="00031B30" w:rsidRDefault="00031B30">
      <w:pPr>
        <w:pStyle w:val="Normal1"/>
        <w:jc w:val="both"/>
        <w:rPr>
          <w:rFonts w:ascii="Arial" w:hAnsi="Arial" w:cs="Arial"/>
          <w:b/>
          <w:bCs/>
          <w:sz w:val="24"/>
          <w:szCs w:val="24"/>
        </w:rPr>
      </w:pPr>
    </w:p>
    <w:p w14:paraId="638C8A06" w14:textId="77777777" w:rsidR="00031B30" w:rsidRDefault="00031B30">
      <w:pPr>
        <w:pStyle w:val="Normal1"/>
        <w:jc w:val="both"/>
        <w:rPr>
          <w:rFonts w:ascii="Arial" w:hAnsi="Arial" w:cs="Arial"/>
          <w:b/>
          <w:bCs/>
          <w:sz w:val="24"/>
          <w:szCs w:val="24"/>
        </w:rPr>
      </w:pPr>
    </w:p>
    <w:p w14:paraId="2197FA13" w14:textId="77777777" w:rsidR="00031B30" w:rsidRDefault="00031B30">
      <w:pPr>
        <w:pStyle w:val="Normal1"/>
        <w:jc w:val="both"/>
        <w:rPr>
          <w:rFonts w:ascii="Arial" w:hAnsi="Arial" w:cs="Arial"/>
          <w:b/>
          <w:bCs/>
          <w:sz w:val="24"/>
          <w:szCs w:val="24"/>
        </w:rPr>
      </w:pPr>
    </w:p>
    <w:p w14:paraId="5E6161F9" w14:textId="77777777" w:rsidR="00031B30" w:rsidRDefault="00031B30">
      <w:pPr>
        <w:pStyle w:val="Normal1"/>
        <w:jc w:val="both"/>
        <w:rPr>
          <w:rFonts w:ascii="Arial" w:hAnsi="Arial" w:cs="Arial"/>
          <w:b/>
          <w:bCs/>
          <w:sz w:val="24"/>
          <w:szCs w:val="24"/>
        </w:rPr>
      </w:pPr>
    </w:p>
    <w:p w14:paraId="58F87AB4" w14:textId="77777777" w:rsidR="00031B30" w:rsidRDefault="00031B30">
      <w:pPr>
        <w:pStyle w:val="Normal1"/>
        <w:jc w:val="both"/>
        <w:rPr>
          <w:rFonts w:ascii="Arial" w:hAnsi="Arial" w:cs="Arial"/>
          <w:b/>
          <w:bCs/>
          <w:sz w:val="24"/>
          <w:szCs w:val="24"/>
        </w:rPr>
      </w:pPr>
    </w:p>
    <w:p w14:paraId="4F881EC9" w14:textId="77777777" w:rsidR="00031B30" w:rsidRDefault="00031B30">
      <w:pPr>
        <w:pStyle w:val="Normal1"/>
        <w:jc w:val="both"/>
        <w:rPr>
          <w:rFonts w:ascii="Arial" w:hAnsi="Arial" w:cs="Arial"/>
          <w:b/>
          <w:bCs/>
          <w:sz w:val="24"/>
          <w:szCs w:val="24"/>
        </w:rPr>
      </w:pPr>
    </w:p>
    <w:p w14:paraId="3411E53A" w14:textId="77777777" w:rsidR="00031B30" w:rsidRDefault="00031B30">
      <w:pPr>
        <w:pStyle w:val="Normal1"/>
        <w:jc w:val="both"/>
        <w:rPr>
          <w:rFonts w:ascii="Arial" w:hAnsi="Arial" w:cs="Arial"/>
          <w:b/>
          <w:bCs/>
          <w:sz w:val="24"/>
          <w:szCs w:val="24"/>
        </w:rPr>
      </w:pPr>
    </w:p>
    <w:p w14:paraId="2D93C49A" w14:textId="77777777" w:rsidR="00031B30" w:rsidRDefault="00031B30">
      <w:pPr>
        <w:pStyle w:val="Normal1"/>
        <w:jc w:val="both"/>
        <w:rPr>
          <w:rFonts w:ascii="Arial" w:hAnsi="Arial" w:cs="Arial"/>
          <w:b/>
          <w:bCs/>
          <w:sz w:val="24"/>
          <w:szCs w:val="24"/>
        </w:rPr>
      </w:pPr>
    </w:p>
    <w:p w14:paraId="18EA1C51" w14:textId="77777777" w:rsidR="00031B30" w:rsidRDefault="00031B30">
      <w:pPr>
        <w:pStyle w:val="Normal1"/>
        <w:jc w:val="both"/>
        <w:rPr>
          <w:rFonts w:ascii="Arial" w:hAnsi="Arial" w:cs="Arial"/>
          <w:b/>
          <w:bCs/>
          <w:sz w:val="24"/>
          <w:szCs w:val="24"/>
        </w:rPr>
      </w:pPr>
    </w:p>
    <w:p w14:paraId="684D1721" w14:textId="77777777" w:rsidR="00031B30" w:rsidRDefault="00031B30">
      <w:pPr>
        <w:pStyle w:val="Normal1"/>
        <w:jc w:val="both"/>
        <w:rPr>
          <w:rFonts w:ascii="Arial" w:hAnsi="Arial" w:cs="Arial"/>
          <w:b/>
          <w:bCs/>
          <w:sz w:val="24"/>
          <w:szCs w:val="24"/>
        </w:rPr>
      </w:pPr>
    </w:p>
    <w:p w14:paraId="707D46AB" w14:textId="77777777" w:rsidR="00031B30" w:rsidRDefault="00031B30">
      <w:pPr>
        <w:pStyle w:val="Normal1"/>
        <w:jc w:val="both"/>
        <w:rPr>
          <w:rFonts w:ascii="Arial" w:hAnsi="Arial" w:cs="Arial"/>
          <w:b/>
          <w:bCs/>
          <w:sz w:val="24"/>
          <w:szCs w:val="24"/>
        </w:rPr>
      </w:pPr>
    </w:p>
    <w:p w14:paraId="110D0DBA" w14:textId="77777777" w:rsidR="00031B30" w:rsidRDefault="00031B30">
      <w:pPr>
        <w:pStyle w:val="Normal1"/>
        <w:jc w:val="both"/>
        <w:rPr>
          <w:rFonts w:ascii="Arial" w:hAnsi="Arial" w:cs="Arial"/>
          <w:b/>
          <w:bCs/>
          <w:sz w:val="24"/>
          <w:szCs w:val="24"/>
        </w:rPr>
      </w:pPr>
    </w:p>
    <w:p w14:paraId="0930EEEF" w14:textId="77777777" w:rsidR="0050393B" w:rsidRDefault="0050393B">
      <w:pPr>
        <w:pStyle w:val="Normal1"/>
        <w:jc w:val="both"/>
      </w:pPr>
    </w:p>
    <w:p w14:paraId="3CD458EF" w14:textId="7D6790F4" w:rsidR="00031B30" w:rsidRPr="0050393B" w:rsidRDefault="00000000">
      <w:pPr>
        <w:pStyle w:val="Normal1"/>
        <w:jc w:val="both"/>
        <w:rPr>
          <w:rFonts w:ascii="Arial" w:hAnsi="Arial" w:cs="Arial"/>
          <w:b/>
          <w:bCs/>
          <w:sz w:val="36"/>
          <w:szCs w:val="36"/>
        </w:rPr>
      </w:pPr>
      <w:r w:rsidRPr="0050393B">
        <w:rPr>
          <w:b/>
          <w:bCs/>
          <w:sz w:val="36"/>
          <w:szCs w:val="36"/>
        </w:rPr>
        <w:lastRenderedPageBreak/>
        <w:t>Table of Contents</w:t>
      </w:r>
    </w:p>
    <w:p w14:paraId="3964A3CA" w14:textId="380354BA" w:rsidR="00031B30" w:rsidRDefault="00000000" w:rsidP="0050393B">
      <w:pPr>
        <w:pStyle w:val="Normal1"/>
        <w:tabs>
          <w:tab w:val="right" w:leader="dot" w:pos="8600"/>
        </w:tabs>
        <w:spacing w:after="60"/>
        <w:ind w:left="720"/>
        <w:jc w:val="both"/>
        <w:rPr>
          <w:rFonts w:ascii="Arial" w:hAnsi="Arial" w:cs="Arial"/>
          <w:b/>
          <w:bCs/>
          <w:sz w:val="24"/>
          <w:szCs w:val="24"/>
        </w:rPr>
      </w:pPr>
      <w:r>
        <w:rPr>
          <w:b/>
          <w:sz w:val="20"/>
        </w:rPr>
        <w:t xml:space="preserve">1. Blog 1: Can Digital CBT Improve Sleep and Anxiety? A Look at </w:t>
      </w:r>
      <w:proofErr w:type="spellStart"/>
      <w:r>
        <w:rPr>
          <w:b/>
          <w:sz w:val="20"/>
        </w:rPr>
        <w:t>Sleepio</w:t>
      </w:r>
      <w:proofErr w:type="spellEnd"/>
      <w:r>
        <w:rPr>
          <w:b/>
          <w:sz w:val="20"/>
        </w:rPr>
        <w:tab/>
        <w:t>3</w:t>
      </w:r>
      <w:r>
        <w:br/>
      </w:r>
      <w:r>
        <w:rPr>
          <w:sz w:val="20"/>
        </w:rPr>
        <w:t xml:space="preserve">   1.1 Introduction and Public Health Context</w:t>
      </w:r>
      <w:r>
        <w:rPr>
          <w:sz w:val="20"/>
        </w:rPr>
        <w:tab/>
        <w:t>3</w:t>
      </w:r>
      <w:r>
        <w:br/>
      </w:r>
      <w:r>
        <w:rPr>
          <w:sz w:val="20"/>
        </w:rPr>
        <w:t xml:space="preserve">   1.2 Overview of </w:t>
      </w:r>
      <w:proofErr w:type="spellStart"/>
      <w:r>
        <w:rPr>
          <w:sz w:val="20"/>
        </w:rPr>
        <w:t>Sleepio</w:t>
      </w:r>
      <w:proofErr w:type="spellEnd"/>
      <w:r>
        <w:rPr>
          <w:sz w:val="20"/>
        </w:rPr>
        <w:t xml:space="preserve"> and Digital CBT-I</w:t>
      </w:r>
      <w:r>
        <w:rPr>
          <w:sz w:val="20"/>
        </w:rPr>
        <w:tab/>
        <w:t>3</w:t>
      </w:r>
      <w:r>
        <w:br/>
      </w:r>
      <w:r>
        <w:rPr>
          <w:sz w:val="20"/>
        </w:rPr>
        <w:t xml:space="preserve">   1.3 Evidence of Effectiveness</w:t>
      </w:r>
      <w:r>
        <w:rPr>
          <w:sz w:val="20"/>
        </w:rPr>
        <w:tab/>
        <w:t>3</w:t>
      </w:r>
      <w:r>
        <w:br/>
      </w:r>
      <w:r>
        <w:rPr>
          <w:sz w:val="20"/>
        </w:rPr>
        <w:t xml:space="preserve">   1.4 Benefits for Sleep and Mental Wellbeing</w:t>
      </w:r>
      <w:r>
        <w:rPr>
          <w:sz w:val="20"/>
        </w:rPr>
        <w:tab/>
        <w:t>4</w:t>
      </w:r>
      <w:r>
        <w:br/>
      </w:r>
      <w:r>
        <w:rPr>
          <w:sz w:val="20"/>
        </w:rPr>
        <w:t xml:space="preserve">   1.5 Accessibility, Digital Exclusion and Health Inequalities</w:t>
      </w:r>
      <w:r>
        <w:rPr>
          <w:sz w:val="20"/>
        </w:rPr>
        <w:tab/>
        <w:t>4</w:t>
      </w:r>
      <w:r>
        <w:br/>
      </w:r>
      <w:r>
        <w:rPr>
          <w:sz w:val="20"/>
        </w:rPr>
        <w:t xml:space="preserve">   1.6 Recommendations and Conclusion</w:t>
      </w:r>
      <w:r>
        <w:rPr>
          <w:sz w:val="20"/>
        </w:rPr>
        <w:tab/>
        <w:t>4</w:t>
      </w:r>
      <w:r>
        <w:br/>
      </w:r>
      <w:r>
        <w:rPr>
          <w:b/>
          <w:sz w:val="20"/>
        </w:rPr>
        <w:t>2. Blog 2: Introducing Rest Connect: An Inclusive Digital Sleep and Wellbeing Intervention</w:t>
      </w:r>
      <w:r>
        <w:rPr>
          <w:b/>
          <w:sz w:val="20"/>
        </w:rPr>
        <w:tab/>
        <w:t>5</w:t>
      </w:r>
      <w:r>
        <w:br/>
      </w:r>
      <w:r>
        <w:rPr>
          <w:sz w:val="20"/>
        </w:rPr>
        <w:t xml:space="preserve">   2.1 Introduction and Target Population</w:t>
      </w:r>
      <w:r>
        <w:rPr>
          <w:sz w:val="20"/>
        </w:rPr>
        <w:tab/>
        <w:t>5</w:t>
      </w:r>
      <w:r>
        <w:br/>
      </w:r>
      <w:r>
        <w:rPr>
          <w:sz w:val="20"/>
        </w:rPr>
        <w:t xml:space="preserve">   2.2 Overview of the Proposed Rest Connect Service</w:t>
      </w:r>
      <w:r>
        <w:rPr>
          <w:sz w:val="20"/>
        </w:rPr>
        <w:tab/>
        <w:t>5</w:t>
      </w:r>
      <w:r>
        <w:br/>
      </w:r>
      <w:r>
        <w:rPr>
          <w:sz w:val="20"/>
        </w:rPr>
        <w:t xml:space="preserve">   2.3 Digital Features and Sleep-Support Activities</w:t>
      </w:r>
      <w:r>
        <w:rPr>
          <w:sz w:val="20"/>
        </w:rPr>
        <w:tab/>
        <w:t>5</w:t>
      </w:r>
      <w:r>
        <w:br/>
      </w:r>
      <w:r>
        <w:rPr>
          <w:sz w:val="20"/>
        </w:rPr>
        <w:t xml:space="preserve">   2.4 Application of the COM-B Behaviour Change Model</w:t>
      </w:r>
      <w:r>
        <w:rPr>
          <w:sz w:val="20"/>
        </w:rPr>
        <w:tab/>
        <w:t>6</w:t>
      </w:r>
      <w:r>
        <w:br/>
      </w:r>
      <w:r>
        <w:rPr>
          <w:sz w:val="20"/>
        </w:rPr>
        <w:t xml:space="preserve">   2.5 Signposting, Safeguarding and Further Support</w:t>
      </w:r>
      <w:r>
        <w:rPr>
          <w:sz w:val="20"/>
        </w:rPr>
        <w:tab/>
        <w:t>6</w:t>
      </w:r>
      <w:r>
        <w:br/>
      </w:r>
      <w:r>
        <w:rPr>
          <w:sz w:val="20"/>
        </w:rPr>
        <w:t xml:space="preserve">   2.6 Expected Outcomes and Evaluation</w:t>
      </w:r>
      <w:r>
        <w:rPr>
          <w:sz w:val="20"/>
        </w:rPr>
        <w:tab/>
        <w:t>6</w:t>
      </w:r>
      <w:r>
        <w:br/>
      </w:r>
      <w:r>
        <w:rPr>
          <w:sz w:val="20"/>
        </w:rPr>
        <w:t xml:space="preserve">   2.7 Digital Inclusion, Accessibility and Equity</w:t>
      </w:r>
      <w:r>
        <w:rPr>
          <w:sz w:val="20"/>
        </w:rPr>
        <w:tab/>
        <w:t>7</w:t>
      </w:r>
      <w:r>
        <w:br/>
      </w:r>
      <w:r>
        <w:rPr>
          <w:sz w:val="20"/>
        </w:rPr>
        <w:t xml:space="preserve">   2.8 Conclusion</w:t>
      </w:r>
      <w:r>
        <w:rPr>
          <w:sz w:val="20"/>
        </w:rPr>
        <w:tab/>
        <w:t>7</w:t>
      </w:r>
      <w:r>
        <w:br/>
      </w:r>
      <w:r>
        <w:rPr>
          <w:b/>
          <w:sz w:val="20"/>
        </w:rPr>
        <w:t>3. References</w:t>
      </w:r>
      <w:r>
        <w:rPr>
          <w:b/>
          <w:sz w:val="20"/>
        </w:rPr>
        <w:tab/>
      </w:r>
      <w:r w:rsidR="0050393B">
        <w:rPr>
          <w:b/>
          <w:sz w:val="20"/>
        </w:rPr>
        <w:t>8</w:t>
      </w:r>
      <w:r>
        <w:rPr>
          <w:b/>
          <w:sz w:val="20"/>
        </w:rPr>
        <w:t>–9</w:t>
      </w:r>
    </w:p>
    <w:p w14:paraId="64EC437D" w14:textId="77777777" w:rsidR="00031B30" w:rsidRDefault="00031B30" w:rsidP="0050393B">
      <w:pPr>
        <w:pStyle w:val="Normal1"/>
        <w:ind w:left="720"/>
        <w:jc w:val="both"/>
        <w:rPr>
          <w:rFonts w:ascii="Arial" w:hAnsi="Arial" w:cs="Arial"/>
          <w:b/>
          <w:bCs/>
          <w:sz w:val="24"/>
          <w:szCs w:val="24"/>
        </w:rPr>
      </w:pPr>
    </w:p>
    <w:p w14:paraId="56E5FAB6" w14:textId="77777777" w:rsidR="00031B30" w:rsidRDefault="00031B30" w:rsidP="0050393B">
      <w:pPr>
        <w:pStyle w:val="Normal1"/>
        <w:ind w:left="720"/>
        <w:jc w:val="both"/>
        <w:rPr>
          <w:rFonts w:ascii="Arial" w:hAnsi="Arial" w:cs="Arial"/>
          <w:b/>
          <w:bCs/>
          <w:sz w:val="24"/>
          <w:szCs w:val="24"/>
        </w:rPr>
      </w:pPr>
    </w:p>
    <w:p w14:paraId="4FCFEBF6" w14:textId="77777777" w:rsidR="00031B30" w:rsidRDefault="00031B30">
      <w:pPr>
        <w:pStyle w:val="Normal1"/>
        <w:jc w:val="both"/>
        <w:rPr>
          <w:rFonts w:ascii="Arial" w:hAnsi="Arial" w:cs="Arial"/>
          <w:b/>
          <w:bCs/>
          <w:sz w:val="24"/>
          <w:szCs w:val="24"/>
        </w:rPr>
      </w:pPr>
    </w:p>
    <w:p w14:paraId="769C2005" w14:textId="77777777" w:rsidR="00031B30" w:rsidRDefault="00031B30">
      <w:pPr>
        <w:pStyle w:val="Normal1"/>
        <w:jc w:val="both"/>
        <w:rPr>
          <w:rFonts w:ascii="Arial" w:hAnsi="Arial" w:cs="Arial"/>
          <w:b/>
          <w:bCs/>
          <w:sz w:val="24"/>
          <w:szCs w:val="24"/>
        </w:rPr>
      </w:pPr>
    </w:p>
    <w:p w14:paraId="5E854FFC" w14:textId="77777777" w:rsidR="00031B30" w:rsidRDefault="00031B30">
      <w:pPr>
        <w:pStyle w:val="Normal1"/>
        <w:jc w:val="both"/>
        <w:rPr>
          <w:rFonts w:ascii="Arial" w:hAnsi="Arial" w:cs="Arial"/>
          <w:b/>
          <w:bCs/>
          <w:sz w:val="24"/>
          <w:szCs w:val="24"/>
        </w:rPr>
      </w:pPr>
    </w:p>
    <w:p w14:paraId="3B5A4D3D" w14:textId="77777777" w:rsidR="00031B30" w:rsidRDefault="00031B30">
      <w:pPr>
        <w:pStyle w:val="Normal1"/>
        <w:jc w:val="both"/>
        <w:rPr>
          <w:rFonts w:ascii="Arial" w:hAnsi="Arial" w:cs="Arial"/>
          <w:b/>
          <w:bCs/>
          <w:sz w:val="24"/>
          <w:szCs w:val="24"/>
        </w:rPr>
      </w:pPr>
    </w:p>
    <w:p w14:paraId="1251FD12" w14:textId="77777777" w:rsidR="00031B30" w:rsidRDefault="00031B30">
      <w:pPr>
        <w:pStyle w:val="Normal1"/>
        <w:jc w:val="both"/>
        <w:rPr>
          <w:rFonts w:ascii="Arial" w:hAnsi="Arial" w:cs="Arial"/>
          <w:b/>
          <w:bCs/>
          <w:sz w:val="24"/>
          <w:szCs w:val="24"/>
        </w:rPr>
      </w:pPr>
    </w:p>
    <w:p w14:paraId="6E666232" w14:textId="77777777" w:rsidR="00031B30" w:rsidRDefault="00031B30">
      <w:pPr>
        <w:pStyle w:val="Normal1"/>
        <w:jc w:val="both"/>
        <w:rPr>
          <w:rFonts w:ascii="Arial" w:hAnsi="Arial" w:cs="Arial"/>
          <w:b/>
          <w:bCs/>
          <w:sz w:val="24"/>
          <w:szCs w:val="24"/>
        </w:rPr>
      </w:pPr>
    </w:p>
    <w:p w14:paraId="68D1FD04" w14:textId="77777777" w:rsidR="00031B30" w:rsidRDefault="00031B30">
      <w:pPr>
        <w:pStyle w:val="Normal1"/>
        <w:jc w:val="both"/>
        <w:rPr>
          <w:rFonts w:ascii="Arial" w:hAnsi="Arial" w:cs="Arial"/>
          <w:b/>
          <w:bCs/>
          <w:sz w:val="24"/>
          <w:szCs w:val="24"/>
        </w:rPr>
      </w:pPr>
    </w:p>
    <w:p w14:paraId="5AE46F2C" w14:textId="77777777" w:rsidR="00031B30" w:rsidRDefault="00031B30">
      <w:pPr>
        <w:pStyle w:val="Normal1"/>
        <w:jc w:val="both"/>
        <w:rPr>
          <w:rFonts w:ascii="Arial" w:hAnsi="Arial" w:cs="Arial"/>
          <w:b/>
          <w:bCs/>
          <w:sz w:val="24"/>
          <w:szCs w:val="24"/>
        </w:rPr>
      </w:pPr>
    </w:p>
    <w:p w14:paraId="0889DA55" w14:textId="77777777" w:rsidR="00031B30" w:rsidRDefault="00031B30">
      <w:pPr>
        <w:pStyle w:val="Normal1"/>
        <w:jc w:val="both"/>
        <w:rPr>
          <w:rFonts w:ascii="Arial" w:hAnsi="Arial" w:cs="Arial"/>
          <w:b/>
          <w:bCs/>
          <w:sz w:val="24"/>
          <w:szCs w:val="24"/>
        </w:rPr>
      </w:pPr>
    </w:p>
    <w:p w14:paraId="2B899F36" w14:textId="77777777" w:rsidR="00031B30" w:rsidRDefault="00031B30">
      <w:pPr>
        <w:pStyle w:val="Normal1"/>
        <w:jc w:val="both"/>
        <w:rPr>
          <w:rFonts w:ascii="Arial" w:hAnsi="Arial" w:cs="Arial"/>
          <w:b/>
          <w:bCs/>
          <w:sz w:val="24"/>
          <w:szCs w:val="24"/>
        </w:rPr>
      </w:pPr>
    </w:p>
    <w:p w14:paraId="59AD9429" w14:textId="77777777" w:rsidR="00031B30" w:rsidRDefault="00031B30">
      <w:pPr>
        <w:pStyle w:val="Normal1"/>
        <w:jc w:val="both"/>
        <w:rPr>
          <w:rFonts w:ascii="Arial" w:hAnsi="Arial" w:cs="Arial"/>
          <w:b/>
          <w:bCs/>
          <w:sz w:val="24"/>
          <w:szCs w:val="24"/>
        </w:rPr>
      </w:pPr>
    </w:p>
    <w:p w14:paraId="7319D5EA" w14:textId="77777777" w:rsidR="00031B30" w:rsidRDefault="00031B30">
      <w:pPr>
        <w:pStyle w:val="Normal1"/>
        <w:jc w:val="both"/>
        <w:rPr>
          <w:rFonts w:ascii="Arial" w:hAnsi="Arial" w:cs="Arial"/>
          <w:b/>
          <w:bCs/>
          <w:sz w:val="24"/>
          <w:szCs w:val="24"/>
        </w:rPr>
      </w:pPr>
    </w:p>
    <w:p w14:paraId="413056DD" w14:textId="77777777" w:rsidR="00031B30" w:rsidRDefault="00031B30">
      <w:pPr>
        <w:pStyle w:val="Normal1"/>
        <w:jc w:val="both"/>
        <w:rPr>
          <w:rFonts w:ascii="Arial" w:hAnsi="Arial" w:cs="Arial"/>
          <w:b/>
          <w:bCs/>
          <w:sz w:val="24"/>
          <w:szCs w:val="24"/>
        </w:rPr>
      </w:pPr>
    </w:p>
    <w:p w14:paraId="768122A4" w14:textId="77777777" w:rsidR="00031B30" w:rsidRDefault="00031B30">
      <w:pPr>
        <w:pStyle w:val="Normal1"/>
        <w:jc w:val="both"/>
        <w:rPr>
          <w:rFonts w:ascii="Arial" w:hAnsi="Arial" w:cs="Arial"/>
          <w:b/>
          <w:bCs/>
          <w:sz w:val="24"/>
          <w:szCs w:val="24"/>
        </w:rPr>
      </w:pPr>
    </w:p>
    <w:p w14:paraId="531ADCEC" w14:textId="77777777" w:rsidR="00031B30" w:rsidRDefault="00031B30">
      <w:pPr>
        <w:pStyle w:val="Normal1"/>
        <w:jc w:val="both"/>
        <w:rPr>
          <w:rFonts w:ascii="Arial" w:hAnsi="Arial" w:cs="Arial"/>
          <w:b/>
          <w:bCs/>
          <w:sz w:val="24"/>
          <w:szCs w:val="24"/>
        </w:rPr>
      </w:pPr>
    </w:p>
    <w:p w14:paraId="489A2093" w14:textId="77777777" w:rsidR="00031B30" w:rsidRDefault="00000000">
      <w:pPr>
        <w:pStyle w:val="Heading1"/>
        <w:jc w:val="center"/>
        <w:rPr>
          <w:rFonts w:ascii="Arial" w:hAnsi="Arial" w:cs="Arial"/>
          <w:b/>
          <w:bCs/>
          <w:sz w:val="24"/>
          <w:szCs w:val="24"/>
        </w:rPr>
      </w:pPr>
      <w:r>
        <w:rPr>
          <w:rFonts w:ascii="Arial" w:hAnsi="Arial" w:cs="Arial"/>
          <w:b/>
          <w:bCs/>
          <w:sz w:val="30"/>
          <w:szCs w:val="24"/>
        </w:rPr>
        <w:lastRenderedPageBreak/>
        <w:t xml:space="preserve">Blog 1 — Can Digital CBT Improve Sleep and Anxiety? A Look at </w:t>
      </w:r>
      <w:proofErr w:type="spellStart"/>
      <w:r>
        <w:rPr>
          <w:rFonts w:ascii="Arial" w:hAnsi="Arial" w:cs="Arial"/>
          <w:b/>
          <w:bCs/>
          <w:sz w:val="30"/>
          <w:szCs w:val="24"/>
        </w:rPr>
        <w:t>Sleepio</w:t>
      </w:r>
      <w:proofErr w:type="spellEnd"/>
    </w:p>
    <w:p w14:paraId="5BE0953F" w14:textId="77777777" w:rsidR="00031B30" w:rsidRDefault="00000000">
      <w:pPr>
        <w:pStyle w:val="Normal1"/>
        <w:jc w:val="both"/>
        <w:rPr>
          <w:rFonts w:ascii="Arial" w:hAnsi="Arial" w:cs="Arial"/>
          <w:sz w:val="24"/>
          <w:szCs w:val="24"/>
        </w:rPr>
      </w:pPr>
      <w:r>
        <w:rPr>
          <w:rFonts w:ascii="Arial" w:hAnsi="Arial" w:cs="Arial"/>
          <w:sz w:val="24"/>
          <w:szCs w:val="24"/>
        </w:rPr>
        <w:t>Poor sleep is a common public health concern because it can affect mood, concentration, work, relationships and physical health (Mental Health Foundation, 2025). Sleep difficulties and anxiety are closely connected: worry can make it harder to sleep, while tiredness can make it harder to manage stress the following day (Henry et al., 2023). Poor sleep may be especially challenging for working-age adults in deprived communities, where financial pressure, insecure housing, shift work and caring responsibilities can make healthy sleep more difficult (Marmot et al., 2020). Access to face-to-face support may also be limited by waiting lists, travel costs and work commitments (NHS England, 2023).</w:t>
      </w:r>
    </w:p>
    <w:p w14:paraId="51CA76AA" w14:textId="77777777" w:rsidR="00031B30" w:rsidRDefault="00000000">
      <w:pPr>
        <w:pStyle w:val="Normal1"/>
        <w:jc w:val="both"/>
        <w:rPr>
          <w:rFonts w:ascii="Arial" w:hAnsi="Arial" w:cs="Arial"/>
          <w:sz w:val="24"/>
          <w:szCs w:val="24"/>
        </w:rPr>
      </w:pPr>
      <w:proofErr w:type="spellStart"/>
      <w:r>
        <w:rPr>
          <w:rFonts w:ascii="Arial" w:hAnsi="Arial" w:cs="Arial"/>
          <w:sz w:val="24"/>
          <w:szCs w:val="24"/>
        </w:rPr>
        <w:t>Sleepio</w:t>
      </w:r>
      <w:proofErr w:type="spellEnd"/>
      <w:r>
        <w:rPr>
          <w:rFonts w:ascii="Arial" w:hAnsi="Arial" w:cs="Arial"/>
          <w:sz w:val="24"/>
          <w:szCs w:val="24"/>
        </w:rPr>
        <w:t xml:space="preserve"> is a digital programme that uses cognitive behavioural therapy for insomnia, known as CBT-I (Big Health, 2026). It helps users identify the thoughts, habits and routines that may be keeping insomnia going (Espie et al., 2019). The programme includes a sleep assessment, weekly interactive sessions and a sleep diary, and can be accessed through a website or mobile app (Big Health, 2026). As a health-promotion tool, </w:t>
      </w:r>
      <w:proofErr w:type="spellStart"/>
      <w:r>
        <w:rPr>
          <w:rFonts w:ascii="Arial" w:hAnsi="Arial" w:cs="Arial"/>
          <w:sz w:val="24"/>
          <w:szCs w:val="24"/>
        </w:rPr>
        <w:t>Sleepio</w:t>
      </w:r>
      <w:proofErr w:type="spellEnd"/>
      <w:r>
        <w:rPr>
          <w:rFonts w:ascii="Arial" w:hAnsi="Arial" w:cs="Arial"/>
          <w:sz w:val="24"/>
          <w:szCs w:val="24"/>
        </w:rPr>
        <w:t xml:space="preserve"> encourages self-management by helping people understand their sleep patterns and practise practical strategies (NICE, 2022).</w:t>
      </w:r>
    </w:p>
    <w:p w14:paraId="5F373D5C" w14:textId="77777777" w:rsidR="00031B30" w:rsidRDefault="00000000">
      <w:r>
        <w:rPr>
          <w:noProof/>
        </w:rPr>
        <w:drawing>
          <wp:inline distT="0" distB="0" distL="0" distR="0" wp14:anchorId="0F1D2ADC" wp14:editId="6D0201A0">
            <wp:extent cx="4860290" cy="2807970"/>
            <wp:effectExtent l="0" t="0" r="0" b="0"/>
            <wp:docPr id="2" name="Figure_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gure_app"/>
                    <pic:cNvPicPr>
                      <a:picLocks noChangeAspect="1" noChangeArrowheads="1"/>
                    </pic:cNvPicPr>
                  </pic:nvPicPr>
                  <pic:blipFill>
                    <a:blip r:embed="rId6"/>
                    <a:stretch>
                      <a:fillRect/>
                    </a:stretch>
                  </pic:blipFill>
                  <pic:spPr bwMode="auto">
                    <a:xfrm>
                      <a:off x="0" y="0"/>
                      <a:ext cx="4860290" cy="2807970"/>
                    </a:xfrm>
                    <a:prstGeom prst="rect">
                      <a:avLst/>
                    </a:prstGeom>
                    <a:noFill/>
                  </pic:spPr>
                </pic:pic>
              </a:graphicData>
            </a:graphic>
          </wp:inline>
        </w:drawing>
      </w:r>
    </w:p>
    <w:p w14:paraId="6539D7F3" w14:textId="77777777" w:rsidR="00031B30" w:rsidRPr="0050393B" w:rsidRDefault="00000000">
      <w:pPr>
        <w:pStyle w:val="FigureCaptionapp"/>
        <w:rPr>
          <w:i w:val="0"/>
          <w:iCs/>
        </w:rPr>
      </w:pPr>
      <w:r w:rsidRPr="0050393B">
        <w:rPr>
          <w:i w:val="0"/>
          <w:iCs/>
        </w:rPr>
        <w:t>Figure 1. Digital sleep support: a conceptual illustration of sleep tracking and CBT-I activities. Source: Author-created illustration, informed by Big Health (2026) and NICE (2022).</w:t>
      </w:r>
    </w:p>
    <w:p w14:paraId="771E63D5" w14:textId="77777777" w:rsidR="00031B30" w:rsidRDefault="00000000">
      <w:pPr>
        <w:pStyle w:val="Normal1"/>
        <w:jc w:val="both"/>
        <w:rPr>
          <w:rFonts w:ascii="Arial" w:hAnsi="Arial" w:cs="Arial"/>
          <w:sz w:val="24"/>
          <w:szCs w:val="24"/>
        </w:rPr>
      </w:pPr>
      <w:r>
        <w:rPr>
          <w:rFonts w:ascii="Arial" w:hAnsi="Arial" w:cs="Arial"/>
          <w:sz w:val="24"/>
          <w:szCs w:val="24"/>
        </w:rPr>
        <w:t xml:space="preserve">Research suggests that </w:t>
      </w:r>
      <w:proofErr w:type="spellStart"/>
      <w:r>
        <w:rPr>
          <w:rFonts w:ascii="Arial" w:hAnsi="Arial" w:cs="Arial"/>
          <w:sz w:val="24"/>
          <w:szCs w:val="24"/>
        </w:rPr>
        <w:t>Sleepio</w:t>
      </w:r>
      <w:proofErr w:type="spellEnd"/>
      <w:r>
        <w:rPr>
          <w:rFonts w:ascii="Arial" w:hAnsi="Arial" w:cs="Arial"/>
          <w:sz w:val="24"/>
          <w:szCs w:val="24"/>
        </w:rPr>
        <w:t xml:space="preserve"> can improve sleep. A randomised controlled trial of 1,711 adults with insomnia symptoms found that </w:t>
      </w:r>
      <w:proofErr w:type="spellStart"/>
      <w:r>
        <w:rPr>
          <w:rFonts w:ascii="Arial" w:hAnsi="Arial" w:cs="Arial"/>
          <w:sz w:val="24"/>
          <w:szCs w:val="24"/>
        </w:rPr>
        <w:t>Sleepio</w:t>
      </w:r>
      <w:proofErr w:type="spellEnd"/>
      <w:r>
        <w:rPr>
          <w:rFonts w:ascii="Arial" w:hAnsi="Arial" w:cs="Arial"/>
          <w:sz w:val="24"/>
          <w:szCs w:val="24"/>
        </w:rPr>
        <w:t xml:space="preserve"> improved sleep-related quality of life, psychological wellbeing and functional health compared with sleep-hygiene education (Espie et al., 2019). NICE reviewed the evidence and concluded that </w:t>
      </w:r>
      <w:proofErr w:type="spellStart"/>
      <w:r>
        <w:rPr>
          <w:rFonts w:ascii="Arial" w:hAnsi="Arial" w:cs="Arial"/>
          <w:sz w:val="24"/>
          <w:szCs w:val="24"/>
        </w:rPr>
        <w:t>Sleepio</w:t>
      </w:r>
      <w:proofErr w:type="spellEnd"/>
      <w:r>
        <w:rPr>
          <w:rFonts w:ascii="Arial" w:hAnsi="Arial" w:cs="Arial"/>
          <w:sz w:val="24"/>
          <w:szCs w:val="24"/>
        </w:rPr>
        <w:t xml:space="preserve"> reduces insomnia symptoms, based on 12 randomised controlled trials (NICE, 2022). CBT-I is also recommended as first-line treatment for long-term insomnia in adults (National Institute for Health and Care Excellence, 2024).</w:t>
      </w:r>
    </w:p>
    <w:p w14:paraId="63E8EB6C" w14:textId="77777777" w:rsidR="00031B30" w:rsidRDefault="00000000">
      <w:r>
        <w:rPr>
          <w:noProof/>
        </w:rPr>
        <w:lastRenderedPageBreak/>
        <w:drawing>
          <wp:inline distT="0" distB="0" distL="0" distR="0" wp14:anchorId="010550D0" wp14:editId="43F9EE70">
            <wp:extent cx="4860290" cy="2807970"/>
            <wp:effectExtent l="0" t="0" r="0" b="0"/>
            <wp:docPr id="3" name="Figure_di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gure_diary"/>
                    <pic:cNvPicPr>
                      <a:picLocks noChangeAspect="1" noChangeArrowheads="1"/>
                    </pic:cNvPicPr>
                  </pic:nvPicPr>
                  <pic:blipFill>
                    <a:blip r:embed="rId7"/>
                    <a:stretch>
                      <a:fillRect/>
                    </a:stretch>
                  </pic:blipFill>
                  <pic:spPr bwMode="auto">
                    <a:xfrm>
                      <a:off x="0" y="0"/>
                      <a:ext cx="4860290" cy="2807970"/>
                    </a:xfrm>
                    <a:prstGeom prst="rect">
                      <a:avLst/>
                    </a:prstGeom>
                    <a:noFill/>
                  </pic:spPr>
                </pic:pic>
              </a:graphicData>
            </a:graphic>
          </wp:inline>
        </w:drawing>
      </w:r>
    </w:p>
    <w:p w14:paraId="799C709D" w14:textId="77777777" w:rsidR="00031B30" w:rsidRPr="0050393B" w:rsidRDefault="00000000">
      <w:pPr>
        <w:pStyle w:val="FigureCaptiondiary"/>
        <w:rPr>
          <w:i w:val="0"/>
          <w:iCs/>
        </w:rPr>
      </w:pPr>
      <w:r w:rsidRPr="0050393B">
        <w:rPr>
          <w:i w:val="0"/>
          <w:iCs/>
        </w:rPr>
        <w:t>Figure 2. Example of a sleep diary used to record sleep patterns. Source: Author-created illustrative example; see Espie et al. (2019) and NICE (2022).</w:t>
      </w:r>
    </w:p>
    <w:p w14:paraId="019923D6" w14:textId="77777777" w:rsidR="00031B30" w:rsidRDefault="00000000">
      <w:pPr>
        <w:pStyle w:val="Normal1"/>
        <w:jc w:val="both"/>
        <w:rPr>
          <w:rFonts w:ascii="Arial" w:hAnsi="Arial" w:cs="Arial"/>
          <w:sz w:val="24"/>
          <w:szCs w:val="24"/>
        </w:rPr>
      </w:pPr>
      <w:proofErr w:type="spellStart"/>
      <w:r>
        <w:rPr>
          <w:rFonts w:ascii="Arial" w:hAnsi="Arial" w:cs="Arial"/>
          <w:sz w:val="24"/>
          <w:szCs w:val="24"/>
        </w:rPr>
        <w:t>Sleepio</w:t>
      </w:r>
      <w:proofErr w:type="spellEnd"/>
      <w:r>
        <w:rPr>
          <w:rFonts w:ascii="Arial" w:hAnsi="Arial" w:cs="Arial"/>
          <w:sz w:val="24"/>
          <w:szCs w:val="24"/>
        </w:rPr>
        <w:t xml:space="preserve"> may also support mental wellbeing. Research using data from </w:t>
      </w:r>
      <w:proofErr w:type="spellStart"/>
      <w:r>
        <w:rPr>
          <w:rFonts w:ascii="Arial" w:hAnsi="Arial" w:cs="Arial"/>
          <w:sz w:val="24"/>
          <w:szCs w:val="24"/>
        </w:rPr>
        <w:t>Sleepio</w:t>
      </w:r>
      <w:proofErr w:type="spellEnd"/>
      <w:r>
        <w:rPr>
          <w:rFonts w:ascii="Arial" w:hAnsi="Arial" w:cs="Arial"/>
          <w:sz w:val="24"/>
          <w:szCs w:val="24"/>
        </w:rPr>
        <w:t xml:space="preserve"> trials found that improvements in sleep were associated with later reductions in anxiety symptoms (Henry et al., 2023). This does not mean </w:t>
      </w:r>
      <w:proofErr w:type="spellStart"/>
      <w:r>
        <w:rPr>
          <w:rFonts w:ascii="Arial" w:hAnsi="Arial" w:cs="Arial"/>
          <w:sz w:val="24"/>
          <w:szCs w:val="24"/>
        </w:rPr>
        <w:t>Sleepio</w:t>
      </w:r>
      <w:proofErr w:type="spellEnd"/>
      <w:r>
        <w:rPr>
          <w:rFonts w:ascii="Arial" w:hAnsi="Arial" w:cs="Arial"/>
          <w:sz w:val="24"/>
          <w:szCs w:val="24"/>
        </w:rPr>
        <w:t xml:space="preserve"> treats every mental-health problem, but it suggests that improving sleep may benefit emotional wellbeing (Henry et al., 2023).</w:t>
      </w:r>
    </w:p>
    <w:p w14:paraId="6B007253" w14:textId="77777777" w:rsidR="00031B30" w:rsidRDefault="00000000">
      <w:pPr>
        <w:pStyle w:val="Normal1"/>
        <w:jc w:val="both"/>
        <w:rPr>
          <w:rFonts w:ascii="Arial" w:hAnsi="Arial" w:cs="Arial"/>
          <w:sz w:val="24"/>
          <w:szCs w:val="24"/>
        </w:rPr>
      </w:pPr>
      <w:r>
        <w:rPr>
          <w:rFonts w:ascii="Arial" w:hAnsi="Arial" w:cs="Arial"/>
          <w:sz w:val="24"/>
          <w:szCs w:val="24"/>
        </w:rPr>
        <w:t xml:space="preserve">The main advantage of </w:t>
      </w:r>
      <w:proofErr w:type="spellStart"/>
      <w:r>
        <w:rPr>
          <w:rFonts w:ascii="Arial" w:hAnsi="Arial" w:cs="Arial"/>
          <w:sz w:val="24"/>
          <w:szCs w:val="24"/>
        </w:rPr>
        <w:t>Sleepio</w:t>
      </w:r>
      <w:proofErr w:type="spellEnd"/>
      <w:r>
        <w:rPr>
          <w:rFonts w:ascii="Arial" w:hAnsi="Arial" w:cs="Arial"/>
          <w:sz w:val="24"/>
          <w:szCs w:val="24"/>
        </w:rPr>
        <w:t xml:space="preserve"> is convenience. People can use it at a time that suits them, which may help those who work shifts or cannot easily attend appointments (Big Health, 2026). It may also reach more people than traditional services because it does not require a therapist for every session (NICE, 2022).</w:t>
      </w:r>
    </w:p>
    <w:p w14:paraId="0B2ED317" w14:textId="77777777" w:rsidR="00031B30" w:rsidRDefault="00000000">
      <w:pPr>
        <w:pStyle w:val="Normal1"/>
        <w:jc w:val="both"/>
        <w:rPr>
          <w:rFonts w:ascii="Arial" w:hAnsi="Arial" w:cs="Arial"/>
          <w:sz w:val="24"/>
          <w:szCs w:val="24"/>
        </w:rPr>
      </w:pPr>
      <w:r>
        <w:rPr>
          <w:rFonts w:ascii="Arial" w:hAnsi="Arial" w:cs="Arial"/>
          <w:sz w:val="24"/>
          <w:szCs w:val="24"/>
        </w:rPr>
        <w:t>However, digital support is not automatically inclusive. Users need a device, internet access, digital confidence and enough privacy to complete sessions (Ofcom, 2022). Digital exclusion is linked with low income, disability, language, literacy and unstable housing (UK Parliament, 2024). Some people may also begin the programme but not finish it, particularly if they are experiencing severe anxiety, depression or a crisis (Henry et al., 2023).</w:t>
      </w:r>
    </w:p>
    <w:p w14:paraId="1E64DED1" w14:textId="77777777" w:rsidR="00031B30" w:rsidRDefault="00000000">
      <w:pPr>
        <w:pStyle w:val="Normal1"/>
        <w:jc w:val="both"/>
        <w:rPr>
          <w:rFonts w:ascii="Arial" w:hAnsi="Arial" w:cs="Arial"/>
          <w:sz w:val="24"/>
          <w:szCs w:val="24"/>
        </w:rPr>
      </w:pPr>
      <w:r>
        <w:rPr>
          <w:rFonts w:ascii="Arial" w:hAnsi="Arial" w:cs="Arial"/>
          <w:sz w:val="24"/>
          <w:szCs w:val="24"/>
        </w:rPr>
        <w:t xml:space="preserve">These shortfalls could be reduced through low-data or offline options, plain English and translated content, digital-skills support and non-digital alternatives (NHS England, 2023). Overall, </w:t>
      </w:r>
      <w:proofErr w:type="spellStart"/>
      <w:r>
        <w:rPr>
          <w:rFonts w:ascii="Arial" w:hAnsi="Arial" w:cs="Arial"/>
          <w:sz w:val="24"/>
          <w:szCs w:val="24"/>
        </w:rPr>
        <w:t>Sleepio</w:t>
      </w:r>
      <w:proofErr w:type="spellEnd"/>
      <w:r>
        <w:rPr>
          <w:rFonts w:ascii="Arial" w:hAnsi="Arial" w:cs="Arial"/>
          <w:sz w:val="24"/>
          <w:szCs w:val="24"/>
        </w:rPr>
        <w:t xml:space="preserve"> is a promising way to improve sleep and may reduce anxiety for some adults, but it should be offered alongside inclusive support so that digital health promotion does not widen health inequalities (NHS England, 2023).</w:t>
      </w:r>
    </w:p>
    <w:p w14:paraId="1EC4BA04" w14:textId="77777777" w:rsidR="00031B30" w:rsidRDefault="00031B30">
      <w:pPr>
        <w:pStyle w:val="Normal1"/>
        <w:jc w:val="both"/>
        <w:rPr>
          <w:rFonts w:ascii="Arial" w:hAnsi="Arial" w:cs="Arial"/>
          <w:sz w:val="24"/>
          <w:szCs w:val="24"/>
        </w:rPr>
      </w:pPr>
    </w:p>
    <w:p w14:paraId="7C20E6DE" w14:textId="77777777" w:rsidR="00031B30" w:rsidRDefault="00031B30">
      <w:pPr>
        <w:pStyle w:val="Normal1"/>
        <w:jc w:val="both"/>
        <w:rPr>
          <w:rFonts w:ascii="Arial" w:hAnsi="Arial" w:cs="Arial"/>
          <w:sz w:val="24"/>
          <w:szCs w:val="24"/>
        </w:rPr>
      </w:pPr>
    </w:p>
    <w:p w14:paraId="23EEE04A" w14:textId="77777777" w:rsidR="00031B30" w:rsidRDefault="00031B30">
      <w:pPr>
        <w:pStyle w:val="Normal1"/>
        <w:jc w:val="both"/>
        <w:rPr>
          <w:rFonts w:ascii="Arial" w:hAnsi="Arial" w:cs="Arial"/>
          <w:sz w:val="24"/>
          <w:szCs w:val="24"/>
        </w:rPr>
      </w:pPr>
    </w:p>
    <w:p w14:paraId="1E1F4D81" w14:textId="77777777" w:rsidR="00031B30" w:rsidRDefault="00000000">
      <w:pPr>
        <w:pStyle w:val="Heading1"/>
        <w:jc w:val="center"/>
        <w:rPr>
          <w:rFonts w:ascii="Arial" w:hAnsi="Arial" w:cs="Arial"/>
          <w:b/>
          <w:bCs/>
          <w:sz w:val="24"/>
          <w:szCs w:val="24"/>
        </w:rPr>
      </w:pPr>
      <w:r>
        <w:rPr>
          <w:rFonts w:ascii="Arial" w:hAnsi="Arial" w:cs="Arial"/>
          <w:b/>
          <w:bCs/>
          <w:sz w:val="30"/>
          <w:szCs w:val="24"/>
        </w:rPr>
        <w:lastRenderedPageBreak/>
        <w:t>Blog 2 — Introducing Rest Connect: An Inclusive Digital Sleep and Wellbeing Intervention</w:t>
      </w:r>
    </w:p>
    <w:p w14:paraId="31ED0071" w14:textId="77777777" w:rsidR="00031B30" w:rsidRDefault="00000000">
      <w:pPr>
        <w:pStyle w:val="Normal1"/>
        <w:jc w:val="both"/>
        <w:rPr>
          <w:rFonts w:ascii="Arial" w:hAnsi="Arial" w:cs="Arial"/>
          <w:sz w:val="24"/>
          <w:szCs w:val="24"/>
        </w:rPr>
      </w:pPr>
      <w:r>
        <w:rPr>
          <w:rFonts w:ascii="Arial" w:hAnsi="Arial" w:cs="Arial"/>
          <w:sz w:val="24"/>
          <w:szCs w:val="24"/>
        </w:rPr>
        <w:t>Poor sleep and anxiety often affect each other. Anxiety can make it difficult to fall asleep or stay asleep, while poor sleep can increase tiredness, stress and difficulty coping the next day (Henry et al., 2023). This can affect mood, concentration, work and relationships (Mental Health Foundation, 2025). These problems may be greater in deprived communities, where financial stress, insecure housing, shift work and limited access to healthcare can make healthy sleep harder to achieve (Marmot et al., 2020).</w:t>
      </w:r>
    </w:p>
    <w:p w14:paraId="6C36B9D4" w14:textId="77777777" w:rsidR="00031B30" w:rsidRDefault="00000000">
      <w:pPr>
        <w:pStyle w:val="Normal1"/>
        <w:jc w:val="both"/>
        <w:rPr>
          <w:rFonts w:ascii="Arial" w:hAnsi="Arial" w:cs="Arial"/>
          <w:sz w:val="24"/>
          <w:szCs w:val="24"/>
        </w:rPr>
      </w:pPr>
      <w:r>
        <w:rPr>
          <w:rFonts w:ascii="Arial" w:hAnsi="Arial" w:cs="Arial"/>
          <w:sz w:val="24"/>
          <w:szCs w:val="24"/>
        </w:rPr>
        <w:t>Rest Connect is a proposed mobile-friendly digital service designed to support better sleep and mental wellbeing among adults aged 18–64 living in deprived communities. It would not replace professional care; instead, it would provide early, practical support and clear routes to further help (NHS England, 2023). The service would include a sleep diary, short sleep-education activities, guided breathing exercises and optional reminders (Michie, van Stralen and West, 2011).</w:t>
      </w:r>
    </w:p>
    <w:p w14:paraId="0A83DE80" w14:textId="77777777" w:rsidR="00031B30" w:rsidRDefault="00000000">
      <w:pPr>
        <w:pStyle w:val="Normal1"/>
        <w:jc w:val="both"/>
        <w:rPr>
          <w:rFonts w:ascii="Arial" w:hAnsi="Arial" w:cs="Arial"/>
          <w:sz w:val="24"/>
          <w:szCs w:val="24"/>
        </w:rPr>
      </w:pPr>
      <w:r>
        <w:rPr>
          <w:rFonts w:ascii="Arial" w:hAnsi="Arial" w:cs="Arial"/>
          <w:sz w:val="24"/>
          <w:szCs w:val="24"/>
        </w:rPr>
        <w:t>Users could record their bedtime, waking time, caffeine intake, screen use and how rested they feel. The app would then give simple feedback, such as encouraging a regular wake-up time or reducing screen use before bed (NICE, 2022). It would also include short anxiety-management tools, such as grounding exercises and relaxation activities (National Institute for Health and Care Excellence, 2024).</w:t>
      </w:r>
    </w:p>
    <w:p w14:paraId="7FFB77F0" w14:textId="77777777" w:rsidR="00031B30" w:rsidRDefault="00000000">
      <w:pPr>
        <w:pStyle w:val="Normal1"/>
        <w:jc w:val="both"/>
        <w:rPr>
          <w:rFonts w:ascii="Arial" w:hAnsi="Arial" w:cs="Arial"/>
          <w:sz w:val="24"/>
          <w:szCs w:val="24"/>
        </w:rPr>
      </w:pPr>
      <w:r>
        <w:rPr>
          <w:rFonts w:ascii="Arial" w:hAnsi="Arial" w:cs="Arial"/>
          <w:sz w:val="24"/>
          <w:szCs w:val="24"/>
        </w:rPr>
        <w:t>Rest Connect would use the COM-B model of behaviour change. This model suggests that behaviour depends on capability, opportunity and motivation (Michie, van Stralen and West, 2011). The app would support capability through plain-language sleep education, opportunity through low-data access, offline diary use and translated content, and motivation through goals, reminders and progress feedback (Michie, van Stralen and West, 2011). However, the app alone cannot solve wider problems such as poverty, poor housing or work stress (Marmot et al., 2020).</w:t>
      </w:r>
    </w:p>
    <w:p w14:paraId="6D352F2A" w14:textId="77777777" w:rsidR="00031B30" w:rsidRDefault="00000000">
      <w:r>
        <w:rPr>
          <w:noProof/>
        </w:rPr>
        <w:drawing>
          <wp:inline distT="0" distB="0" distL="0" distR="0" wp14:anchorId="663D2557" wp14:editId="52CE5A10">
            <wp:extent cx="4860290" cy="2807970"/>
            <wp:effectExtent l="0" t="0" r="0" b="0"/>
            <wp:docPr id="4" name="Figure_com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gure_comb"/>
                    <pic:cNvPicPr>
                      <a:picLocks noChangeAspect="1" noChangeArrowheads="1"/>
                    </pic:cNvPicPr>
                  </pic:nvPicPr>
                  <pic:blipFill>
                    <a:blip r:embed="rId8"/>
                    <a:stretch>
                      <a:fillRect/>
                    </a:stretch>
                  </pic:blipFill>
                  <pic:spPr bwMode="auto">
                    <a:xfrm>
                      <a:off x="0" y="0"/>
                      <a:ext cx="4860290" cy="2807970"/>
                    </a:xfrm>
                    <a:prstGeom prst="rect">
                      <a:avLst/>
                    </a:prstGeom>
                    <a:noFill/>
                  </pic:spPr>
                </pic:pic>
              </a:graphicData>
            </a:graphic>
          </wp:inline>
        </w:drawing>
      </w:r>
    </w:p>
    <w:p w14:paraId="2C5F5D90" w14:textId="77777777" w:rsidR="00031B30" w:rsidRPr="0050393B" w:rsidRDefault="00000000">
      <w:pPr>
        <w:pStyle w:val="FigureCaptioncomb"/>
        <w:rPr>
          <w:i w:val="0"/>
          <w:iCs/>
        </w:rPr>
      </w:pPr>
      <w:r w:rsidRPr="0050393B">
        <w:rPr>
          <w:i w:val="0"/>
          <w:iCs/>
        </w:rPr>
        <w:t>Figure 3. The COM-B model applied to Rest Connect. Source: Adapted conceptually from Michie, van Stralen and West (2011); diagram created by the author.</w:t>
      </w:r>
    </w:p>
    <w:p w14:paraId="6195282A" w14:textId="77777777" w:rsidR="00031B30" w:rsidRDefault="00000000">
      <w:pPr>
        <w:pStyle w:val="Normal1"/>
        <w:jc w:val="both"/>
        <w:rPr>
          <w:rFonts w:ascii="Arial" w:hAnsi="Arial" w:cs="Arial"/>
          <w:sz w:val="24"/>
          <w:szCs w:val="24"/>
        </w:rPr>
      </w:pPr>
      <w:r>
        <w:rPr>
          <w:rFonts w:ascii="Arial" w:hAnsi="Arial" w:cs="Arial"/>
          <w:sz w:val="24"/>
          <w:szCs w:val="24"/>
        </w:rPr>
        <w:lastRenderedPageBreak/>
        <w:t>A key feature would be clear signposting. If a user reported severe anxiety, low mood, suicidal thoughts or a need for urgent help, Rest Connect would direct them to NHS 111, their GP, Samaritans or emergency services (NHS England, 2023). It would also signpost local support, including social prescribing, debt advice, housing support and community wellbeing services (NHS England, 2023).</w:t>
      </w:r>
    </w:p>
    <w:p w14:paraId="3232BEB5" w14:textId="77777777" w:rsidR="00031B30" w:rsidRDefault="00000000">
      <w:pPr>
        <w:pStyle w:val="Normal1"/>
        <w:jc w:val="both"/>
        <w:rPr>
          <w:rFonts w:ascii="Arial" w:hAnsi="Arial" w:cs="Arial"/>
          <w:sz w:val="24"/>
          <w:szCs w:val="24"/>
        </w:rPr>
      </w:pPr>
      <w:r>
        <w:rPr>
          <w:rFonts w:ascii="Arial" w:hAnsi="Arial" w:cs="Arial"/>
          <w:sz w:val="24"/>
          <w:szCs w:val="24"/>
        </w:rPr>
        <w:t>Rest Connect could improve sleep knowledge, confidence and self-management. Over time, it might help some users sleep better and feel less anxious, but these benefits cannot be assumed (NICE, 2022). The service would need evaluation using the Insomnia Severity Index, GAD-7 anxiety scale, engagement rates and uptake across levels of deprivation (NICE, 2022).</w:t>
      </w:r>
    </w:p>
    <w:p w14:paraId="5FCAEB5C" w14:textId="77777777" w:rsidR="00031B30" w:rsidRDefault="00000000">
      <w:pPr>
        <w:pStyle w:val="Normal1"/>
        <w:jc w:val="both"/>
        <w:rPr>
          <w:rFonts w:ascii="Arial" w:hAnsi="Arial" w:cs="Arial"/>
          <w:sz w:val="24"/>
          <w:szCs w:val="24"/>
        </w:rPr>
      </w:pPr>
      <w:r>
        <w:rPr>
          <w:rFonts w:ascii="Arial" w:hAnsi="Arial" w:cs="Arial"/>
          <w:sz w:val="24"/>
          <w:szCs w:val="24"/>
        </w:rPr>
        <w:t>The main risk is digital exclusion. People with low incomes may face barriers related to devices, data, digital skills, confidence and trust (Ofcom, 2022). Rest Connect would therefore need to be co-designed with users, offer low-data and non-digital alternatives, protect user privacy and be evaluated for both effectiveness and equity (NHS England, 2023).</w:t>
      </w:r>
    </w:p>
    <w:p w14:paraId="06B41ED0" w14:textId="77777777" w:rsidR="00031B30" w:rsidRDefault="00000000">
      <w:r>
        <w:rPr>
          <w:noProof/>
        </w:rPr>
        <w:drawing>
          <wp:inline distT="0" distB="0" distL="0" distR="0" wp14:anchorId="51620163" wp14:editId="37DC0A2F">
            <wp:extent cx="4860290" cy="2807970"/>
            <wp:effectExtent l="0" t="0" r="0" b="0"/>
            <wp:docPr id="5" name="Figure_inclu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gure_inclusion"/>
                    <pic:cNvPicPr>
                      <a:picLocks noChangeAspect="1" noChangeArrowheads="1"/>
                    </pic:cNvPicPr>
                  </pic:nvPicPr>
                  <pic:blipFill>
                    <a:blip r:embed="rId9"/>
                    <a:stretch>
                      <a:fillRect/>
                    </a:stretch>
                  </pic:blipFill>
                  <pic:spPr bwMode="auto">
                    <a:xfrm>
                      <a:off x="0" y="0"/>
                      <a:ext cx="4860290" cy="2807970"/>
                    </a:xfrm>
                    <a:prstGeom prst="rect">
                      <a:avLst/>
                    </a:prstGeom>
                    <a:noFill/>
                  </pic:spPr>
                </pic:pic>
              </a:graphicData>
            </a:graphic>
          </wp:inline>
        </w:drawing>
      </w:r>
    </w:p>
    <w:p w14:paraId="470EC4BD" w14:textId="77777777" w:rsidR="00031B30" w:rsidRPr="0050393B" w:rsidRDefault="00000000">
      <w:pPr>
        <w:pStyle w:val="FigureCaptioninclusion"/>
        <w:rPr>
          <w:i w:val="0"/>
          <w:iCs/>
        </w:rPr>
      </w:pPr>
      <w:r w:rsidRPr="0050393B">
        <w:rPr>
          <w:i w:val="0"/>
          <w:iCs/>
        </w:rPr>
        <w:t>Figure 4. Inclusive design features for a digital sleep-support service. Source: Author-created illustration, informed by NHS England (2023) and Ofcom (2022).</w:t>
      </w:r>
    </w:p>
    <w:p w14:paraId="1C9E62D3" w14:textId="77777777" w:rsidR="00031B30" w:rsidRDefault="00000000">
      <w:pPr>
        <w:pStyle w:val="Normal1"/>
        <w:jc w:val="both"/>
        <w:rPr>
          <w:rFonts w:ascii="Arial" w:hAnsi="Arial" w:cs="Arial"/>
          <w:sz w:val="24"/>
          <w:szCs w:val="24"/>
        </w:rPr>
      </w:pPr>
      <w:r>
        <w:rPr>
          <w:rFonts w:ascii="Arial" w:hAnsi="Arial" w:cs="Arial"/>
          <w:sz w:val="24"/>
          <w:szCs w:val="24"/>
        </w:rPr>
        <w:t>Overall, Rest Connect would aim to make digital health promotion more inclusive by combining practical sleep support, anxiety management and clear routes to local and professional help (NHS England, 2023).</w:t>
      </w:r>
    </w:p>
    <w:p w14:paraId="0341FC2B" w14:textId="292CE56F" w:rsidR="00031B30" w:rsidRDefault="00031B30">
      <w:pPr>
        <w:pStyle w:val="Normal1"/>
        <w:jc w:val="both"/>
      </w:pPr>
    </w:p>
    <w:p w14:paraId="276E2DDB" w14:textId="77777777" w:rsidR="0050393B" w:rsidRDefault="0050393B">
      <w:pPr>
        <w:pStyle w:val="Normal1"/>
        <w:jc w:val="both"/>
      </w:pPr>
    </w:p>
    <w:p w14:paraId="210377E9" w14:textId="77777777" w:rsidR="0050393B" w:rsidRDefault="0050393B">
      <w:pPr>
        <w:pStyle w:val="Normal1"/>
        <w:jc w:val="both"/>
      </w:pPr>
    </w:p>
    <w:p w14:paraId="53EEC332" w14:textId="77777777" w:rsidR="0050393B" w:rsidRDefault="0050393B">
      <w:pPr>
        <w:pStyle w:val="Normal1"/>
        <w:jc w:val="both"/>
      </w:pPr>
    </w:p>
    <w:p w14:paraId="20CC6114" w14:textId="77777777" w:rsidR="0050393B" w:rsidRDefault="0050393B">
      <w:pPr>
        <w:pStyle w:val="Normal1"/>
        <w:jc w:val="both"/>
      </w:pPr>
    </w:p>
    <w:p w14:paraId="4B7D0E3B" w14:textId="77777777" w:rsidR="0050393B" w:rsidRDefault="0050393B">
      <w:pPr>
        <w:pStyle w:val="Normal1"/>
        <w:jc w:val="both"/>
      </w:pPr>
    </w:p>
    <w:p w14:paraId="1573A3FD" w14:textId="07262017" w:rsidR="00031B30" w:rsidRDefault="0050393B">
      <w:pPr>
        <w:pStyle w:val="Normal1"/>
        <w:jc w:val="both"/>
        <w:rPr>
          <w:rFonts w:ascii="Arial" w:hAnsi="Arial" w:cs="Arial"/>
          <w:b/>
          <w:bCs/>
          <w:sz w:val="24"/>
          <w:szCs w:val="24"/>
        </w:rPr>
      </w:pPr>
      <w:r>
        <w:rPr>
          <w:rFonts w:ascii="Arial" w:hAnsi="Arial" w:cs="Arial"/>
          <w:b/>
          <w:bCs/>
          <w:sz w:val="24"/>
          <w:szCs w:val="24"/>
        </w:rPr>
        <w:lastRenderedPageBreak/>
        <w:t>References:</w:t>
      </w:r>
    </w:p>
    <w:p w14:paraId="1066D464" w14:textId="77777777" w:rsidR="00031B30" w:rsidRDefault="00000000">
      <w:pPr>
        <w:pStyle w:val="Normal1"/>
        <w:numPr>
          <w:ilvl w:val="0"/>
          <w:numId w:val="3"/>
        </w:numPr>
        <w:jc w:val="both"/>
      </w:pPr>
      <w:r>
        <w:rPr>
          <w:rFonts w:ascii="Arial" w:hAnsi="Arial" w:cs="Arial"/>
          <w:sz w:val="24"/>
          <w:szCs w:val="24"/>
        </w:rPr>
        <w:t xml:space="preserve">Big Health (2026) </w:t>
      </w:r>
      <w:proofErr w:type="spellStart"/>
      <w:r>
        <w:rPr>
          <w:rFonts w:ascii="Arial" w:hAnsi="Arial" w:cs="Arial"/>
          <w:i/>
          <w:iCs/>
          <w:sz w:val="24"/>
          <w:szCs w:val="24"/>
        </w:rPr>
        <w:t>Sleepio</w:t>
      </w:r>
      <w:proofErr w:type="spellEnd"/>
      <w:r>
        <w:rPr>
          <w:rFonts w:ascii="Arial" w:hAnsi="Arial" w:cs="Arial"/>
          <w:i/>
          <w:iCs/>
          <w:sz w:val="24"/>
          <w:szCs w:val="24"/>
        </w:rPr>
        <w:t xml:space="preserve"> by Big Health: CBT for insomnia and poor sleep</w:t>
      </w:r>
      <w:r>
        <w:rPr>
          <w:rFonts w:ascii="Arial" w:hAnsi="Arial" w:cs="Arial"/>
          <w:sz w:val="24"/>
          <w:szCs w:val="24"/>
        </w:rPr>
        <w:t xml:space="preserve">. Available at: </w:t>
      </w:r>
      <w:hyperlink r:id="rId10" w:tgtFrame="_top">
        <w:r w:rsidR="00031B30">
          <w:rPr>
            <w:rStyle w:val="Hyperlink"/>
            <w:rFonts w:ascii="Arial" w:hAnsi="Arial" w:cs="Arial"/>
            <w:sz w:val="24"/>
            <w:szCs w:val="24"/>
          </w:rPr>
          <w:t>https://www.bighealth.co.uk/sleepio</w:t>
        </w:r>
      </w:hyperlink>
      <w:r>
        <w:rPr>
          <w:rFonts w:ascii="Arial" w:hAnsi="Arial" w:cs="Arial"/>
          <w:sz w:val="24"/>
          <w:szCs w:val="24"/>
        </w:rPr>
        <w:t xml:space="preserve"> (Accessed: 23 October 2026).</w:t>
      </w:r>
    </w:p>
    <w:p w14:paraId="53EEC2A4" w14:textId="77777777" w:rsidR="00031B30" w:rsidRDefault="00000000">
      <w:pPr>
        <w:pStyle w:val="Normal1"/>
        <w:numPr>
          <w:ilvl w:val="0"/>
          <w:numId w:val="3"/>
        </w:numPr>
        <w:jc w:val="both"/>
      </w:pPr>
      <w:r>
        <w:rPr>
          <w:rFonts w:ascii="Arial" w:hAnsi="Arial" w:cs="Arial"/>
          <w:sz w:val="24"/>
          <w:szCs w:val="24"/>
        </w:rPr>
        <w:t xml:space="preserve">Espie, C.A., Emsley, R., Kyle, S.D. et al. (2019) ‘Effect of digital cognitive </w:t>
      </w:r>
      <w:proofErr w:type="spellStart"/>
      <w:r>
        <w:rPr>
          <w:rFonts w:ascii="Arial" w:hAnsi="Arial" w:cs="Arial"/>
          <w:sz w:val="24"/>
          <w:szCs w:val="24"/>
        </w:rPr>
        <w:t>behavioral</w:t>
      </w:r>
      <w:proofErr w:type="spellEnd"/>
      <w:r>
        <w:rPr>
          <w:rFonts w:ascii="Arial" w:hAnsi="Arial" w:cs="Arial"/>
          <w:sz w:val="24"/>
          <w:szCs w:val="24"/>
        </w:rPr>
        <w:t xml:space="preserve"> therapy for insomnia on health, psychological well-being, and sleep-related quality of life: a randomized clinical trial’, </w:t>
      </w:r>
      <w:r>
        <w:rPr>
          <w:rFonts w:ascii="Arial" w:hAnsi="Arial" w:cs="Arial"/>
          <w:i/>
          <w:iCs/>
          <w:sz w:val="24"/>
          <w:szCs w:val="24"/>
        </w:rPr>
        <w:t>JAMA Psychiatry</w:t>
      </w:r>
      <w:r>
        <w:rPr>
          <w:rFonts w:ascii="Arial" w:hAnsi="Arial" w:cs="Arial"/>
          <w:sz w:val="24"/>
          <w:szCs w:val="24"/>
        </w:rPr>
        <w:t>, 76(1), pp. 21–30. doi:10.1001/jamapsychiatry.2018.2745.</w:t>
      </w:r>
    </w:p>
    <w:p w14:paraId="09ADDDE8" w14:textId="77777777" w:rsidR="00031B30" w:rsidRDefault="00000000">
      <w:pPr>
        <w:pStyle w:val="Normal1"/>
        <w:numPr>
          <w:ilvl w:val="0"/>
          <w:numId w:val="3"/>
        </w:numPr>
        <w:jc w:val="both"/>
      </w:pPr>
      <w:r>
        <w:rPr>
          <w:rFonts w:ascii="Arial" w:hAnsi="Arial" w:cs="Arial"/>
          <w:sz w:val="24"/>
          <w:szCs w:val="24"/>
        </w:rPr>
        <w:t xml:space="preserve">Good Things Foundation (2024) </w:t>
      </w:r>
      <w:r>
        <w:rPr>
          <w:rFonts w:ascii="Arial" w:hAnsi="Arial" w:cs="Arial"/>
          <w:i/>
          <w:iCs/>
          <w:sz w:val="24"/>
          <w:szCs w:val="24"/>
        </w:rPr>
        <w:t>Digital inclusion and health: summary of key statistics</w:t>
      </w:r>
      <w:r>
        <w:rPr>
          <w:rFonts w:ascii="Arial" w:hAnsi="Arial" w:cs="Arial"/>
          <w:sz w:val="24"/>
          <w:szCs w:val="24"/>
        </w:rPr>
        <w:t xml:space="preserve">. Available at: </w:t>
      </w:r>
      <w:hyperlink r:id="rId11" w:tgtFrame="_top">
        <w:r w:rsidR="00031B30">
          <w:rPr>
            <w:rStyle w:val="Hyperlink"/>
            <w:rFonts w:ascii="Arial" w:hAnsi="Arial" w:cs="Arial"/>
            <w:sz w:val="24"/>
            <w:szCs w:val="24"/>
          </w:rPr>
          <w:t>https://www.goodthingsfoundation.org/discover/digital-inclusion-insights/digital-inclusion-insights-2024/digital-inclusion-and-health</w:t>
        </w:r>
      </w:hyperlink>
      <w:r>
        <w:rPr>
          <w:rFonts w:ascii="Arial" w:hAnsi="Arial" w:cs="Arial"/>
          <w:sz w:val="24"/>
          <w:szCs w:val="24"/>
        </w:rPr>
        <w:t xml:space="preserve"> (Accessed: 23 October 2026).</w:t>
      </w:r>
    </w:p>
    <w:p w14:paraId="6E26B5F7" w14:textId="77777777" w:rsidR="00031B30" w:rsidRDefault="00000000">
      <w:pPr>
        <w:pStyle w:val="Normal1"/>
        <w:numPr>
          <w:ilvl w:val="0"/>
          <w:numId w:val="3"/>
        </w:numPr>
        <w:jc w:val="both"/>
      </w:pPr>
      <w:r>
        <w:rPr>
          <w:rFonts w:ascii="Arial" w:hAnsi="Arial" w:cs="Arial"/>
          <w:sz w:val="24"/>
          <w:szCs w:val="24"/>
        </w:rPr>
        <w:t xml:space="preserve">Henry, A.L., Kyle, S.D., Espie, C.A. and Luik, A.I. (2023) ‘Does treating insomnia with digital cognitive </w:t>
      </w:r>
      <w:proofErr w:type="spellStart"/>
      <w:r>
        <w:rPr>
          <w:rFonts w:ascii="Arial" w:hAnsi="Arial" w:cs="Arial"/>
          <w:sz w:val="24"/>
          <w:szCs w:val="24"/>
        </w:rPr>
        <w:t>behavioral</w:t>
      </w:r>
      <w:proofErr w:type="spellEnd"/>
      <w:r>
        <w:rPr>
          <w:rFonts w:ascii="Arial" w:hAnsi="Arial" w:cs="Arial"/>
          <w:sz w:val="24"/>
          <w:szCs w:val="24"/>
        </w:rPr>
        <w:t xml:space="preserve"> therapy for insomnia (</w:t>
      </w:r>
      <w:proofErr w:type="spellStart"/>
      <w:r>
        <w:rPr>
          <w:rFonts w:ascii="Arial" w:hAnsi="Arial" w:cs="Arial"/>
          <w:sz w:val="24"/>
          <w:szCs w:val="24"/>
        </w:rPr>
        <w:t>dCBT</w:t>
      </w:r>
      <w:proofErr w:type="spellEnd"/>
      <w:r>
        <w:rPr>
          <w:rFonts w:ascii="Arial" w:hAnsi="Arial" w:cs="Arial"/>
          <w:sz w:val="24"/>
          <w:szCs w:val="24"/>
        </w:rPr>
        <w:t xml:space="preserve">-I) improve anxiety?’, </w:t>
      </w:r>
      <w:r>
        <w:rPr>
          <w:rFonts w:ascii="Arial" w:hAnsi="Arial" w:cs="Arial"/>
          <w:i/>
          <w:iCs/>
          <w:sz w:val="24"/>
          <w:szCs w:val="24"/>
        </w:rPr>
        <w:t>Journal of Affective Disorders</w:t>
      </w:r>
      <w:r>
        <w:rPr>
          <w:rFonts w:ascii="Arial" w:hAnsi="Arial" w:cs="Arial"/>
          <w:sz w:val="24"/>
          <w:szCs w:val="24"/>
        </w:rPr>
        <w:t xml:space="preserve">, 334, pp. 29–36. </w:t>
      </w:r>
      <w:proofErr w:type="gramStart"/>
      <w:r>
        <w:rPr>
          <w:rFonts w:ascii="Arial" w:hAnsi="Arial" w:cs="Arial"/>
          <w:sz w:val="24"/>
          <w:szCs w:val="24"/>
        </w:rPr>
        <w:t>doi:10.1016/j.jad</w:t>
      </w:r>
      <w:proofErr w:type="gramEnd"/>
      <w:r>
        <w:rPr>
          <w:rFonts w:ascii="Arial" w:hAnsi="Arial" w:cs="Arial"/>
          <w:sz w:val="24"/>
          <w:szCs w:val="24"/>
        </w:rPr>
        <w:t>.2023.04.124.</w:t>
      </w:r>
    </w:p>
    <w:p w14:paraId="5E1FB6C5" w14:textId="77777777" w:rsidR="00031B30" w:rsidRDefault="00000000">
      <w:pPr>
        <w:pStyle w:val="Normal1"/>
        <w:numPr>
          <w:ilvl w:val="0"/>
          <w:numId w:val="3"/>
        </w:numPr>
        <w:jc w:val="both"/>
      </w:pPr>
      <w:r>
        <w:rPr>
          <w:rFonts w:ascii="Arial" w:hAnsi="Arial" w:cs="Arial"/>
          <w:sz w:val="24"/>
          <w:szCs w:val="24"/>
        </w:rPr>
        <w:t xml:space="preserve">Marmot, M., Allen, J., Boyce, T., Goldblatt, P. and Morrison, J. (2020) </w:t>
      </w:r>
      <w:r>
        <w:rPr>
          <w:rFonts w:ascii="Arial" w:hAnsi="Arial" w:cs="Arial"/>
          <w:i/>
          <w:iCs/>
          <w:sz w:val="24"/>
          <w:szCs w:val="24"/>
        </w:rPr>
        <w:t xml:space="preserve">Health equity in England: </w:t>
      </w:r>
      <w:proofErr w:type="gramStart"/>
      <w:r>
        <w:rPr>
          <w:rFonts w:ascii="Arial" w:hAnsi="Arial" w:cs="Arial"/>
          <w:i/>
          <w:iCs/>
          <w:sz w:val="24"/>
          <w:szCs w:val="24"/>
        </w:rPr>
        <w:t>the</w:t>
      </w:r>
      <w:proofErr w:type="gramEnd"/>
      <w:r>
        <w:rPr>
          <w:rFonts w:ascii="Arial" w:hAnsi="Arial" w:cs="Arial"/>
          <w:i/>
          <w:iCs/>
          <w:sz w:val="24"/>
          <w:szCs w:val="24"/>
        </w:rPr>
        <w:t xml:space="preserve"> Marmot review 10 years on</w:t>
      </w:r>
      <w:r>
        <w:rPr>
          <w:rFonts w:ascii="Arial" w:hAnsi="Arial" w:cs="Arial"/>
          <w:sz w:val="24"/>
          <w:szCs w:val="24"/>
        </w:rPr>
        <w:t>. London: Institute of Health Equity.</w:t>
      </w:r>
    </w:p>
    <w:p w14:paraId="01B38F18" w14:textId="77777777" w:rsidR="00031B30" w:rsidRDefault="00000000">
      <w:pPr>
        <w:pStyle w:val="Normal1"/>
        <w:numPr>
          <w:ilvl w:val="0"/>
          <w:numId w:val="3"/>
        </w:numPr>
        <w:jc w:val="both"/>
      </w:pPr>
      <w:r>
        <w:rPr>
          <w:rFonts w:ascii="Arial" w:hAnsi="Arial" w:cs="Arial"/>
          <w:sz w:val="24"/>
          <w:szCs w:val="24"/>
        </w:rPr>
        <w:t xml:space="preserve">Mental Health Foundation (2025) </w:t>
      </w:r>
      <w:r>
        <w:rPr>
          <w:rFonts w:ascii="Arial" w:hAnsi="Arial" w:cs="Arial"/>
          <w:i/>
          <w:iCs/>
          <w:sz w:val="24"/>
          <w:szCs w:val="24"/>
        </w:rPr>
        <w:t>Average adult has only 3 days a week with good quality sleep</w:t>
      </w:r>
      <w:r>
        <w:rPr>
          <w:rFonts w:ascii="Arial" w:hAnsi="Arial" w:cs="Arial"/>
          <w:sz w:val="24"/>
          <w:szCs w:val="24"/>
        </w:rPr>
        <w:t xml:space="preserve">. Available at: </w:t>
      </w:r>
      <w:hyperlink r:id="rId12" w:tgtFrame="_top">
        <w:r w:rsidR="00031B30">
          <w:rPr>
            <w:rStyle w:val="Hyperlink"/>
            <w:rFonts w:ascii="Arial" w:hAnsi="Arial" w:cs="Arial"/>
            <w:sz w:val="24"/>
            <w:szCs w:val="24"/>
          </w:rPr>
          <w:t>https://www.mentalhealth.org.uk/about-us/news/average-adult-has-only-3-days-week-good-quality-sleep</w:t>
        </w:r>
      </w:hyperlink>
      <w:r>
        <w:rPr>
          <w:rFonts w:ascii="Arial" w:hAnsi="Arial" w:cs="Arial"/>
          <w:sz w:val="24"/>
          <w:szCs w:val="24"/>
        </w:rPr>
        <w:t xml:space="preserve"> (Accessed: 23 October 2026).</w:t>
      </w:r>
    </w:p>
    <w:p w14:paraId="608531EE" w14:textId="77777777" w:rsidR="00031B30" w:rsidRDefault="00000000">
      <w:pPr>
        <w:pStyle w:val="Normal1"/>
        <w:numPr>
          <w:ilvl w:val="0"/>
          <w:numId w:val="3"/>
        </w:numPr>
        <w:jc w:val="both"/>
      </w:pPr>
      <w:r>
        <w:rPr>
          <w:rFonts w:ascii="Arial" w:hAnsi="Arial" w:cs="Arial"/>
          <w:sz w:val="24"/>
          <w:szCs w:val="24"/>
        </w:rPr>
        <w:t xml:space="preserve">Michie, S., van Stralen, M.M. and West, R. (2011) ‘The behaviour change wheel: a new method for characterising and designing behaviour change interventions’, </w:t>
      </w:r>
      <w:r>
        <w:rPr>
          <w:rFonts w:ascii="Arial" w:hAnsi="Arial" w:cs="Arial"/>
          <w:i/>
          <w:iCs/>
          <w:sz w:val="24"/>
          <w:szCs w:val="24"/>
        </w:rPr>
        <w:t>Implementation Science</w:t>
      </w:r>
      <w:r>
        <w:rPr>
          <w:rFonts w:ascii="Arial" w:hAnsi="Arial" w:cs="Arial"/>
          <w:sz w:val="24"/>
          <w:szCs w:val="24"/>
        </w:rPr>
        <w:t>, 6, article 42. doi:10.1186/1748-5908-6-42.</w:t>
      </w:r>
    </w:p>
    <w:p w14:paraId="70D969BA" w14:textId="77777777" w:rsidR="00031B30" w:rsidRDefault="00000000">
      <w:pPr>
        <w:pStyle w:val="Normal1"/>
        <w:numPr>
          <w:ilvl w:val="0"/>
          <w:numId w:val="3"/>
        </w:numPr>
        <w:jc w:val="both"/>
      </w:pPr>
      <w:r>
        <w:rPr>
          <w:rFonts w:ascii="Arial" w:hAnsi="Arial" w:cs="Arial"/>
          <w:sz w:val="24"/>
          <w:szCs w:val="24"/>
        </w:rPr>
        <w:t xml:space="preserve">National Institute for Health and Care Excellence (2022) </w:t>
      </w:r>
      <w:proofErr w:type="spellStart"/>
      <w:r>
        <w:rPr>
          <w:rFonts w:ascii="Arial" w:hAnsi="Arial" w:cs="Arial"/>
          <w:i/>
          <w:iCs/>
          <w:sz w:val="24"/>
          <w:szCs w:val="24"/>
        </w:rPr>
        <w:t>Sleepio</w:t>
      </w:r>
      <w:proofErr w:type="spellEnd"/>
      <w:r>
        <w:rPr>
          <w:rFonts w:ascii="Arial" w:hAnsi="Arial" w:cs="Arial"/>
          <w:i/>
          <w:iCs/>
          <w:sz w:val="24"/>
          <w:szCs w:val="24"/>
        </w:rPr>
        <w:t xml:space="preserve"> to treat insomnia and insomnia symptoms: HealthTech guidance HTG624</w:t>
      </w:r>
      <w:r>
        <w:rPr>
          <w:rFonts w:ascii="Arial" w:hAnsi="Arial" w:cs="Arial"/>
          <w:sz w:val="24"/>
          <w:szCs w:val="24"/>
        </w:rPr>
        <w:t xml:space="preserve">. Available at: </w:t>
      </w:r>
      <w:hyperlink r:id="rId13" w:tgtFrame="_top">
        <w:r w:rsidR="00031B30">
          <w:rPr>
            <w:rStyle w:val="Hyperlink"/>
            <w:rFonts w:ascii="Arial" w:hAnsi="Arial" w:cs="Arial"/>
            <w:sz w:val="24"/>
            <w:szCs w:val="24"/>
          </w:rPr>
          <w:t>https://www.nice.org.uk/guidance/htg624</w:t>
        </w:r>
      </w:hyperlink>
      <w:r>
        <w:rPr>
          <w:rFonts w:ascii="Arial" w:hAnsi="Arial" w:cs="Arial"/>
          <w:sz w:val="24"/>
          <w:szCs w:val="24"/>
        </w:rPr>
        <w:t xml:space="preserve"> (Accessed: 23 October 2026).</w:t>
      </w:r>
    </w:p>
    <w:p w14:paraId="5FB9F57C" w14:textId="77777777" w:rsidR="00031B30" w:rsidRDefault="00000000">
      <w:pPr>
        <w:pStyle w:val="Normal1"/>
        <w:numPr>
          <w:ilvl w:val="0"/>
          <w:numId w:val="3"/>
        </w:numPr>
        <w:jc w:val="both"/>
      </w:pPr>
      <w:r>
        <w:rPr>
          <w:rFonts w:ascii="Arial" w:hAnsi="Arial" w:cs="Arial"/>
          <w:sz w:val="24"/>
          <w:szCs w:val="24"/>
        </w:rPr>
        <w:t xml:space="preserve">National Institute for Health and Care Excellence (2024) </w:t>
      </w:r>
      <w:r>
        <w:rPr>
          <w:rFonts w:ascii="Arial" w:hAnsi="Arial" w:cs="Arial"/>
          <w:i/>
          <w:iCs/>
          <w:sz w:val="24"/>
          <w:szCs w:val="24"/>
        </w:rPr>
        <w:t>Insomnia: NICE clinical knowledge summary</w:t>
      </w:r>
      <w:r>
        <w:rPr>
          <w:rFonts w:ascii="Arial" w:hAnsi="Arial" w:cs="Arial"/>
          <w:sz w:val="24"/>
          <w:szCs w:val="24"/>
        </w:rPr>
        <w:t xml:space="preserve">. Available at: </w:t>
      </w:r>
      <w:hyperlink r:id="rId14" w:tgtFrame="_top">
        <w:r w:rsidR="00031B30">
          <w:rPr>
            <w:rStyle w:val="Hyperlink"/>
            <w:rFonts w:ascii="Arial" w:hAnsi="Arial" w:cs="Arial"/>
            <w:sz w:val="24"/>
            <w:szCs w:val="24"/>
          </w:rPr>
          <w:t>https://cks.nice.org.uk/topics/insomnia/</w:t>
        </w:r>
      </w:hyperlink>
      <w:r>
        <w:rPr>
          <w:rFonts w:ascii="Arial" w:hAnsi="Arial" w:cs="Arial"/>
          <w:sz w:val="24"/>
          <w:szCs w:val="24"/>
        </w:rPr>
        <w:t xml:space="preserve"> (Accessed: 23 October 2026).</w:t>
      </w:r>
    </w:p>
    <w:p w14:paraId="7C0B8C0E" w14:textId="77777777" w:rsidR="00031B30" w:rsidRDefault="00000000">
      <w:pPr>
        <w:pStyle w:val="Normal1"/>
        <w:numPr>
          <w:ilvl w:val="0"/>
          <w:numId w:val="3"/>
        </w:numPr>
        <w:jc w:val="both"/>
      </w:pPr>
      <w:r>
        <w:rPr>
          <w:rFonts w:ascii="Arial" w:hAnsi="Arial" w:cs="Arial"/>
          <w:sz w:val="24"/>
          <w:szCs w:val="24"/>
        </w:rPr>
        <w:t xml:space="preserve">NHS England (2023) </w:t>
      </w:r>
      <w:r>
        <w:rPr>
          <w:rFonts w:ascii="Arial" w:hAnsi="Arial" w:cs="Arial"/>
          <w:i/>
          <w:iCs/>
          <w:sz w:val="24"/>
          <w:szCs w:val="24"/>
        </w:rPr>
        <w:t>Inclusive digital healthcare: a framework for NHS action on digital inclusion</w:t>
      </w:r>
      <w:r>
        <w:rPr>
          <w:rFonts w:ascii="Arial" w:hAnsi="Arial" w:cs="Arial"/>
          <w:sz w:val="24"/>
          <w:szCs w:val="24"/>
        </w:rPr>
        <w:t xml:space="preserve">. Available at: </w:t>
      </w:r>
      <w:hyperlink r:id="rId15" w:tgtFrame="_top">
        <w:r w:rsidR="00031B30">
          <w:rPr>
            <w:rStyle w:val="Hyperlink"/>
            <w:rFonts w:ascii="Arial" w:hAnsi="Arial" w:cs="Arial"/>
            <w:sz w:val="24"/>
            <w:szCs w:val="24"/>
          </w:rPr>
          <w:t>https://www.england.nhs.uk/long-read/inclusive-digital-healthcare-a-framework-for-nhs-action-on-digital-inclusion/</w:t>
        </w:r>
      </w:hyperlink>
      <w:r>
        <w:rPr>
          <w:rFonts w:ascii="Arial" w:hAnsi="Arial" w:cs="Arial"/>
          <w:sz w:val="24"/>
          <w:szCs w:val="24"/>
        </w:rPr>
        <w:t xml:space="preserve"> (Accessed: 23 October 2026).</w:t>
      </w:r>
    </w:p>
    <w:p w14:paraId="6208F882" w14:textId="77777777" w:rsidR="00031B30" w:rsidRDefault="00000000">
      <w:pPr>
        <w:pStyle w:val="Normal1"/>
        <w:numPr>
          <w:ilvl w:val="0"/>
          <w:numId w:val="3"/>
        </w:numPr>
        <w:jc w:val="both"/>
      </w:pPr>
      <w:r>
        <w:rPr>
          <w:rFonts w:ascii="Arial" w:hAnsi="Arial" w:cs="Arial"/>
          <w:sz w:val="24"/>
          <w:szCs w:val="24"/>
        </w:rPr>
        <w:t xml:space="preserve">Ofcom (2022) </w:t>
      </w:r>
      <w:r>
        <w:rPr>
          <w:rFonts w:ascii="Arial" w:hAnsi="Arial" w:cs="Arial"/>
          <w:i/>
          <w:iCs/>
          <w:sz w:val="24"/>
          <w:szCs w:val="24"/>
        </w:rPr>
        <w:t>Digital exclusion: a review of Ofcom’s research on digital exclusion among adults in the UK</w:t>
      </w:r>
      <w:r>
        <w:rPr>
          <w:rFonts w:ascii="Arial" w:hAnsi="Arial" w:cs="Arial"/>
          <w:sz w:val="24"/>
          <w:szCs w:val="24"/>
        </w:rPr>
        <w:t xml:space="preserve">. Available at: </w:t>
      </w:r>
      <w:hyperlink r:id="rId16" w:tgtFrame="_top">
        <w:r w:rsidR="00031B30">
          <w:rPr>
            <w:rStyle w:val="Hyperlink"/>
            <w:rFonts w:ascii="Arial" w:hAnsi="Arial" w:cs="Arial"/>
            <w:sz w:val="24"/>
            <w:szCs w:val="24"/>
          </w:rPr>
          <w:t>https://www.ofcom.org.uk/siteassets/resources/documents/research-and-data/media-literacy-research/adults/adults-media-use-and-attitudes-2022/digital-exclusion-review-2022.pdf</w:t>
        </w:r>
      </w:hyperlink>
      <w:r>
        <w:rPr>
          <w:rFonts w:ascii="Arial" w:hAnsi="Arial" w:cs="Arial"/>
          <w:sz w:val="24"/>
          <w:szCs w:val="24"/>
        </w:rPr>
        <w:t xml:space="preserve"> (Accessed: 23 October 2026).</w:t>
      </w:r>
    </w:p>
    <w:p w14:paraId="0D328426" w14:textId="77777777" w:rsidR="00031B30" w:rsidRDefault="00000000">
      <w:pPr>
        <w:pStyle w:val="Normal1"/>
        <w:numPr>
          <w:ilvl w:val="0"/>
          <w:numId w:val="3"/>
        </w:numPr>
        <w:jc w:val="both"/>
      </w:pPr>
      <w:r>
        <w:rPr>
          <w:rFonts w:ascii="Arial" w:hAnsi="Arial" w:cs="Arial"/>
          <w:sz w:val="24"/>
          <w:szCs w:val="24"/>
        </w:rPr>
        <w:lastRenderedPageBreak/>
        <w:t xml:space="preserve">Smith, K.A., Ward, T., Lambe, S. et al. (2025) ‘Engagement and attrition in digital mental health’, </w:t>
      </w:r>
      <w:proofErr w:type="spellStart"/>
      <w:r>
        <w:rPr>
          <w:rFonts w:ascii="Arial" w:hAnsi="Arial" w:cs="Arial"/>
          <w:i/>
          <w:iCs/>
          <w:sz w:val="24"/>
          <w:szCs w:val="24"/>
        </w:rPr>
        <w:t>npj</w:t>
      </w:r>
      <w:proofErr w:type="spellEnd"/>
      <w:r>
        <w:rPr>
          <w:rFonts w:ascii="Arial" w:hAnsi="Arial" w:cs="Arial"/>
          <w:i/>
          <w:iCs/>
          <w:sz w:val="24"/>
          <w:szCs w:val="24"/>
        </w:rPr>
        <w:t xml:space="preserve"> Digital Medicine</w:t>
      </w:r>
      <w:r>
        <w:rPr>
          <w:rFonts w:ascii="Arial" w:hAnsi="Arial" w:cs="Arial"/>
          <w:sz w:val="24"/>
          <w:szCs w:val="24"/>
        </w:rPr>
        <w:t>, 8, article 421. doi:10.1038/s41746-025-01778-w.</w:t>
      </w:r>
    </w:p>
    <w:p w14:paraId="66044F03" w14:textId="77777777" w:rsidR="00031B30" w:rsidRDefault="00000000">
      <w:pPr>
        <w:pStyle w:val="Normal1"/>
        <w:numPr>
          <w:ilvl w:val="0"/>
          <w:numId w:val="3"/>
        </w:numPr>
        <w:jc w:val="both"/>
      </w:pPr>
      <w:r>
        <w:rPr>
          <w:rFonts w:ascii="Arial" w:hAnsi="Arial" w:cs="Arial"/>
          <w:sz w:val="24"/>
          <w:szCs w:val="24"/>
        </w:rPr>
        <w:t xml:space="preserve">UK Parliament (2024) </w:t>
      </w:r>
      <w:r>
        <w:rPr>
          <w:rFonts w:ascii="Arial" w:hAnsi="Arial" w:cs="Arial"/>
          <w:i/>
          <w:iCs/>
          <w:sz w:val="24"/>
          <w:szCs w:val="24"/>
        </w:rPr>
        <w:t>Digital exclusion</w:t>
      </w:r>
      <w:r>
        <w:rPr>
          <w:rFonts w:ascii="Arial" w:hAnsi="Arial" w:cs="Arial"/>
          <w:sz w:val="24"/>
          <w:szCs w:val="24"/>
        </w:rPr>
        <w:t xml:space="preserve">. Available at: </w:t>
      </w:r>
      <w:hyperlink r:id="rId17" w:tgtFrame="_top">
        <w:r w:rsidR="00031B30">
          <w:rPr>
            <w:rStyle w:val="Hyperlink"/>
            <w:rFonts w:ascii="Arial" w:hAnsi="Arial" w:cs="Arial"/>
            <w:sz w:val="24"/>
            <w:szCs w:val="24"/>
          </w:rPr>
          <w:t>https://publications.parliament.uk/pa/ld5803/ldselect/ldcomm/219/21905.htm</w:t>
        </w:r>
      </w:hyperlink>
      <w:r>
        <w:rPr>
          <w:rFonts w:ascii="Arial" w:hAnsi="Arial" w:cs="Arial"/>
          <w:sz w:val="24"/>
          <w:szCs w:val="24"/>
        </w:rPr>
        <w:t xml:space="preserve"> (Accessed: 23 October 2026).</w:t>
      </w:r>
    </w:p>
    <w:p w14:paraId="4E58228C" w14:textId="77777777" w:rsidR="00031B30" w:rsidRDefault="00000000">
      <w:pPr>
        <w:pStyle w:val="Normal1"/>
        <w:numPr>
          <w:ilvl w:val="0"/>
          <w:numId w:val="3"/>
        </w:numPr>
        <w:jc w:val="both"/>
      </w:pPr>
      <w:r>
        <w:rPr>
          <w:rFonts w:ascii="Arial" w:hAnsi="Arial" w:cs="Arial"/>
          <w:sz w:val="24"/>
          <w:szCs w:val="24"/>
        </w:rPr>
        <w:t xml:space="preserve">World Health Organization (1986) </w:t>
      </w:r>
      <w:r>
        <w:rPr>
          <w:rFonts w:ascii="Arial" w:hAnsi="Arial" w:cs="Arial"/>
          <w:i/>
          <w:iCs/>
          <w:sz w:val="24"/>
          <w:szCs w:val="24"/>
        </w:rPr>
        <w:t>The Ottawa Charter for Health Promotion</w:t>
      </w:r>
      <w:r>
        <w:rPr>
          <w:rFonts w:ascii="Arial" w:hAnsi="Arial" w:cs="Arial"/>
          <w:sz w:val="24"/>
          <w:szCs w:val="24"/>
        </w:rPr>
        <w:t>. Geneva: World Health Organization.</w:t>
      </w:r>
    </w:p>
    <w:p w14:paraId="26322363" w14:textId="77777777" w:rsidR="00031B30" w:rsidRDefault="00000000">
      <w:pPr>
        <w:pStyle w:val="Normal1"/>
        <w:numPr>
          <w:ilvl w:val="0"/>
          <w:numId w:val="3"/>
        </w:numPr>
        <w:jc w:val="both"/>
      </w:pPr>
      <w:r>
        <w:rPr>
          <w:rFonts w:ascii="Arial" w:hAnsi="Arial" w:cs="Arial"/>
          <w:sz w:val="24"/>
          <w:szCs w:val="24"/>
        </w:rPr>
        <w:t xml:space="preserve">NHS Digital (2021) </w:t>
      </w:r>
      <w:r>
        <w:rPr>
          <w:rFonts w:ascii="Arial" w:hAnsi="Arial" w:cs="Arial"/>
          <w:i/>
          <w:iCs/>
          <w:sz w:val="24"/>
          <w:szCs w:val="24"/>
        </w:rPr>
        <w:t>Designing for inclusion</w:t>
      </w:r>
      <w:r>
        <w:rPr>
          <w:rFonts w:ascii="Arial" w:hAnsi="Arial" w:cs="Arial"/>
          <w:sz w:val="24"/>
          <w:szCs w:val="24"/>
        </w:rPr>
        <w:t xml:space="preserve">. Available at: </w:t>
      </w:r>
      <w:hyperlink r:id="rId18" w:tgtFrame="_top">
        <w:r w:rsidR="00031B30">
          <w:rPr>
            <w:rStyle w:val="Hyperlink"/>
            <w:rFonts w:ascii="Arial" w:hAnsi="Arial" w:cs="Arial"/>
            <w:sz w:val="24"/>
            <w:szCs w:val="24"/>
          </w:rPr>
          <w:t>https://digital.nhs.uk/about-nhs-digital/corporate-information-and-documents/digital-inclusion/designing-for-inclusion</w:t>
        </w:r>
      </w:hyperlink>
      <w:r>
        <w:rPr>
          <w:rFonts w:ascii="Arial" w:hAnsi="Arial" w:cs="Arial"/>
          <w:sz w:val="24"/>
          <w:szCs w:val="24"/>
        </w:rPr>
        <w:t xml:space="preserve"> (Accessed: 23 October 2026).</w:t>
      </w:r>
    </w:p>
    <w:p w14:paraId="6C844E3A" w14:textId="77777777" w:rsidR="00031B30" w:rsidRDefault="00031B30">
      <w:pPr>
        <w:pStyle w:val="Normal1"/>
      </w:pPr>
    </w:p>
    <w:sectPr w:rsidR="00031B30">
      <w:pgSz w:w="11906" w:h="16838"/>
      <w:pgMar w:top="1440" w:right="1440" w:bottom="1440" w:left="1440" w:header="0" w:footer="0" w:gutter="0"/>
      <w:cols w:space="720"/>
      <w:formProt w:val="0"/>
      <w:docGrid w:linePitch="600" w:charSpace="3686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1"/>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iberation Sans">
    <w:altName w:val="Arial"/>
    <w:charset w:val="01"/>
    <w:family w:val="swiss"/>
    <w:pitch w:val="variable"/>
  </w:font>
  <w:font w:name="Noto Sans">
    <w:charset w:val="00"/>
    <w:family w:val="swiss"/>
    <w:pitch w:val="variable"/>
    <w:sig w:usb0="E00082FF" w:usb1="400078FF" w:usb2="00000021" w:usb3="00000000" w:csb0="0000019F" w:csb1="00000000"/>
  </w:font>
  <w:font w:name="DejaVu San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8D415E"/>
    <w:multiLevelType w:val="multilevel"/>
    <w:tmpl w:val="F00CB0CA"/>
    <w:lvl w:ilvl="0">
      <w:start w:val="1"/>
      <w:numFmt w:val="none"/>
      <w:pStyle w:val="Heading1"/>
      <w:suff w:val="nothing"/>
      <w:lvlText w:val="%1"/>
      <w:lvlJc w:val="left"/>
      <w:pPr>
        <w:tabs>
          <w:tab w:val="num" w:pos="0"/>
        </w:tabs>
        <w:ind w:left="0" w:firstLine="0"/>
      </w:pPr>
    </w:lvl>
    <w:lvl w:ilvl="1">
      <w:start w:val="1"/>
      <w:numFmt w:val="none"/>
      <w:pStyle w:val="Heading2"/>
      <w:suff w:val="nothing"/>
      <w:lvlText w:val="%2"/>
      <w:lvlJc w:val="left"/>
      <w:pPr>
        <w:tabs>
          <w:tab w:val="num" w:pos="0"/>
        </w:tabs>
        <w:ind w:left="0" w:firstLine="0"/>
      </w:pPr>
    </w:lvl>
    <w:lvl w:ilvl="2">
      <w:start w:val="1"/>
      <w:numFmt w:val="none"/>
      <w:pStyle w:val="Heading3"/>
      <w:suff w:val="nothing"/>
      <w:lvlText w:val="%3"/>
      <w:lvlJc w:val="left"/>
      <w:pPr>
        <w:tabs>
          <w:tab w:val="num" w:pos="0"/>
        </w:tabs>
        <w:ind w:left="0" w:firstLine="0"/>
      </w:pPr>
    </w:lvl>
    <w:lvl w:ilvl="3">
      <w:start w:val="1"/>
      <w:numFmt w:val="none"/>
      <w:pStyle w:val="Heading4"/>
      <w:suff w:val="nothing"/>
      <w:lvlText w:val="%4"/>
      <w:lvlJc w:val="left"/>
      <w:pPr>
        <w:tabs>
          <w:tab w:val="num" w:pos="0"/>
        </w:tabs>
        <w:ind w:left="0" w:firstLine="0"/>
      </w:pPr>
    </w:lvl>
    <w:lvl w:ilvl="4">
      <w:start w:val="1"/>
      <w:numFmt w:val="none"/>
      <w:pStyle w:val="Heading5"/>
      <w:suff w:val="nothing"/>
      <w:lvlText w:val="%5"/>
      <w:lvlJc w:val="left"/>
      <w:pPr>
        <w:tabs>
          <w:tab w:val="num" w:pos="0"/>
        </w:tabs>
        <w:ind w:left="0" w:firstLine="0"/>
      </w:pPr>
    </w:lvl>
    <w:lvl w:ilvl="5">
      <w:start w:val="1"/>
      <w:numFmt w:val="none"/>
      <w:pStyle w:val="Heading6"/>
      <w:suff w:val="nothing"/>
      <w:lvlText w:val="%6"/>
      <w:lvlJc w:val="left"/>
      <w:pPr>
        <w:tabs>
          <w:tab w:val="num" w:pos="0"/>
        </w:tabs>
        <w:ind w:left="0" w:firstLine="0"/>
      </w:pPr>
    </w:lvl>
    <w:lvl w:ilvl="6">
      <w:start w:val="1"/>
      <w:numFmt w:val="none"/>
      <w:pStyle w:val="Heading7"/>
      <w:suff w:val="nothing"/>
      <w:lvlText w:val="%7"/>
      <w:lvlJc w:val="left"/>
      <w:pPr>
        <w:tabs>
          <w:tab w:val="num" w:pos="0"/>
        </w:tabs>
        <w:ind w:left="0" w:firstLine="0"/>
      </w:pPr>
    </w:lvl>
    <w:lvl w:ilvl="7">
      <w:start w:val="1"/>
      <w:numFmt w:val="none"/>
      <w:pStyle w:val="Heading8"/>
      <w:suff w:val="nothing"/>
      <w:lvlText w:val="%8"/>
      <w:lvlJc w:val="left"/>
      <w:pPr>
        <w:tabs>
          <w:tab w:val="num" w:pos="0"/>
        </w:tabs>
        <w:ind w:left="0" w:firstLine="0"/>
      </w:pPr>
    </w:lvl>
    <w:lvl w:ilvl="8">
      <w:start w:val="1"/>
      <w:numFmt w:val="none"/>
      <w:pStyle w:val="Heading9"/>
      <w:suff w:val="nothing"/>
      <w:lvlText w:val="%9"/>
      <w:lvlJc w:val="left"/>
      <w:pPr>
        <w:tabs>
          <w:tab w:val="num" w:pos="0"/>
        </w:tabs>
        <w:ind w:left="0" w:firstLine="0"/>
      </w:pPr>
    </w:lvl>
  </w:abstractNum>
  <w:abstractNum w:abstractNumId="1" w15:restartNumberingAfterBreak="0">
    <w:nsid w:val="4C3C6FDE"/>
    <w:multiLevelType w:val="multilevel"/>
    <w:tmpl w:val="CDBAD7C0"/>
    <w:lvl w:ilvl="0">
      <w:start w:val="1"/>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3."/>
      <w:lvlJc w:val="left"/>
      <w:pPr>
        <w:tabs>
          <w:tab w:val="num" w:pos="0"/>
        </w:tabs>
        <w:ind w:left="2160" w:hanging="360"/>
      </w:pPr>
    </w:lvl>
    <w:lvl w:ilvl="3">
      <w:start w:val="1"/>
      <w:numFmt w:val="decimal"/>
      <w:lvlText w:val="%4."/>
      <w:lvlJc w:val="left"/>
      <w:pPr>
        <w:tabs>
          <w:tab w:val="num" w:pos="0"/>
        </w:tabs>
        <w:ind w:left="2880" w:hanging="360"/>
      </w:pPr>
    </w:lvl>
    <w:lvl w:ilvl="4">
      <w:start w:val="1"/>
      <w:numFmt w:val="decimal"/>
      <w:lvlText w:val="%5."/>
      <w:lvlJc w:val="left"/>
      <w:pPr>
        <w:tabs>
          <w:tab w:val="num" w:pos="0"/>
        </w:tabs>
        <w:ind w:left="3600" w:hanging="360"/>
      </w:pPr>
    </w:lvl>
    <w:lvl w:ilvl="5">
      <w:start w:val="1"/>
      <w:numFmt w:val="decimal"/>
      <w:lvlText w:val="%6."/>
      <w:lvlJc w:val="left"/>
      <w:pPr>
        <w:tabs>
          <w:tab w:val="num" w:pos="0"/>
        </w:tabs>
        <w:ind w:left="4320" w:hanging="360"/>
      </w:pPr>
    </w:lvl>
    <w:lvl w:ilvl="6">
      <w:start w:val="1"/>
      <w:numFmt w:val="decimal"/>
      <w:lvlText w:val="%7."/>
      <w:lvlJc w:val="left"/>
      <w:pPr>
        <w:tabs>
          <w:tab w:val="num" w:pos="0"/>
        </w:tabs>
        <w:ind w:left="5040" w:hanging="360"/>
      </w:pPr>
    </w:lvl>
    <w:lvl w:ilvl="7">
      <w:start w:val="1"/>
      <w:numFmt w:val="decimal"/>
      <w:lvlText w:val="%8."/>
      <w:lvlJc w:val="left"/>
      <w:pPr>
        <w:tabs>
          <w:tab w:val="num" w:pos="0"/>
        </w:tabs>
        <w:ind w:left="5760" w:hanging="360"/>
      </w:pPr>
    </w:lvl>
    <w:lvl w:ilvl="8">
      <w:start w:val="1"/>
      <w:numFmt w:val="decimal"/>
      <w:lvlText w:val="%9."/>
      <w:lvlJc w:val="left"/>
      <w:pPr>
        <w:tabs>
          <w:tab w:val="num" w:pos="0"/>
        </w:tabs>
        <w:ind w:left="6480" w:hanging="360"/>
      </w:pPr>
    </w:lvl>
  </w:abstractNum>
  <w:abstractNum w:abstractNumId="2" w15:restartNumberingAfterBreak="0">
    <w:nsid w:val="59FE335E"/>
    <w:multiLevelType w:val="multilevel"/>
    <w:tmpl w:val="B1D49972"/>
    <w:lvl w:ilvl="0">
      <w:start w:val="1"/>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3."/>
      <w:lvlJc w:val="left"/>
      <w:pPr>
        <w:tabs>
          <w:tab w:val="num" w:pos="0"/>
        </w:tabs>
        <w:ind w:left="2160" w:hanging="360"/>
      </w:pPr>
    </w:lvl>
    <w:lvl w:ilvl="3">
      <w:start w:val="1"/>
      <w:numFmt w:val="decimal"/>
      <w:lvlText w:val="%4."/>
      <w:lvlJc w:val="left"/>
      <w:pPr>
        <w:tabs>
          <w:tab w:val="num" w:pos="0"/>
        </w:tabs>
        <w:ind w:left="2880" w:hanging="360"/>
      </w:pPr>
    </w:lvl>
    <w:lvl w:ilvl="4">
      <w:start w:val="1"/>
      <w:numFmt w:val="decimal"/>
      <w:lvlText w:val="%5."/>
      <w:lvlJc w:val="left"/>
      <w:pPr>
        <w:tabs>
          <w:tab w:val="num" w:pos="0"/>
        </w:tabs>
        <w:ind w:left="3600" w:hanging="360"/>
      </w:pPr>
    </w:lvl>
    <w:lvl w:ilvl="5">
      <w:start w:val="1"/>
      <w:numFmt w:val="decimal"/>
      <w:lvlText w:val="%6."/>
      <w:lvlJc w:val="left"/>
      <w:pPr>
        <w:tabs>
          <w:tab w:val="num" w:pos="0"/>
        </w:tabs>
        <w:ind w:left="4320" w:hanging="360"/>
      </w:pPr>
    </w:lvl>
    <w:lvl w:ilvl="6">
      <w:start w:val="1"/>
      <w:numFmt w:val="decimal"/>
      <w:lvlText w:val="%7."/>
      <w:lvlJc w:val="left"/>
      <w:pPr>
        <w:tabs>
          <w:tab w:val="num" w:pos="0"/>
        </w:tabs>
        <w:ind w:left="5040" w:hanging="360"/>
      </w:pPr>
    </w:lvl>
    <w:lvl w:ilvl="7">
      <w:start w:val="1"/>
      <w:numFmt w:val="decimal"/>
      <w:lvlText w:val="%8."/>
      <w:lvlJc w:val="left"/>
      <w:pPr>
        <w:tabs>
          <w:tab w:val="num" w:pos="0"/>
        </w:tabs>
        <w:ind w:left="5760" w:hanging="360"/>
      </w:pPr>
    </w:lvl>
    <w:lvl w:ilvl="8">
      <w:start w:val="1"/>
      <w:numFmt w:val="decimal"/>
      <w:lvlText w:val="%9."/>
      <w:lvlJc w:val="left"/>
      <w:pPr>
        <w:tabs>
          <w:tab w:val="num" w:pos="0"/>
        </w:tabs>
        <w:ind w:left="6480" w:hanging="360"/>
      </w:pPr>
    </w:lvl>
  </w:abstractNum>
  <w:num w:numId="1" w16cid:durableId="1289775722">
    <w:abstractNumId w:val="0"/>
  </w:num>
  <w:num w:numId="2" w16cid:durableId="1933851981">
    <w:abstractNumId w:val="2"/>
  </w:num>
  <w:num w:numId="3" w16cid:durableId="2929467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hyphenationZone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B30"/>
    <w:rsid w:val="00031B30"/>
    <w:rsid w:val="0050393B"/>
    <w:rsid w:val="00582BA7"/>
    <w:rsid w:val="00AF1A41"/>
    <w:rsid w:val="00AF6988"/>
    <w:rsid w:val="00C459F6"/>
    <w:rsid w:val="00D958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7370E"/>
  <w15:docId w15:val="{DAAD69C0-EC10-4488-AECA-F349D3319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sz w:val="22"/>
        <w:szCs w:val="22"/>
        <w:lang w:val="en-GB" w:eastAsia="en-US" w:bidi="ar-SA"/>
      </w:rPr>
    </w:rPrDefault>
    <w:pPrDefault>
      <w:pPr>
        <w:spacing w:line="25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pPr>
  </w:style>
  <w:style w:type="paragraph" w:styleId="Heading1">
    <w:name w:val="heading 1"/>
    <w:basedOn w:val="Normal1"/>
    <w:next w:val="Normal1"/>
    <w:uiPriority w:val="9"/>
    <w:qFormat/>
    <w:pPr>
      <w:keepNext/>
      <w:keepLines/>
      <w:numPr>
        <w:numId w:val="1"/>
      </w:numPr>
      <w:spacing w:before="360" w:after="80"/>
      <w:outlineLvl w:val="0"/>
    </w:pPr>
    <w:rPr>
      <w:rFonts w:ascii="Aptos Display" w:eastAsia="Times New Roman" w:hAnsi="Aptos Display"/>
      <w:color w:val="0F4761"/>
      <w:sz w:val="40"/>
      <w:szCs w:val="40"/>
    </w:rPr>
  </w:style>
  <w:style w:type="paragraph" w:styleId="Heading2">
    <w:name w:val="heading 2"/>
    <w:basedOn w:val="Normal1"/>
    <w:next w:val="Normal1"/>
    <w:uiPriority w:val="9"/>
    <w:semiHidden/>
    <w:unhideWhenUsed/>
    <w:qFormat/>
    <w:pPr>
      <w:keepNext/>
      <w:keepLines/>
      <w:numPr>
        <w:ilvl w:val="1"/>
        <w:numId w:val="1"/>
      </w:numPr>
      <w:spacing w:before="160" w:after="80"/>
      <w:outlineLvl w:val="1"/>
    </w:pPr>
    <w:rPr>
      <w:rFonts w:ascii="Aptos Display" w:eastAsia="Times New Roman" w:hAnsi="Aptos Display"/>
      <w:color w:val="0F4761"/>
      <w:sz w:val="32"/>
      <w:szCs w:val="32"/>
    </w:rPr>
  </w:style>
  <w:style w:type="paragraph" w:styleId="Heading3">
    <w:name w:val="heading 3"/>
    <w:basedOn w:val="Normal1"/>
    <w:next w:val="Normal1"/>
    <w:uiPriority w:val="9"/>
    <w:semiHidden/>
    <w:unhideWhenUsed/>
    <w:qFormat/>
    <w:pPr>
      <w:keepNext/>
      <w:keepLines/>
      <w:numPr>
        <w:ilvl w:val="2"/>
        <w:numId w:val="1"/>
      </w:numPr>
      <w:spacing w:before="160" w:after="80"/>
      <w:outlineLvl w:val="2"/>
    </w:pPr>
    <w:rPr>
      <w:rFonts w:eastAsia="Times New Roman"/>
      <w:color w:val="0F4761"/>
      <w:sz w:val="28"/>
      <w:szCs w:val="28"/>
    </w:rPr>
  </w:style>
  <w:style w:type="paragraph" w:styleId="Heading4">
    <w:name w:val="heading 4"/>
    <w:basedOn w:val="Normal1"/>
    <w:next w:val="Normal1"/>
    <w:uiPriority w:val="9"/>
    <w:semiHidden/>
    <w:unhideWhenUsed/>
    <w:qFormat/>
    <w:pPr>
      <w:keepNext/>
      <w:keepLines/>
      <w:numPr>
        <w:ilvl w:val="3"/>
        <w:numId w:val="1"/>
      </w:numPr>
      <w:spacing w:before="80" w:after="40"/>
      <w:outlineLvl w:val="3"/>
    </w:pPr>
    <w:rPr>
      <w:rFonts w:eastAsia="Times New Roman"/>
      <w:i/>
      <w:iCs/>
      <w:color w:val="0F4761"/>
    </w:rPr>
  </w:style>
  <w:style w:type="paragraph" w:styleId="Heading5">
    <w:name w:val="heading 5"/>
    <w:basedOn w:val="Normal1"/>
    <w:next w:val="Normal1"/>
    <w:uiPriority w:val="9"/>
    <w:semiHidden/>
    <w:unhideWhenUsed/>
    <w:qFormat/>
    <w:pPr>
      <w:keepNext/>
      <w:keepLines/>
      <w:numPr>
        <w:ilvl w:val="4"/>
        <w:numId w:val="1"/>
      </w:numPr>
      <w:spacing w:before="80" w:after="40"/>
      <w:outlineLvl w:val="4"/>
    </w:pPr>
    <w:rPr>
      <w:rFonts w:eastAsia="Times New Roman"/>
      <w:color w:val="0F4761"/>
    </w:rPr>
  </w:style>
  <w:style w:type="paragraph" w:styleId="Heading6">
    <w:name w:val="heading 6"/>
    <w:basedOn w:val="Normal1"/>
    <w:next w:val="Normal1"/>
    <w:uiPriority w:val="9"/>
    <w:semiHidden/>
    <w:unhideWhenUsed/>
    <w:qFormat/>
    <w:pPr>
      <w:keepNext/>
      <w:keepLines/>
      <w:numPr>
        <w:ilvl w:val="5"/>
        <w:numId w:val="1"/>
      </w:numPr>
      <w:spacing w:before="40" w:after="0"/>
      <w:outlineLvl w:val="5"/>
    </w:pPr>
    <w:rPr>
      <w:rFonts w:eastAsia="Times New Roman"/>
      <w:i/>
      <w:iCs/>
      <w:color w:val="595959"/>
    </w:rPr>
  </w:style>
  <w:style w:type="paragraph" w:styleId="Heading7">
    <w:name w:val="heading 7"/>
    <w:basedOn w:val="Normal1"/>
    <w:next w:val="Normal1"/>
    <w:qFormat/>
    <w:pPr>
      <w:keepNext/>
      <w:keepLines/>
      <w:numPr>
        <w:ilvl w:val="6"/>
        <w:numId w:val="1"/>
      </w:numPr>
      <w:spacing w:before="40" w:after="0"/>
      <w:outlineLvl w:val="6"/>
    </w:pPr>
    <w:rPr>
      <w:rFonts w:eastAsia="Times New Roman"/>
      <w:color w:val="595959"/>
    </w:rPr>
  </w:style>
  <w:style w:type="paragraph" w:styleId="Heading8">
    <w:name w:val="heading 8"/>
    <w:basedOn w:val="Normal1"/>
    <w:next w:val="Normal1"/>
    <w:qFormat/>
    <w:pPr>
      <w:keepNext/>
      <w:keepLines/>
      <w:numPr>
        <w:ilvl w:val="7"/>
        <w:numId w:val="1"/>
      </w:numPr>
      <w:spacing w:after="0"/>
      <w:outlineLvl w:val="7"/>
    </w:pPr>
    <w:rPr>
      <w:rFonts w:eastAsia="Times New Roman"/>
      <w:i/>
      <w:iCs/>
      <w:color w:val="272727"/>
    </w:rPr>
  </w:style>
  <w:style w:type="paragraph" w:styleId="Heading9">
    <w:name w:val="heading 9"/>
    <w:basedOn w:val="Normal1"/>
    <w:next w:val="Normal1"/>
    <w:qFormat/>
    <w:pPr>
      <w:keepNext/>
      <w:keepLines/>
      <w:numPr>
        <w:ilvl w:val="8"/>
        <w:numId w:val="1"/>
      </w:numPr>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qFormat/>
    <w:rPr>
      <w:rFonts w:ascii="Aptos Display" w:eastAsia="Times New Roman" w:hAnsi="Aptos Display" w:cs="Times New Roman"/>
      <w:color w:val="0F4761"/>
      <w:sz w:val="40"/>
      <w:szCs w:val="40"/>
    </w:rPr>
  </w:style>
  <w:style w:type="character" w:customStyle="1" w:styleId="Heading2Char">
    <w:name w:val="Heading 2 Char"/>
    <w:basedOn w:val="DefaultParagraphFont"/>
    <w:qFormat/>
    <w:rPr>
      <w:rFonts w:ascii="Aptos Display" w:eastAsia="Times New Roman" w:hAnsi="Aptos Display" w:cs="Times New Roman"/>
      <w:color w:val="0F4761"/>
      <w:sz w:val="32"/>
      <w:szCs w:val="32"/>
    </w:rPr>
  </w:style>
  <w:style w:type="character" w:customStyle="1" w:styleId="Heading3Char">
    <w:name w:val="Heading 3 Char"/>
    <w:basedOn w:val="DefaultParagraphFont"/>
    <w:qFormat/>
    <w:rPr>
      <w:rFonts w:eastAsia="Times New Roman" w:cs="Times New Roman"/>
      <w:color w:val="0F4761"/>
      <w:sz w:val="28"/>
      <w:szCs w:val="28"/>
    </w:rPr>
  </w:style>
  <w:style w:type="character" w:customStyle="1" w:styleId="Heading4Char">
    <w:name w:val="Heading 4 Char"/>
    <w:basedOn w:val="DefaultParagraphFont"/>
    <w:qFormat/>
    <w:rPr>
      <w:rFonts w:eastAsia="Times New Roman" w:cs="Times New Roman"/>
      <w:i/>
      <w:iCs/>
      <w:color w:val="0F4761"/>
    </w:rPr>
  </w:style>
  <w:style w:type="character" w:customStyle="1" w:styleId="Heading5Char">
    <w:name w:val="Heading 5 Char"/>
    <w:basedOn w:val="DefaultParagraphFont"/>
    <w:qFormat/>
    <w:rPr>
      <w:rFonts w:eastAsia="Times New Roman" w:cs="Times New Roman"/>
      <w:color w:val="0F4761"/>
    </w:rPr>
  </w:style>
  <w:style w:type="character" w:customStyle="1" w:styleId="Heading6Char">
    <w:name w:val="Heading 6 Char"/>
    <w:basedOn w:val="DefaultParagraphFont"/>
    <w:qFormat/>
    <w:rPr>
      <w:rFonts w:eastAsia="Times New Roman" w:cs="Times New Roman"/>
      <w:i/>
      <w:iCs/>
      <w:color w:val="595959"/>
    </w:rPr>
  </w:style>
  <w:style w:type="character" w:customStyle="1" w:styleId="Heading7Char">
    <w:name w:val="Heading 7 Char"/>
    <w:basedOn w:val="DefaultParagraphFont"/>
    <w:qFormat/>
    <w:rPr>
      <w:rFonts w:eastAsia="Times New Roman" w:cs="Times New Roman"/>
      <w:color w:val="595959"/>
    </w:rPr>
  </w:style>
  <w:style w:type="character" w:customStyle="1" w:styleId="Heading8Char">
    <w:name w:val="Heading 8 Char"/>
    <w:basedOn w:val="DefaultParagraphFont"/>
    <w:qFormat/>
    <w:rPr>
      <w:rFonts w:eastAsia="Times New Roman" w:cs="Times New Roman"/>
      <w:i/>
      <w:iCs/>
      <w:color w:val="272727"/>
    </w:rPr>
  </w:style>
  <w:style w:type="character" w:customStyle="1" w:styleId="Heading9Char">
    <w:name w:val="Heading 9 Char"/>
    <w:basedOn w:val="DefaultParagraphFont"/>
    <w:qFormat/>
    <w:rPr>
      <w:rFonts w:eastAsia="Times New Roman" w:cs="Times New Roman"/>
      <w:color w:val="272727"/>
    </w:rPr>
  </w:style>
  <w:style w:type="character" w:customStyle="1" w:styleId="TitleChar">
    <w:name w:val="Title Char"/>
    <w:basedOn w:val="DefaultParagraphFont"/>
    <w:qFormat/>
    <w:rPr>
      <w:rFonts w:ascii="Aptos Display" w:eastAsia="Times New Roman" w:hAnsi="Aptos Display" w:cs="Times New Roman"/>
      <w:spacing w:val="-10"/>
      <w:kern w:val="2"/>
      <w:sz w:val="56"/>
      <w:szCs w:val="56"/>
    </w:rPr>
  </w:style>
  <w:style w:type="character" w:customStyle="1" w:styleId="SubtitleChar">
    <w:name w:val="Subtitle Char"/>
    <w:basedOn w:val="DefaultParagraphFont"/>
    <w:qFormat/>
    <w:rPr>
      <w:rFonts w:eastAsia="Times New Roman" w:cs="Times New Roman"/>
      <w:color w:val="595959"/>
      <w:spacing w:val="15"/>
      <w:sz w:val="28"/>
      <w:szCs w:val="28"/>
    </w:rPr>
  </w:style>
  <w:style w:type="character" w:customStyle="1" w:styleId="QuoteChar">
    <w:name w:val="Quote Char"/>
    <w:basedOn w:val="DefaultParagraphFont"/>
    <w:qFormat/>
    <w:rPr>
      <w:i/>
      <w:iCs/>
      <w:color w:val="404040"/>
    </w:rPr>
  </w:style>
  <w:style w:type="character" w:styleId="IntenseEmphasis">
    <w:name w:val="Intense Emphasis"/>
    <w:basedOn w:val="DefaultParagraphFont"/>
    <w:qFormat/>
    <w:rPr>
      <w:i/>
      <w:iCs/>
      <w:color w:val="0F4761"/>
    </w:rPr>
  </w:style>
  <w:style w:type="character" w:customStyle="1" w:styleId="IntenseQuoteChar">
    <w:name w:val="Intense Quote Char"/>
    <w:basedOn w:val="DefaultParagraphFont"/>
    <w:qFormat/>
    <w:rPr>
      <w:i/>
      <w:iCs/>
      <w:color w:val="0F4761"/>
    </w:rPr>
  </w:style>
  <w:style w:type="character" w:styleId="IntenseReference">
    <w:name w:val="Intense Reference"/>
    <w:basedOn w:val="DefaultParagraphFont"/>
    <w:qFormat/>
    <w:rPr>
      <w:b/>
      <w:bCs/>
      <w:smallCaps/>
      <w:color w:val="0F4761"/>
      <w:spacing w:val="5"/>
    </w:rPr>
  </w:style>
  <w:style w:type="character" w:customStyle="1" w:styleId="Hyperlink1">
    <w:name w:val="Hyperlink1"/>
    <w:basedOn w:val="DefaultParagraphFont"/>
    <w:qFormat/>
    <w:rPr>
      <w:color w:val="467886"/>
      <w:u w:val="single"/>
    </w:rPr>
  </w:style>
  <w:style w:type="character" w:styleId="UnresolvedMention">
    <w:name w:val="Unresolved Mention"/>
    <w:basedOn w:val="DefaultParagraphFont"/>
    <w:qFormat/>
    <w:rPr>
      <w:color w:val="605E5C"/>
      <w:shd w:val="clear" w:color="auto" w:fill="E1DFDD"/>
    </w:rPr>
  </w:style>
  <w:style w:type="character" w:customStyle="1" w:styleId="HeaderChar">
    <w:name w:val="Header Char"/>
    <w:basedOn w:val="DefaultParagraphFont"/>
    <w:qFormat/>
  </w:style>
  <w:style w:type="character" w:customStyle="1" w:styleId="FooterChar">
    <w:name w:val="Footer Char"/>
    <w:basedOn w:val="DefaultParagraphFont"/>
    <w:qFormat/>
  </w:style>
  <w:style w:type="character" w:customStyle="1" w:styleId="WWCharLFO2LVL1">
    <w:name w:val="WW_CharLFO2LVL1"/>
    <w:qFormat/>
    <w:rPr>
      <w:rFonts w:ascii="Symbol" w:hAnsi="Symbol"/>
      <w:sz w:val="20"/>
    </w:rPr>
  </w:style>
  <w:style w:type="character" w:customStyle="1" w:styleId="WWCharLFO2LVL2">
    <w:name w:val="WW_CharLFO2LVL2"/>
    <w:qFormat/>
    <w:rPr>
      <w:rFonts w:ascii="Courier New" w:hAnsi="Courier New"/>
      <w:sz w:val="20"/>
    </w:rPr>
  </w:style>
  <w:style w:type="character" w:customStyle="1" w:styleId="WWCharLFO2LVL3">
    <w:name w:val="WW_CharLFO2LVL3"/>
    <w:qFormat/>
    <w:rPr>
      <w:rFonts w:ascii="Wingdings" w:hAnsi="Wingdings"/>
      <w:sz w:val="20"/>
    </w:rPr>
  </w:style>
  <w:style w:type="character" w:customStyle="1" w:styleId="WWCharLFO2LVL4">
    <w:name w:val="WW_CharLFO2LVL4"/>
    <w:qFormat/>
    <w:rPr>
      <w:rFonts w:ascii="Wingdings" w:hAnsi="Wingdings"/>
      <w:sz w:val="20"/>
    </w:rPr>
  </w:style>
  <w:style w:type="character" w:customStyle="1" w:styleId="WWCharLFO2LVL5">
    <w:name w:val="WW_CharLFO2LVL5"/>
    <w:qFormat/>
    <w:rPr>
      <w:rFonts w:ascii="Wingdings" w:hAnsi="Wingdings"/>
      <w:sz w:val="20"/>
    </w:rPr>
  </w:style>
  <w:style w:type="character" w:customStyle="1" w:styleId="WWCharLFO2LVL6">
    <w:name w:val="WW_CharLFO2LVL6"/>
    <w:qFormat/>
    <w:rPr>
      <w:rFonts w:ascii="Wingdings" w:hAnsi="Wingdings"/>
      <w:sz w:val="20"/>
    </w:rPr>
  </w:style>
  <w:style w:type="character" w:customStyle="1" w:styleId="WWCharLFO2LVL7">
    <w:name w:val="WW_CharLFO2LVL7"/>
    <w:qFormat/>
    <w:rPr>
      <w:rFonts w:ascii="Wingdings" w:hAnsi="Wingdings"/>
      <w:sz w:val="20"/>
    </w:rPr>
  </w:style>
  <w:style w:type="character" w:customStyle="1" w:styleId="WWCharLFO2LVL8">
    <w:name w:val="WW_CharLFO2LVL8"/>
    <w:qFormat/>
    <w:rPr>
      <w:rFonts w:ascii="Wingdings" w:hAnsi="Wingdings"/>
      <w:sz w:val="20"/>
    </w:rPr>
  </w:style>
  <w:style w:type="character" w:customStyle="1" w:styleId="WWCharLFO2LVL9">
    <w:name w:val="WW_CharLFO2LVL9"/>
    <w:qFormat/>
    <w:rPr>
      <w:rFonts w:ascii="Wingdings" w:hAnsi="Wingdings"/>
      <w:sz w:val="20"/>
    </w:rPr>
  </w:style>
  <w:style w:type="character" w:styleId="Hyperlink">
    <w:name w:val="Hyperlink"/>
    <w:rPr>
      <w:color w:val="000080"/>
      <w:u w:val="single"/>
    </w:rPr>
  </w:style>
  <w:style w:type="paragraph" w:customStyle="1" w:styleId="Heading">
    <w:name w:val="Heading"/>
    <w:basedOn w:val="Normal"/>
    <w:next w:val="BodyText"/>
    <w:qFormat/>
    <w:pPr>
      <w:keepNext/>
      <w:spacing w:before="240" w:after="120"/>
    </w:pPr>
    <w:rPr>
      <w:rFonts w:ascii="Liberation Sans" w:eastAsia="Noto Sans" w:hAnsi="Liberation Sans" w:cs="DejaVu Sans"/>
      <w:sz w:val="28"/>
      <w:szCs w:val="28"/>
    </w:rPr>
  </w:style>
  <w:style w:type="paragraph" w:styleId="BodyText">
    <w:name w:val="Body Text"/>
    <w:basedOn w:val="Normal"/>
    <w:pPr>
      <w:spacing w:after="140" w:line="276" w:lineRule="auto"/>
    </w:pPr>
  </w:style>
  <w:style w:type="paragraph" w:customStyle="1" w:styleId="Normal1">
    <w:name w:val="Normal1"/>
    <w:qFormat/>
    <w:pPr>
      <w:suppressAutoHyphens/>
      <w:spacing w:after="160"/>
    </w:pPr>
  </w:style>
  <w:style w:type="paragraph" w:styleId="Title">
    <w:name w:val="Title"/>
    <w:basedOn w:val="Normal1"/>
    <w:next w:val="Normal1"/>
    <w:uiPriority w:val="10"/>
    <w:qFormat/>
    <w:pPr>
      <w:spacing w:after="80" w:line="240" w:lineRule="auto"/>
      <w:contextualSpacing/>
    </w:pPr>
    <w:rPr>
      <w:rFonts w:ascii="Aptos Display" w:eastAsia="Times New Roman" w:hAnsi="Aptos Display"/>
      <w:spacing w:val="-10"/>
      <w:kern w:val="2"/>
      <w:sz w:val="56"/>
      <w:szCs w:val="56"/>
    </w:rPr>
  </w:style>
  <w:style w:type="paragraph" w:styleId="Subtitle">
    <w:name w:val="Subtitle"/>
    <w:basedOn w:val="Normal1"/>
    <w:next w:val="Normal1"/>
    <w:uiPriority w:val="11"/>
    <w:qFormat/>
    <w:rPr>
      <w:rFonts w:eastAsia="Times New Roman"/>
      <w:color w:val="595959"/>
      <w:spacing w:val="15"/>
      <w:sz w:val="28"/>
      <w:szCs w:val="28"/>
    </w:rPr>
  </w:style>
  <w:style w:type="paragraph" w:styleId="Quote">
    <w:name w:val="Quote"/>
    <w:basedOn w:val="Normal1"/>
    <w:next w:val="Normal1"/>
    <w:qFormat/>
    <w:pPr>
      <w:spacing w:before="160"/>
      <w:jc w:val="center"/>
    </w:pPr>
    <w:rPr>
      <w:i/>
      <w:iCs/>
      <w:color w:val="404040"/>
    </w:rPr>
  </w:style>
  <w:style w:type="paragraph" w:styleId="ListParagraph">
    <w:name w:val="List Paragraph"/>
    <w:basedOn w:val="Normal1"/>
    <w:qFormat/>
    <w:pPr>
      <w:ind w:left="720"/>
      <w:contextualSpacing/>
    </w:pPr>
  </w:style>
  <w:style w:type="paragraph" w:styleId="IntenseQuote">
    <w:name w:val="Intense Quote"/>
    <w:basedOn w:val="Normal1"/>
    <w:next w:val="Normal1"/>
    <w:qFormat/>
    <w:pPr>
      <w:pBdr>
        <w:top w:val="single" w:sz="4" w:space="10" w:color="0F4761"/>
        <w:bottom w:val="single" w:sz="4" w:space="10" w:color="0F4761"/>
      </w:pBdr>
      <w:spacing w:before="360" w:after="360"/>
      <w:ind w:left="864" w:right="864"/>
      <w:jc w:val="center"/>
    </w:pPr>
    <w:rPr>
      <w:i/>
      <w:iCs/>
      <w:color w:val="0F4761"/>
    </w:rPr>
  </w:style>
  <w:style w:type="paragraph" w:customStyle="1" w:styleId="HeaderandFooter">
    <w:name w:val="Header and Footer"/>
    <w:basedOn w:val="Normal"/>
    <w:qFormat/>
    <w:pPr>
      <w:suppressLineNumbers/>
      <w:tabs>
        <w:tab w:val="center" w:pos="4819"/>
        <w:tab w:val="right" w:pos="9638"/>
      </w:tabs>
    </w:pPr>
  </w:style>
  <w:style w:type="paragraph" w:styleId="Header">
    <w:name w:val="header"/>
    <w:basedOn w:val="Normal1"/>
    <w:pPr>
      <w:tabs>
        <w:tab w:val="center" w:pos="4513"/>
        <w:tab w:val="right" w:pos="9026"/>
      </w:tabs>
      <w:spacing w:after="0" w:line="240" w:lineRule="auto"/>
    </w:pPr>
  </w:style>
  <w:style w:type="paragraph" w:styleId="Footer">
    <w:name w:val="footer"/>
    <w:basedOn w:val="Normal1"/>
    <w:pPr>
      <w:tabs>
        <w:tab w:val="center" w:pos="4513"/>
        <w:tab w:val="right" w:pos="9026"/>
      </w:tabs>
      <w:spacing w:after="0" w:line="240" w:lineRule="auto"/>
    </w:pPr>
  </w:style>
  <w:style w:type="paragraph" w:customStyle="1" w:styleId="FigureCaptionapp">
    <w:name w:val="FigureCaptionapp"/>
    <w:qFormat/>
    <w:pPr>
      <w:spacing w:before="28" w:after="102"/>
      <w:jc w:val="center"/>
    </w:pPr>
    <w:rPr>
      <w:i/>
      <w:color w:val="444444"/>
      <w:sz w:val="18"/>
    </w:rPr>
  </w:style>
  <w:style w:type="paragraph" w:customStyle="1" w:styleId="FigureCaptiondiary">
    <w:name w:val="FigureCaptiondiary"/>
    <w:qFormat/>
    <w:pPr>
      <w:spacing w:before="28" w:after="102"/>
      <w:jc w:val="center"/>
    </w:pPr>
    <w:rPr>
      <w:i/>
      <w:color w:val="444444"/>
      <w:sz w:val="18"/>
    </w:rPr>
  </w:style>
  <w:style w:type="paragraph" w:customStyle="1" w:styleId="FigureCaptioncomb">
    <w:name w:val="FigureCaptioncomb"/>
    <w:qFormat/>
    <w:pPr>
      <w:spacing w:before="28" w:after="102"/>
      <w:jc w:val="center"/>
    </w:pPr>
    <w:rPr>
      <w:i/>
      <w:color w:val="444444"/>
      <w:sz w:val="18"/>
    </w:rPr>
  </w:style>
  <w:style w:type="paragraph" w:customStyle="1" w:styleId="FigureCaptioninclusion">
    <w:name w:val="FigureCaptioninclusion"/>
    <w:qFormat/>
    <w:pPr>
      <w:spacing w:before="28" w:after="102"/>
      <w:jc w:val="center"/>
    </w:pPr>
    <w:rPr>
      <w:i/>
      <w:color w:val="444444"/>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nice.org.uk/guidance/htg624" TargetMode="External"/><Relationship Id="rId18" Type="http://schemas.openxmlformats.org/officeDocument/2006/relationships/hyperlink" Target="https://digital.nhs.uk/about-nhs-digital/corporate-information-and-documents/digital-inclusion/designing-for-inclusion"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mentalhealth.org.uk/about-us/news/average-adult-has-only-3-days-week-good-quality-sleep" TargetMode="External"/><Relationship Id="rId17" Type="http://schemas.openxmlformats.org/officeDocument/2006/relationships/hyperlink" Target="https://publications.parliament.uk/pa/ld5803/ldselect/ldcomm/219/21905.htm" TargetMode="External"/><Relationship Id="rId2" Type="http://schemas.openxmlformats.org/officeDocument/2006/relationships/styles" Target="styles.xml"/><Relationship Id="rId16" Type="http://schemas.openxmlformats.org/officeDocument/2006/relationships/hyperlink" Target="https://www.ofcom.org.uk/siteassets/resources/documents/research-and-data/media-literacy-research/adults/adults-media-use-and-attitudes-2022/digital-exclusion-review-2022.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goodthingsfoundation.org/discover/digital-inclusion-insights/digital-inclusion-insights-2024/digital-inclusion-and-health" TargetMode="External"/><Relationship Id="rId5" Type="http://schemas.openxmlformats.org/officeDocument/2006/relationships/image" Target="media/image1.png"/><Relationship Id="rId15" Type="http://schemas.openxmlformats.org/officeDocument/2006/relationships/hyperlink" Target="https://www.england.nhs.uk/long-read/inclusive-digital-healthcare-a-framework-for-nhs-action-on-digital-inclusion/" TargetMode="External"/><Relationship Id="rId10" Type="http://schemas.openxmlformats.org/officeDocument/2006/relationships/hyperlink" Target="https://www.bighealth.co.uk/sleepio"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cks.nice.org.uk/topics/insomnia/" TargetMode="External"/></Relationships>
</file>

<file path=word/theme/theme1.xml><?xml version="1.0" encoding="utf-8"?>
<a:theme xmlns:a="http://schemas.openxmlformats.org/drawingml/2006/main"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a:ea typeface="DejaVu Sans"/>
        <a:cs typeface="DejaVu Sans"/>
      </a:majorFont>
      <a:minorFont>
        <a:latin typeface="Arial"/>
        <a:ea typeface="DejaVu Sans"/>
        <a:cs typeface="DejaVu Sans"/>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1928</Words>
  <Characters>10993</Characters>
  <Application>Microsoft Office Word</Application>
  <DocSecurity>0</DocSecurity>
  <Lines>91</Lines>
  <Paragraphs>25</Paragraphs>
  <ScaleCrop>false</ScaleCrop>
  <Company/>
  <LinksUpToDate>false</LinksUpToDate>
  <CharactersWithSpaces>12896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Vaishnavi Ranmalbhai Odedra (2541605)</dc:creator>
  <dc:description/>
  <cp:lastModifiedBy>Vaishnavi Ranmalbhai Odedra (2541605)</cp:lastModifiedBy>
  <cp:revision>3</cp:revision>
  <dcterms:created xsi:type="dcterms:W3CDTF">2026-10-23T10:43:00Z</dcterms:created>
  <dcterms:modified xsi:type="dcterms:W3CDTF">2026-10-23T10:44:00Z</dcterms:modified>
  <dc:language>en-US</dc:language>
</cp:coreProperties>
</file>