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BA1E9B" w14:textId="4CB62FA0" w:rsidR="007F1A14" w:rsidRPr="007F1A14" w:rsidRDefault="002F7107" w:rsidP="00431B98">
      <w:pPr>
        <w:spacing w:before="100" w:beforeAutospacing="1" w:after="100" w:afterAutospacing="1" w:line="240" w:lineRule="auto"/>
        <w:outlineLvl w:val="1"/>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 xml:space="preserve">Module: </w:t>
      </w:r>
      <w:r w:rsidR="007F1A14">
        <w:rPr>
          <w:rFonts w:ascii="Arial" w:eastAsia="Times New Roman" w:hAnsi="Arial" w:cs="Arial"/>
          <w:i/>
          <w:iCs/>
          <w:color w:val="000000"/>
          <w:kern w:val="0"/>
          <w14:ligatures w14:val="none"/>
        </w:rPr>
        <w:t xml:space="preserve">Strategic </w:t>
      </w:r>
      <w:r>
        <w:rPr>
          <w:rFonts w:ascii="Arial" w:eastAsia="Times New Roman" w:hAnsi="Arial" w:cs="Arial"/>
          <w:i/>
          <w:iCs/>
          <w:color w:val="000000"/>
          <w:kern w:val="0"/>
          <w14:ligatures w14:val="none"/>
        </w:rPr>
        <w:t>Management</w:t>
      </w:r>
      <w:r w:rsidR="007F1A14">
        <w:rPr>
          <w:rFonts w:ascii="Arial" w:eastAsia="Times New Roman" w:hAnsi="Arial" w:cs="Arial"/>
          <w:i/>
          <w:iCs/>
          <w:color w:val="000000"/>
          <w:kern w:val="0"/>
          <w14:ligatures w14:val="none"/>
        </w:rPr>
        <w:t xml:space="preserve"> for Business</w:t>
      </w:r>
    </w:p>
    <w:p w14:paraId="4AC6E63F" w14:textId="2A4D9782" w:rsidR="00FF2AC0" w:rsidRDefault="00433C06" w:rsidP="00431B98">
      <w:pPr>
        <w:spacing w:before="100" w:beforeAutospacing="1" w:after="100" w:afterAutospacing="1" w:line="240" w:lineRule="auto"/>
        <w:outlineLvl w:val="1"/>
        <w:rPr>
          <w:rFonts w:ascii="Arial" w:eastAsia="Times New Roman" w:hAnsi="Arial" w:cs="Arial"/>
          <w:color w:val="000000"/>
          <w:kern w:val="0"/>
          <w14:ligatures w14:val="none"/>
        </w:rPr>
      </w:pPr>
      <w:r>
        <w:rPr>
          <w:rFonts w:ascii="Arial" w:eastAsia="Times New Roman" w:hAnsi="Arial" w:cs="Arial"/>
          <w:color w:val="000000"/>
          <w:kern w:val="0"/>
          <w14:ligatures w14:val="none"/>
        </w:rPr>
        <w:t>Report By:</w:t>
      </w:r>
    </w:p>
    <w:p w14:paraId="755820EA" w14:textId="46E84911" w:rsidR="00433C06" w:rsidRPr="007F1A14" w:rsidRDefault="00FF2AC0" w:rsidP="00431B98">
      <w:pPr>
        <w:spacing w:before="100" w:beforeAutospacing="1" w:after="100" w:afterAutospacing="1" w:line="240" w:lineRule="auto"/>
        <w:outlineLvl w:val="1"/>
        <w:rPr>
          <w:rFonts w:ascii="Arial" w:eastAsia="Times New Roman" w:hAnsi="Arial" w:cs="Arial"/>
          <w:i/>
          <w:iCs/>
          <w:color w:val="000000"/>
          <w:kern w:val="0"/>
          <w14:ligatures w14:val="none"/>
        </w:rPr>
      </w:pPr>
      <w:r w:rsidRPr="00433C06">
        <w:rPr>
          <w:rFonts w:ascii="Arial" w:eastAsia="Times New Roman" w:hAnsi="Arial" w:cs="Arial"/>
          <w:i/>
          <w:iCs/>
          <w:color w:val="000000"/>
          <w:kern w:val="0"/>
          <w14:ligatures w14:val="none"/>
        </w:rPr>
        <w:t>Albert Mircea</w:t>
      </w:r>
    </w:p>
    <w:p w14:paraId="2CE2B8D2" w14:textId="77777777" w:rsidR="00433C06" w:rsidRDefault="00433C06" w:rsidP="00431B98">
      <w:pPr>
        <w:spacing w:before="100" w:beforeAutospacing="1" w:after="100" w:afterAutospacing="1" w:line="240" w:lineRule="auto"/>
        <w:outlineLvl w:val="1"/>
        <w:rPr>
          <w:rFonts w:ascii="Arial" w:eastAsia="Times New Roman" w:hAnsi="Arial" w:cs="Arial"/>
          <w:color w:val="000000"/>
          <w:kern w:val="0"/>
          <w14:ligatures w14:val="none"/>
        </w:rPr>
      </w:pPr>
    </w:p>
    <w:p w14:paraId="112DF650" w14:textId="77777777" w:rsidR="00644848" w:rsidRDefault="00644848" w:rsidP="00431B98">
      <w:pPr>
        <w:spacing w:before="100" w:beforeAutospacing="1" w:after="100" w:afterAutospacing="1" w:line="240" w:lineRule="auto"/>
        <w:outlineLvl w:val="1"/>
        <w:rPr>
          <w:rFonts w:ascii="Arial" w:eastAsia="Times New Roman" w:hAnsi="Arial" w:cs="Arial"/>
          <w:b/>
          <w:bCs/>
          <w:i/>
          <w:iCs/>
          <w:color w:val="1A1A1A" w:themeColor="background1" w:themeShade="1A"/>
          <w:kern w:val="0"/>
          <w14:ligatures w14:val="none"/>
        </w:rPr>
      </w:pPr>
    </w:p>
    <w:p w14:paraId="7E5F5185" w14:textId="3DC0313E" w:rsidR="00431B98" w:rsidRPr="00A42CAF" w:rsidRDefault="00431B98" w:rsidP="00431B98">
      <w:pPr>
        <w:spacing w:before="100" w:beforeAutospacing="1" w:after="100" w:afterAutospacing="1" w:line="240" w:lineRule="auto"/>
        <w:outlineLvl w:val="1"/>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Table of Contents</w:t>
      </w:r>
    </w:p>
    <w:p w14:paraId="611FE2B3"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VodafoneThree: Strategic Context</w:t>
      </w:r>
    </w:p>
    <w:p w14:paraId="1F48E4EA"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Environmental Assessment</w:t>
      </w:r>
    </w:p>
    <w:p w14:paraId="4A82B076"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PESTEL Analysis</w:t>
      </w:r>
    </w:p>
    <w:p w14:paraId="12B87556"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Ecosystem Analysis</w:t>
      </w:r>
    </w:p>
    <w:p w14:paraId="497A2F3F"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Organisational Vulnerabilities and Future Uncertainty</w:t>
      </w:r>
    </w:p>
    <w:p w14:paraId="6F7356E8"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Enterprise Risk Perspective</w:t>
      </w:r>
    </w:p>
    <w:p w14:paraId="36D9E603"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Scenario Planning</w:t>
      </w:r>
    </w:p>
    <w:p w14:paraId="6059D1F0"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Implications of Uncertainty</w:t>
      </w:r>
    </w:p>
    <w:p w14:paraId="70D7BDA6"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Alternatives and Recommended Direction</w:t>
      </w:r>
    </w:p>
    <w:p w14:paraId="1F9384DD"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Market Share Expansion Strategy</w:t>
      </w:r>
    </w:p>
    <w:p w14:paraId="795CD9FD"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Technology Leadership Strategy</w:t>
      </w:r>
    </w:p>
    <w:p w14:paraId="7A23B897"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Adaptive Growth Through Strategic Resilience</w:t>
      </w:r>
    </w:p>
    <w:p w14:paraId="476D7875"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Recommended Strategy: Adaptive Growth Through Strategic Resilience</w:t>
      </w:r>
    </w:p>
    <w:p w14:paraId="4DB3073B"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One: Cyber Preparedness</w:t>
      </w:r>
    </w:p>
    <w:p w14:paraId="68293D65"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Two: Supply Chain Resilience</w:t>
      </w:r>
    </w:p>
    <w:p w14:paraId="1125392A"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Three: Workforce Adaptability</w:t>
      </w:r>
    </w:p>
    <w:p w14:paraId="5C0EC231"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Four: Strategic Agility</w:t>
      </w:r>
    </w:p>
    <w:p w14:paraId="3D3CCC02"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Trade-Offs and Managerial Considerations</w:t>
      </w:r>
    </w:p>
    <w:p w14:paraId="606B4C61"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Strategy Validation</w:t>
      </w:r>
    </w:p>
    <w:p w14:paraId="0F5E1569"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Consistency</w:t>
      </w:r>
    </w:p>
    <w:p w14:paraId="27680D66"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Consonance</w:t>
      </w:r>
    </w:p>
    <w:p w14:paraId="5DD6DAFE"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Feasibility</w:t>
      </w:r>
    </w:p>
    <w:p w14:paraId="169C336B"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Advantage</w:t>
      </w:r>
    </w:p>
    <w:p w14:paraId="016D4DFE"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Stakeholder Prioritisation</w:t>
      </w:r>
    </w:p>
    <w:p w14:paraId="5955ACA3"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Definitive Stakeholders</w:t>
      </w:r>
    </w:p>
    <w:p w14:paraId="46CCDF3A"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Dominant Stakeholders</w:t>
      </w:r>
    </w:p>
    <w:p w14:paraId="3C9C9C99"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Dependent Stakeholders</w:t>
      </w:r>
    </w:p>
    <w:p w14:paraId="5F305BF8"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Discretionary Stakeholders</w:t>
      </w:r>
    </w:p>
    <w:p w14:paraId="5D451062"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Delivery Framework and Monitoring</w:t>
      </w:r>
    </w:p>
    <w:p w14:paraId="3D9270E5"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Reflection</w:t>
      </w:r>
    </w:p>
    <w:p w14:paraId="404A6724" w14:textId="30123FF1"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References</w:t>
      </w:r>
    </w:p>
    <w:p w14:paraId="30D823A9" w14:textId="77777777" w:rsidR="006725E4" w:rsidRDefault="006725E4" w:rsidP="00E74CB9">
      <w:pPr>
        <w:spacing w:before="100" w:beforeAutospacing="1" w:after="100" w:afterAutospacing="1" w:line="240" w:lineRule="auto"/>
        <w:outlineLvl w:val="0"/>
        <w:rPr>
          <w:rStyle w:val="Referireintens"/>
          <w:sz w:val="40"/>
          <w:szCs w:val="40"/>
        </w:rPr>
      </w:pPr>
    </w:p>
    <w:p w14:paraId="4C710CF7" w14:textId="77777777" w:rsidR="00A2679A" w:rsidRDefault="00A2679A" w:rsidP="009F5D2E">
      <w:pPr>
        <w:spacing w:before="100" w:beforeAutospacing="1" w:after="100" w:afterAutospacing="1" w:line="240" w:lineRule="auto"/>
        <w:jc w:val="center"/>
        <w:outlineLvl w:val="0"/>
        <w:rPr>
          <w:rStyle w:val="Titlulcrii"/>
          <w:sz w:val="44"/>
          <w:szCs w:val="44"/>
        </w:rPr>
      </w:pPr>
    </w:p>
    <w:p w14:paraId="4042E7A8" w14:textId="4C03E4E5" w:rsidR="00742C84" w:rsidRPr="00BC1220" w:rsidRDefault="00742C84" w:rsidP="009F5D2E">
      <w:pPr>
        <w:spacing w:before="100" w:beforeAutospacing="1" w:after="100" w:afterAutospacing="1" w:line="240" w:lineRule="auto"/>
        <w:jc w:val="center"/>
        <w:outlineLvl w:val="0"/>
        <w:rPr>
          <w:rStyle w:val="Titlulcrii"/>
          <w:sz w:val="44"/>
          <w:szCs w:val="44"/>
        </w:rPr>
      </w:pPr>
      <w:r w:rsidRPr="00BC1220">
        <w:rPr>
          <w:rStyle w:val="Titlulcrii"/>
          <w:sz w:val="44"/>
          <w:szCs w:val="44"/>
        </w:rPr>
        <w:lastRenderedPageBreak/>
        <w:t>Adaptive Growth Strategy Report for VodafoneThree UK</w:t>
      </w:r>
    </w:p>
    <w:p w14:paraId="538AF0EB" w14:textId="7A727BA0" w:rsidR="006725E4" w:rsidRPr="00DD72BD" w:rsidRDefault="00742C84" w:rsidP="00742C84">
      <w:pPr>
        <w:spacing w:before="100" w:beforeAutospacing="1" w:after="100" w:afterAutospacing="1" w:line="240" w:lineRule="auto"/>
        <w:outlineLvl w:val="1"/>
        <w:rPr>
          <w:rStyle w:val="Titlulcrii"/>
          <w:sz w:val="28"/>
          <w:szCs w:val="28"/>
        </w:rPr>
      </w:pPr>
      <w:r w:rsidRPr="00DD72BD">
        <w:rPr>
          <w:rStyle w:val="Titlulcrii"/>
          <w:sz w:val="28"/>
          <w:szCs w:val="28"/>
        </w:rPr>
        <w:t>Strengthening Organisational Resilience in a Volatile Telecommunications Market</w:t>
      </w:r>
    </w:p>
    <w:p w14:paraId="24E8E1C0" w14:textId="77777777" w:rsidR="000057B6" w:rsidRDefault="000057B6" w:rsidP="00E74CB9">
      <w:pPr>
        <w:spacing w:before="100" w:beforeAutospacing="1" w:after="100" w:afterAutospacing="1" w:line="240" w:lineRule="auto"/>
        <w:outlineLvl w:val="0"/>
        <w:rPr>
          <w:rStyle w:val="Referireintens"/>
          <w:sz w:val="40"/>
          <w:szCs w:val="40"/>
        </w:rPr>
      </w:pPr>
    </w:p>
    <w:p w14:paraId="54F6A1D1" w14:textId="77777777" w:rsidR="00A2679A" w:rsidRDefault="00A2679A" w:rsidP="00E74CB9">
      <w:pPr>
        <w:spacing w:before="100" w:beforeAutospacing="1" w:after="100" w:afterAutospacing="1" w:line="240" w:lineRule="auto"/>
        <w:outlineLvl w:val="0"/>
        <w:rPr>
          <w:rStyle w:val="Referireintens"/>
          <w:sz w:val="40"/>
          <w:szCs w:val="40"/>
        </w:rPr>
      </w:pPr>
    </w:p>
    <w:p w14:paraId="340721FD" w14:textId="7E8E2F3F" w:rsidR="00E74CB9" w:rsidRPr="001E490A" w:rsidRDefault="0078294D" w:rsidP="00E74CB9">
      <w:pPr>
        <w:spacing w:before="100" w:beforeAutospacing="1" w:after="100" w:afterAutospacing="1" w:line="240" w:lineRule="auto"/>
        <w:outlineLvl w:val="0"/>
        <w:rPr>
          <w:rStyle w:val="Referireintens"/>
          <w:sz w:val="40"/>
          <w:szCs w:val="40"/>
        </w:rPr>
      </w:pPr>
      <w:r>
        <w:rPr>
          <w:rStyle w:val="Referireintens"/>
          <w:sz w:val="40"/>
          <w:szCs w:val="40"/>
        </w:rPr>
        <w:t>A</w:t>
      </w:r>
      <w:r w:rsidR="00F8372D">
        <w:rPr>
          <w:rStyle w:val="Referireintens"/>
          <w:sz w:val="40"/>
          <w:szCs w:val="40"/>
        </w:rPr>
        <w:t>)</w:t>
      </w:r>
      <w:r w:rsidR="00E74CB9" w:rsidRPr="001E490A">
        <w:rPr>
          <w:rStyle w:val="Referireintens"/>
          <w:sz w:val="40"/>
          <w:szCs w:val="40"/>
        </w:rPr>
        <w:t xml:space="preserve"> VodafoneThree: Strategic Context</w:t>
      </w:r>
    </w:p>
    <w:p w14:paraId="675D4A04" w14:textId="76ABE179" w:rsidR="00EB3752" w:rsidRPr="00CB71F6" w:rsidRDefault="00E74CB9" w:rsidP="00EB3752">
      <w:pPr>
        <w:spacing w:before="100" w:beforeAutospacing="1" w:after="100" w:afterAutospacing="1" w:line="240" w:lineRule="auto"/>
        <w:rPr>
          <w:rFonts w:ascii="Arial" w:hAnsi="Arial" w:cs="Arial"/>
          <w:color w:val="000000"/>
          <w:kern w:val="0"/>
          <w14:ligatures w14:val="none"/>
        </w:rPr>
      </w:pPr>
      <w:r w:rsidRPr="0000585D">
        <w:rPr>
          <w:rFonts w:ascii="Arial" w:hAnsi="Arial" w:cs="Arial"/>
          <w:color w:val="000000" w:themeColor="text1"/>
          <w:kern w:val="0"/>
          <w14:ligatures w14:val="none"/>
        </w:rPr>
        <w:t>Vodafone Group</w:t>
      </w:r>
      <w:r w:rsidRPr="00CB71F6">
        <w:rPr>
          <w:rFonts w:ascii="Arial" w:hAnsi="Arial" w:cs="Arial"/>
          <w:color w:val="000000"/>
          <w:kern w:val="0"/>
          <w14:ligatures w14:val="none"/>
        </w:rPr>
        <w:t> is one of the largest telecommunications organisations operating across Europe and Africa. The company provides mobile communications, broadband services and digital connectivity solutions for both consumers and businesses.Vodafone's purpose, "Connecting for a Better Future", reflects its commitment to improving communication, supporting economic development and promoting digital inclusion through technology.The formation of VodafoneThree following the merger between Vodafone UK and Three UK represents a major structural change within the UK telecommunications sector. The new organisation combines two established operators into a single business with increased market presence and investment capacity.However, greater scale also creates greater complexity. Integrating technologies, systems, employees and operational processes introduces new risks that require effective management.Consequently, VodafoneThree's future success will depend not only on growth but also on its ability to remain flexible and resilient in an increasingly uncertain environment.</w:t>
      </w:r>
      <w:r w:rsidR="0090097C" w:rsidRPr="00CB71F6">
        <w:rPr>
          <w:rFonts w:ascii="Arial" w:hAnsi="Arial" w:cs="Arial"/>
          <w:color w:val="000000"/>
        </w:rPr>
        <w:t xml:space="preserve"> The importance of resilience has increased significantly as telecommunications networks have become essential infrastructure for both economic activity and everyday life. Businesses depend on reliable connectivity to support operations, supply chains and customer interactions, while individuals increasingly rely on digital services for education, healthcare, banking and communication.As a result, interruptions to network services can create consequences that extend far beyond the telecommunications sector itself. Maintaining continuity of service has therefore become a strategic responsibility rather than simply an operational objective.In addition, the industry is experiencing continuous change driven by technological innovation, evolving regulation and shifting customer expectations. Organisations must regularly adapt to new technologies, security requirements and market conditions while continuing to deliver reliable and affordable services.For VodafoneThree, the challenge is not only to realise the benefits expected from the merger but also to ensure that the organisation remains capable of responding effectively to future disruption. The ability to recover quickly from unexpected events and adjust strategic priorities when necessary may become increasingly important sources of competitive advantage.This suggests that long-term success in telecommunications may depend less on organisational size alone and more on the ability to combine scale with flexibility, preparedness and rapid adaptation to change.</w:t>
      </w:r>
    </w:p>
    <w:p w14:paraId="427B22E0" w14:textId="7ADBFAE5" w:rsidR="00E74CB9" w:rsidRPr="00277A07" w:rsidRDefault="00F8372D" w:rsidP="00EB3752">
      <w:pPr>
        <w:pStyle w:val="NormalWeb"/>
        <w:rPr>
          <w:rStyle w:val="Referireintens"/>
          <w:sz w:val="40"/>
          <w:szCs w:val="40"/>
        </w:rPr>
      </w:pPr>
      <w:r>
        <w:rPr>
          <w:rStyle w:val="Referireintens"/>
          <w:sz w:val="40"/>
          <w:szCs w:val="40"/>
        </w:rPr>
        <w:lastRenderedPageBreak/>
        <w:t>B)</w:t>
      </w:r>
      <w:r w:rsidR="00E74CB9" w:rsidRPr="00277A07">
        <w:rPr>
          <w:rStyle w:val="Referireintens"/>
          <w:sz w:val="40"/>
          <w:szCs w:val="40"/>
        </w:rPr>
        <w:t xml:space="preserve"> Environmental </w:t>
      </w:r>
      <w:r w:rsidR="001E490A">
        <w:rPr>
          <w:rStyle w:val="Referireintens"/>
          <w:sz w:val="40"/>
          <w:szCs w:val="40"/>
        </w:rPr>
        <w:t>Assessment</w:t>
      </w:r>
    </w:p>
    <w:p w14:paraId="08F5B03D" w14:textId="407BA3CC" w:rsidR="00E74CB9" w:rsidRPr="00094416" w:rsidRDefault="00F8372D" w:rsidP="00E74CB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B.</w:t>
      </w:r>
      <w:r w:rsidR="00FE0A40">
        <w:rPr>
          <w:rFonts w:ascii="Arial" w:eastAsia="Times New Roman" w:hAnsi="Arial" w:cs="Arial"/>
          <w:b/>
          <w:bCs/>
          <w:color w:val="000000"/>
          <w:kern w:val="0"/>
          <w14:ligatures w14:val="none"/>
        </w:rPr>
        <w:t>1)</w:t>
      </w:r>
      <w:r w:rsidR="00E74CB9" w:rsidRPr="00094416">
        <w:rPr>
          <w:rFonts w:ascii="Arial" w:eastAsia="Times New Roman" w:hAnsi="Arial" w:cs="Arial"/>
          <w:b/>
          <w:bCs/>
          <w:color w:val="000000"/>
          <w:kern w:val="0"/>
          <w14:ligatures w14:val="none"/>
        </w:rPr>
        <w:t xml:space="preserve"> PESTEL Analysis</w:t>
      </w:r>
    </w:p>
    <w:p w14:paraId="5476C4DD" w14:textId="77777777" w:rsidR="00E74CB9" w:rsidRPr="00C23C6F" w:rsidRDefault="00E74CB9" w:rsidP="00E74CB9">
      <w:pPr>
        <w:spacing w:before="100" w:beforeAutospacing="1" w:after="100" w:afterAutospacing="1" w:line="240" w:lineRule="auto"/>
        <w:outlineLvl w:val="2"/>
        <w:rPr>
          <w:rFonts w:ascii="Arial" w:eastAsia="Times New Roman" w:hAnsi="Arial" w:cs="Arial"/>
          <w:b/>
          <w:bCs/>
          <w:color w:val="FF0000"/>
          <w:kern w:val="0"/>
          <w14:ligatures w14:val="none"/>
        </w:rPr>
      </w:pPr>
      <w:r w:rsidRPr="00C23C6F">
        <w:rPr>
          <w:rFonts w:ascii="Arial" w:eastAsia="Times New Roman" w:hAnsi="Arial" w:cs="Arial"/>
          <w:b/>
          <w:bCs/>
          <w:color w:val="FF0000"/>
          <w:kern w:val="0"/>
          <w14:ligatures w14:val="none"/>
        </w:rPr>
        <w:t>Political Factors</w:t>
      </w:r>
    </w:p>
    <w:p w14:paraId="6B6B2EAB"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UK government increasingly views telecommunications infrastructure as critical national infrastructure. This creates opportunities for VodafoneThree to support national digital development while also increasing expectations regarding resilience and service continuity.</w:t>
      </w:r>
    </w:p>
    <w:p w14:paraId="09EA54E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Government regulation also influences market competition, cybersecurity standards and spectrum allocation.</w:t>
      </w:r>
    </w:p>
    <w:p w14:paraId="7DC7E247" w14:textId="77777777" w:rsidR="00E74CB9" w:rsidRPr="00C23C6F" w:rsidRDefault="00E74CB9" w:rsidP="00E74CB9">
      <w:pPr>
        <w:spacing w:before="100" w:beforeAutospacing="1" w:after="100" w:afterAutospacing="1" w:line="240" w:lineRule="auto"/>
        <w:outlineLvl w:val="2"/>
        <w:rPr>
          <w:rFonts w:ascii="Arial" w:eastAsia="Times New Roman" w:hAnsi="Arial" w:cs="Arial"/>
          <w:b/>
          <w:bCs/>
          <w:color w:val="E97132" w:themeColor="accent2"/>
          <w:kern w:val="0"/>
          <w14:ligatures w14:val="none"/>
        </w:rPr>
      </w:pPr>
      <w:r w:rsidRPr="00C23C6F">
        <w:rPr>
          <w:rFonts w:ascii="Arial" w:eastAsia="Times New Roman" w:hAnsi="Arial" w:cs="Arial"/>
          <w:b/>
          <w:bCs/>
          <w:color w:val="E97132" w:themeColor="accent2"/>
          <w:kern w:val="0"/>
          <w14:ligatures w14:val="none"/>
        </w:rPr>
        <w:t>Economic Factors</w:t>
      </w:r>
    </w:p>
    <w:p w14:paraId="7840BF1E"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telecommunications industry requires substantial capital investment. Inflation, rising energy costs and changing consumer spending patterns create pressure on profitability.</w:t>
      </w:r>
    </w:p>
    <w:p w14:paraId="66F0CF5E" w14:textId="5F26967B"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Despite economic uncertainty, demand for communication services remains relatively stable because digital connectivity has become an essential service rather than a discretionary purchase.</w:t>
      </w:r>
      <w:r w:rsidR="006B25E3" w:rsidRPr="00CB71F6">
        <w:rPr>
          <w:rFonts w:ascii="Arial" w:eastAsia="Times New Roman" w:hAnsi="Arial" w:cs="Arial"/>
          <w:color w:val="000000"/>
        </w:rPr>
        <w:t xml:space="preserve"> In addition, exchange rate fluctuations and wider macroeconomic uncertainty can influence the cost of imported telecommunications equipment and infrastructure components. Since many suppliers operate internationally, economic instability may affect investment budgets and project timelines. VodafoneThree must therefore maintain financial flexibility to ensure that essential investment programmes can continue during periods of economic volatility.</w:t>
      </w:r>
    </w:p>
    <w:p w14:paraId="3F503186" w14:textId="77777777" w:rsidR="00E74CB9" w:rsidRPr="00C565FB" w:rsidRDefault="00E74CB9" w:rsidP="00E74CB9">
      <w:pPr>
        <w:spacing w:before="100" w:beforeAutospacing="1" w:after="100" w:afterAutospacing="1" w:line="240" w:lineRule="auto"/>
        <w:outlineLvl w:val="2"/>
        <w:rPr>
          <w:rFonts w:ascii="Arial" w:eastAsia="Times New Roman" w:hAnsi="Arial" w:cs="Arial"/>
          <w:b/>
          <w:bCs/>
          <w:color w:val="FFD965"/>
          <w:kern w:val="0"/>
          <w14:ligatures w14:val="none"/>
        </w:rPr>
      </w:pPr>
      <w:r w:rsidRPr="00C565FB">
        <w:rPr>
          <w:rFonts w:ascii="Arial" w:eastAsia="Times New Roman" w:hAnsi="Arial" w:cs="Arial"/>
          <w:b/>
          <w:bCs/>
          <w:color w:val="FFD965"/>
          <w:kern w:val="0"/>
          <w14:ligatures w14:val="none"/>
        </w:rPr>
        <w:t>Social Factors</w:t>
      </w:r>
    </w:p>
    <w:p w14:paraId="0288BC7F"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Consumer expectations have changed considerably in recent years. Customers expect uninterrupted connectivity, rapid customer support and secure digital services.</w:t>
      </w:r>
    </w:p>
    <w:p w14:paraId="52B40D4E" w14:textId="7CF12812"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Public dependence on telecommunications has increased due to remote working, online learning and digital public services.</w:t>
      </w:r>
      <w:r w:rsidR="002C4108" w:rsidRPr="00CB71F6">
        <w:rPr>
          <w:rFonts w:ascii="Arial" w:eastAsia="Times New Roman" w:hAnsi="Arial" w:cs="Arial"/>
          <w:color w:val="000000"/>
          <w:sz w:val="27"/>
          <w:szCs w:val="27"/>
        </w:rPr>
        <w:t xml:space="preserve"> </w:t>
      </w:r>
      <w:r w:rsidR="002C4108" w:rsidRPr="00CB71F6">
        <w:rPr>
          <w:rFonts w:ascii="Arial" w:eastAsia="Times New Roman" w:hAnsi="Arial" w:cs="Arial"/>
          <w:color w:val="000000"/>
        </w:rPr>
        <w:t>Social expectations are also evolving beyond traditional measures of price and network coverage. Customers increasingly expect organisations to demonstrate responsible business behaviour, protect personal data and respond quickly to service failures. Trust and transparency are becoming increasingly important factors influencing customer loyalty and reputation within the telecommunications sector.</w:t>
      </w:r>
    </w:p>
    <w:p w14:paraId="606F59E1" w14:textId="77777777" w:rsidR="00E74CB9" w:rsidRPr="00207842" w:rsidRDefault="00E74CB9" w:rsidP="00E74CB9">
      <w:pPr>
        <w:spacing w:before="100" w:beforeAutospacing="1" w:after="100" w:afterAutospacing="1" w:line="240" w:lineRule="auto"/>
        <w:outlineLvl w:val="2"/>
        <w:rPr>
          <w:rFonts w:ascii="Arial" w:eastAsia="Times New Roman" w:hAnsi="Arial" w:cs="Arial"/>
          <w:b/>
          <w:bCs/>
          <w:color w:val="47D459" w:themeColor="accent3" w:themeTint="99"/>
          <w:kern w:val="0"/>
          <w14:ligatures w14:val="none"/>
        </w:rPr>
      </w:pPr>
      <w:r w:rsidRPr="00207842">
        <w:rPr>
          <w:rFonts w:ascii="Arial" w:eastAsia="Times New Roman" w:hAnsi="Arial" w:cs="Arial"/>
          <w:b/>
          <w:bCs/>
          <w:color w:val="47D459" w:themeColor="accent3" w:themeTint="99"/>
          <w:kern w:val="0"/>
          <w14:ligatures w14:val="none"/>
        </w:rPr>
        <w:t>Technological Factors</w:t>
      </w:r>
    </w:p>
    <w:p w14:paraId="2AD7F6D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Technological change remains one of the strongest drivers of industry transformation. Artificial intelligence, cloud computing and network automation create opportunities for improved efficiency but also increase complexity and cyber exposure.</w:t>
      </w:r>
    </w:p>
    <w:p w14:paraId="3A255160"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VodafoneThree must ensure that innovation improves resilience rather than creating additional vulnerabilities.</w:t>
      </w:r>
    </w:p>
    <w:p w14:paraId="44AF9D5A" w14:textId="77777777" w:rsidR="00E74CB9" w:rsidRPr="00DE2749" w:rsidRDefault="00E74CB9" w:rsidP="00E74CB9">
      <w:pPr>
        <w:spacing w:before="100" w:beforeAutospacing="1" w:after="100" w:afterAutospacing="1" w:line="240" w:lineRule="auto"/>
        <w:outlineLvl w:val="2"/>
        <w:rPr>
          <w:rFonts w:ascii="Arial" w:eastAsia="Times New Roman" w:hAnsi="Arial" w:cs="Arial"/>
          <w:b/>
          <w:bCs/>
          <w:color w:val="45B0E1" w:themeColor="accent1" w:themeTint="99"/>
          <w:kern w:val="0"/>
          <w14:ligatures w14:val="none"/>
        </w:rPr>
      </w:pPr>
      <w:r w:rsidRPr="00DE2749">
        <w:rPr>
          <w:rFonts w:ascii="Arial" w:eastAsia="Times New Roman" w:hAnsi="Arial" w:cs="Arial"/>
          <w:b/>
          <w:bCs/>
          <w:color w:val="45B0E1" w:themeColor="accent1" w:themeTint="99"/>
          <w:kern w:val="0"/>
          <w14:ligatures w14:val="none"/>
        </w:rPr>
        <w:t>Environmental Factors</w:t>
      </w:r>
    </w:p>
    <w:p w14:paraId="2034587E"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Telecommunications networks consume significant energy resources. Environmental expectations from governments, customers and investors continue to increase.</w:t>
      </w:r>
    </w:p>
    <w:p w14:paraId="1333A89A"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Improving energy efficiency and reducing operational waste can improve both sustainability and cost management.</w:t>
      </w:r>
    </w:p>
    <w:p w14:paraId="3FD7D2B8" w14:textId="77777777" w:rsidR="00E74CB9" w:rsidRPr="00D84197" w:rsidRDefault="00E74CB9" w:rsidP="00E74CB9">
      <w:pPr>
        <w:spacing w:before="100" w:beforeAutospacing="1" w:after="100" w:afterAutospacing="1" w:line="240" w:lineRule="auto"/>
        <w:outlineLvl w:val="2"/>
        <w:rPr>
          <w:rFonts w:ascii="Arial" w:eastAsia="Times New Roman" w:hAnsi="Arial" w:cs="Arial"/>
          <w:b/>
          <w:bCs/>
          <w:color w:val="7030A0"/>
          <w:kern w:val="0"/>
          <w14:ligatures w14:val="none"/>
        </w:rPr>
      </w:pPr>
      <w:r w:rsidRPr="00D84197">
        <w:rPr>
          <w:rFonts w:ascii="Arial" w:eastAsia="Times New Roman" w:hAnsi="Arial" w:cs="Arial"/>
          <w:b/>
          <w:bCs/>
          <w:color w:val="7030A0"/>
          <w:kern w:val="0"/>
          <w14:ligatures w14:val="none"/>
        </w:rPr>
        <w:t>Legal Factors</w:t>
      </w:r>
    </w:p>
    <w:p w14:paraId="55BBAE3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operates under strict legal requirements relating to privacy, cybersecurity and consumer protection.</w:t>
      </w:r>
    </w:p>
    <w:p w14:paraId="469271A2" w14:textId="5A2E2E99" w:rsidR="00E74CB9" w:rsidRPr="00CB71F6" w:rsidRDefault="00E74CB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Changes to legislation can increase compliance costs and create additional operational responsibilities. Therefore, legal adaptability should form part of long-term strategic planning.</w:t>
      </w:r>
      <w:r w:rsidR="00BF28AC" w:rsidRPr="00CB71F6">
        <w:rPr>
          <w:rFonts w:ascii="Arial" w:eastAsia="Times New Roman" w:hAnsi="Arial" w:cs="Arial"/>
          <w:color w:val="000000"/>
        </w:rPr>
        <w:t xml:space="preserve"> Legal and regulatory requirements are also becoming more complex as governments introduce stricter rules relating to digital security and infrastructure protection. Future legislation may require telecommunications providers to invest further in resilience and reporting capabilities. Organisations that can adapt quickly to changing legal obligations are likely to reduce compliance risks and maintain stronger relationships with regulators and policymakers.</w:t>
      </w:r>
    </w:p>
    <w:p w14:paraId="0B023194" w14:textId="62479E87" w:rsidR="00BE0364" w:rsidRPr="00530C28" w:rsidRDefault="00D81554" w:rsidP="002E6E5B">
      <w:pPr>
        <w:spacing w:before="100" w:beforeAutospacing="1" w:after="100" w:afterAutospacing="1" w:line="240" w:lineRule="auto"/>
        <w:rPr>
          <w:rFonts w:ascii="Arial" w:hAnsi="Arial" w:cs="Arial"/>
          <w:b/>
          <w:bCs/>
          <w:color w:val="000000"/>
          <w:kern w:val="0"/>
          <w14:ligatures w14:val="none"/>
        </w:rPr>
      </w:pPr>
      <w:r>
        <w:rPr>
          <w:rFonts w:ascii="Arial" w:eastAsia="Times New Roman" w:hAnsi="Arial" w:cs="Arial"/>
          <w:b/>
          <w:bCs/>
          <w:color w:val="000000"/>
        </w:rPr>
        <w:t>B.2</w:t>
      </w:r>
      <w:r w:rsidR="00FE0A40">
        <w:rPr>
          <w:rFonts w:ascii="Arial" w:eastAsia="Times New Roman" w:hAnsi="Arial" w:cs="Arial"/>
          <w:b/>
          <w:bCs/>
          <w:color w:val="000000"/>
        </w:rPr>
        <w:t>)</w:t>
      </w:r>
      <w:r w:rsidR="00BE0364" w:rsidRPr="00530C28">
        <w:rPr>
          <w:rFonts w:ascii="Arial" w:eastAsia="Times New Roman" w:hAnsi="Arial" w:cs="Arial"/>
          <w:b/>
          <w:bCs/>
          <w:color w:val="000000"/>
        </w:rPr>
        <w:t xml:space="preserve"> ECOSYSTEM ANALYSIS</w:t>
      </w:r>
    </w:p>
    <w:p w14:paraId="4D75CBDF"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Unlike traditional industry analysis, ecosystem analysis examines the wider network of organisations that influence business performance.</w:t>
      </w:r>
    </w:p>
    <w:p w14:paraId="3B1B109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operates within an ecosystem involving:</w:t>
      </w:r>
    </w:p>
    <w:p w14:paraId="18583DE2"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regulators;</w:t>
      </w:r>
    </w:p>
    <w:p w14:paraId="0C4AD674"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suppliers;</w:t>
      </w:r>
    </w:p>
    <w:p w14:paraId="2E11E154"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government institutions;</w:t>
      </w:r>
    </w:p>
    <w:p w14:paraId="7EFE2E66"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technology providers;</w:t>
      </w:r>
    </w:p>
    <w:p w14:paraId="78470BEB"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enterprise customers;</w:t>
      </w:r>
    </w:p>
    <w:p w14:paraId="58A122CB"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local communities.</w:t>
      </w:r>
    </w:p>
    <w:p w14:paraId="38C0994B" w14:textId="3B88FBCB"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Regulators</w:t>
      </w:r>
      <w:r w:rsidR="005712ED">
        <w:rPr>
          <w:rFonts w:ascii="Arial" w:eastAsia="Times New Roman" w:hAnsi="Arial" w:cs="Arial"/>
          <w:i/>
          <w:iCs/>
          <w:color w:val="000000"/>
          <w:kern w:val="0"/>
          <w:sz w:val="27"/>
          <w:szCs w:val="27"/>
          <w14:ligatures w14:val="none"/>
        </w:rPr>
        <w:t>:</w:t>
      </w:r>
    </w:p>
    <w:p w14:paraId="4FC59A07" w14:textId="77777777" w:rsidR="00E74CB9" w:rsidRPr="00CB71F6" w:rsidRDefault="00E74CB9" w:rsidP="00EE1240">
      <w:pPr>
        <w:pStyle w:val="Listparagraf"/>
        <w:numPr>
          <w:ilvl w:val="0"/>
          <w:numId w:val="17"/>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Government agencies influence competition, customer protection and digital infrastructure standards.</w:t>
      </w:r>
    </w:p>
    <w:p w14:paraId="6AB2D8D4" w14:textId="77777777" w:rsidR="00E74CB9" w:rsidRPr="00CB71F6" w:rsidRDefault="00E74CB9" w:rsidP="00EE1240">
      <w:pPr>
        <w:pStyle w:val="Listparagraf"/>
        <w:numPr>
          <w:ilvl w:val="0"/>
          <w:numId w:val="17"/>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Strong relationships with regulators improve strategic stability and reduce uncertainty.</w:t>
      </w:r>
    </w:p>
    <w:p w14:paraId="6A35387F" w14:textId="416918A0"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Suppliers</w:t>
      </w:r>
      <w:r w:rsidR="005712ED">
        <w:rPr>
          <w:rFonts w:ascii="Arial" w:eastAsia="Times New Roman" w:hAnsi="Arial" w:cs="Arial"/>
          <w:i/>
          <w:iCs/>
          <w:color w:val="000000"/>
          <w:kern w:val="0"/>
          <w:sz w:val="27"/>
          <w:szCs w:val="27"/>
          <w14:ligatures w14:val="none"/>
        </w:rPr>
        <w:t>:</w:t>
      </w:r>
    </w:p>
    <w:p w14:paraId="16C5472A" w14:textId="77777777" w:rsidR="00E74CB9" w:rsidRPr="00CB71F6" w:rsidRDefault="00E74CB9" w:rsidP="00F655DB">
      <w:pPr>
        <w:pStyle w:val="Listparagraf"/>
        <w:numPr>
          <w:ilvl w:val="0"/>
          <w:numId w:val="18"/>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Network infrastructure depends heavily on specialist suppliers and equipment manufacturers.</w:t>
      </w:r>
    </w:p>
    <w:p w14:paraId="2947E6BC" w14:textId="77777777" w:rsidR="00E74CB9" w:rsidRPr="00CB71F6" w:rsidRDefault="00E74CB9" w:rsidP="00F655DB">
      <w:pPr>
        <w:pStyle w:val="Listparagraf"/>
        <w:numPr>
          <w:ilvl w:val="0"/>
          <w:numId w:val="18"/>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Supplier reliability directly affects service quality and investment programmes.</w:t>
      </w:r>
    </w:p>
    <w:p w14:paraId="466B70EB" w14:textId="00773D40"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Technology Partners</w:t>
      </w:r>
      <w:r w:rsidR="005A745A">
        <w:rPr>
          <w:rFonts w:ascii="Arial" w:eastAsia="Times New Roman" w:hAnsi="Arial" w:cs="Arial"/>
          <w:i/>
          <w:iCs/>
          <w:color w:val="000000"/>
          <w:kern w:val="0"/>
          <w:sz w:val="27"/>
          <w:szCs w:val="27"/>
          <w14:ligatures w14:val="none"/>
        </w:rPr>
        <w:t>:</w:t>
      </w:r>
    </w:p>
    <w:p w14:paraId="22D7D12C" w14:textId="77777777" w:rsidR="00E74CB9" w:rsidRPr="00CB71F6" w:rsidRDefault="00E74CB9" w:rsidP="007C323D">
      <w:pPr>
        <w:pStyle w:val="Listparagraf"/>
        <w:numPr>
          <w:ilvl w:val="0"/>
          <w:numId w:val="19"/>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Cloud providers, software developers and cybersecurity firms increasingly influence telecommunications services.</w:t>
      </w:r>
    </w:p>
    <w:p w14:paraId="4C804ABE" w14:textId="77777777" w:rsidR="00E74CB9" w:rsidRPr="00CB71F6" w:rsidRDefault="00E74CB9" w:rsidP="007C323D">
      <w:pPr>
        <w:pStyle w:val="Listparagraf"/>
        <w:numPr>
          <w:ilvl w:val="0"/>
          <w:numId w:val="19"/>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Building collaborative relationships with technology partners can improve innovation and risk management.</w:t>
      </w:r>
    </w:p>
    <w:p w14:paraId="70C038FB" w14:textId="79757D9D"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Business Customers</w:t>
      </w:r>
      <w:r w:rsidR="005A745A">
        <w:rPr>
          <w:rFonts w:ascii="Arial" w:eastAsia="Times New Roman" w:hAnsi="Arial" w:cs="Arial"/>
          <w:i/>
          <w:iCs/>
          <w:color w:val="000000"/>
          <w:kern w:val="0"/>
          <w:sz w:val="27"/>
          <w:szCs w:val="27"/>
          <w14:ligatures w14:val="none"/>
        </w:rPr>
        <w:t>:</w:t>
      </w:r>
    </w:p>
    <w:p w14:paraId="1956ECD9" w14:textId="77777777" w:rsidR="00E74CB9" w:rsidRPr="00CB71F6" w:rsidRDefault="00E74CB9" w:rsidP="006A1EF2">
      <w:pPr>
        <w:pStyle w:val="Listparagraf"/>
        <w:numPr>
          <w:ilvl w:val="0"/>
          <w:numId w:val="20"/>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Enterprise customers increasingly require secure and reliable communication infrastructure.</w:t>
      </w:r>
    </w:p>
    <w:p w14:paraId="36C8F775" w14:textId="77777777" w:rsidR="00E74CB9" w:rsidRPr="00CB71F6" w:rsidRDefault="00E74CB9" w:rsidP="006A1EF2">
      <w:pPr>
        <w:pStyle w:val="Listparagraf"/>
        <w:numPr>
          <w:ilvl w:val="0"/>
          <w:numId w:val="20"/>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Their expectations influence service development and investment priorities.</w:t>
      </w:r>
    </w:p>
    <w:p w14:paraId="56CA06F0" w14:textId="2B60E72D"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Communities</w:t>
      </w:r>
      <w:r w:rsidR="005A745A">
        <w:rPr>
          <w:rFonts w:ascii="Arial" w:eastAsia="Times New Roman" w:hAnsi="Arial" w:cs="Arial"/>
          <w:i/>
          <w:iCs/>
          <w:color w:val="000000"/>
          <w:kern w:val="0"/>
          <w:sz w:val="27"/>
          <w:szCs w:val="27"/>
          <w14:ligatures w14:val="none"/>
        </w:rPr>
        <w:t>:</w:t>
      </w:r>
    </w:p>
    <w:p w14:paraId="1F791150" w14:textId="77777777" w:rsidR="00E74CB9" w:rsidRPr="00CB71F6" w:rsidRDefault="00E74CB9" w:rsidP="006D7FF3">
      <w:pPr>
        <w:pStyle w:val="Listparagraf"/>
        <w:numPr>
          <w:ilvl w:val="0"/>
          <w:numId w:val="21"/>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Communities depend on telecommunications providers for connectivity and digital access.</w:t>
      </w:r>
    </w:p>
    <w:p w14:paraId="0299E1AA" w14:textId="77777777" w:rsidR="00E74CB9" w:rsidRPr="00CB71F6" w:rsidRDefault="00E74CB9" w:rsidP="006D7FF3">
      <w:pPr>
        <w:pStyle w:val="Listparagraf"/>
        <w:numPr>
          <w:ilvl w:val="0"/>
          <w:numId w:val="21"/>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Maintaining trust with local communities strengthens reputation and legitimacy.</w:t>
      </w:r>
    </w:p>
    <w:p w14:paraId="1F59A10E" w14:textId="77777777" w:rsidR="00B1419C" w:rsidRPr="00CB71F6" w:rsidRDefault="00E74CB9" w:rsidP="006D7FF3">
      <w:pPr>
        <w:pStyle w:val="Listparagraf"/>
        <w:numPr>
          <w:ilvl w:val="0"/>
          <w:numId w:val="21"/>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ecosystem perspective demonstrates that resilience depends not only on internal capability but also on the strength of external relationships.</w:t>
      </w:r>
    </w:p>
    <w:p w14:paraId="5E65B173" w14:textId="39F0D87D" w:rsidR="00E74CB9" w:rsidRPr="00A16971" w:rsidRDefault="00FE0A40" w:rsidP="00B1419C">
      <w:pPr>
        <w:spacing w:before="100" w:beforeAutospacing="1" w:after="100" w:afterAutospacing="1" w:line="240" w:lineRule="auto"/>
        <w:rPr>
          <w:rStyle w:val="Referireintens"/>
          <w:sz w:val="40"/>
          <w:szCs w:val="40"/>
        </w:rPr>
      </w:pPr>
      <w:r>
        <w:rPr>
          <w:rStyle w:val="Referireintens"/>
          <w:sz w:val="40"/>
          <w:szCs w:val="40"/>
        </w:rPr>
        <w:t>C)</w:t>
      </w:r>
      <w:r w:rsidR="00E74CB9" w:rsidRPr="00A16971">
        <w:rPr>
          <w:rStyle w:val="Referireintens"/>
          <w:sz w:val="40"/>
          <w:szCs w:val="40"/>
        </w:rPr>
        <w:t xml:space="preserve"> Organisational Vulnerabilities and Future Uncertainty</w:t>
      </w:r>
    </w:p>
    <w:p w14:paraId="7E556FF3" w14:textId="18244625" w:rsidR="00E74CB9" w:rsidRPr="00F53A98" w:rsidRDefault="00FE0A40" w:rsidP="00E74CB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C.1)</w:t>
      </w:r>
      <w:r w:rsidR="00E74CB9" w:rsidRPr="00F53A98">
        <w:rPr>
          <w:rFonts w:ascii="Arial" w:eastAsia="Times New Roman" w:hAnsi="Arial" w:cs="Arial"/>
          <w:b/>
          <w:bCs/>
          <w:color w:val="000000"/>
          <w:kern w:val="0"/>
          <w14:ligatures w14:val="none"/>
        </w:rPr>
        <w:t xml:space="preserve"> Enterprise Risk Perspective</w:t>
      </w:r>
    </w:p>
    <w:p w14:paraId="2EB4C20D"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merger has increased VodafoneThree's market position but has also created new organisational vulnerabilities.</w:t>
      </w:r>
    </w:p>
    <w:p w14:paraId="67854177" w14:textId="77777777"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Cybersecurity Risk</w:t>
      </w:r>
    </w:p>
    <w:p w14:paraId="7E2D5CC6" w14:textId="77777777" w:rsidR="00E74CB9" w:rsidRPr="00CB71F6" w:rsidRDefault="00E74CB9" w:rsidP="008D3D9B">
      <w:pPr>
        <w:pStyle w:val="Listparagraf"/>
        <w:numPr>
          <w:ilvl w:val="0"/>
          <w:numId w:val="34"/>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Telecommunications organisations manage large amounts of sensitive customer information and critical infrastructure.</w:t>
      </w:r>
    </w:p>
    <w:p w14:paraId="2D4D235F" w14:textId="77777777" w:rsidR="00E74CB9" w:rsidRPr="00CB71F6" w:rsidRDefault="00E74CB9" w:rsidP="008D3D9B">
      <w:pPr>
        <w:pStyle w:val="Listparagraf"/>
        <w:numPr>
          <w:ilvl w:val="0"/>
          <w:numId w:val="34"/>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Cyber incidents can create operational disruption, financial losses and reputational damage.</w:t>
      </w:r>
    </w:p>
    <w:p w14:paraId="0352CEB4" w14:textId="77777777" w:rsidR="00E74CB9" w:rsidRPr="00CB71F6" w:rsidRDefault="00E74CB9" w:rsidP="008D3D9B">
      <w:pPr>
        <w:pStyle w:val="Listparagraf"/>
        <w:numPr>
          <w:ilvl w:val="0"/>
          <w:numId w:val="34"/>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Cyber resilience should therefore become a strategic priority rather than solely a technical responsibility.</w:t>
      </w:r>
    </w:p>
    <w:p w14:paraId="1AD0850B" w14:textId="3F916105"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Supply Chain Risk</w:t>
      </w:r>
    </w:p>
    <w:p w14:paraId="4C8CAC92" w14:textId="77777777" w:rsidR="00E74CB9" w:rsidRPr="00CB71F6" w:rsidRDefault="00E74CB9" w:rsidP="008D3D9B">
      <w:pPr>
        <w:pStyle w:val="Listparagraf"/>
        <w:numPr>
          <w:ilvl w:val="0"/>
          <w:numId w:val="3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telecommunications sector relies heavily on global suppliers for infrastructure and software solutions.</w:t>
      </w:r>
    </w:p>
    <w:p w14:paraId="4BC54903" w14:textId="77777777" w:rsidR="00E74CB9" w:rsidRPr="00CB71F6" w:rsidRDefault="00E74CB9" w:rsidP="008D3D9B">
      <w:pPr>
        <w:pStyle w:val="Listparagraf"/>
        <w:numPr>
          <w:ilvl w:val="0"/>
          <w:numId w:val="3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Geopolitical tensions and transport disruptions have demonstrated the vulnerability of international supply chains.</w:t>
      </w:r>
    </w:p>
    <w:p w14:paraId="6A8EC81C" w14:textId="77777777" w:rsidR="00E74CB9" w:rsidRPr="00CB71F6" w:rsidRDefault="00E74CB9" w:rsidP="008D3D9B">
      <w:pPr>
        <w:pStyle w:val="Listparagraf"/>
        <w:numPr>
          <w:ilvl w:val="0"/>
          <w:numId w:val="3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Diversification and contingency planning can reduce these risks.</w:t>
      </w:r>
    </w:p>
    <w:p w14:paraId="029FDA14" w14:textId="77777777"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lastRenderedPageBreak/>
        <w:t>Organisational Complexity</w:t>
      </w:r>
    </w:p>
    <w:p w14:paraId="497DE710" w14:textId="77777777" w:rsidR="00E74CB9" w:rsidRPr="00FC09DE" w:rsidRDefault="00E74CB9" w:rsidP="00FC09DE">
      <w:pPr>
        <w:pStyle w:val="Listparagraf"/>
        <w:numPr>
          <w:ilvl w:val="0"/>
          <w:numId w:val="33"/>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Large organisations often experience slower decision-making and communication challenges.</w:t>
      </w:r>
    </w:p>
    <w:p w14:paraId="7E163AAF" w14:textId="77777777" w:rsidR="00E74CB9" w:rsidRPr="00FC09DE" w:rsidRDefault="00E74CB9" w:rsidP="00FC09DE">
      <w:pPr>
        <w:pStyle w:val="Listparagraf"/>
        <w:numPr>
          <w:ilvl w:val="0"/>
          <w:numId w:val="33"/>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The integration of Vodafone UK and Three UK increases the importance of efficient internal coordination and governance.</w:t>
      </w:r>
    </w:p>
    <w:p w14:paraId="35D655AB" w14:textId="77777777"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Workforce Risk</w:t>
      </w:r>
    </w:p>
    <w:p w14:paraId="7AA151F7" w14:textId="77777777" w:rsidR="00E74CB9" w:rsidRPr="00FC09DE" w:rsidRDefault="00E74CB9" w:rsidP="00FC09DE">
      <w:pPr>
        <w:pStyle w:val="Listparagraf"/>
        <w:numPr>
          <w:ilvl w:val="0"/>
          <w:numId w:val="32"/>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The industry increasingly depends on specialist digital and technical skills.</w:t>
      </w:r>
    </w:p>
    <w:p w14:paraId="19D27090" w14:textId="77777777" w:rsidR="00E74CB9" w:rsidRPr="00FC09DE" w:rsidRDefault="00E74CB9" w:rsidP="00FC09DE">
      <w:pPr>
        <w:pStyle w:val="Listparagraf"/>
        <w:numPr>
          <w:ilvl w:val="0"/>
          <w:numId w:val="32"/>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Competition for highly skilled employees creates recruitment and retention challenges.</w:t>
      </w:r>
    </w:p>
    <w:p w14:paraId="2E1D60B2" w14:textId="77777777" w:rsidR="00B1419C" w:rsidRPr="00FC09DE" w:rsidRDefault="00E74CB9" w:rsidP="00FC09DE">
      <w:pPr>
        <w:pStyle w:val="Listparagraf"/>
        <w:numPr>
          <w:ilvl w:val="0"/>
          <w:numId w:val="32"/>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Investment in employee development therefore becomes essential.</w:t>
      </w:r>
    </w:p>
    <w:p w14:paraId="78039740" w14:textId="1DCD9A9E" w:rsidR="00E74CB9" w:rsidRPr="008B29E5" w:rsidRDefault="00FE0A40" w:rsidP="00B1419C">
      <w:pPr>
        <w:spacing w:before="100" w:beforeAutospacing="1" w:after="100" w:afterAutospacing="1" w:line="240" w:lineRule="auto"/>
        <w:rPr>
          <w:rFonts w:ascii="Arial" w:hAnsi="Arial" w:cs="Arial"/>
          <w:b/>
          <w:bCs/>
          <w:color w:val="000000"/>
          <w:kern w:val="0"/>
          <w14:ligatures w14:val="none"/>
        </w:rPr>
      </w:pPr>
      <w:r>
        <w:rPr>
          <w:rFonts w:ascii="Arial" w:eastAsia="Times New Roman" w:hAnsi="Arial" w:cs="Arial"/>
          <w:b/>
          <w:bCs/>
          <w:color w:val="000000"/>
          <w:kern w:val="0"/>
          <w14:ligatures w14:val="none"/>
        </w:rPr>
        <w:t>C.2)</w:t>
      </w:r>
      <w:r w:rsidR="00E74CB9" w:rsidRPr="008B29E5">
        <w:rPr>
          <w:rFonts w:ascii="Arial" w:eastAsia="Times New Roman" w:hAnsi="Arial" w:cs="Arial"/>
          <w:b/>
          <w:bCs/>
          <w:color w:val="000000"/>
          <w:kern w:val="0"/>
          <w14:ligatures w14:val="none"/>
        </w:rPr>
        <w:t xml:space="preserve"> Scenario Planning</w:t>
      </w:r>
    </w:p>
    <w:p w14:paraId="3CCE75F9" w14:textId="77777777" w:rsidR="00E74CB9" w:rsidRPr="000F58E9" w:rsidRDefault="00E74CB9" w:rsidP="00E74CB9">
      <w:pPr>
        <w:spacing w:before="100" w:beforeAutospacing="1" w:after="100" w:afterAutospacing="1" w:line="240" w:lineRule="auto"/>
        <w:outlineLvl w:val="2"/>
        <w:rPr>
          <w:rFonts w:ascii="Arial" w:eastAsia="Times New Roman" w:hAnsi="Arial" w:cs="Arial"/>
          <w:i/>
          <w:iCs/>
          <w:color w:val="000000"/>
          <w:kern w:val="0"/>
          <w14:ligatures w14:val="none"/>
        </w:rPr>
      </w:pPr>
      <w:r w:rsidRPr="000F58E9">
        <w:rPr>
          <w:rFonts w:ascii="Arial" w:eastAsia="Times New Roman" w:hAnsi="Arial" w:cs="Arial"/>
          <w:i/>
          <w:iCs/>
          <w:color w:val="000000"/>
          <w:kern w:val="0"/>
          <w14:ligatures w14:val="none"/>
        </w:rPr>
        <w:t>Scenario One: Stable Economic Growth</w:t>
      </w:r>
    </w:p>
    <w:p w14:paraId="5790B7BC" w14:textId="77777777" w:rsidR="00E74CB9" w:rsidRPr="00CA142D" w:rsidRDefault="00E74CB9" w:rsidP="00A11E67">
      <w:pPr>
        <w:pStyle w:val="Listparagraf"/>
        <w:numPr>
          <w:ilvl w:val="0"/>
          <w:numId w:val="29"/>
        </w:numPr>
        <w:spacing w:before="100" w:beforeAutospacing="1" w:after="100" w:afterAutospacing="1" w:line="240" w:lineRule="auto"/>
        <w:rPr>
          <w:rFonts w:ascii="Arial" w:hAnsi="Arial" w:cs="Arial"/>
          <w:color w:val="000000"/>
          <w:kern w:val="0"/>
          <w14:ligatures w14:val="none"/>
        </w:rPr>
      </w:pPr>
      <w:r w:rsidRPr="00CA142D">
        <w:rPr>
          <w:rFonts w:ascii="Arial" w:hAnsi="Arial" w:cs="Arial"/>
          <w:color w:val="000000"/>
          <w:kern w:val="0"/>
          <w14:ligatures w14:val="none"/>
        </w:rPr>
        <w:t>Economic recovery supports investment and customer spending.</w:t>
      </w:r>
    </w:p>
    <w:p w14:paraId="65E57ED0" w14:textId="77777777" w:rsidR="00E74CB9" w:rsidRPr="00CA142D" w:rsidRDefault="00E74CB9" w:rsidP="00A11E67">
      <w:pPr>
        <w:pStyle w:val="Listparagraf"/>
        <w:numPr>
          <w:ilvl w:val="0"/>
          <w:numId w:val="29"/>
        </w:numPr>
        <w:spacing w:before="100" w:beforeAutospacing="1" w:after="100" w:afterAutospacing="1" w:line="240" w:lineRule="auto"/>
        <w:rPr>
          <w:rFonts w:ascii="Arial" w:hAnsi="Arial" w:cs="Arial"/>
          <w:color w:val="000000"/>
          <w:kern w:val="0"/>
          <w14:ligatures w14:val="none"/>
        </w:rPr>
      </w:pPr>
      <w:r w:rsidRPr="00CA142D">
        <w:rPr>
          <w:rFonts w:ascii="Arial" w:hAnsi="Arial" w:cs="Arial"/>
          <w:color w:val="000000"/>
          <w:kern w:val="0"/>
          <w14:ligatures w14:val="none"/>
        </w:rPr>
        <w:t>VodafoneThree would benefit from increased infrastructure investment and service expansion.</w:t>
      </w:r>
    </w:p>
    <w:p w14:paraId="303ED166" w14:textId="77777777" w:rsidR="00E74CB9" w:rsidRPr="000F58E9" w:rsidRDefault="00E74CB9" w:rsidP="00E74CB9">
      <w:pPr>
        <w:spacing w:before="100" w:beforeAutospacing="1" w:after="100" w:afterAutospacing="1" w:line="240" w:lineRule="auto"/>
        <w:outlineLvl w:val="2"/>
        <w:rPr>
          <w:rFonts w:ascii="Arial" w:eastAsia="Times New Roman" w:hAnsi="Arial" w:cs="Arial"/>
          <w:i/>
          <w:iCs/>
          <w:color w:val="000000"/>
          <w:kern w:val="0"/>
          <w14:ligatures w14:val="none"/>
        </w:rPr>
      </w:pPr>
      <w:r w:rsidRPr="000F58E9">
        <w:rPr>
          <w:rFonts w:ascii="Arial" w:eastAsia="Times New Roman" w:hAnsi="Arial" w:cs="Arial"/>
          <w:i/>
          <w:iCs/>
          <w:color w:val="000000"/>
          <w:kern w:val="0"/>
          <w14:ligatures w14:val="none"/>
        </w:rPr>
        <w:t>Scenario Two: Economic Pressure</w:t>
      </w:r>
    </w:p>
    <w:p w14:paraId="74F3F5BE" w14:textId="77777777" w:rsidR="00E74CB9" w:rsidRPr="00A66736" w:rsidRDefault="00E74CB9" w:rsidP="00A66736">
      <w:pPr>
        <w:pStyle w:val="Listparagraf"/>
        <w:numPr>
          <w:ilvl w:val="0"/>
          <w:numId w:val="30"/>
        </w:numPr>
        <w:spacing w:before="100" w:beforeAutospacing="1" w:after="100" w:afterAutospacing="1" w:line="240" w:lineRule="auto"/>
        <w:rPr>
          <w:rFonts w:ascii="Arial" w:hAnsi="Arial" w:cs="Arial"/>
          <w:color w:val="000000"/>
          <w:kern w:val="0"/>
          <w14:ligatures w14:val="none"/>
        </w:rPr>
      </w:pPr>
      <w:r w:rsidRPr="00A66736">
        <w:rPr>
          <w:rFonts w:ascii="Arial" w:hAnsi="Arial" w:cs="Arial"/>
          <w:color w:val="000000"/>
          <w:kern w:val="0"/>
          <w14:ligatures w14:val="none"/>
        </w:rPr>
        <w:t>Customers become more price-sensitive while businesses reduce investment spending.</w:t>
      </w:r>
    </w:p>
    <w:p w14:paraId="4E2762FF" w14:textId="77777777" w:rsidR="00E74CB9" w:rsidRPr="00A66736" w:rsidRDefault="00E74CB9" w:rsidP="00A66736">
      <w:pPr>
        <w:pStyle w:val="Listparagraf"/>
        <w:numPr>
          <w:ilvl w:val="0"/>
          <w:numId w:val="30"/>
        </w:numPr>
        <w:spacing w:before="100" w:beforeAutospacing="1" w:after="100" w:afterAutospacing="1" w:line="240" w:lineRule="auto"/>
        <w:rPr>
          <w:rFonts w:ascii="Arial" w:hAnsi="Arial" w:cs="Arial"/>
          <w:color w:val="000000"/>
          <w:kern w:val="0"/>
          <w14:ligatures w14:val="none"/>
        </w:rPr>
      </w:pPr>
      <w:r w:rsidRPr="00A66736">
        <w:rPr>
          <w:rFonts w:ascii="Arial" w:hAnsi="Arial" w:cs="Arial"/>
          <w:color w:val="000000"/>
          <w:kern w:val="0"/>
          <w14:ligatures w14:val="none"/>
        </w:rPr>
        <w:t>Operational efficiency and financial discipline become increasingly important.</w:t>
      </w:r>
    </w:p>
    <w:p w14:paraId="580DBCE8" w14:textId="77777777" w:rsidR="00E74CB9" w:rsidRPr="000F58E9" w:rsidRDefault="00E74CB9" w:rsidP="00E74CB9">
      <w:pPr>
        <w:spacing w:before="100" w:beforeAutospacing="1" w:after="100" w:afterAutospacing="1" w:line="240" w:lineRule="auto"/>
        <w:outlineLvl w:val="2"/>
        <w:rPr>
          <w:rFonts w:ascii="Arial" w:eastAsia="Times New Roman" w:hAnsi="Arial" w:cs="Arial"/>
          <w:i/>
          <w:iCs/>
          <w:color w:val="000000"/>
          <w:kern w:val="0"/>
          <w14:ligatures w14:val="none"/>
        </w:rPr>
      </w:pPr>
      <w:r w:rsidRPr="000F58E9">
        <w:rPr>
          <w:rFonts w:ascii="Arial" w:eastAsia="Times New Roman" w:hAnsi="Arial" w:cs="Arial"/>
          <w:i/>
          <w:iCs/>
          <w:color w:val="000000"/>
          <w:kern w:val="0"/>
          <w14:ligatures w14:val="none"/>
        </w:rPr>
        <w:t>Scenario Three: High Disruption Environment</w:t>
      </w:r>
    </w:p>
    <w:p w14:paraId="2214FC2E" w14:textId="77777777" w:rsidR="00E74CB9" w:rsidRPr="0092233A" w:rsidRDefault="00E74CB9" w:rsidP="00A66736">
      <w:pPr>
        <w:pStyle w:val="Listparagraf"/>
        <w:numPr>
          <w:ilvl w:val="0"/>
          <w:numId w:val="31"/>
        </w:numPr>
        <w:spacing w:before="100" w:beforeAutospacing="1" w:after="100" w:afterAutospacing="1" w:line="240" w:lineRule="auto"/>
        <w:rPr>
          <w:rFonts w:ascii="Arial" w:hAnsi="Arial" w:cs="Arial"/>
          <w:color w:val="000000"/>
          <w:kern w:val="0"/>
          <w14:ligatures w14:val="none"/>
        </w:rPr>
      </w:pPr>
      <w:r w:rsidRPr="0092233A">
        <w:rPr>
          <w:rFonts w:ascii="Arial" w:hAnsi="Arial" w:cs="Arial"/>
          <w:color w:val="000000"/>
          <w:kern w:val="0"/>
          <w14:ligatures w14:val="none"/>
        </w:rPr>
        <w:t>Cyberattacks, supply chain disruption and regulatory intervention increase significantly.</w:t>
      </w:r>
    </w:p>
    <w:p w14:paraId="1A1B39C5" w14:textId="77777777" w:rsidR="00E74CB9" w:rsidRPr="0092233A" w:rsidRDefault="00E74CB9" w:rsidP="00A66736">
      <w:pPr>
        <w:pStyle w:val="Listparagraf"/>
        <w:numPr>
          <w:ilvl w:val="0"/>
          <w:numId w:val="31"/>
        </w:numPr>
        <w:spacing w:before="100" w:beforeAutospacing="1" w:after="100" w:afterAutospacing="1" w:line="240" w:lineRule="auto"/>
        <w:rPr>
          <w:rFonts w:ascii="Arial" w:hAnsi="Arial" w:cs="Arial"/>
          <w:color w:val="000000"/>
          <w:kern w:val="0"/>
          <w14:ligatures w14:val="none"/>
        </w:rPr>
      </w:pPr>
      <w:r w:rsidRPr="0092233A">
        <w:rPr>
          <w:rFonts w:ascii="Arial" w:hAnsi="Arial" w:cs="Arial"/>
          <w:color w:val="000000"/>
          <w:kern w:val="0"/>
          <w14:ligatures w14:val="none"/>
        </w:rPr>
        <w:t>Organisations capable of adapting quickly achieve stronger long-term performance.</w:t>
      </w:r>
    </w:p>
    <w:p w14:paraId="2183F1DE" w14:textId="77777777" w:rsidR="00E74CB9" w:rsidRPr="0092233A" w:rsidRDefault="00E74CB9" w:rsidP="00A66736">
      <w:pPr>
        <w:pStyle w:val="Listparagraf"/>
        <w:numPr>
          <w:ilvl w:val="0"/>
          <w:numId w:val="31"/>
        </w:numPr>
        <w:spacing w:before="100" w:beforeAutospacing="1" w:after="100" w:afterAutospacing="1" w:line="240" w:lineRule="auto"/>
        <w:rPr>
          <w:rFonts w:ascii="Arial" w:hAnsi="Arial" w:cs="Arial"/>
          <w:color w:val="000000"/>
          <w:kern w:val="0"/>
          <w14:ligatures w14:val="none"/>
        </w:rPr>
      </w:pPr>
      <w:r w:rsidRPr="0092233A">
        <w:rPr>
          <w:rFonts w:ascii="Arial" w:hAnsi="Arial" w:cs="Arial"/>
          <w:color w:val="000000"/>
          <w:kern w:val="0"/>
          <w14:ligatures w14:val="none"/>
        </w:rPr>
        <w:t>Scenario planning demonstrates that resilience remains valuable under all three environments.</w:t>
      </w:r>
    </w:p>
    <w:p w14:paraId="59985492" w14:textId="0257BB65" w:rsidR="00DE3992" w:rsidRPr="0064269E" w:rsidRDefault="00FE0A40" w:rsidP="00DE3992">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C.3)</w:t>
      </w:r>
      <w:r w:rsidR="00DE3992" w:rsidRPr="0064269E">
        <w:rPr>
          <w:rFonts w:ascii="Arial" w:eastAsia="Times New Roman" w:hAnsi="Arial" w:cs="Arial"/>
          <w:b/>
          <w:bCs/>
          <w:color w:val="000000"/>
          <w:kern w:val="0"/>
          <w14:ligatures w14:val="none"/>
        </w:rPr>
        <w:t xml:space="preserve"> Strategic Implications of Uncertainty</w:t>
      </w:r>
    </w:p>
    <w:p w14:paraId="3F9AA4B0" w14:textId="01F78837" w:rsidR="00DE3992" w:rsidRPr="00CB71F6" w:rsidRDefault="00DE3992" w:rsidP="00226636">
      <w:pPr>
        <w:pStyle w:val="isselectedend"/>
        <w:rPr>
          <w:rFonts w:ascii="Arial" w:hAnsi="Arial" w:cs="Arial"/>
          <w:color w:val="000000"/>
        </w:rPr>
      </w:pPr>
      <w:r w:rsidRPr="00CB71F6">
        <w:rPr>
          <w:rFonts w:ascii="Arial" w:hAnsi="Arial" w:cs="Arial"/>
          <w:color w:val="000000"/>
        </w:rPr>
        <w:t xml:space="preserve">The environmental assessment and scenario planning exercise demonstrate that uncertainty has become a permanent characteristic of the telecommunications industry rather than a temporary disruption.Traditional strategic management approaches often assume that organisations operate within relatively stable environments where future demand, technology trends and competitive behaviour can be predicted with reasonable accuracy. However, this assumption is becoming increasingly difficult to justify within telecommunications markets.For VodafoneThree, future challenges may emerge from several directions simultaneously. Technological developments can quickly alter customer expectations, while regulatory intervention may reshape competitive conditions with limited warning. At the same time, geopolitical tensions and supply chain disruption </w:t>
      </w:r>
      <w:r w:rsidRPr="00CB71F6">
        <w:rPr>
          <w:rFonts w:ascii="Arial" w:hAnsi="Arial" w:cs="Arial"/>
          <w:color w:val="000000"/>
        </w:rPr>
        <w:lastRenderedPageBreak/>
        <w:t>can affect infrastructure investment decisions and operational performance.These conditions create an important strategic implication. Competitive advantage may depend less on forecasting individual events correctly and more on developing organisational capabilities that remain valuable across multiple future environments.</w:t>
      </w:r>
      <w:r w:rsidR="00AB7C9A" w:rsidRPr="00CB71F6">
        <w:rPr>
          <w:rFonts w:ascii="Arial" w:hAnsi="Arial" w:cs="Arial"/>
          <w:color w:val="000000"/>
        </w:rPr>
        <w:t xml:space="preserve"> From a strategic perspective, uncertainty creates both risks and opportunities. Organisations that rely heavily on fixed long-term assumptions may struggle when market conditions change unexpectedly. In contrast, organisations that develop flexible structures and responsive decision-making processes are often better positioned to exploit emerging opportunities ahead of competitors.For VodafoneThree, this means that strategic planning should become a continuous process rather than an occasional exercise conducted during annual review cycles. Management should regularly reassess environmental developments, test assumptions and adjust priorities when necessary.This approach encourages proactive rather than reactive behaviour and improves the organisation's ability to respond effectively to changing circumstances.The capacity to adapt quickly may therefore become an important differentiator within the telecommunications industry, particularly as technological and regulatory change continues to accelerate.</w:t>
      </w:r>
      <w:r w:rsidR="00226636" w:rsidRPr="00CB71F6">
        <w:rPr>
          <w:rFonts w:ascii="Arial" w:hAnsi="Arial" w:cs="Arial"/>
          <w:color w:val="000000"/>
        </w:rPr>
        <w:t xml:space="preserve"> </w:t>
      </w:r>
      <w:r w:rsidRPr="00CB71F6">
        <w:rPr>
          <w:rFonts w:ascii="Arial" w:hAnsi="Arial" w:cs="Arial"/>
          <w:color w:val="000000"/>
        </w:rPr>
        <w:t>This perspective challenges the traditional belief that scale and infrastructure ownership alone determine success within telecommunications. While these resources remain important, they may provide limited protection if organisations cannot respond effectively to unexpected change.VodafoneThree should therefore view adaptability as a strategic asset rather than simply an operational capability. The organisation's ability to learn, respond and reconfigure resources quickly may become increasingly important in determining long-term performance.Consequently, resilience should not be viewed as a defensive activity focused only on risk reduction. Instead, resilience should be understood as an enabler of sustainable growth because organisations that remain operational during periods of uncertainty are often better positioned to exploit opportunities when conditions improve.</w:t>
      </w:r>
    </w:p>
    <w:p w14:paraId="5FCC8B24" w14:textId="628240CD" w:rsidR="004B2659" w:rsidRPr="00D20A9F"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D)</w:t>
      </w:r>
      <w:r w:rsidR="004B2659" w:rsidRPr="00D20A9F">
        <w:rPr>
          <w:rStyle w:val="Referireintens"/>
          <w:sz w:val="40"/>
          <w:szCs w:val="40"/>
        </w:rPr>
        <w:t xml:space="preserve"> Strategic Alternatives and Recommended Direction</w:t>
      </w:r>
    </w:p>
    <w:p w14:paraId="4502DD9D"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After analysing the external environment and VodafoneThree's internal vulnerabilities, three possible strategic pathways emerge. Each option offers advantages, but they differ significantly in terms of risk, sustainability and alignment with the organisation's future challenges.</w:t>
      </w:r>
    </w:p>
    <w:p w14:paraId="19FC9B57" w14:textId="0ED33D3A" w:rsidR="004B2659" w:rsidRPr="00F360A7" w:rsidRDefault="00A8493D"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D.1) </w:t>
      </w:r>
      <w:r w:rsidR="004B2659" w:rsidRPr="00F360A7">
        <w:rPr>
          <w:rFonts w:ascii="Arial" w:eastAsia="Times New Roman" w:hAnsi="Arial" w:cs="Arial"/>
          <w:b/>
          <w:bCs/>
          <w:color w:val="000000"/>
          <w:kern w:val="0"/>
          <w14:ligatures w14:val="none"/>
        </w:rPr>
        <w:t>Alternative One: Market Share Expansion Strategy</w:t>
      </w:r>
    </w:p>
    <w:p w14:paraId="0AE02124"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first option would involve using the benefits of the merger to increase market share aggressively through pricing strategies, customer acquisition campaigns and rapid network expansion.</w:t>
      </w:r>
    </w:p>
    <w:p w14:paraId="53640EF6" w14:textId="77777777" w:rsidR="004B2659" w:rsidRPr="006614CA" w:rsidRDefault="004B2659" w:rsidP="004B2659">
      <w:pPr>
        <w:spacing w:before="100" w:beforeAutospacing="1" w:after="100" w:afterAutospacing="1" w:line="240" w:lineRule="auto"/>
        <w:rPr>
          <w:rFonts w:ascii="Arial" w:hAnsi="Arial" w:cs="Arial"/>
          <w:i/>
          <w:iCs/>
          <w:color w:val="000000"/>
          <w:kern w:val="0"/>
          <w14:ligatures w14:val="none"/>
        </w:rPr>
      </w:pPr>
      <w:r w:rsidRPr="006614CA">
        <w:rPr>
          <w:rFonts w:ascii="Arial" w:hAnsi="Arial" w:cs="Arial"/>
          <w:i/>
          <w:iCs/>
          <w:color w:val="000000"/>
          <w:kern w:val="0"/>
          <w14:ligatures w14:val="none"/>
        </w:rPr>
        <w:t>Potential advantages include:</w:t>
      </w:r>
    </w:p>
    <w:p w14:paraId="409EC5A4" w14:textId="77777777" w:rsidR="004B2659" w:rsidRPr="00CB71F6" w:rsidRDefault="004B2659" w:rsidP="00B1419C">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increased customer numbers;</w:t>
      </w:r>
    </w:p>
    <w:p w14:paraId="2610E8FD" w14:textId="77777777" w:rsidR="004B2659" w:rsidRPr="00CB71F6" w:rsidRDefault="004B2659" w:rsidP="00B1419C">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greater economies of scale;</w:t>
      </w:r>
    </w:p>
    <w:p w14:paraId="71C70587" w14:textId="77777777" w:rsidR="004B2659" w:rsidRPr="00CB71F6" w:rsidRDefault="004B2659" w:rsidP="00B1419C">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stronger market visibility.</w:t>
      </w:r>
    </w:p>
    <w:p w14:paraId="7B2C0127"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However, this strategy also presents significant disadvantages. The UK telecommunications market is already mature, meaning opportunities for major customer growth are limited. Aggressive pricing could also reduce profitability and restrict future investment capacity.</w:t>
      </w:r>
    </w:p>
    <w:p w14:paraId="623531C6"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Furthermore, competitors could quickly respond with similar pricing strategies, reducing any temporary advantages.</w:t>
      </w:r>
    </w:p>
    <w:p w14:paraId="39B29C95" w14:textId="1586F8B0"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For these reasons, market expansion alone is unlikely to create sustainable competitive advantage.</w:t>
      </w:r>
    </w:p>
    <w:p w14:paraId="142DDE9E" w14:textId="497F76CC" w:rsidR="004B2659" w:rsidRPr="00F360A7" w:rsidRDefault="00A8493D"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D.2) </w:t>
      </w:r>
      <w:r w:rsidR="004B2659" w:rsidRPr="00F360A7">
        <w:rPr>
          <w:rFonts w:ascii="Arial" w:eastAsia="Times New Roman" w:hAnsi="Arial" w:cs="Arial"/>
          <w:b/>
          <w:bCs/>
          <w:color w:val="000000"/>
          <w:kern w:val="0"/>
          <w14:ligatures w14:val="none"/>
        </w:rPr>
        <w:t>Alternative Two: Technology Leadership Strategy</w:t>
      </w:r>
    </w:p>
    <w:p w14:paraId="3EC208BF"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second option would involve positioning VodafoneThree as the UK's leading technology innovator by investing heavily in emerging digital technologies and next-generation infrastructure.</w:t>
      </w:r>
    </w:p>
    <w:p w14:paraId="34D66DD1" w14:textId="77777777" w:rsidR="004B2659" w:rsidRPr="006614CA" w:rsidRDefault="004B2659" w:rsidP="004B2659">
      <w:pPr>
        <w:spacing w:before="100" w:beforeAutospacing="1" w:after="100" w:afterAutospacing="1" w:line="240" w:lineRule="auto"/>
        <w:rPr>
          <w:rFonts w:ascii="Arial" w:hAnsi="Arial" w:cs="Arial"/>
          <w:i/>
          <w:iCs/>
          <w:color w:val="000000"/>
          <w:kern w:val="0"/>
          <w14:ligatures w14:val="none"/>
        </w:rPr>
      </w:pPr>
      <w:r w:rsidRPr="006614CA">
        <w:rPr>
          <w:rFonts w:ascii="Arial" w:hAnsi="Arial" w:cs="Arial"/>
          <w:i/>
          <w:iCs/>
          <w:color w:val="000000"/>
          <w:kern w:val="0"/>
          <w14:ligatures w14:val="none"/>
        </w:rPr>
        <w:t>Potential benefits include:</w:t>
      </w:r>
    </w:p>
    <w:p w14:paraId="213FAA05" w14:textId="77777777" w:rsidR="004B2659" w:rsidRPr="00CB71F6" w:rsidRDefault="004B2659" w:rsidP="00B1419C">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stronger brand recognition;</w:t>
      </w:r>
    </w:p>
    <w:p w14:paraId="226A330C" w14:textId="77777777" w:rsidR="004B2659" w:rsidRPr="00CB71F6" w:rsidRDefault="004B2659" w:rsidP="00B1419C">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increased opportunities in business markets;</w:t>
      </w:r>
    </w:p>
    <w:p w14:paraId="5F3513CC" w14:textId="77777777" w:rsidR="004B2659" w:rsidRPr="00CB71F6" w:rsidRDefault="004B2659" w:rsidP="00B1419C">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improved innovation capability.</w:t>
      </w:r>
    </w:p>
    <w:p w14:paraId="12455B0B"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However, technology leadership requires continuous investment and carries significant financial risk. Competitors can often replicate successful technologies, meaning advantages may be temporary.</w:t>
      </w:r>
    </w:p>
    <w:p w14:paraId="09C277FC"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In addition, the company may become overly dependent on technologies that fail to achieve widespread market adoption.</w:t>
      </w:r>
    </w:p>
    <w:p w14:paraId="00D08840" w14:textId="0569E7FE"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Therefore, although innovation remains important, technology leadership should not become VodafoneThree's primary strategic focus.</w:t>
      </w:r>
    </w:p>
    <w:p w14:paraId="5B07A7EF" w14:textId="5FDCDC48" w:rsidR="004B2659" w:rsidRPr="008D0EE9" w:rsidRDefault="00A8493D"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D.3) </w:t>
      </w:r>
      <w:r w:rsidR="004B2659" w:rsidRPr="008D0EE9">
        <w:rPr>
          <w:rFonts w:ascii="Arial" w:eastAsia="Times New Roman" w:hAnsi="Arial" w:cs="Arial"/>
          <w:b/>
          <w:bCs/>
          <w:color w:val="000000"/>
          <w:kern w:val="0"/>
          <w14:ligatures w14:val="none"/>
        </w:rPr>
        <w:t>Alternative Three: Adaptive Growth Through Strategic Resilience</w:t>
      </w:r>
    </w:p>
    <w:p w14:paraId="4FC26DDE"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final option combines moderate growth ambitions with improved organisational adaptability and resilience.</w:t>
      </w:r>
    </w:p>
    <w:p w14:paraId="70FDAE1E"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approach focuses on:</w:t>
      </w:r>
    </w:p>
    <w:p w14:paraId="4F0DB83F"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maintaining service continuity;</w:t>
      </w:r>
    </w:p>
    <w:p w14:paraId="5C6232C2"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improving preparedness for disruption;</w:t>
      </w:r>
    </w:p>
    <w:p w14:paraId="3E422F91"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protecting critical organisational capabilities;</w:t>
      </w:r>
    </w:p>
    <w:p w14:paraId="0C27A785"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supporting sustainable long-term growth.</w:t>
      </w:r>
    </w:p>
    <w:p w14:paraId="6852449F"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Unlike traditional growth models, resilience-based growth aims to ensure that growth can continue under different economic, technological and regulatory conditions.</w:t>
      </w:r>
    </w:p>
    <w:p w14:paraId="4F9EA12D" w14:textId="4D98B592"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approach recognises that uncertainty is not a temporary challenge but a permanent feature of modern business environments.</w:t>
      </w:r>
    </w:p>
    <w:p w14:paraId="139A2D77" w14:textId="1AF137C1" w:rsidR="004B2659" w:rsidRPr="00D20A9F"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lastRenderedPageBreak/>
        <w:t>E)</w:t>
      </w:r>
      <w:r w:rsidR="004B2659" w:rsidRPr="00D20A9F">
        <w:rPr>
          <w:rStyle w:val="Referireintens"/>
          <w:sz w:val="40"/>
          <w:szCs w:val="40"/>
        </w:rPr>
        <w:t xml:space="preserve"> Recommended Strategy: Adaptive Growth Through Strategic Resilience</w:t>
      </w:r>
    </w:p>
    <w:p w14:paraId="7BE2A73B" w14:textId="147A4805"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report recommends that VodafoneThree adopts the Adaptive Growth Through Strategic Resilience Strategy.The strategy is based on the principle that organisations capable of responding effectively to disruption are more likely to maintain growth than organisations focused exclusively on expansion.The strategy contains four interconnected pillars.</w:t>
      </w:r>
    </w:p>
    <w:p w14:paraId="41367E71" w14:textId="77777777" w:rsidR="004B2659" w:rsidRPr="003F23A6" w:rsidRDefault="004B2659" w:rsidP="003F23A6">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3F23A6">
        <w:rPr>
          <w:rFonts w:ascii="Arial" w:eastAsia="Times New Roman" w:hAnsi="Arial" w:cs="Arial"/>
          <w:b/>
          <w:bCs/>
          <w:color w:val="000000"/>
          <w:kern w:val="0"/>
          <w14:ligatures w14:val="none"/>
        </w:rPr>
        <w:t>Strategic Pillar One: Cyber Preparedness</w:t>
      </w:r>
    </w:p>
    <w:p w14:paraId="629D8034"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Cybersecurity should become a central strategic priority because telecommunications networks represent critical national infrastructure.</w:t>
      </w:r>
    </w:p>
    <w:p w14:paraId="4F4C2BD9" w14:textId="77777777" w:rsidR="004B2659" w:rsidRPr="009C6970" w:rsidRDefault="004B2659" w:rsidP="004B2659">
      <w:pPr>
        <w:spacing w:before="100" w:beforeAutospacing="1" w:after="100" w:afterAutospacing="1" w:line="240" w:lineRule="auto"/>
        <w:rPr>
          <w:rFonts w:ascii="Arial" w:hAnsi="Arial" w:cs="Arial"/>
          <w:i/>
          <w:iCs/>
          <w:color w:val="000000"/>
          <w:kern w:val="0"/>
          <w14:ligatures w14:val="none"/>
        </w:rPr>
      </w:pPr>
      <w:r w:rsidRPr="009C6970">
        <w:rPr>
          <w:rFonts w:ascii="Arial" w:hAnsi="Arial" w:cs="Arial"/>
          <w:i/>
          <w:iCs/>
          <w:color w:val="000000"/>
          <w:kern w:val="0"/>
          <w14:ligatures w14:val="none"/>
        </w:rPr>
        <w:t>Recommended actions include:</w:t>
      </w:r>
    </w:p>
    <w:p w14:paraId="383AFF52"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annual cyber simulation exercises;</w:t>
      </w:r>
    </w:p>
    <w:p w14:paraId="4A61BE50"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advanced threat monitoring systems;</w:t>
      </w:r>
    </w:p>
    <w:p w14:paraId="22CECE84"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regular security audits;</w:t>
      </w:r>
    </w:p>
    <w:p w14:paraId="72D5746B"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employee cybersecurity training.</w:t>
      </w:r>
    </w:p>
    <w:p w14:paraId="0DF4DD42" w14:textId="65EACD01"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Improved cyber resilience reduces operational disruption and protects customer trust.</w:t>
      </w:r>
    </w:p>
    <w:p w14:paraId="05D8F151" w14:textId="77777777" w:rsidR="004B2659" w:rsidRPr="00BB5FA5" w:rsidRDefault="004B2659" w:rsidP="00BB5FA5">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BB5FA5">
        <w:rPr>
          <w:rFonts w:ascii="Arial" w:eastAsia="Times New Roman" w:hAnsi="Arial" w:cs="Arial"/>
          <w:b/>
          <w:bCs/>
          <w:color w:val="000000"/>
          <w:kern w:val="0"/>
          <w14:ligatures w14:val="none"/>
        </w:rPr>
        <w:t>Strategic Pillar Two: Supply Chain Resilience</w:t>
      </w:r>
    </w:p>
    <w:p w14:paraId="6EAE6DB7"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Global events have demonstrated that supply chain disruption can affect investment projects and service delivery.</w:t>
      </w:r>
    </w:p>
    <w:p w14:paraId="46151253" w14:textId="77777777" w:rsidR="00C03B6A" w:rsidRDefault="00C03B6A" w:rsidP="004B2659">
      <w:pPr>
        <w:spacing w:before="100" w:beforeAutospacing="1" w:after="100" w:afterAutospacing="1" w:line="240" w:lineRule="auto"/>
        <w:rPr>
          <w:rFonts w:ascii="Arial" w:hAnsi="Arial" w:cs="Arial"/>
          <w:i/>
          <w:iCs/>
          <w:color w:val="000000"/>
          <w:kern w:val="0"/>
          <w14:ligatures w14:val="none"/>
        </w:rPr>
      </w:pPr>
    </w:p>
    <w:p w14:paraId="34B3F5A6" w14:textId="17EEFAB8" w:rsidR="004B2659" w:rsidRPr="00CC3191" w:rsidRDefault="004B2659" w:rsidP="004B2659">
      <w:pPr>
        <w:spacing w:before="100" w:beforeAutospacing="1" w:after="100" w:afterAutospacing="1" w:line="240" w:lineRule="auto"/>
        <w:rPr>
          <w:rFonts w:ascii="Arial" w:hAnsi="Arial" w:cs="Arial"/>
          <w:i/>
          <w:iCs/>
          <w:color w:val="000000"/>
          <w:kern w:val="0"/>
          <w14:ligatures w14:val="none"/>
        </w:rPr>
      </w:pPr>
      <w:r w:rsidRPr="00CC3191">
        <w:rPr>
          <w:rFonts w:ascii="Arial" w:hAnsi="Arial" w:cs="Arial"/>
          <w:i/>
          <w:iCs/>
          <w:color w:val="000000"/>
          <w:kern w:val="0"/>
          <w14:ligatures w14:val="none"/>
        </w:rPr>
        <w:t>VodafoneThree should therefore:</w:t>
      </w:r>
    </w:p>
    <w:p w14:paraId="76E3B7FE"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diversify key suppliers;</w:t>
      </w:r>
    </w:p>
    <w:p w14:paraId="1916918C"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introduce dual sourcing arrangements;</w:t>
      </w:r>
    </w:p>
    <w:p w14:paraId="11DA6E85"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increase supplier monitoring activities;</w:t>
      </w:r>
    </w:p>
    <w:p w14:paraId="03CEA2D0"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establish contingency procurement plans.</w:t>
      </w:r>
    </w:p>
    <w:p w14:paraId="62FE6830" w14:textId="3CC6BE7C"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These actions reduce dependency on individual suppliers and improve continuity during disruptions.</w:t>
      </w:r>
    </w:p>
    <w:p w14:paraId="54EFD85F" w14:textId="77777777" w:rsidR="004B2659" w:rsidRPr="00AC5269" w:rsidRDefault="004B2659" w:rsidP="00AC5269">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AC5269">
        <w:rPr>
          <w:rFonts w:ascii="Arial" w:eastAsia="Times New Roman" w:hAnsi="Arial" w:cs="Arial"/>
          <w:b/>
          <w:bCs/>
          <w:color w:val="000000"/>
          <w:kern w:val="0"/>
          <w14:ligatures w14:val="none"/>
        </w:rPr>
        <w:t>Strategic Pillar Three: Workforce Adaptability</w:t>
      </w:r>
    </w:p>
    <w:p w14:paraId="104C93AD"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Technological change requires employees capable of learning and adapting quickly.</w:t>
      </w:r>
    </w:p>
    <w:p w14:paraId="64C9FB2F" w14:textId="77777777" w:rsidR="004B2659" w:rsidRPr="00CC3191" w:rsidRDefault="004B2659" w:rsidP="004B2659">
      <w:pPr>
        <w:spacing w:before="100" w:beforeAutospacing="1" w:after="100" w:afterAutospacing="1" w:line="240" w:lineRule="auto"/>
        <w:rPr>
          <w:rFonts w:ascii="Arial" w:hAnsi="Arial" w:cs="Arial"/>
          <w:i/>
          <w:iCs/>
          <w:color w:val="000000"/>
          <w:kern w:val="0"/>
          <w14:ligatures w14:val="none"/>
        </w:rPr>
      </w:pPr>
      <w:r w:rsidRPr="00CC3191">
        <w:rPr>
          <w:rFonts w:ascii="Arial" w:hAnsi="Arial" w:cs="Arial"/>
          <w:i/>
          <w:iCs/>
          <w:color w:val="000000"/>
          <w:kern w:val="0"/>
          <w14:ligatures w14:val="none"/>
        </w:rPr>
        <w:t>VodafoneThree should invest in:</w:t>
      </w:r>
    </w:p>
    <w:p w14:paraId="33B621C7"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cross-functional training programmes;</w:t>
      </w:r>
    </w:p>
    <w:p w14:paraId="6D3A91C0"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lastRenderedPageBreak/>
        <w:t>leadership development initiatives;</w:t>
      </w:r>
    </w:p>
    <w:p w14:paraId="7AF6775F"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digital skills programmes;</w:t>
      </w:r>
    </w:p>
    <w:p w14:paraId="5C4E64AE"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internal knowledge-sharing systems.</w:t>
      </w:r>
    </w:p>
    <w:p w14:paraId="38817633" w14:textId="072C60D4"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A flexible workforce improves organisational responsiveness and supports innovation.</w:t>
      </w:r>
    </w:p>
    <w:p w14:paraId="59A06090" w14:textId="77777777" w:rsidR="004B2659" w:rsidRPr="000270B2" w:rsidRDefault="004B2659" w:rsidP="000270B2">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0270B2">
        <w:rPr>
          <w:rFonts w:ascii="Arial" w:eastAsia="Times New Roman" w:hAnsi="Arial" w:cs="Arial"/>
          <w:b/>
          <w:bCs/>
          <w:color w:val="000000"/>
          <w:kern w:val="0"/>
          <w14:ligatures w14:val="none"/>
        </w:rPr>
        <w:t>Strategic Pillar Four: Strategic Agility</w:t>
      </w:r>
    </w:p>
    <w:p w14:paraId="78A54C93"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Large organisations often struggle to react quickly during periods of uncertainty.</w:t>
      </w:r>
    </w:p>
    <w:p w14:paraId="7877A28D" w14:textId="77777777" w:rsidR="004B2659" w:rsidRPr="00CC3191" w:rsidRDefault="004B2659" w:rsidP="004B2659">
      <w:pPr>
        <w:spacing w:before="100" w:beforeAutospacing="1" w:after="100" w:afterAutospacing="1" w:line="240" w:lineRule="auto"/>
        <w:rPr>
          <w:rFonts w:ascii="Arial" w:hAnsi="Arial" w:cs="Arial"/>
          <w:i/>
          <w:iCs/>
          <w:color w:val="000000"/>
          <w:kern w:val="0"/>
          <w14:ligatures w14:val="none"/>
        </w:rPr>
      </w:pPr>
      <w:r w:rsidRPr="00CC3191">
        <w:rPr>
          <w:rFonts w:ascii="Arial" w:hAnsi="Arial" w:cs="Arial"/>
          <w:i/>
          <w:iCs/>
          <w:color w:val="000000"/>
          <w:kern w:val="0"/>
          <w14:ligatures w14:val="none"/>
        </w:rPr>
        <w:t>VodafoneThree should therefore encourage:</w:t>
      </w:r>
    </w:p>
    <w:p w14:paraId="20A404DE"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shorter decision-making processes;</w:t>
      </w:r>
    </w:p>
    <w:p w14:paraId="4F5B860C"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decentralised authority where appropriate;</w:t>
      </w:r>
    </w:p>
    <w:p w14:paraId="05326C8E"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frequent strategic reviews;</w:t>
      </w:r>
    </w:p>
    <w:p w14:paraId="7A7B302A"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scenario-based planning exercises.</w:t>
      </w:r>
    </w:p>
    <w:p w14:paraId="3BDB8A7F" w14:textId="6CA8937A"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Improving organisational agility allows management to respond more effectively to unexpected events.</w:t>
      </w:r>
    </w:p>
    <w:p w14:paraId="647BDC27" w14:textId="23751B81" w:rsidR="0045550C" w:rsidRPr="00776D33" w:rsidRDefault="00FE0A40" w:rsidP="0045550C">
      <w:pPr>
        <w:spacing w:before="100" w:beforeAutospacing="1" w:after="100" w:afterAutospacing="1" w:line="240" w:lineRule="auto"/>
        <w:outlineLvl w:val="1"/>
        <w:rPr>
          <w:rStyle w:val="Referireintens"/>
          <w:sz w:val="40"/>
          <w:szCs w:val="40"/>
        </w:rPr>
      </w:pPr>
      <w:r>
        <w:rPr>
          <w:rStyle w:val="Referireintens"/>
          <w:sz w:val="40"/>
          <w:szCs w:val="40"/>
        </w:rPr>
        <w:t xml:space="preserve">F) </w:t>
      </w:r>
      <w:r w:rsidR="0045550C" w:rsidRPr="00776D33">
        <w:rPr>
          <w:rStyle w:val="Referireintens"/>
          <w:sz w:val="40"/>
          <w:szCs w:val="40"/>
        </w:rPr>
        <w:t>Strategic Trade-Offs and Managerial Considerations</w:t>
      </w:r>
    </w:p>
    <w:p w14:paraId="5168B199" w14:textId="2CC54F7C" w:rsidR="0045550C" w:rsidRPr="00CB71F6" w:rsidRDefault="0045550C"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Although the Adaptive Growth Through Strategic Resilience Strategy offers important advantages, management must recognise that every strategic decision involves trade-offs and opportunity costs.Investing in resilience initiatives may reduce the resources immediately available for customer acquisition campaigns, infrastructure expansion or short-term revenue generation. Shareholders may therefore question investments whose financial returns are difficult to measure directly.Furthermore, resilience capabilities often become visible only when disruption occurs. Successful cyber protection, effective contingency planning and supply chain diversification may prevent losses rather than generate additional revenue, making their value less visible within traditional financial reporting systems.Management must therefore adopt a longer-term perspective when evaluating strategic performance. The objective is not to maximise short-term growth but to protect the organisation's ability to continue growing under changing conditions.Another challenge concerns organisational culture. Large organisations often develop decision-making processes that prioritise stability and control over flexibility and experimentation. However, adaptive organisations require employees who are willing to learn continuously, share knowledge and respond positively to change.Senior leadership therefore plays an important role in creating an environment that encourages adaptability and responsible risk-taking.Finally, VodafoneThree must maintain an appropriate balance between resilience and efficiency. Excessive investment in risk reduction could reduce competitiveness, while insufficient preparation could increase vulnerability to disruption.The organisation should therefore view resilience as a dynamic capability that requires regular review and adjustment rather than a fixed set of procedures or policies.</w:t>
      </w:r>
    </w:p>
    <w:p w14:paraId="705CFC41" w14:textId="3D013BC3" w:rsidR="004B2659" w:rsidRPr="009849BB"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lastRenderedPageBreak/>
        <w:t>G)</w:t>
      </w:r>
      <w:r w:rsidR="004B2659" w:rsidRPr="009849BB">
        <w:rPr>
          <w:rStyle w:val="Referireintens"/>
          <w:sz w:val="40"/>
          <w:szCs w:val="40"/>
        </w:rPr>
        <w:t xml:space="preserve"> Strategy Validation</w:t>
      </w:r>
    </w:p>
    <w:p w14:paraId="3A464CD0"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proposed strategy is evaluated using Rumelt's Four Criteria for Effective Strategy (Rumelt, 2011).</w:t>
      </w:r>
    </w:p>
    <w:p w14:paraId="35FDA380" w14:textId="2D6173A2" w:rsidR="004B2659" w:rsidRPr="00CE60FC" w:rsidRDefault="00F45C8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G</w:t>
      </w:r>
      <w:r w:rsidR="0003571D">
        <w:rPr>
          <w:rFonts w:ascii="Arial" w:eastAsia="Times New Roman" w:hAnsi="Arial" w:cs="Arial"/>
          <w:b/>
          <w:bCs/>
          <w:color w:val="000000"/>
          <w:kern w:val="0"/>
          <w14:ligatures w14:val="none"/>
        </w:rPr>
        <w:t>.1</w:t>
      </w:r>
      <w:r>
        <w:rPr>
          <w:rFonts w:ascii="Arial" w:eastAsia="Times New Roman" w:hAnsi="Arial" w:cs="Arial"/>
          <w:b/>
          <w:bCs/>
          <w:color w:val="000000"/>
          <w:kern w:val="0"/>
          <w14:ligatures w14:val="none"/>
        </w:rPr>
        <w:t xml:space="preserve">) </w:t>
      </w:r>
      <w:r w:rsidR="004B2659" w:rsidRPr="00CE60FC">
        <w:rPr>
          <w:rFonts w:ascii="Arial" w:eastAsia="Times New Roman" w:hAnsi="Arial" w:cs="Arial"/>
          <w:b/>
          <w:bCs/>
          <w:color w:val="000000"/>
          <w:kern w:val="0"/>
          <w14:ligatures w14:val="none"/>
        </w:rPr>
        <w:t>Consistency</w:t>
      </w:r>
    </w:p>
    <w:p w14:paraId="47D9EC95" w14:textId="587C816E" w:rsidR="00B1419C"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strategy demonstrates strong internal consistency because all activities contribute towards improving organisational resilience and adaptability.Cyber preparedness, workforce development and supply chain resilience support the same strategic objective and reinforce one another.</w:t>
      </w:r>
    </w:p>
    <w:p w14:paraId="024D1320" w14:textId="08F68350" w:rsidR="004B2659" w:rsidRPr="00CE60FC" w:rsidRDefault="00F45C89" w:rsidP="00B1419C">
      <w:pPr>
        <w:spacing w:before="100" w:beforeAutospacing="1" w:after="100" w:afterAutospacing="1" w:line="240" w:lineRule="auto"/>
        <w:rPr>
          <w:rFonts w:ascii="Arial" w:hAnsi="Arial" w:cs="Arial"/>
          <w:b/>
          <w:bCs/>
          <w:color w:val="000000"/>
          <w:kern w:val="0"/>
          <w14:ligatures w14:val="none"/>
        </w:rPr>
      </w:pPr>
      <w:r>
        <w:rPr>
          <w:rFonts w:ascii="Arial" w:eastAsia="Times New Roman" w:hAnsi="Arial" w:cs="Arial"/>
          <w:b/>
          <w:bCs/>
          <w:color w:val="000000"/>
          <w:kern w:val="0"/>
          <w14:ligatures w14:val="none"/>
        </w:rPr>
        <w:t>G</w:t>
      </w:r>
      <w:r w:rsidR="0003571D">
        <w:rPr>
          <w:rFonts w:ascii="Arial" w:eastAsia="Times New Roman" w:hAnsi="Arial" w:cs="Arial"/>
          <w:b/>
          <w:bCs/>
          <w:color w:val="000000"/>
          <w:kern w:val="0"/>
          <w14:ligatures w14:val="none"/>
        </w:rPr>
        <w:t>.2</w:t>
      </w:r>
      <w:r>
        <w:rPr>
          <w:rFonts w:ascii="Arial" w:eastAsia="Times New Roman" w:hAnsi="Arial" w:cs="Arial"/>
          <w:b/>
          <w:bCs/>
          <w:color w:val="000000"/>
          <w:kern w:val="0"/>
          <w14:ligatures w14:val="none"/>
        </w:rPr>
        <w:t xml:space="preserve">) </w:t>
      </w:r>
      <w:r w:rsidR="004B2659" w:rsidRPr="00CE60FC">
        <w:rPr>
          <w:rFonts w:ascii="Arial" w:eastAsia="Times New Roman" w:hAnsi="Arial" w:cs="Arial"/>
          <w:b/>
          <w:bCs/>
          <w:color w:val="000000"/>
          <w:kern w:val="0"/>
          <w14:ligatures w14:val="none"/>
        </w:rPr>
        <w:t>Consonance</w:t>
      </w:r>
    </w:p>
    <w:p w14:paraId="74C434B4" w14:textId="64B4D40C"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external analysis identified increasing uncertainty, cybersecurity risks and technological disruption as major environmental pressures.The proposed strategy directly addresses these issues and therefore demonstrates strong alignment with external conditions.</w:t>
      </w:r>
    </w:p>
    <w:p w14:paraId="2626C8D7" w14:textId="6FE4EA98" w:rsidR="004B2659" w:rsidRPr="00CE60FC" w:rsidRDefault="00F45C8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G</w:t>
      </w:r>
      <w:r w:rsidR="0003571D">
        <w:rPr>
          <w:rFonts w:ascii="Arial" w:eastAsia="Times New Roman" w:hAnsi="Arial" w:cs="Arial"/>
          <w:b/>
          <w:bCs/>
          <w:color w:val="000000"/>
          <w:kern w:val="0"/>
          <w14:ligatures w14:val="none"/>
        </w:rPr>
        <w:t>.3</w:t>
      </w:r>
      <w:r>
        <w:rPr>
          <w:rFonts w:ascii="Arial" w:eastAsia="Times New Roman" w:hAnsi="Arial" w:cs="Arial"/>
          <w:b/>
          <w:bCs/>
          <w:color w:val="000000"/>
          <w:kern w:val="0"/>
          <w14:ligatures w14:val="none"/>
        </w:rPr>
        <w:t xml:space="preserve">) </w:t>
      </w:r>
      <w:r w:rsidR="004B2659" w:rsidRPr="00CE60FC">
        <w:rPr>
          <w:rFonts w:ascii="Arial" w:eastAsia="Times New Roman" w:hAnsi="Arial" w:cs="Arial"/>
          <w:b/>
          <w:bCs/>
          <w:color w:val="000000"/>
          <w:kern w:val="0"/>
          <w14:ligatures w14:val="none"/>
        </w:rPr>
        <w:t>Feasibility</w:t>
      </w:r>
    </w:p>
    <w:p w14:paraId="38F3A5B7" w14:textId="77777777" w:rsidR="004B2659" w:rsidRPr="000B2761" w:rsidRDefault="004B2659" w:rsidP="004B2659">
      <w:pPr>
        <w:spacing w:before="100" w:beforeAutospacing="1" w:after="100" w:afterAutospacing="1" w:line="240" w:lineRule="auto"/>
        <w:rPr>
          <w:rFonts w:ascii="Arial" w:hAnsi="Arial" w:cs="Arial"/>
          <w:color w:val="000000"/>
          <w:kern w:val="0"/>
          <w14:ligatures w14:val="none"/>
        </w:rPr>
      </w:pPr>
      <w:r w:rsidRPr="000B2761">
        <w:rPr>
          <w:rFonts w:ascii="Arial" w:hAnsi="Arial" w:cs="Arial"/>
          <w:color w:val="000000"/>
          <w:kern w:val="0"/>
          <w14:ligatures w14:val="none"/>
        </w:rPr>
        <w:t>VodafoneThree possesses substantial resources including:</w:t>
      </w:r>
    </w:p>
    <w:p w14:paraId="76292D80"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financial capacity;</w:t>
      </w:r>
    </w:p>
    <w:p w14:paraId="24C38768"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extensive infrastructure;</w:t>
      </w:r>
    </w:p>
    <w:p w14:paraId="7C2E56A7"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experienced employees;</w:t>
      </w:r>
    </w:p>
    <w:p w14:paraId="18BF3583"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established customer relationships.</w:t>
      </w:r>
    </w:p>
    <w:p w14:paraId="53689263" w14:textId="2179BD96" w:rsidR="004B2659" w:rsidRPr="000B2761" w:rsidRDefault="004B2659" w:rsidP="00B1419C">
      <w:pPr>
        <w:spacing w:before="100" w:beforeAutospacing="1" w:after="100" w:afterAutospacing="1" w:line="240" w:lineRule="auto"/>
        <w:rPr>
          <w:rFonts w:ascii="Arial" w:hAnsi="Arial" w:cs="Arial"/>
          <w:color w:val="000000"/>
          <w:kern w:val="0"/>
          <w14:ligatures w14:val="none"/>
        </w:rPr>
      </w:pPr>
      <w:r w:rsidRPr="000B2761">
        <w:rPr>
          <w:rFonts w:ascii="Arial" w:hAnsi="Arial" w:cs="Arial"/>
          <w:color w:val="000000"/>
          <w:kern w:val="0"/>
          <w14:ligatures w14:val="none"/>
        </w:rPr>
        <w:t>These resources provide a strong foundation for implementation.However, successful delivery depends on effective leadership and continued investment commitment.</w:t>
      </w:r>
    </w:p>
    <w:p w14:paraId="1CEDDA48" w14:textId="77777777" w:rsidR="005A745A" w:rsidRDefault="005A745A" w:rsidP="004B2659">
      <w:pPr>
        <w:spacing w:before="100" w:beforeAutospacing="1" w:after="100" w:afterAutospacing="1" w:line="240" w:lineRule="auto"/>
        <w:outlineLvl w:val="1"/>
        <w:rPr>
          <w:rFonts w:ascii="Arial" w:eastAsia="Times New Roman" w:hAnsi="Arial" w:cs="Arial"/>
          <w:b/>
          <w:bCs/>
          <w:color w:val="000000"/>
          <w:kern w:val="0"/>
          <w14:ligatures w14:val="none"/>
        </w:rPr>
      </w:pPr>
    </w:p>
    <w:p w14:paraId="6DC4CB1C" w14:textId="72D628F3" w:rsidR="004B2659" w:rsidRPr="00C50FBB"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C50FBB">
        <w:rPr>
          <w:rFonts w:ascii="Arial" w:eastAsia="Times New Roman" w:hAnsi="Arial" w:cs="Arial"/>
          <w:b/>
          <w:bCs/>
          <w:color w:val="000000"/>
          <w:kern w:val="0"/>
          <w14:ligatures w14:val="none"/>
        </w:rPr>
        <w:t>Advantage</w:t>
      </w:r>
    </w:p>
    <w:p w14:paraId="31B0E7A2" w14:textId="77777777"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Competitors can often replicate pricing strategies and technological investments.</w:t>
      </w:r>
    </w:p>
    <w:p w14:paraId="6AB3126F" w14:textId="77777777"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Developing organisational resilience and adaptive capability is significantly more difficult to imitate.</w:t>
      </w:r>
    </w:p>
    <w:p w14:paraId="72D70B55" w14:textId="77777777"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creates opportunities for long-term competitive advantage.</w:t>
      </w:r>
    </w:p>
    <w:p w14:paraId="6485F061" w14:textId="619AD57D"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Overall, the strategy satisfies Rumelt's criteria and represents a realistic response to VodafoneThree's strategic challenges.</w:t>
      </w:r>
    </w:p>
    <w:p w14:paraId="0163A849" w14:textId="12D69A56" w:rsidR="004B2659" w:rsidRPr="009849BB"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H)</w:t>
      </w:r>
      <w:r w:rsidR="004B2659" w:rsidRPr="009849BB">
        <w:rPr>
          <w:rStyle w:val="Referireintens"/>
          <w:sz w:val="40"/>
          <w:szCs w:val="40"/>
        </w:rPr>
        <w:t xml:space="preserve"> Stakeholder Prioritisation</w:t>
      </w:r>
    </w:p>
    <w:p w14:paraId="673BB356"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 xml:space="preserve">The implementation of the proposed strategy will affect multiple stakeholder groups. This report uses the Stakeholder Salience Model developed by Mitchell, Agle and </w:t>
      </w:r>
      <w:r w:rsidRPr="00CB71F6">
        <w:rPr>
          <w:rFonts w:ascii="Arial" w:hAnsi="Arial" w:cs="Arial"/>
          <w:color w:val="000000"/>
          <w:kern w:val="0"/>
          <w14:ligatures w14:val="none"/>
        </w:rPr>
        <w:lastRenderedPageBreak/>
        <w:t>Wood (1997), which evaluates stakeholders according to power, legitimacy and urgency.</w:t>
      </w:r>
    </w:p>
    <w:p w14:paraId="785BDAA2" w14:textId="77777777" w:rsidR="004B2659" w:rsidRPr="001B3A6C"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1B3A6C">
        <w:rPr>
          <w:rFonts w:ascii="Arial" w:eastAsia="Times New Roman" w:hAnsi="Arial" w:cs="Arial"/>
          <w:b/>
          <w:bCs/>
          <w:color w:val="000000"/>
          <w:kern w:val="0"/>
          <w14:ligatures w14:val="none"/>
        </w:rPr>
        <w:t>Definitive Stakeholders</w:t>
      </w:r>
    </w:p>
    <w:p w14:paraId="76DF6FD6" w14:textId="77777777" w:rsidR="004B2659" w:rsidRPr="00E27C9D"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E27C9D">
        <w:rPr>
          <w:rFonts w:ascii="Arial" w:eastAsia="Times New Roman" w:hAnsi="Arial" w:cs="Arial"/>
          <w:i/>
          <w:iCs/>
          <w:color w:val="000000"/>
          <w:kern w:val="0"/>
          <w14:ligatures w14:val="none"/>
        </w:rPr>
        <w:t>Investors and Executive Leadership</w:t>
      </w:r>
    </w:p>
    <w:p w14:paraId="74D24FA9" w14:textId="77777777" w:rsidR="004B2659" w:rsidRPr="00E27C9D" w:rsidRDefault="004B2659" w:rsidP="004B2659">
      <w:pPr>
        <w:spacing w:before="100" w:beforeAutospacing="1" w:after="100" w:afterAutospacing="1" w:line="240" w:lineRule="auto"/>
        <w:rPr>
          <w:rFonts w:ascii="Arial" w:hAnsi="Arial" w:cs="Arial"/>
          <w:color w:val="000000"/>
          <w:kern w:val="0"/>
          <w14:ligatures w14:val="none"/>
        </w:rPr>
      </w:pPr>
      <w:r w:rsidRPr="00E27C9D">
        <w:rPr>
          <w:rFonts w:ascii="Arial" w:hAnsi="Arial" w:cs="Arial"/>
          <w:color w:val="000000"/>
          <w:kern w:val="0"/>
          <w14:ligatures w14:val="none"/>
        </w:rPr>
        <w:t>These stakeholders possess all three characteristics and therefore require the highest level of engagement.</w:t>
      </w:r>
    </w:p>
    <w:p w14:paraId="43470E64"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Their priorities include:</w:t>
      </w:r>
    </w:p>
    <w:p w14:paraId="17FFDFE2" w14:textId="77777777" w:rsidR="004B2659" w:rsidRPr="00CB71F6" w:rsidRDefault="004B2659" w:rsidP="00B1419C">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financial performance;</w:t>
      </w:r>
    </w:p>
    <w:p w14:paraId="4E3C9480" w14:textId="77777777" w:rsidR="004B2659" w:rsidRPr="00CB71F6" w:rsidRDefault="004B2659" w:rsidP="00B1419C">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successful merger integration;</w:t>
      </w:r>
    </w:p>
    <w:p w14:paraId="0519E392" w14:textId="77777777" w:rsidR="004B2659" w:rsidRPr="00CB71F6" w:rsidRDefault="004B2659" w:rsidP="00B1419C">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long-term organisational stability.</w:t>
      </w:r>
    </w:p>
    <w:p w14:paraId="141F724A" w14:textId="0FF2C062"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Engagement methods include regular strategic reporting, resilience updates and investment reviews.</w:t>
      </w:r>
    </w:p>
    <w:p w14:paraId="15705029" w14:textId="77777777" w:rsidR="004B2659" w:rsidRPr="00CA1DED"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CA1DED">
        <w:rPr>
          <w:rFonts w:ascii="Arial" w:eastAsia="Times New Roman" w:hAnsi="Arial" w:cs="Arial"/>
          <w:b/>
          <w:bCs/>
          <w:color w:val="000000"/>
          <w:kern w:val="0"/>
          <w14:ligatures w14:val="none"/>
        </w:rPr>
        <w:t>Dominant Stakeholders</w:t>
      </w:r>
    </w:p>
    <w:p w14:paraId="10BFEF1E" w14:textId="77777777" w:rsidR="004B2659" w:rsidRPr="00E27C9D"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E27C9D">
        <w:rPr>
          <w:rFonts w:ascii="Arial" w:eastAsia="Times New Roman" w:hAnsi="Arial" w:cs="Arial"/>
          <w:i/>
          <w:iCs/>
          <w:color w:val="000000"/>
          <w:kern w:val="0"/>
          <w14:ligatures w14:val="none"/>
        </w:rPr>
        <w:t>Regulators and Government Institutions</w:t>
      </w:r>
    </w:p>
    <w:p w14:paraId="2E450A8C"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Telecommunications organisations operate within highly regulated environments.</w:t>
      </w:r>
    </w:p>
    <w:p w14:paraId="29B25CA0"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Government bodies expect:</w:t>
      </w:r>
    </w:p>
    <w:p w14:paraId="3A982FB5" w14:textId="77777777" w:rsidR="004B2659" w:rsidRPr="00CB71F6" w:rsidRDefault="004B2659" w:rsidP="00B1419C">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service reliability;</w:t>
      </w:r>
    </w:p>
    <w:p w14:paraId="7B6AF476" w14:textId="77777777" w:rsidR="004B2659" w:rsidRPr="00CB71F6" w:rsidRDefault="004B2659" w:rsidP="00B1419C">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cybersecurity preparedness;</w:t>
      </w:r>
    </w:p>
    <w:p w14:paraId="51315E88" w14:textId="77777777" w:rsidR="004B2659" w:rsidRPr="00CB71F6" w:rsidRDefault="004B2659" w:rsidP="00B1419C">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compliance with legal standards.</w:t>
      </w:r>
    </w:p>
    <w:p w14:paraId="5315109B" w14:textId="77777777" w:rsidR="00C03B6A" w:rsidRDefault="004B2659" w:rsidP="00C03B6A">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Maintaining transparent relationships with regulators can reduce uncertainty and support long-term planning.</w:t>
      </w:r>
    </w:p>
    <w:p w14:paraId="3D7BD9FA" w14:textId="7637BB30" w:rsidR="004B2659" w:rsidRPr="00C03B6A" w:rsidRDefault="004B2659" w:rsidP="00C03B6A">
      <w:pPr>
        <w:spacing w:before="100" w:beforeAutospacing="1" w:after="100" w:afterAutospacing="1" w:line="240" w:lineRule="auto"/>
        <w:rPr>
          <w:rFonts w:ascii="Arial" w:hAnsi="Arial" w:cs="Arial"/>
          <w:color w:val="000000"/>
          <w:kern w:val="0"/>
          <w14:ligatures w14:val="none"/>
        </w:rPr>
      </w:pPr>
      <w:r w:rsidRPr="00CA1DED">
        <w:rPr>
          <w:rFonts w:ascii="Arial" w:eastAsia="Times New Roman" w:hAnsi="Arial" w:cs="Arial"/>
          <w:b/>
          <w:bCs/>
          <w:color w:val="000000"/>
          <w:kern w:val="0"/>
          <w14:ligatures w14:val="none"/>
        </w:rPr>
        <w:t>Dependent Stakeholders</w:t>
      </w:r>
    </w:p>
    <w:p w14:paraId="536615D9" w14:textId="77777777" w:rsidR="004B2659" w:rsidRPr="00E27C9D"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E27C9D">
        <w:rPr>
          <w:rFonts w:ascii="Arial" w:eastAsia="Times New Roman" w:hAnsi="Arial" w:cs="Arial"/>
          <w:i/>
          <w:iCs/>
          <w:color w:val="000000"/>
          <w:kern w:val="0"/>
          <w14:ligatures w14:val="none"/>
        </w:rPr>
        <w:t>Customers and Employees</w:t>
      </w:r>
    </w:p>
    <w:p w14:paraId="0E61115C"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Customers require reliable communication services and secure data management.</w:t>
      </w:r>
    </w:p>
    <w:p w14:paraId="3CE39CA3"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Employees require:</w:t>
      </w:r>
    </w:p>
    <w:p w14:paraId="02FCE51F" w14:textId="77777777" w:rsidR="004B2659" w:rsidRPr="00CB71F6" w:rsidRDefault="004B2659" w:rsidP="00B1419C">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support during organisational change;</w:t>
      </w:r>
    </w:p>
    <w:p w14:paraId="3AEE89D0" w14:textId="77777777" w:rsidR="004B2659" w:rsidRPr="00CB71F6" w:rsidRDefault="004B2659" w:rsidP="00B1419C">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professional development opportunities;</w:t>
      </w:r>
    </w:p>
    <w:p w14:paraId="6C29C934" w14:textId="77777777" w:rsidR="004B2659" w:rsidRPr="00CB71F6" w:rsidRDefault="004B2659" w:rsidP="00B1419C">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clear communication.</w:t>
      </w:r>
    </w:p>
    <w:p w14:paraId="41F75CDE" w14:textId="2EEB065C"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Employee engagement and customer communication should therefore remain management priorities.</w:t>
      </w:r>
    </w:p>
    <w:p w14:paraId="328DDB37" w14:textId="77777777" w:rsidR="007F1A14" w:rsidRDefault="007F1A14" w:rsidP="004B2659">
      <w:pPr>
        <w:spacing w:before="100" w:beforeAutospacing="1" w:after="100" w:afterAutospacing="1" w:line="240" w:lineRule="auto"/>
        <w:outlineLvl w:val="1"/>
        <w:rPr>
          <w:rFonts w:ascii="Arial" w:eastAsia="Times New Roman" w:hAnsi="Arial" w:cs="Arial"/>
          <w:b/>
          <w:bCs/>
          <w:color w:val="000000"/>
          <w:kern w:val="0"/>
          <w14:ligatures w14:val="none"/>
        </w:rPr>
      </w:pPr>
    </w:p>
    <w:p w14:paraId="49B280AC" w14:textId="4A1213C9" w:rsidR="004B2659" w:rsidRPr="004F4AD5"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4F4AD5">
        <w:rPr>
          <w:rFonts w:ascii="Arial" w:eastAsia="Times New Roman" w:hAnsi="Arial" w:cs="Arial"/>
          <w:b/>
          <w:bCs/>
          <w:color w:val="000000"/>
          <w:kern w:val="0"/>
          <w14:ligatures w14:val="none"/>
        </w:rPr>
        <w:lastRenderedPageBreak/>
        <w:t>Discretionary Stakeholders</w:t>
      </w:r>
    </w:p>
    <w:p w14:paraId="5FFF2006" w14:textId="77777777" w:rsidR="004B2659" w:rsidRPr="004F4AD5"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4F4AD5">
        <w:rPr>
          <w:rFonts w:ascii="Arial" w:eastAsia="Times New Roman" w:hAnsi="Arial" w:cs="Arial"/>
          <w:i/>
          <w:iCs/>
          <w:color w:val="000000"/>
          <w:kern w:val="0"/>
          <w14:ligatures w14:val="none"/>
        </w:rPr>
        <w:t>Communities and Educational Institutions</w:t>
      </w:r>
    </w:p>
    <w:p w14:paraId="597C6257"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These groups have legitimate interests in digital inclusion and technological development.</w:t>
      </w:r>
    </w:p>
    <w:p w14:paraId="13D58D7B"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can strengthen relationships through:</w:t>
      </w:r>
    </w:p>
    <w:p w14:paraId="02A1746A" w14:textId="77777777" w:rsidR="004B2659" w:rsidRPr="00CB71F6" w:rsidRDefault="004B2659" w:rsidP="00B1419C">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digital literacy programmes;</w:t>
      </w:r>
    </w:p>
    <w:p w14:paraId="06FBB9FD" w14:textId="77777777" w:rsidR="004B2659" w:rsidRPr="00CB71F6" w:rsidRDefault="004B2659" w:rsidP="00B1419C">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educational partnerships;</w:t>
      </w:r>
    </w:p>
    <w:p w14:paraId="58CCB6BA" w14:textId="5D5DAC70" w:rsidR="004B2659" w:rsidRPr="00CB71F6" w:rsidRDefault="004B2659" w:rsidP="00B1419C">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community technology initiatives.</w:t>
      </w:r>
    </w:p>
    <w:p w14:paraId="408AD9D6" w14:textId="71664582" w:rsidR="004B2659" w:rsidRPr="008B702C" w:rsidRDefault="00FE0A40" w:rsidP="000E0379">
      <w:pPr>
        <w:pStyle w:val="Titlu1"/>
        <w:rPr>
          <w:rStyle w:val="Referireintens"/>
        </w:rPr>
      </w:pPr>
      <w:r>
        <w:rPr>
          <w:rStyle w:val="Referireintens"/>
        </w:rPr>
        <w:t>I)</w:t>
      </w:r>
      <w:r w:rsidR="004B2659" w:rsidRPr="008B702C">
        <w:rPr>
          <w:rStyle w:val="Referireintens"/>
        </w:rPr>
        <w:t xml:space="preserve"> Delivery Framework and Monitoring</w:t>
      </w:r>
    </w:p>
    <w:p w14:paraId="29D3CFA5"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Successful implementation requires measurable objectives and continuous monitoring.</w:t>
      </w:r>
    </w:p>
    <w:p w14:paraId="3DD1ABCF"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should adopt an Objectives and Key Results (OKR) approach.</w:t>
      </w:r>
    </w:p>
    <w:tbl>
      <w:tblPr>
        <w:tblStyle w:val="Tabelgril"/>
        <w:tblW w:w="0" w:type="auto"/>
        <w:tblLook w:val="04A0" w:firstRow="1" w:lastRow="0" w:firstColumn="1" w:lastColumn="0" w:noHBand="0" w:noVBand="1"/>
      </w:tblPr>
      <w:tblGrid>
        <w:gridCol w:w="3324"/>
        <w:gridCol w:w="4354"/>
        <w:gridCol w:w="1338"/>
      </w:tblGrid>
      <w:tr w:rsidR="004B2659" w:rsidRPr="00CB71F6" w14:paraId="2A633324" w14:textId="77777777" w:rsidTr="004727ED">
        <w:tc>
          <w:tcPr>
            <w:tcW w:w="0" w:type="auto"/>
            <w:hideMark/>
          </w:tcPr>
          <w:p w14:paraId="2FB8E6E3" w14:textId="77777777" w:rsidR="004B2659" w:rsidRPr="00CB71F6" w:rsidRDefault="004B2659" w:rsidP="004B2659">
            <w:pPr>
              <w:jc w:val="center"/>
              <w:rPr>
                <w:rFonts w:ascii="Arial" w:eastAsia="Times New Roman" w:hAnsi="Arial" w:cs="Arial"/>
                <w:kern w:val="0"/>
                <w14:ligatures w14:val="none"/>
              </w:rPr>
            </w:pPr>
            <w:r w:rsidRPr="00CB71F6">
              <w:rPr>
                <w:rFonts w:ascii="Arial" w:eastAsia="Times New Roman" w:hAnsi="Arial" w:cs="Arial"/>
                <w:kern w:val="0"/>
                <w14:ligatures w14:val="none"/>
              </w:rPr>
              <w:t>Objective</w:t>
            </w:r>
          </w:p>
        </w:tc>
        <w:tc>
          <w:tcPr>
            <w:tcW w:w="0" w:type="auto"/>
            <w:hideMark/>
          </w:tcPr>
          <w:p w14:paraId="637E5F44" w14:textId="77777777" w:rsidR="004B2659" w:rsidRPr="00CB71F6" w:rsidRDefault="004B2659" w:rsidP="004B2659">
            <w:pPr>
              <w:jc w:val="center"/>
              <w:rPr>
                <w:rFonts w:ascii="Arial" w:eastAsia="Times New Roman" w:hAnsi="Arial" w:cs="Arial"/>
                <w:kern w:val="0"/>
                <w14:ligatures w14:val="none"/>
              </w:rPr>
            </w:pPr>
            <w:r w:rsidRPr="00CB71F6">
              <w:rPr>
                <w:rFonts w:ascii="Arial" w:eastAsia="Times New Roman" w:hAnsi="Arial" w:cs="Arial"/>
                <w:kern w:val="0"/>
                <w14:ligatures w14:val="none"/>
              </w:rPr>
              <w:t>Key Results</w:t>
            </w:r>
          </w:p>
        </w:tc>
        <w:tc>
          <w:tcPr>
            <w:tcW w:w="0" w:type="auto"/>
            <w:hideMark/>
          </w:tcPr>
          <w:p w14:paraId="02199484" w14:textId="77777777" w:rsidR="004B2659" w:rsidRPr="00CB71F6" w:rsidRDefault="004B2659" w:rsidP="004B2659">
            <w:pPr>
              <w:jc w:val="center"/>
              <w:rPr>
                <w:rFonts w:ascii="Arial" w:eastAsia="Times New Roman" w:hAnsi="Arial" w:cs="Arial"/>
                <w:kern w:val="0"/>
                <w14:ligatures w14:val="none"/>
              </w:rPr>
            </w:pPr>
            <w:r w:rsidRPr="00CB71F6">
              <w:rPr>
                <w:rFonts w:ascii="Arial" w:eastAsia="Times New Roman" w:hAnsi="Arial" w:cs="Arial"/>
                <w:kern w:val="0"/>
                <w14:ligatures w14:val="none"/>
              </w:rPr>
              <w:t>Target Date</w:t>
            </w:r>
          </w:p>
        </w:tc>
      </w:tr>
      <w:tr w:rsidR="004B2659" w:rsidRPr="00CB71F6" w14:paraId="1E075D6C" w14:textId="77777777" w:rsidTr="004727ED">
        <w:tc>
          <w:tcPr>
            <w:tcW w:w="0" w:type="auto"/>
            <w:hideMark/>
          </w:tcPr>
          <w:p w14:paraId="3AADC5D8"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Improve cyber resilience</w:t>
            </w:r>
          </w:p>
        </w:tc>
        <w:tc>
          <w:tcPr>
            <w:tcW w:w="0" w:type="auto"/>
            <w:hideMark/>
          </w:tcPr>
          <w:p w14:paraId="378BD12D"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Reduce successful cyber incidents by 40%</w:t>
            </w:r>
          </w:p>
        </w:tc>
        <w:tc>
          <w:tcPr>
            <w:tcW w:w="0" w:type="auto"/>
            <w:hideMark/>
          </w:tcPr>
          <w:p w14:paraId="09E47FCC"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2028</w:t>
            </w:r>
          </w:p>
        </w:tc>
      </w:tr>
      <w:tr w:rsidR="004B2659" w:rsidRPr="00CB71F6" w14:paraId="3197B12E" w14:textId="77777777" w:rsidTr="004727ED">
        <w:tc>
          <w:tcPr>
            <w:tcW w:w="0" w:type="auto"/>
            <w:hideMark/>
          </w:tcPr>
          <w:p w14:paraId="1B97C770"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Strengthen supply chain resilience</w:t>
            </w:r>
          </w:p>
        </w:tc>
        <w:tc>
          <w:tcPr>
            <w:tcW w:w="0" w:type="auto"/>
            <w:hideMark/>
          </w:tcPr>
          <w:p w14:paraId="28CAC6F1"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Reduce supplier concentration risk by 30%</w:t>
            </w:r>
          </w:p>
        </w:tc>
        <w:tc>
          <w:tcPr>
            <w:tcW w:w="0" w:type="auto"/>
            <w:hideMark/>
          </w:tcPr>
          <w:p w14:paraId="063EC852"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2029</w:t>
            </w:r>
          </w:p>
        </w:tc>
      </w:tr>
      <w:tr w:rsidR="004B2659" w:rsidRPr="00CB71F6" w14:paraId="69065AE2" w14:textId="77777777" w:rsidTr="004727ED">
        <w:tc>
          <w:tcPr>
            <w:tcW w:w="0" w:type="auto"/>
            <w:hideMark/>
          </w:tcPr>
          <w:p w14:paraId="2374FED0"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Increase workforce adaptability</w:t>
            </w:r>
          </w:p>
        </w:tc>
        <w:tc>
          <w:tcPr>
            <w:tcW w:w="0" w:type="auto"/>
            <w:hideMark/>
          </w:tcPr>
          <w:p w14:paraId="5A6047E1"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Deliver resilience training to 90% of employees</w:t>
            </w:r>
          </w:p>
        </w:tc>
        <w:tc>
          <w:tcPr>
            <w:tcW w:w="0" w:type="auto"/>
            <w:hideMark/>
          </w:tcPr>
          <w:p w14:paraId="3AB2662B"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2028</w:t>
            </w:r>
          </w:p>
        </w:tc>
      </w:tr>
      <w:tr w:rsidR="004B2659" w:rsidRPr="00CB71F6" w14:paraId="6431CE0B" w14:textId="77777777" w:rsidTr="004727ED">
        <w:tc>
          <w:tcPr>
            <w:tcW w:w="0" w:type="auto"/>
            <w:hideMark/>
          </w:tcPr>
          <w:p w14:paraId="33D97315"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Improve organisational agility</w:t>
            </w:r>
          </w:p>
        </w:tc>
        <w:tc>
          <w:tcPr>
            <w:tcW w:w="0" w:type="auto"/>
            <w:hideMark/>
          </w:tcPr>
          <w:p w14:paraId="3820C472"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Reduce decision implementation time by 25%</w:t>
            </w:r>
          </w:p>
        </w:tc>
        <w:tc>
          <w:tcPr>
            <w:tcW w:w="0" w:type="auto"/>
            <w:hideMark/>
          </w:tcPr>
          <w:p w14:paraId="5C1D1EC2"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2027</w:t>
            </w:r>
          </w:p>
        </w:tc>
      </w:tr>
    </w:tbl>
    <w:p w14:paraId="65BA6678"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In addition, management should establish a resilience dashboard covering:</w:t>
      </w:r>
    </w:p>
    <w:p w14:paraId="3AF9E7B4"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cybersecurity incidents;</w:t>
      </w:r>
    </w:p>
    <w:p w14:paraId="203AC3A0"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supplier risk exposure;</w:t>
      </w:r>
    </w:p>
    <w:p w14:paraId="096FA5CC"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operational disruption events;</w:t>
      </w:r>
    </w:p>
    <w:p w14:paraId="1B384054"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employee capability development;</w:t>
      </w:r>
    </w:p>
    <w:p w14:paraId="5808995A"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regulatory compliance performance.</w:t>
      </w:r>
    </w:p>
    <w:p w14:paraId="7B4E36E3" w14:textId="259BB9F4"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Quarterly reviews should be conducted to compare performance against objectives and identify areas requiring corrective action.</w:t>
      </w:r>
    </w:p>
    <w:p w14:paraId="029C9722" w14:textId="50BD38FF" w:rsidR="004B2659" w:rsidRPr="0024745F"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J)</w:t>
      </w:r>
      <w:r w:rsidR="004B2659" w:rsidRPr="0024745F">
        <w:rPr>
          <w:rStyle w:val="Referireintens"/>
          <w:sz w:val="40"/>
          <w:szCs w:val="40"/>
        </w:rPr>
        <w:t xml:space="preserve"> Strategic Reflection</w:t>
      </w:r>
    </w:p>
    <w:p w14:paraId="230B097D" w14:textId="77777777" w:rsidR="0024745F" w:rsidRDefault="004B2659" w:rsidP="0024745F">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 xml:space="preserve">The merger between Vodafone UK and Three UK created significant opportunities for growth, investment and market expansion. However, it also increased organisational complexity and exposure to uncertainty.The analysis undertaken in this report demonstrates that the telecommunications industry is increasingly </w:t>
      </w:r>
      <w:r w:rsidRPr="00CB71F6">
        <w:rPr>
          <w:rFonts w:ascii="Arial" w:hAnsi="Arial" w:cs="Arial"/>
          <w:color w:val="000000"/>
          <w:kern w:val="0"/>
          <w14:ligatures w14:val="none"/>
        </w:rPr>
        <w:lastRenderedPageBreak/>
        <w:t>influenced by cybersecurity threats, supply chain disruption, technological change and regulatory pressure.Under these conditions, traditional growth strategies based solely on expansion may not provide sufficient protection against future challenges.This report therefore recommends an Adaptive Growth Through Strategic Resilience Strategy that positions resilience as a foundation for sustainable growth rather than an alternative to it.By improving cyber preparedness, supply chain resilience, workforce adaptability and organisational agility, VodafoneThree can strengthen its ability to respond effectively to disruption while continuing to create value for customers, investors and society.</w:t>
      </w:r>
      <w:r w:rsidR="009A4868" w:rsidRPr="00CB71F6">
        <w:rPr>
          <w:rFonts w:ascii="Arial" w:hAnsi="Arial" w:cs="Arial"/>
          <w:color w:val="000000"/>
        </w:rPr>
        <w:t>The proposed strategy also encourages a shift in managerial thinking from short-term performance measurement towards long-term organisational sustainability. In highly uncertain environments, success is increasingly determined by an organisation's ability to anticipate disruption, absorb shocks and recover quickly from unexpected events. This requires leadership teams to balance efficiency with preparedness and innovation with risk management.Furthermore, resilience capabilities can create indirect strategic benefits beyond risk reduction. Organisations that maintain service continuity during periods of disruption are more likely to strengthen customer trust, protect brand reputation and improve stakeholder confidence. These advantages can support future investment opportunities and strengthen competitive positioning within the market.For VodafoneThree, developing adaptive capability should therefore be viewed not simply as a defensive measure but as an investment in future competitiveness and long-term value creation.</w:t>
      </w:r>
      <w:r w:rsidRPr="00CB71F6">
        <w:rPr>
          <w:rFonts w:ascii="Arial" w:hAnsi="Arial" w:cs="Arial"/>
          <w:color w:val="000000"/>
          <w:kern w:val="0"/>
          <w14:ligatures w14:val="none"/>
        </w:rPr>
        <w:t>Ultimately, the future telecommunications market may reward organisations that adapt most effectively rather than organisations that simply grow most quickly.</w:t>
      </w:r>
    </w:p>
    <w:p w14:paraId="32716068" w14:textId="77777777" w:rsidR="00E752F1" w:rsidRDefault="00E752F1" w:rsidP="0024745F">
      <w:pPr>
        <w:spacing w:before="100" w:beforeAutospacing="1" w:after="100" w:afterAutospacing="1" w:line="240" w:lineRule="auto"/>
        <w:rPr>
          <w:rStyle w:val="Referireintens"/>
          <w:sz w:val="40"/>
          <w:szCs w:val="40"/>
        </w:rPr>
      </w:pPr>
    </w:p>
    <w:p w14:paraId="1AA3C646" w14:textId="77777777" w:rsidR="00E752F1" w:rsidRDefault="00E752F1" w:rsidP="0024745F">
      <w:pPr>
        <w:spacing w:before="100" w:beforeAutospacing="1" w:after="100" w:afterAutospacing="1" w:line="240" w:lineRule="auto"/>
        <w:rPr>
          <w:rStyle w:val="Referireintens"/>
          <w:sz w:val="40"/>
          <w:szCs w:val="40"/>
        </w:rPr>
      </w:pPr>
    </w:p>
    <w:p w14:paraId="74467C02" w14:textId="77777777" w:rsidR="00E752F1" w:rsidRDefault="00E752F1" w:rsidP="0024745F">
      <w:pPr>
        <w:spacing w:before="100" w:beforeAutospacing="1" w:after="100" w:afterAutospacing="1" w:line="240" w:lineRule="auto"/>
        <w:rPr>
          <w:rStyle w:val="Referireintens"/>
          <w:sz w:val="40"/>
          <w:szCs w:val="40"/>
        </w:rPr>
      </w:pPr>
    </w:p>
    <w:p w14:paraId="66054AB6" w14:textId="2AACAC85" w:rsidR="004B2659" w:rsidRPr="006B3F18" w:rsidRDefault="00FE0A40" w:rsidP="0024745F">
      <w:pPr>
        <w:spacing w:before="100" w:beforeAutospacing="1" w:after="100" w:afterAutospacing="1" w:line="240" w:lineRule="auto"/>
        <w:rPr>
          <w:rStyle w:val="Referireintens"/>
          <w:sz w:val="40"/>
          <w:szCs w:val="40"/>
        </w:rPr>
      </w:pPr>
      <w:r>
        <w:rPr>
          <w:rStyle w:val="Referireintens"/>
          <w:sz w:val="40"/>
          <w:szCs w:val="40"/>
        </w:rPr>
        <w:t>K)</w:t>
      </w:r>
      <w:r w:rsidR="0024745F" w:rsidRPr="006B3F18">
        <w:rPr>
          <w:rStyle w:val="Referireintens"/>
          <w:sz w:val="40"/>
          <w:szCs w:val="40"/>
        </w:rPr>
        <w:t xml:space="preserve"> </w:t>
      </w:r>
      <w:r w:rsidR="004B2659" w:rsidRPr="006B3F18">
        <w:rPr>
          <w:rStyle w:val="Referireintens"/>
          <w:sz w:val="40"/>
          <w:szCs w:val="40"/>
        </w:rPr>
        <w:t>References</w:t>
      </w:r>
      <w:r w:rsidR="00923E9A">
        <w:rPr>
          <w:rStyle w:val="Referireintens"/>
          <w:sz w:val="40"/>
          <w:szCs w:val="40"/>
        </w:rPr>
        <w:t>:</w:t>
      </w:r>
    </w:p>
    <w:p w14:paraId="74101D4D"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Grant, R.M. (2022) Contemporary Strategy Analysis. 11th ed. Wiley.</w:t>
      </w:r>
    </w:p>
    <w:p w14:paraId="29411679"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Johnson, G., Scholes, K. and Whittington, R. (2023) Exploring Strategy. 13th ed. Pearson.</w:t>
      </w:r>
    </w:p>
    <w:p w14:paraId="4107F168"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Rumelt, R.P. (2011) Good Strategy Bad Strategy: The Difference and Why It Matters. Crown Business.</w:t>
      </w:r>
    </w:p>
    <w:p w14:paraId="68C4E743"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Mitchell, R.K., Agle, B.R. and Wood, D.J. (1997) 'Toward a Theory of Stakeholder Identification and Salience', Academy of Management Review, 22(4), pp. 853–886.</w:t>
      </w:r>
    </w:p>
    <w:p w14:paraId="64E8F64A"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Ofcom (2025) Connected Nations Report.</w:t>
      </w:r>
    </w:p>
    <w:p w14:paraId="583D65E0"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National Cyber Security Centre (2025) Cyber Assessment Framework for Critical Infrastructure.</w:t>
      </w:r>
    </w:p>
    <w:p w14:paraId="467A18EB"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Vodafone Group Plc (2025) Annual Report and Sustainability Report 2025.</w:t>
      </w:r>
    </w:p>
    <w:p w14:paraId="48BEC3E0" w14:textId="77777777" w:rsidR="0053625D" w:rsidRPr="00CB71F6" w:rsidRDefault="0053625D" w:rsidP="00E74CB9">
      <w:pPr>
        <w:rPr>
          <w:rFonts w:ascii="Arial" w:hAnsi="Arial" w:cs="Arial"/>
        </w:rPr>
      </w:pPr>
    </w:p>
    <w:sectPr w:rsidR="0053625D" w:rsidRPr="00CB71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CBDD08" w14:textId="77777777" w:rsidR="002451E0" w:rsidRDefault="002451E0" w:rsidP="0061271B">
      <w:pPr>
        <w:spacing w:after="0" w:line="240" w:lineRule="auto"/>
      </w:pPr>
      <w:r>
        <w:separator/>
      </w:r>
    </w:p>
  </w:endnote>
  <w:endnote w:type="continuationSeparator" w:id="0">
    <w:p w14:paraId="024D9AA8" w14:textId="77777777" w:rsidR="002451E0" w:rsidRDefault="002451E0" w:rsidP="0061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B5616C" w14:textId="77777777" w:rsidR="002451E0" w:rsidRDefault="002451E0" w:rsidP="0061271B">
      <w:pPr>
        <w:spacing w:after="0" w:line="240" w:lineRule="auto"/>
      </w:pPr>
      <w:r>
        <w:separator/>
      </w:r>
    </w:p>
  </w:footnote>
  <w:footnote w:type="continuationSeparator" w:id="0">
    <w:p w14:paraId="7E597D27" w14:textId="77777777" w:rsidR="002451E0" w:rsidRDefault="002451E0" w:rsidP="00612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12699"/>
    <w:multiLevelType w:val="hybridMultilevel"/>
    <w:tmpl w:val="061248F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6368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C3CAE"/>
    <w:multiLevelType w:val="hybridMultilevel"/>
    <w:tmpl w:val="D8605380"/>
    <w:lvl w:ilvl="0" w:tplc="0418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AE04E8"/>
    <w:multiLevelType w:val="hybridMultilevel"/>
    <w:tmpl w:val="E4C05F1E"/>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4863056"/>
    <w:multiLevelType w:val="multilevel"/>
    <w:tmpl w:val="5E02F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D28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12A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275E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76E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03AB5"/>
    <w:multiLevelType w:val="hybridMultilevel"/>
    <w:tmpl w:val="DD907F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4680ED3"/>
    <w:multiLevelType w:val="hybridMultilevel"/>
    <w:tmpl w:val="B72EDD2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964E3E"/>
    <w:multiLevelType w:val="multilevel"/>
    <w:tmpl w:val="BA4805D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2D0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228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3059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83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46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82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8B7222"/>
    <w:multiLevelType w:val="hybridMultilevel"/>
    <w:tmpl w:val="B9023A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25D48A8"/>
    <w:multiLevelType w:val="hybridMultilevel"/>
    <w:tmpl w:val="8C38CCA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51532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703592"/>
    <w:multiLevelType w:val="hybridMultilevel"/>
    <w:tmpl w:val="A6569AF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D67663F"/>
    <w:multiLevelType w:val="hybridMultilevel"/>
    <w:tmpl w:val="A0CC57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F0D18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0E6FFA"/>
    <w:multiLevelType w:val="hybridMultilevel"/>
    <w:tmpl w:val="58C4AC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14D6A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18427C"/>
    <w:multiLevelType w:val="hybridMultilevel"/>
    <w:tmpl w:val="079AE6F8"/>
    <w:lvl w:ilvl="0" w:tplc="0418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6236DC5"/>
    <w:multiLevelType w:val="hybridMultilevel"/>
    <w:tmpl w:val="DE342D1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817638F"/>
    <w:multiLevelType w:val="multilevel"/>
    <w:tmpl w:val="221620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916D18"/>
    <w:multiLevelType w:val="hybridMultilevel"/>
    <w:tmpl w:val="F2624586"/>
    <w:lvl w:ilvl="0" w:tplc="0418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D70F6E"/>
    <w:multiLevelType w:val="multilevel"/>
    <w:tmpl w:val="EBA476B6"/>
    <w:lvl w:ilvl="0">
      <w:start w:val="1"/>
      <w:numFmt w:val="lowerLetter"/>
      <w:lvlText w:val="%1)"/>
      <w:lvlJc w:val="left"/>
      <w:pPr>
        <w:tabs>
          <w:tab w:val="num" w:pos="720"/>
        </w:tabs>
        <w:ind w:left="720" w:hanging="360"/>
      </w:pPr>
      <w:rPr>
        <w:rFonts w:ascii="Arial" w:hAnsi="Arial" w:cs="Aria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D05F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6C2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A772E2"/>
    <w:multiLevelType w:val="hybridMultilevel"/>
    <w:tmpl w:val="6E1A5030"/>
    <w:lvl w:ilvl="0" w:tplc="0418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7F68CA"/>
    <w:multiLevelType w:val="multilevel"/>
    <w:tmpl w:val="7856EAD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0B3F6D"/>
    <w:multiLevelType w:val="hybridMultilevel"/>
    <w:tmpl w:val="210415C8"/>
    <w:lvl w:ilvl="0" w:tplc="0418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506EB4"/>
    <w:multiLevelType w:val="hybridMultilevel"/>
    <w:tmpl w:val="705E2F0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D7F69E5"/>
    <w:multiLevelType w:val="multilevel"/>
    <w:tmpl w:val="4712CAE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84007A"/>
    <w:multiLevelType w:val="hybridMultilevel"/>
    <w:tmpl w:val="0CCEB27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1FE7D67"/>
    <w:multiLevelType w:val="hybridMultilevel"/>
    <w:tmpl w:val="783409A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586550A"/>
    <w:multiLevelType w:val="hybridMultilevel"/>
    <w:tmpl w:val="5800893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7665F98"/>
    <w:multiLevelType w:val="hybridMultilevel"/>
    <w:tmpl w:val="0DF6071E"/>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460419710">
    <w:abstractNumId w:val="7"/>
  </w:num>
  <w:num w:numId="2" w16cid:durableId="1157652799">
    <w:abstractNumId w:val="14"/>
  </w:num>
  <w:num w:numId="3" w16cid:durableId="2083333364">
    <w:abstractNumId w:val="6"/>
  </w:num>
  <w:num w:numId="4" w16cid:durableId="1103306856">
    <w:abstractNumId w:val="32"/>
  </w:num>
  <w:num w:numId="5" w16cid:durableId="1022823801">
    <w:abstractNumId w:val="31"/>
  </w:num>
  <w:num w:numId="6" w16cid:durableId="2017343045">
    <w:abstractNumId w:val="5"/>
  </w:num>
  <w:num w:numId="7" w16cid:durableId="113255130">
    <w:abstractNumId w:val="23"/>
  </w:num>
  <w:num w:numId="8" w16cid:durableId="828787047">
    <w:abstractNumId w:val="20"/>
  </w:num>
  <w:num w:numId="9" w16cid:durableId="1762556971">
    <w:abstractNumId w:val="16"/>
  </w:num>
  <w:num w:numId="10" w16cid:durableId="1030257642">
    <w:abstractNumId w:val="25"/>
  </w:num>
  <w:num w:numId="11" w16cid:durableId="2110733523">
    <w:abstractNumId w:val="12"/>
  </w:num>
  <w:num w:numId="12" w16cid:durableId="447548549">
    <w:abstractNumId w:val="15"/>
  </w:num>
  <w:num w:numId="13" w16cid:durableId="1546016945">
    <w:abstractNumId w:val="8"/>
  </w:num>
  <w:num w:numId="14" w16cid:durableId="895624534">
    <w:abstractNumId w:val="17"/>
  </w:num>
  <w:num w:numId="15" w16cid:durableId="572466915">
    <w:abstractNumId w:val="13"/>
  </w:num>
  <w:num w:numId="16" w16cid:durableId="1539657280">
    <w:abstractNumId w:val="24"/>
  </w:num>
  <w:num w:numId="17" w16cid:durableId="2139907572">
    <w:abstractNumId w:val="35"/>
  </w:num>
  <w:num w:numId="18" w16cid:durableId="1892576574">
    <w:abstractNumId w:val="22"/>
  </w:num>
  <w:num w:numId="19" w16cid:durableId="1994016770">
    <w:abstractNumId w:val="21"/>
  </w:num>
  <w:num w:numId="20" w16cid:durableId="1693216712">
    <w:abstractNumId w:val="9"/>
  </w:num>
  <w:num w:numId="21" w16cid:durableId="1629504477">
    <w:abstractNumId w:val="27"/>
  </w:num>
  <w:num w:numId="22" w16cid:durableId="1413045580">
    <w:abstractNumId w:val="39"/>
  </w:num>
  <w:num w:numId="23" w16cid:durableId="1264417135">
    <w:abstractNumId w:val="38"/>
  </w:num>
  <w:num w:numId="24" w16cid:durableId="2018462672">
    <w:abstractNumId w:val="1"/>
  </w:num>
  <w:num w:numId="25" w16cid:durableId="3166973">
    <w:abstractNumId w:val="40"/>
  </w:num>
  <w:num w:numId="26" w16cid:durableId="721443995">
    <w:abstractNumId w:val="36"/>
  </w:num>
  <w:num w:numId="27" w16cid:durableId="1336155892">
    <w:abstractNumId w:val="18"/>
  </w:num>
  <w:num w:numId="28" w16cid:durableId="1770733852">
    <w:abstractNumId w:val="0"/>
  </w:num>
  <w:num w:numId="29" w16cid:durableId="1616062139">
    <w:abstractNumId w:val="26"/>
  </w:num>
  <w:num w:numId="30" w16cid:durableId="2018068488">
    <w:abstractNumId w:val="10"/>
  </w:num>
  <w:num w:numId="31" w16cid:durableId="399331507">
    <w:abstractNumId w:val="33"/>
  </w:num>
  <w:num w:numId="32" w16cid:durableId="2097625905">
    <w:abstractNumId w:val="3"/>
  </w:num>
  <w:num w:numId="33" w16cid:durableId="1616139012">
    <w:abstractNumId w:val="41"/>
  </w:num>
  <w:num w:numId="34" w16cid:durableId="512963516">
    <w:abstractNumId w:val="2"/>
  </w:num>
  <w:num w:numId="35" w16cid:durableId="274798616">
    <w:abstractNumId w:val="29"/>
  </w:num>
  <w:num w:numId="36" w16cid:durableId="1148278913">
    <w:abstractNumId w:val="37"/>
  </w:num>
  <w:num w:numId="37" w16cid:durableId="340552988">
    <w:abstractNumId w:val="30"/>
  </w:num>
  <w:num w:numId="38" w16cid:durableId="1554081880">
    <w:abstractNumId w:val="34"/>
  </w:num>
  <w:num w:numId="39" w16cid:durableId="681053404">
    <w:abstractNumId w:val="28"/>
  </w:num>
  <w:num w:numId="40" w16cid:durableId="543106434">
    <w:abstractNumId w:val="4"/>
  </w:num>
  <w:num w:numId="41" w16cid:durableId="1577520324">
    <w:abstractNumId w:val="11"/>
  </w:num>
  <w:num w:numId="42" w16cid:durableId="1393886602">
    <w:abstractNumId w:val="19"/>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9"/>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25D"/>
    <w:rsid w:val="000057B6"/>
    <w:rsid w:val="0000585D"/>
    <w:rsid w:val="00022E31"/>
    <w:rsid w:val="000270B2"/>
    <w:rsid w:val="0003571D"/>
    <w:rsid w:val="000549AC"/>
    <w:rsid w:val="000612D2"/>
    <w:rsid w:val="000710EB"/>
    <w:rsid w:val="00081D94"/>
    <w:rsid w:val="00091025"/>
    <w:rsid w:val="00094416"/>
    <w:rsid w:val="000B2761"/>
    <w:rsid w:val="000C27FA"/>
    <w:rsid w:val="000D7353"/>
    <w:rsid w:val="000E0379"/>
    <w:rsid w:val="000F58E9"/>
    <w:rsid w:val="00104361"/>
    <w:rsid w:val="00115432"/>
    <w:rsid w:val="00125CEE"/>
    <w:rsid w:val="00125F42"/>
    <w:rsid w:val="001305E7"/>
    <w:rsid w:val="0013760A"/>
    <w:rsid w:val="001461AD"/>
    <w:rsid w:val="00146CD7"/>
    <w:rsid w:val="00165F90"/>
    <w:rsid w:val="00171FC9"/>
    <w:rsid w:val="00175F42"/>
    <w:rsid w:val="00177CBF"/>
    <w:rsid w:val="00187062"/>
    <w:rsid w:val="001B3A6C"/>
    <w:rsid w:val="001D1D7B"/>
    <w:rsid w:val="001D62F1"/>
    <w:rsid w:val="001E405F"/>
    <w:rsid w:val="001E490A"/>
    <w:rsid w:val="00200C70"/>
    <w:rsid w:val="00203CD8"/>
    <w:rsid w:val="00207842"/>
    <w:rsid w:val="002216C5"/>
    <w:rsid w:val="00226636"/>
    <w:rsid w:val="00231E4C"/>
    <w:rsid w:val="002451E0"/>
    <w:rsid w:val="0024745F"/>
    <w:rsid w:val="00260424"/>
    <w:rsid w:val="00277A07"/>
    <w:rsid w:val="002A4458"/>
    <w:rsid w:val="002A6086"/>
    <w:rsid w:val="002C1654"/>
    <w:rsid w:val="002C4108"/>
    <w:rsid w:val="002E4A56"/>
    <w:rsid w:val="002E4DC7"/>
    <w:rsid w:val="002F60FA"/>
    <w:rsid w:val="002F7107"/>
    <w:rsid w:val="00305586"/>
    <w:rsid w:val="00313136"/>
    <w:rsid w:val="0031518B"/>
    <w:rsid w:val="00341AA2"/>
    <w:rsid w:val="00347412"/>
    <w:rsid w:val="00373D81"/>
    <w:rsid w:val="003814F7"/>
    <w:rsid w:val="00392702"/>
    <w:rsid w:val="00396826"/>
    <w:rsid w:val="003C4C3F"/>
    <w:rsid w:val="003D7FD7"/>
    <w:rsid w:val="003F23A6"/>
    <w:rsid w:val="00431B98"/>
    <w:rsid w:val="00433C06"/>
    <w:rsid w:val="004371E5"/>
    <w:rsid w:val="00452FD0"/>
    <w:rsid w:val="0045550C"/>
    <w:rsid w:val="00455BC6"/>
    <w:rsid w:val="00460DD3"/>
    <w:rsid w:val="004635B4"/>
    <w:rsid w:val="00466234"/>
    <w:rsid w:val="004727ED"/>
    <w:rsid w:val="004805CC"/>
    <w:rsid w:val="004957AF"/>
    <w:rsid w:val="004A3580"/>
    <w:rsid w:val="004A4094"/>
    <w:rsid w:val="004B2659"/>
    <w:rsid w:val="004C25EE"/>
    <w:rsid w:val="004F4AD5"/>
    <w:rsid w:val="004F7FA1"/>
    <w:rsid w:val="00502AB2"/>
    <w:rsid w:val="0052187F"/>
    <w:rsid w:val="00530C28"/>
    <w:rsid w:val="00532901"/>
    <w:rsid w:val="005345C3"/>
    <w:rsid w:val="0053625D"/>
    <w:rsid w:val="00552141"/>
    <w:rsid w:val="005712ED"/>
    <w:rsid w:val="00597609"/>
    <w:rsid w:val="005A745A"/>
    <w:rsid w:val="005C2EF4"/>
    <w:rsid w:val="005C2F27"/>
    <w:rsid w:val="005C46A9"/>
    <w:rsid w:val="005E3041"/>
    <w:rsid w:val="005F4309"/>
    <w:rsid w:val="005F4EF2"/>
    <w:rsid w:val="0061271B"/>
    <w:rsid w:val="00621AAF"/>
    <w:rsid w:val="0064269E"/>
    <w:rsid w:val="00644848"/>
    <w:rsid w:val="006614CA"/>
    <w:rsid w:val="00665250"/>
    <w:rsid w:val="006725E4"/>
    <w:rsid w:val="006A1EF2"/>
    <w:rsid w:val="006A56E4"/>
    <w:rsid w:val="006B25E3"/>
    <w:rsid w:val="006B3F18"/>
    <w:rsid w:val="006B56D9"/>
    <w:rsid w:val="006C1F8B"/>
    <w:rsid w:val="006D7FF3"/>
    <w:rsid w:val="006E06A5"/>
    <w:rsid w:val="006E1855"/>
    <w:rsid w:val="007377DB"/>
    <w:rsid w:val="00742C84"/>
    <w:rsid w:val="007535E6"/>
    <w:rsid w:val="00753ACE"/>
    <w:rsid w:val="00761D7E"/>
    <w:rsid w:val="00772FB3"/>
    <w:rsid w:val="00776D33"/>
    <w:rsid w:val="0078294D"/>
    <w:rsid w:val="00792F42"/>
    <w:rsid w:val="007A0154"/>
    <w:rsid w:val="007A26F4"/>
    <w:rsid w:val="007B7B0E"/>
    <w:rsid w:val="007C323D"/>
    <w:rsid w:val="007C3CA9"/>
    <w:rsid w:val="007E4CF9"/>
    <w:rsid w:val="007F1A14"/>
    <w:rsid w:val="0080795B"/>
    <w:rsid w:val="008368C6"/>
    <w:rsid w:val="00842184"/>
    <w:rsid w:val="00873C60"/>
    <w:rsid w:val="008843CF"/>
    <w:rsid w:val="008A06E8"/>
    <w:rsid w:val="008A5FAC"/>
    <w:rsid w:val="008B29E5"/>
    <w:rsid w:val="008B702C"/>
    <w:rsid w:val="008C62F5"/>
    <w:rsid w:val="008D0EE9"/>
    <w:rsid w:val="008D3D9B"/>
    <w:rsid w:val="008E3C1E"/>
    <w:rsid w:val="008F54EC"/>
    <w:rsid w:val="0090097C"/>
    <w:rsid w:val="009017C9"/>
    <w:rsid w:val="00901F15"/>
    <w:rsid w:val="0092233A"/>
    <w:rsid w:val="00923E9A"/>
    <w:rsid w:val="009371D0"/>
    <w:rsid w:val="00941C62"/>
    <w:rsid w:val="0094453E"/>
    <w:rsid w:val="0095306C"/>
    <w:rsid w:val="0095432F"/>
    <w:rsid w:val="009849BB"/>
    <w:rsid w:val="00991D1D"/>
    <w:rsid w:val="009A0586"/>
    <w:rsid w:val="009A4868"/>
    <w:rsid w:val="009B530D"/>
    <w:rsid w:val="009B7B13"/>
    <w:rsid w:val="009C6970"/>
    <w:rsid w:val="009F5D2E"/>
    <w:rsid w:val="009F5F60"/>
    <w:rsid w:val="00A11E67"/>
    <w:rsid w:val="00A12922"/>
    <w:rsid w:val="00A16971"/>
    <w:rsid w:val="00A20582"/>
    <w:rsid w:val="00A2679A"/>
    <w:rsid w:val="00A339F7"/>
    <w:rsid w:val="00A42CAF"/>
    <w:rsid w:val="00A51F41"/>
    <w:rsid w:val="00A66736"/>
    <w:rsid w:val="00A668D3"/>
    <w:rsid w:val="00A836AD"/>
    <w:rsid w:val="00A8493D"/>
    <w:rsid w:val="00A9313C"/>
    <w:rsid w:val="00AA236F"/>
    <w:rsid w:val="00AB7C9A"/>
    <w:rsid w:val="00AC5269"/>
    <w:rsid w:val="00AD278E"/>
    <w:rsid w:val="00AE7D3A"/>
    <w:rsid w:val="00AF627A"/>
    <w:rsid w:val="00B1419C"/>
    <w:rsid w:val="00B145DE"/>
    <w:rsid w:val="00B4464C"/>
    <w:rsid w:val="00B60504"/>
    <w:rsid w:val="00B72A67"/>
    <w:rsid w:val="00B8589F"/>
    <w:rsid w:val="00BA66E8"/>
    <w:rsid w:val="00BB5FA5"/>
    <w:rsid w:val="00BC1220"/>
    <w:rsid w:val="00BD5DAE"/>
    <w:rsid w:val="00BE0364"/>
    <w:rsid w:val="00BE6636"/>
    <w:rsid w:val="00BF0FB6"/>
    <w:rsid w:val="00BF28AC"/>
    <w:rsid w:val="00BF4381"/>
    <w:rsid w:val="00BF4872"/>
    <w:rsid w:val="00C03B6A"/>
    <w:rsid w:val="00C23C6F"/>
    <w:rsid w:val="00C30C78"/>
    <w:rsid w:val="00C34D7A"/>
    <w:rsid w:val="00C411E9"/>
    <w:rsid w:val="00C50FBB"/>
    <w:rsid w:val="00C565FB"/>
    <w:rsid w:val="00C62238"/>
    <w:rsid w:val="00C624DF"/>
    <w:rsid w:val="00C76ADE"/>
    <w:rsid w:val="00C81C86"/>
    <w:rsid w:val="00C840EE"/>
    <w:rsid w:val="00C922C0"/>
    <w:rsid w:val="00CA142D"/>
    <w:rsid w:val="00CA1DED"/>
    <w:rsid w:val="00CA1E0A"/>
    <w:rsid w:val="00CB001D"/>
    <w:rsid w:val="00CB11FA"/>
    <w:rsid w:val="00CB71F6"/>
    <w:rsid w:val="00CC3191"/>
    <w:rsid w:val="00CD0E5C"/>
    <w:rsid w:val="00CE036D"/>
    <w:rsid w:val="00CE60FC"/>
    <w:rsid w:val="00CF4350"/>
    <w:rsid w:val="00D20A9F"/>
    <w:rsid w:val="00D317FF"/>
    <w:rsid w:val="00D448F0"/>
    <w:rsid w:val="00D47B82"/>
    <w:rsid w:val="00D55020"/>
    <w:rsid w:val="00D706B9"/>
    <w:rsid w:val="00D81554"/>
    <w:rsid w:val="00D84197"/>
    <w:rsid w:val="00DB17C6"/>
    <w:rsid w:val="00DB4556"/>
    <w:rsid w:val="00DC2E06"/>
    <w:rsid w:val="00DD72BD"/>
    <w:rsid w:val="00DE2749"/>
    <w:rsid w:val="00DE3992"/>
    <w:rsid w:val="00DE3F3C"/>
    <w:rsid w:val="00DE438B"/>
    <w:rsid w:val="00E01C9F"/>
    <w:rsid w:val="00E10468"/>
    <w:rsid w:val="00E111CF"/>
    <w:rsid w:val="00E26AB0"/>
    <w:rsid w:val="00E27C9D"/>
    <w:rsid w:val="00E37D97"/>
    <w:rsid w:val="00E459DA"/>
    <w:rsid w:val="00E74CB9"/>
    <w:rsid w:val="00E752F1"/>
    <w:rsid w:val="00E92540"/>
    <w:rsid w:val="00EB3752"/>
    <w:rsid w:val="00EB687B"/>
    <w:rsid w:val="00ED3112"/>
    <w:rsid w:val="00EE1240"/>
    <w:rsid w:val="00EE20A1"/>
    <w:rsid w:val="00EE61C6"/>
    <w:rsid w:val="00F03326"/>
    <w:rsid w:val="00F24F6D"/>
    <w:rsid w:val="00F360A7"/>
    <w:rsid w:val="00F37EC9"/>
    <w:rsid w:val="00F45C89"/>
    <w:rsid w:val="00F53A98"/>
    <w:rsid w:val="00F53C89"/>
    <w:rsid w:val="00F556E9"/>
    <w:rsid w:val="00F655DB"/>
    <w:rsid w:val="00F81C41"/>
    <w:rsid w:val="00F8372D"/>
    <w:rsid w:val="00F93A7F"/>
    <w:rsid w:val="00F95555"/>
    <w:rsid w:val="00FC09DE"/>
    <w:rsid w:val="00FD6C5B"/>
    <w:rsid w:val="00FE0A40"/>
    <w:rsid w:val="00FF2AC0"/>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52DA5"/>
  <w15:chartTrackingRefBased/>
  <w15:docId w15:val="{75555D37-F37C-534B-B746-7D5A5BF08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36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536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53625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3625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3625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3625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3625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3625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3625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3625D"/>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3625D"/>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3625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3625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3625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3625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3625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3625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3625D"/>
    <w:rPr>
      <w:rFonts w:eastAsiaTheme="majorEastAsia" w:cstheme="majorBidi"/>
      <w:color w:val="272727" w:themeColor="text1" w:themeTint="D8"/>
    </w:rPr>
  </w:style>
  <w:style w:type="paragraph" w:styleId="Titlu">
    <w:name w:val="Title"/>
    <w:basedOn w:val="Normal"/>
    <w:next w:val="Normal"/>
    <w:link w:val="TitluCaracter"/>
    <w:uiPriority w:val="10"/>
    <w:qFormat/>
    <w:rsid w:val="00536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3625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3625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3625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3625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3625D"/>
    <w:rPr>
      <w:i/>
      <w:iCs/>
      <w:color w:val="404040" w:themeColor="text1" w:themeTint="BF"/>
    </w:rPr>
  </w:style>
  <w:style w:type="paragraph" w:styleId="Listparagraf">
    <w:name w:val="List Paragraph"/>
    <w:basedOn w:val="Normal"/>
    <w:uiPriority w:val="34"/>
    <w:qFormat/>
    <w:rsid w:val="0053625D"/>
    <w:pPr>
      <w:ind w:left="720"/>
      <w:contextualSpacing/>
    </w:pPr>
  </w:style>
  <w:style w:type="character" w:styleId="Accentuareintens">
    <w:name w:val="Intense Emphasis"/>
    <w:basedOn w:val="Fontdeparagrafimplicit"/>
    <w:uiPriority w:val="21"/>
    <w:qFormat/>
    <w:rsid w:val="0053625D"/>
    <w:rPr>
      <w:i/>
      <w:iCs/>
      <w:color w:val="0F4761" w:themeColor="accent1" w:themeShade="BF"/>
    </w:rPr>
  </w:style>
  <w:style w:type="paragraph" w:styleId="Citatintens">
    <w:name w:val="Intense Quote"/>
    <w:basedOn w:val="Normal"/>
    <w:next w:val="Normal"/>
    <w:link w:val="CitatintensCaracter"/>
    <w:uiPriority w:val="30"/>
    <w:qFormat/>
    <w:rsid w:val="00536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3625D"/>
    <w:rPr>
      <w:i/>
      <w:iCs/>
      <w:color w:val="0F4761" w:themeColor="accent1" w:themeShade="BF"/>
    </w:rPr>
  </w:style>
  <w:style w:type="character" w:styleId="Referireintens">
    <w:name w:val="Intense Reference"/>
    <w:basedOn w:val="Fontdeparagrafimplicit"/>
    <w:uiPriority w:val="32"/>
    <w:qFormat/>
    <w:rsid w:val="0053625D"/>
    <w:rPr>
      <w:b/>
      <w:bCs/>
      <w:smallCaps/>
      <w:color w:val="0F4761" w:themeColor="accent1" w:themeShade="BF"/>
      <w:spacing w:val="5"/>
    </w:rPr>
  </w:style>
  <w:style w:type="paragraph" w:styleId="NormalWeb">
    <w:name w:val="Normal (Web)"/>
    <w:basedOn w:val="Normal"/>
    <w:uiPriority w:val="99"/>
    <w:unhideWhenUsed/>
    <w:rsid w:val="0053625D"/>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ontdeparagrafimplicit"/>
    <w:rsid w:val="0053625D"/>
  </w:style>
  <w:style w:type="character" w:styleId="Robust">
    <w:name w:val="Strong"/>
    <w:basedOn w:val="Fontdeparagrafimplicit"/>
    <w:uiPriority w:val="22"/>
    <w:qFormat/>
    <w:rsid w:val="0053625D"/>
    <w:rPr>
      <w:b/>
      <w:bCs/>
    </w:rPr>
  </w:style>
  <w:style w:type="character" w:styleId="Accentuat">
    <w:name w:val="Emphasis"/>
    <w:basedOn w:val="Fontdeparagrafimplicit"/>
    <w:uiPriority w:val="20"/>
    <w:qFormat/>
    <w:rsid w:val="00C840EE"/>
    <w:rPr>
      <w:i/>
      <w:iCs/>
    </w:rPr>
  </w:style>
  <w:style w:type="character" w:styleId="Hyperlink">
    <w:name w:val="Hyperlink"/>
    <w:basedOn w:val="Fontdeparagrafimplicit"/>
    <w:uiPriority w:val="99"/>
    <w:semiHidden/>
    <w:unhideWhenUsed/>
    <w:rsid w:val="00E74CB9"/>
    <w:rPr>
      <w:color w:val="0000FF"/>
      <w:u w:val="single"/>
    </w:rPr>
  </w:style>
  <w:style w:type="character" w:customStyle="1" w:styleId="whitespace-normal">
    <w:name w:val="whitespace-normal"/>
    <w:basedOn w:val="Fontdeparagrafimplicit"/>
    <w:rsid w:val="004B2659"/>
  </w:style>
  <w:style w:type="table" w:styleId="Tabelgril">
    <w:name w:val="Table Grid"/>
    <w:basedOn w:val="TabelNormal"/>
    <w:uiPriority w:val="39"/>
    <w:rsid w:val="00472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1271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1271B"/>
  </w:style>
  <w:style w:type="paragraph" w:styleId="Subsol">
    <w:name w:val="footer"/>
    <w:basedOn w:val="Normal"/>
    <w:link w:val="SubsolCaracter"/>
    <w:uiPriority w:val="99"/>
    <w:unhideWhenUsed/>
    <w:rsid w:val="0061271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1271B"/>
  </w:style>
  <w:style w:type="paragraph" w:customStyle="1" w:styleId="isselectedend">
    <w:name w:val="isselectedend"/>
    <w:basedOn w:val="Normal"/>
    <w:rsid w:val="00DE3992"/>
    <w:pPr>
      <w:spacing w:before="100" w:beforeAutospacing="1" w:after="100" w:afterAutospacing="1" w:line="240" w:lineRule="auto"/>
    </w:pPr>
    <w:rPr>
      <w:rFonts w:ascii="Times New Roman" w:hAnsi="Times New Roman" w:cs="Times New Roman"/>
      <w:kern w:val="0"/>
      <w14:ligatures w14:val="none"/>
    </w:rPr>
  </w:style>
  <w:style w:type="character" w:styleId="Titlulcrii">
    <w:name w:val="Book Title"/>
    <w:basedOn w:val="Fontdeparagrafimplicit"/>
    <w:uiPriority w:val="33"/>
    <w:qFormat/>
    <w:rsid w:val="004A409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229</TotalTime>
  <Pages>14</Pages>
  <Words>4027</Words>
  <Characters>23362</Characters>
  <Application>Microsoft Office Word</Application>
  <DocSecurity>0</DocSecurity>
  <Lines>194</Lines>
  <Paragraphs>54</Paragraphs>
  <ScaleCrop>false</ScaleCrop>
  <Company/>
  <LinksUpToDate>false</LinksUpToDate>
  <CharactersWithSpaces>27335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Mircea (2333683)</dc:creator>
  <cp:keywords/>
  <dc:description/>
  <cp:lastModifiedBy>Albert Mircea (2333683)</cp:lastModifiedBy>
  <cp:revision>229</cp:revision>
  <dcterms:created xsi:type="dcterms:W3CDTF">2026-07-08T19:35:00Z</dcterms:created>
  <dcterms:modified xsi:type="dcterms:W3CDTF">2026-07-12T19:33:00Z</dcterms:modified>
</cp:coreProperties>
</file>