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7A63A7" w14:textId="77777777" w:rsidR="00E14E75" w:rsidRPr="0069489A" w:rsidRDefault="00E14E75" w:rsidP="00E14E75">
      <w:pPr>
        <w:jc w:val="center"/>
        <w:rPr>
          <w:b/>
          <w:sz w:val="28"/>
        </w:rPr>
      </w:pPr>
    </w:p>
    <w:p w14:paraId="384E0AE9" w14:textId="77777777" w:rsidR="00E14E75" w:rsidRPr="0069489A" w:rsidRDefault="00E14E75" w:rsidP="00E14E75">
      <w:pPr>
        <w:jc w:val="center"/>
        <w:rPr>
          <w:b/>
          <w:sz w:val="28"/>
        </w:rPr>
      </w:pPr>
    </w:p>
    <w:p w14:paraId="25054F42" w14:textId="77777777" w:rsidR="00E14E75" w:rsidRPr="0069489A" w:rsidRDefault="00E14E75" w:rsidP="00E14E75">
      <w:pPr>
        <w:jc w:val="center"/>
        <w:rPr>
          <w:b/>
          <w:sz w:val="28"/>
        </w:rPr>
      </w:pPr>
    </w:p>
    <w:p w14:paraId="57BE5CCF" w14:textId="77777777" w:rsidR="00E14E75" w:rsidRPr="0069489A" w:rsidRDefault="00E14E75" w:rsidP="00E14E75">
      <w:pPr>
        <w:jc w:val="center"/>
        <w:rPr>
          <w:b/>
          <w:sz w:val="28"/>
        </w:rPr>
      </w:pPr>
    </w:p>
    <w:p w14:paraId="3CFB5621" w14:textId="77777777" w:rsidR="00E14E75" w:rsidRPr="0069489A" w:rsidRDefault="00E14E75" w:rsidP="00E14E75">
      <w:pPr>
        <w:jc w:val="center"/>
        <w:rPr>
          <w:b/>
          <w:sz w:val="28"/>
        </w:rPr>
      </w:pPr>
    </w:p>
    <w:p w14:paraId="1123FD2B" w14:textId="77777777" w:rsidR="00E14E75" w:rsidRPr="0069489A" w:rsidRDefault="00E14E75" w:rsidP="00E14E75">
      <w:pPr>
        <w:jc w:val="center"/>
        <w:rPr>
          <w:b/>
          <w:sz w:val="28"/>
        </w:rPr>
      </w:pPr>
    </w:p>
    <w:p w14:paraId="2CB4118C" w14:textId="77777777" w:rsidR="00E14E75" w:rsidRPr="0069489A" w:rsidRDefault="00E14E75" w:rsidP="00E14E75">
      <w:pPr>
        <w:jc w:val="center"/>
        <w:rPr>
          <w:b/>
          <w:sz w:val="28"/>
        </w:rPr>
      </w:pPr>
    </w:p>
    <w:p w14:paraId="1311E0CF" w14:textId="77777777" w:rsidR="00E14E75" w:rsidRPr="0069489A" w:rsidRDefault="00E14E75" w:rsidP="00E14E75">
      <w:pPr>
        <w:jc w:val="center"/>
        <w:rPr>
          <w:b/>
          <w:sz w:val="28"/>
        </w:rPr>
      </w:pPr>
    </w:p>
    <w:p w14:paraId="2FEA1A79" w14:textId="77777777" w:rsidR="00E14E75" w:rsidRPr="0069489A" w:rsidRDefault="00E14E75" w:rsidP="00E14E75">
      <w:pPr>
        <w:jc w:val="center"/>
        <w:rPr>
          <w:b/>
          <w:sz w:val="28"/>
        </w:rPr>
      </w:pPr>
    </w:p>
    <w:p w14:paraId="4306736A" w14:textId="77777777" w:rsidR="00E14E75" w:rsidRPr="0069489A" w:rsidRDefault="00E14E75" w:rsidP="00E14E75">
      <w:pPr>
        <w:jc w:val="center"/>
        <w:rPr>
          <w:b/>
          <w:sz w:val="28"/>
        </w:rPr>
      </w:pPr>
    </w:p>
    <w:p w14:paraId="69869314" w14:textId="77777777" w:rsidR="00AC0448" w:rsidRPr="0069489A" w:rsidRDefault="00AC0448" w:rsidP="00E14E75">
      <w:pPr>
        <w:jc w:val="center"/>
        <w:rPr>
          <w:b/>
          <w:sz w:val="28"/>
        </w:rPr>
      </w:pPr>
      <w:r w:rsidRPr="0069489A">
        <w:rPr>
          <w:b/>
          <w:sz w:val="28"/>
        </w:rPr>
        <w:t>How Effectively Do Local Authority Websites Signpost Early Help?</w:t>
      </w:r>
    </w:p>
    <w:p w14:paraId="6AC563D8" w14:textId="77777777" w:rsidR="00AC0448" w:rsidRPr="0069489A" w:rsidRDefault="00AC0448" w:rsidP="00E14E75">
      <w:pPr>
        <w:jc w:val="center"/>
        <w:rPr>
          <w:i/>
        </w:rPr>
      </w:pPr>
      <w:r w:rsidRPr="0069489A">
        <w:rPr>
          <w:i/>
        </w:rPr>
        <w:t>Protecting and Supporting Families in Health and Care</w:t>
      </w:r>
    </w:p>
    <w:p w14:paraId="5E0379E6" w14:textId="77777777" w:rsidR="00AD4E5F" w:rsidRDefault="00E14E75" w:rsidP="00AD4E5F">
      <w:pPr>
        <w:jc w:val="center"/>
      </w:pPr>
      <w:r w:rsidRPr="0069489A">
        <w:t>Comparative written report: Leeds, Tower Hamlets and Southwark</w:t>
      </w:r>
    </w:p>
    <w:p w14:paraId="1F601EFF" w14:textId="261722ED" w:rsidR="00E14E75" w:rsidRPr="0069489A" w:rsidRDefault="00E14E75" w:rsidP="00AD4E5F">
      <w:pPr>
        <w:jc w:val="center"/>
      </w:pPr>
      <w:r w:rsidRPr="0069489A">
        <w:t>Name</w:t>
      </w:r>
      <w:r w:rsidR="00AD4E5F">
        <w:t>:</w:t>
      </w:r>
      <w:r w:rsidR="00F01EB0">
        <w:t xml:space="preserve"> </w:t>
      </w:r>
      <w:r w:rsidR="00AD4E5F">
        <w:t xml:space="preserve">Henry </w:t>
      </w:r>
      <w:proofErr w:type="spellStart"/>
      <w:r w:rsidR="00F01EB0">
        <w:t>Wiredu</w:t>
      </w:r>
      <w:proofErr w:type="spellEnd"/>
      <w:r w:rsidR="00F01EB0">
        <w:t xml:space="preserve"> </w:t>
      </w:r>
    </w:p>
    <w:p w14:paraId="4591E4B8" w14:textId="438DEF91" w:rsidR="00E14E75" w:rsidRPr="0069489A" w:rsidRDefault="00F01EB0" w:rsidP="00E14E75">
      <w:pPr>
        <w:jc w:val="center"/>
      </w:pPr>
      <w:r>
        <w:t>ID 2429</w:t>
      </w:r>
      <w:r w:rsidR="005846A0">
        <w:t>459</w:t>
      </w:r>
    </w:p>
    <w:p w14:paraId="090036A5" w14:textId="046B0437" w:rsidR="00E14E75" w:rsidRDefault="002162BD" w:rsidP="00E14E75">
      <w:pPr>
        <w:jc w:val="center"/>
      </w:pPr>
      <w:r>
        <w:rPr>
          <w:rFonts w:ascii="Calibri" w:hAnsi="Calibri"/>
          <w:sz w:val="22"/>
        </w:rPr>
        <w:t xml:space="preserve">Lecture: </w:t>
      </w:r>
      <w:proofErr w:type="spellStart"/>
      <w:r w:rsidR="00FA102B">
        <w:rPr>
          <w:rFonts w:ascii="Calibri" w:hAnsi="Calibri"/>
          <w:sz w:val="22"/>
        </w:rPr>
        <w:t>Shaila</w:t>
      </w:r>
      <w:proofErr w:type="spellEnd"/>
      <w:r w:rsidR="00FA102B">
        <w:rPr>
          <w:rFonts w:ascii="Calibri" w:hAnsi="Calibri"/>
          <w:sz w:val="22"/>
        </w:rPr>
        <w:t xml:space="preserve"> Hussain</w:t>
      </w:r>
    </w:p>
    <w:p w14:paraId="115A027C" w14:textId="451E03E9" w:rsidR="00FA102B" w:rsidRDefault="00DA03D5">
      <w:pPr>
        <w:spacing w:before="0" w:after="160" w:line="259" w:lineRule="auto"/>
        <w:jc w:val="left"/>
      </w:pPr>
      <w:r>
        <w:br w:type="page"/>
      </w:r>
    </w:p>
    <w:p w14:paraId="0B7E1BEE" w14:textId="77777777" w:rsidR="00DA03D5" w:rsidRDefault="00DA03D5" w:rsidP="00E14E75">
      <w:pPr>
        <w:jc w:val="center"/>
        <w:rPr>
          <w:b/>
        </w:rPr>
      </w:pPr>
      <w:r w:rsidRPr="00DA03D5">
        <w:rPr>
          <w:b/>
        </w:rPr>
        <w:lastRenderedPageBreak/>
        <w:t>Table of Contents</w:t>
      </w:r>
    </w:p>
    <w:p w14:paraId="00023BDA" w14:textId="77777777" w:rsidR="00DA03D5" w:rsidRDefault="00DA03D5">
      <w:pPr>
        <w:pStyle w:val="TOC1"/>
        <w:tabs>
          <w:tab w:val="right" w:leader="dot" w:pos="9905"/>
        </w:tabs>
        <w:rPr>
          <w:noProof/>
        </w:rPr>
      </w:pPr>
      <w:r>
        <w:rPr>
          <w:b/>
        </w:rPr>
        <w:fldChar w:fldCharType="begin"/>
      </w:r>
      <w:r>
        <w:rPr>
          <w:b/>
        </w:rPr>
        <w:instrText xml:space="preserve"> TOC \o "1-3" \h \z \u </w:instrText>
      </w:r>
      <w:r>
        <w:rPr>
          <w:b/>
        </w:rPr>
        <w:fldChar w:fldCharType="separate"/>
      </w:r>
      <w:hyperlink w:anchor="_Toc235552772" w:history="1">
        <w:r w:rsidRPr="00187547">
          <w:rPr>
            <w:rStyle w:val="Hyperlink"/>
            <w:noProof/>
          </w:rPr>
          <w:t>Introduction</w:t>
        </w:r>
        <w:r>
          <w:rPr>
            <w:noProof/>
            <w:webHidden/>
          </w:rPr>
          <w:tab/>
        </w:r>
        <w:r>
          <w:rPr>
            <w:noProof/>
            <w:webHidden/>
          </w:rPr>
          <w:fldChar w:fldCharType="begin"/>
        </w:r>
        <w:r>
          <w:rPr>
            <w:noProof/>
            <w:webHidden/>
          </w:rPr>
          <w:instrText xml:space="preserve"> PAGEREF _Toc235552772 \h </w:instrText>
        </w:r>
        <w:r>
          <w:rPr>
            <w:noProof/>
            <w:webHidden/>
          </w:rPr>
        </w:r>
        <w:r>
          <w:rPr>
            <w:noProof/>
            <w:webHidden/>
          </w:rPr>
          <w:fldChar w:fldCharType="separate"/>
        </w:r>
        <w:r>
          <w:rPr>
            <w:noProof/>
            <w:webHidden/>
          </w:rPr>
          <w:t>3</w:t>
        </w:r>
        <w:r>
          <w:rPr>
            <w:noProof/>
            <w:webHidden/>
          </w:rPr>
          <w:fldChar w:fldCharType="end"/>
        </w:r>
      </w:hyperlink>
    </w:p>
    <w:p w14:paraId="70BECB1F" w14:textId="77777777" w:rsidR="00DA03D5" w:rsidRDefault="00DA03D5">
      <w:pPr>
        <w:pStyle w:val="TOC1"/>
        <w:tabs>
          <w:tab w:val="right" w:leader="dot" w:pos="9905"/>
        </w:tabs>
        <w:rPr>
          <w:noProof/>
        </w:rPr>
      </w:pPr>
      <w:hyperlink w:anchor="_Toc235552773" w:history="1">
        <w:r w:rsidRPr="00187547">
          <w:rPr>
            <w:rStyle w:val="Hyperlink"/>
            <w:noProof/>
          </w:rPr>
          <w:t>The Early Help system</w:t>
        </w:r>
        <w:r>
          <w:rPr>
            <w:noProof/>
            <w:webHidden/>
          </w:rPr>
          <w:tab/>
        </w:r>
        <w:r>
          <w:rPr>
            <w:noProof/>
            <w:webHidden/>
          </w:rPr>
          <w:fldChar w:fldCharType="begin"/>
        </w:r>
        <w:r>
          <w:rPr>
            <w:noProof/>
            <w:webHidden/>
          </w:rPr>
          <w:instrText xml:space="preserve"> PAGEREF _Toc235552773 \h </w:instrText>
        </w:r>
        <w:r>
          <w:rPr>
            <w:noProof/>
            <w:webHidden/>
          </w:rPr>
        </w:r>
        <w:r>
          <w:rPr>
            <w:noProof/>
            <w:webHidden/>
          </w:rPr>
          <w:fldChar w:fldCharType="separate"/>
        </w:r>
        <w:r>
          <w:rPr>
            <w:noProof/>
            <w:webHidden/>
          </w:rPr>
          <w:t>3</w:t>
        </w:r>
        <w:r>
          <w:rPr>
            <w:noProof/>
            <w:webHidden/>
          </w:rPr>
          <w:fldChar w:fldCharType="end"/>
        </w:r>
      </w:hyperlink>
    </w:p>
    <w:p w14:paraId="6283558E" w14:textId="77777777" w:rsidR="00DA03D5" w:rsidRDefault="00DA03D5">
      <w:pPr>
        <w:pStyle w:val="TOC1"/>
        <w:tabs>
          <w:tab w:val="right" w:leader="dot" w:pos="9905"/>
        </w:tabs>
        <w:rPr>
          <w:noProof/>
        </w:rPr>
      </w:pPr>
      <w:hyperlink w:anchor="_Toc235552774" w:history="1">
        <w:r w:rsidRPr="00187547">
          <w:rPr>
            <w:rStyle w:val="Hyperlink"/>
            <w:noProof/>
          </w:rPr>
          <w:t>The Importance of Multi-Agency Working</w:t>
        </w:r>
        <w:r>
          <w:rPr>
            <w:noProof/>
            <w:webHidden/>
          </w:rPr>
          <w:tab/>
        </w:r>
        <w:r>
          <w:rPr>
            <w:noProof/>
            <w:webHidden/>
          </w:rPr>
          <w:fldChar w:fldCharType="begin"/>
        </w:r>
        <w:r>
          <w:rPr>
            <w:noProof/>
            <w:webHidden/>
          </w:rPr>
          <w:instrText xml:space="preserve"> PAGEREF _Toc235552774 \h </w:instrText>
        </w:r>
        <w:r>
          <w:rPr>
            <w:noProof/>
            <w:webHidden/>
          </w:rPr>
        </w:r>
        <w:r>
          <w:rPr>
            <w:noProof/>
            <w:webHidden/>
          </w:rPr>
          <w:fldChar w:fldCharType="separate"/>
        </w:r>
        <w:r>
          <w:rPr>
            <w:noProof/>
            <w:webHidden/>
          </w:rPr>
          <w:t>3</w:t>
        </w:r>
        <w:r>
          <w:rPr>
            <w:noProof/>
            <w:webHidden/>
          </w:rPr>
          <w:fldChar w:fldCharType="end"/>
        </w:r>
      </w:hyperlink>
    </w:p>
    <w:p w14:paraId="6376026C" w14:textId="77777777" w:rsidR="00DA03D5" w:rsidRDefault="00DA03D5">
      <w:pPr>
        <w:pStyle w:val="TOC1"/>
        <w:tabs>
          <w:tab w:val="right" w:leader="dot" w:pos="9905"/>
        </w:tabs>
        <w:rPr>
          <w:noProof/>
        </w:rPr>
      </w:pPr>
      <w:hyperlink w:anchor="_Toc235552775" w:history="1">
        <w:r w:rsidRPr="00187547">
          <w:rPr>
            <w:rStyle w:val="Hyperlink"/>
            <w:noProof/>
          </w:rPr>
          <w:t>Method and evaluation criteria</w:t>
        </w:r>
        <w:r>
          <w:rPr>
            <w:noProof/>
            <w:webHidden/>
          </w:rPr>
          <w:tab/>
        </w:r>
        <w:r>
          <w:rPr>
            <w:noProof/>
            <w:webHidden/>
          </w:rPr>
          <w:fldChar w:fldCharType="begin"/>
        </w:r>
        <w:r>
          <w:rPr>
            <w:noProof/>
            <w:webHidden/>
          </w:rPr>
          <w:instrText xml:space="preserve"> PAGEREF _Toc235552775 \h </w:instrText>
        </w:r>
        <w:r>
          <w:rPr>
            <w:noProof/>
            <w:webHidden/>
          </w:rPr>
        </w:r>
        <w:r>
          <w:rPr>
            <w:noProof/>
            <w:webHidden/>
          </w:rPr>
          <w:fldChar w:fldCharType="separate"/>
        </w:r>
        <w:r>
          <w:rPr>
            <w:noProof/>
            <w:webHidden/>
          </w:rPr>
          <w:t>4</w:t>
        </w:r>
        <w:r>
          <w:rPr>
            <w:noProof/>
            <w:webHidden/>
          </w:rPr>
          <w:fldChar w:fldCharType="end"/>
        </w:r>
      </w:hyperlink>
    </w:p>
    <w:p w14:paraId="4147E145" w14:textId="77777777" w:rsidR="00DA03D5" w:rsidRDefault="00DA03D5">
      <w:pPr>
        <w:pStyle w:val="TOC1"/>
        <w:tabs>
          <w:tab w:val="right" w:leader="dot" w:pos="9905"/>
        </w:tabs>
        <w:rPr>
          <w:noProof/>
        </w:rPr>
      </w:pPr>
      <w:hyperlink w:anchor="_Toc235552776" w:history="1">
        <w:r w:rsidRPr="00187547">
          <w:rPr>
            <w:rStyle w:val="Hyperlink"/>
            <w:noProof/>
          </w:rPr>
          <w:t>Evaluation 1: Leeds City Council</w:t>
        </w:r>
        <w:r>
          <w:rPr>
            <w:noProof/>
            <w:webHidden/>
          </w:rPr>
          <w:tab/>
        </w:r>
        <w:r>
          <w:rPr>
            <w:noProof/>
            <w:webHidden/>
          </w:rPr>
          <w:fldChar w:fldCharType="begin"/>
        </w:r>
        <w:r>
          <w:rPr>
            <w:noProof/>
            <w:webHidden/>
          </w:rPr>
          <w:instrText xml:space="preserve"> PAGEREF _Toc235552776 \h </w:instrText>
        </w:r>
        <w:r>
          <w:rPr>
            <w:noProof/>
            <w:webHidden/>
          </w:rPr>
        </w:r>
        <w:r>
          <w:rPr>
            <w:noProof/>
            <w:webHidden/>
          </w:rPr>
          <w:fldChar w:fldCharType="separate"/>
        </w:r>
        <w:r>
          <w:rPr>
            <w:noProof/>
            <w:webHidden/>
          </w:rPr>
          <w:t>4</w:t>
        </w:r>
        <w:r>
          <w:rPr>
            <w:noProof/>
            <w:webHidden/>
          </w:rPr>
          <w:fldChar w:fldCharType="end"/>
        </w:r>
      </w:hyperlink>
    </w:p>
    <w:p w14:paraId="7D99ED74" w14:textId="77777777" w:rsidR="00DA03D5" w:rsidRDefault="00DA03D5">
      <w:pPr>
        <w:pStyle w:val="TOC1"/>
        <w:tabs>
          <w:tab w:val="right" w:leader="dot" w:pos="9905"/>
        </w:tabs>
        <w:rPr>
          <w:noProof/>
        </w:rPr>
      </w:pPr>
      <w:hyperlink w:anchor="_Toc235552777" w:history="1">
        <w:r w:rsidRPr="00187547">
          <w:rPr>
            <w:rStyle w:val="Hyperlink"/>
            <w:noProof/>
          </w:rPr>
          <w:t>Evaluation 2: Tower Hamlets Council</w:t>
        </w:r>
        <w:r>
          <w:rPr>
            <w:noProof/>
            <w:webHidden/>
          </w:rPr>
          <w:tab/>
        </w:r>
        <w:r>
          <w:rPr>
            <w:noProof/>
            <w:webHidden/>
          </w:rPr>
          <w:fldChar w:fldCharType="begin"/>
        </w:r>
        <w:r>
          <w:rPr>
            <w:noProof/>
            <w:webHidden/>
          </w:rPr>
          <w:instrText xml:space="preserve"> PAGEREF _Toc235552777 \h </w:instrText>
        </w:r>
        <w:r>
          <w:rPr>
            <w:noProof/>
            <w:webHidden/>
          </w:rPr>
        </w:r>
        <w:r>
          <w:rPr>
            <w:noProof/>
            <w:webHidden/>
          </w:rPr>
          <w:fldChar w:fldCharType="separate"/>
        </w:r>
        <w:r>
          <w:rPr>
            <w:noProof/>
            <w:webHidden/>
          </w:rPr>
          <w:t>5</w:t>
        </w:r>
        <w:r>
          <w:rPr>
            <w:noProof/>
            <w:webHidden/>
          </w:rPr>
          <w:fldChar w:fldCharType="end"/>
        </w:r>
      </w:hyperlink>
    </w:p>
    <w:p w14:paraId="15376FBB" w14:textId="77777777" w:rsidR="00DA03D5" w:rsidRDefault="00DA03D5">
      <w:pPr>
        <w:pStyle w:val="TOC1"/>
        <w:tabs>
          <w:tab w:val="right" w:leader="dot" w:pos="9905"/>
        </w:tabs>
        <w:rPr>
          <w:noProof/>
        </w:rPr>
      </w:pPr>
      <w:hyperlink w:anchor="_Toc235552778" w:history="1">
        <w:r w:rsidRPr="00187547">
          <w:rPr>
            <w:rStyle w:val="Hyperlink"/>
            <w:noProof/>
          </w:rPr>
          <w:t>Evaluation 3: Southwark Council</w:t>
        </w:r>
        <w:r>
          <w:rPr>
            <w:noProof/>
            <w:webHidden/>
          </w:rPr>
          <w:tab/>
        </w:r>
        <w:r>
          <w:rPr>
            <w:noProof/>
            <w:webHidden/>
          </w:rPr>
          <w:fldChar w:fldCharType="begin"/>
        </w:r>
        <w:r>
          <w:rPr>
            <w:noProof/>
            <w:webHidden/>
          </w:rPr>
          <w:instrText xml:space="preserve"> PAGEREF _Toc235552778 \h </w:instrText>
        </w:r>
        <w:r>
          <w:rPr>
            <w:noProof/>
            <w:webHidden/>
          </w:rPr>
        </w:r>
        <w:r>
          <w:rPr>
            <w:noProof/>
            <w:webHidden/>
          </w:rPr>
          <w:fldChar w:fldCharType="separate"/>
        </w:r>
        <w:r>
          <w:rPr>
            <w:noProof/>
            <w:webHidden/>
          </w:rPr>
          <w:t>6</w:t>
        </w:r>
        <w:r>
          <w:rPr>
            <w:noProof/>
            <w:webHidden/>
          </w:rPr>
          <w:fldChar w:fldCharType="end"/>
        </w:r>
      </w:hyperlink>
    </w:p>
    <w:p w14:paraId="0AC624B1" w14:textId="77777777" w:rsidR="00DA03D5" w:rsidRDefault="00DA03D5">
      <w:pPr>
        <w:pStyle w:val="TOC1"/>
        <w:tabs>
          <w:tab w:val="right" w:leader="dot" w:pos="9905"/>
        </w:tabs>
        <w:rPr>
          <w:noProof/>
        </w:rPr>
      </w:pPr>
      <w:hyperlink w:anchor="_Toc235552779" w:history="1">
        <w:r w:rsidRPr="00187547">
          <w:rPr>
            <w:rStyle w:val="Hyperlink"/>
            <w:noProof/>
          </w:rPr>
          <w:t>Comparative analysis</w:t>
        </w:r>
        <w:r>
          <w:rPr>
            <w:noProof/>
            <w:webHidden/>
          </w:rPr>
          <w:tab/>
        </w:r>
        <w:r>
          <w:rPr>
            <w:noProof/>
            <w:webHidden/>
          </w:rPr>
          <w:fldChar w:fldCharType="begin"/>
        </w:r>
        <w:r>
          <w:rPr>
            <w:noProof/>
            <w:webHidden/>
          </w:rPr>
          <w:instrText xml:space="preserve"> PAGEREF _Toc235552779 \h </w:instrText>
        </w:r>
        <w:r>
          <w:rPr>
            <w:noProof/>
            <w:webHidden/>
          </w:rPr>
        </w:r>
        <w:r>
          <w:rPr>
            <w:noProof/>
            <w:webHidden/>
          </w:rPr>
          <w:fldChar w:fldCharType="separate"/>
        </w:r>
        <w:r>
          <w:rPr>
            <w:noProof/>
            <w:webHidden/>
          </w:rPr>
          <w:t>6</w:t>
        </w:r>
        <w:r>
          <w:rPr>
            <w:noProof/>
            <w:webHidden/>
          </w:rPr>
          <w:fldChar w:fldCharType="end"/>
        </w:r>
      </w:hyperlink>
    </w:p>
    <w:p w14:paraId="6E7A3FEA" w14:textId="77777777" w:rsidR="00DA03D5" w:rsidRDefault="00DA03D5">
      <w:pPr>
        <w:pStyle w:val="TOC1"/>
        <w:tabs>
          <w:tab w:val="right" w:leader="dot" w:pos="9905"/>
        </w:tabs>
        <w:rPr>
          <w:noProof/>
        </w:rPr>
      </w:pPr>
      <w:hyperlink w:anchor="_Toc235552780" w:history="1">
        <w:r w:rsidRPr="00187547">
          <w:rPr>
            <w:rStyle w:val="Hyperlink"/>
            <w:noProof/>
          </w:rPr>
          <w:t>Conclusion and recommendations</w:t>
        </w:r>
        <w:r>
          <w:rPr>
            <w:noProof/>
            <w:webHidden/>
          </w:rPr>
          <w:tab/>
        </w:r>
        <w:r>
          <w:rPr>
            <w:noProof/>
            <w:webHidden/>
          </w:rPr>
          <w:fldChar w:fldCharType="begin"/>
        </w:r>
        <w:r>
          <w:rPr>
            <w:noProof/>
            <w:webHidden/>
          </w:rPr>
          <w:instrText xml:space="preserve"> PAGEREF _Toc235552780 \h </w:instrText>
        </w:r>
        <w:r>
          <w:rPr>
            <w:noProof/>
            <w:webHidden/>
          </w:rPr>
        </w:r>
        <w:r>
          <w:rPr>
            <w:noProof/>
            <w:webHidden/>
          </w:rPr>
          <w:fldChar w:fldCharType="separate"/>
        </w:r>
        <w:r>
          <w:rPr>
            <w:noProof/>
            <w:webHidden/>
          </w:rPr>
          <w:t>8</w:t>
        </w:r>
        <w:r>
          <w:rPr>
            <w:noProof/>
            <w:webHidden/>
          </w:rPr>
          <w:fldChar w:fldCharType="end"/>
        </w:r>
      </w:hyperlink>
    </w:p>
    <w:p w14:paraId="62F2D4E3" w14:textId="77777777" w:rsidR="00DA03D5" w:rsidRDefault="00DA03D5">
      <w:pPr>
        <w:pStyle w:val="TOC1"/>
        <w:tabs>
          <w:tab w:val="right" w:leader="dot" w:pos="9905"/>
        </w:tabs>
        <w:rPr>
          <w:noProof/>
        </w:rPr>
      </w:pPr>
      <w:hyperlink w:anchor="_Toc235552781" w:history="1">
        <w:r w:rsidRPr="00187547">
          <w:rPr>
            <w:rStyle w:val="Hyperlink"/>
            <w:noProof/>
          </w:rPr>
          <w:t>References</w:t>
        </w:r>
        <w:r>
          <w:rPr>
            <w:noProof/>
            <w:webHidden/>
          </w:rPr>
          <w:tab/>
        </w:r>
        <w:r>
          <w:rPr>
            <w:noProof/>
            <w:webHidden/>
          </w:rPr>
          <w:fldChar w:fldCharType="begin"/>
        </w:r>
        <w:r>
          <w:rPr>
            <w:noProof/>
            <w:webHidden/>
          </w:rPr>
          <w:instrText xml:space="preserve"> PAGEREF _Toc235552781 \h </w:instrText>
        </w:r>
        <w:r>
          <w:rPr>
            <w:noProof/>
            <w:webHidden/>
          </w:rPr>
        </w:r>
        <w:r>
          <w:rPr>
            <w:noProof/>
            <w:webHidden/>
          </w:rPr>
          <w:fldChar w:fldCharType="separate"/>
        </w:r>
        <w:r>
          <w:rPr>
            <w:noProof/>
            <w:webHidden/>
          </w:rPr>
          <w:t>9</w:t>
        </w:r>
        <w:r>
          <w:rPr>
            <w:noProof/>
            <w:webHidden/>
          </w:rPr>
          <w:fldChar w:fldCharType="end"/>
        </w:r>
      </w:hyperlink>
    </w:p>
    <w:p w14:paraId="18DE036D" w14:textId="77777777" w:rsidR="00DA03D5" w:rsidRPr="00DA03D5" w:rsidRDefault="00DA03D5" w:rsidP="00E14E75">
      <w:pPr>
        <w:jc w:val="center"/>
        <w:rPr>
          <w:b/>
        </w:rPr>
      </w:pPr>
      <w:r>
        <w:rPr>
          <w:b/>
        </w:rPr>
        <w:fldChar w:fldCharType="end"/>
      </w:r>
    </w:p>
    <w:p w14:paraId="183622D9" w14:textId="77777777" w:rsidR="00AC0448" w:rsidRPr="0069489A" w:rsidRDefault="00AC0448" w:rsidP="00AC0448"/>
    <w:p w14:paraId="6FE3A5C9" w14:textId="77777777" w:rsidR="00E14E75" w:rsidRPr="0069489A" w:rsidRDefault="00E14E75">
      <w:pPr>
        <w:spacing w:before="0" w:after="160" w:line="259" w:lineRule="auto"/>
        <w:jc w:val="left"/>
        <w:rPr>
          <w:rFonts w:eastAsia="Times New Roman" w:cs="Times New Roman"/>
          <w:b/>
          <w:bCs/>
          <w:kern w:val="36"/>
          <w:szCs w:val="48"/>
        </w:rPr>
      </w:pPr>
      <w:r w:rsidRPr="0069489A">
        <w:br w:type="page"/>
      </w:r>
    </w:p>
    <w:p w14:paraId="0B5C10C0" w14:textId="77777777" w:rsidR="00AC0448" w:rsidRPr="0069489A" w:rsidRDefault="00AC0448" w:rsidP="00AC0448">
      <w:pPr>
        <w:pStyle w:val="Heading1"/>
      </w:pPr>
      <w:bookmarkStart w:id="0" w:name="_Toc235552772"/>
      <w:r w:rsidRPr="0069489A">
        <w:lastRenderedPageBreak/>
        <w:t>Introduction</w:t>
      </w:r>
      <w:bookmarkEnd w:id="0"/>
    </w:p>
    <w:p w14:paraId="65FB4B79" w14:textId="77777777" w:rsidR="00AC0448" w:rsidRPr="0069489A" w:rsidRDefault="00AC0448" w:rsidP="00AC0448">
      <w:r w:rsidRPr="0069489A">
        <w:t xml:space="preserve">Early Help is intended to ensure that children and families receive coordinated support before difficulties become entrenched or require statutory intervention. However, a system can only be accessed if families can find, understand and act on the information made available to them. This report examines how three local authorities - Leeds City Council, Tower Hamlets Council and Southwark Council - communicate Early Help and related family services through their websites. The sites were reviewed on 21 July 2026 against six criteria: </w:t>
      </w:r>
      <w:proofErr w:type="spellStart"/>
      <w:r w:rsidRPr="0069489A">
        <w:t>findability</w:t>
      </w:r>
      <w:proofErr w:type="spellEnd"/>
      <w:r w:rsidRPr="0069489A">
        <w:t>, clarity, actionability, accessibility, safeguarding distinction and transparency about the support process. The analysis is anchored in the Supporting Families: Early Help System Guide and the version of Working Together to Safeguard Children 2023 specified in the assessment brief. Although statutory guidance has since been updated, using the named 2023 document permits direct alignment with the task.</w:t>
      </w:r>
    </w:p>
    <w:p w14:paraId="748B43DC" w14:textId="77777777" w:rsidR="00AC0448" w:rsidRPr="0069489A" w:rsidRDefault="00AC0448" w:rsidP="00AC0448">
      <w:pPr>
        <w:pStyle w:val="Heading1"/>
      </w:pPr>
      <w:bookmarkStart w:id="1" w:name="_Toc235552773"/>
      <w:r w:rsidRPr="0069489A">
        <w:t>The Early Help system</w:t>
      </w:r>
      <w:bookmarkEnd w:id="1"/>
    </w:p>
    <w:p w14:paraId="1DB74623" w14:textId="77777777" w:rsidR="00AC0448" w:rsidRPr="0069489A" w:rsidRDefault="00AC0448" w:rsidP="00AC0448">
      <w:r w:rsidRPr="0069489A">
        <w:t>The Early Help system is not one service. It is the local network of universal, targeted and specialist support that identifies emerging needs, works with the whole family and coordinates help at the lowest safe level of intervention. The Early Help System Guide describes a mature system through shared partnership vision, an effective workforce, strong communities, responsive services and the use of data and evaluation (Department for Education and Department for Levelling Up, Housing and Communities, 2022). Early Help may address parenting, emotional wellbeing, school attendance, housing, debt, substance use, domestic abuse or SEND. It should be voluntary and collaborative unless safeguarding duties require a different response.</w:t>
      </w:r>
    </w:p>
    <w:p w14:paraId="1B0A5FE5" w14:textId="77777777" w:rsidR="00AC0448" w:rsidRPr="0069489A" w:rsidRDefault="00AC0448" w:rsidP="00AC0448">
      <w:r w:rsidRPr="0069489A">
        <w:t>Working Together 2023 positions early support within a continuum of help, support and protection. It requires practitioners to understand children’s lived experiences, work with parents and carers, and respond when needs increase (Department for Education, 2023</w:t>
      </w:r>
      <w:r w:rsidRPr="0069489A">
        <w:rPr>
          <w:highlight w:val="yellow"/>
        </w:rPr>
        <w:t xml:space="preserve">). </w:t>
      </w:r>
      <w:r w:rsidR="00A346F1" w:rsidRPr="0069489A">
        <w:t>Children Act 1989 is still important, e.g. section 17 states that children in need must be identified, and section 47 lays down that enquiries are ongoing if significant harm is suspected. The information in the website thus must serve two objectives. It should help to de-stigmatise and promote early contact, and ensure that the urgency of threat and child-protection matters are addressed through a different route. Unnecessary or delayed safeguarding may result in poorly separated routes.</w:t>
      </w:r>
    </w:p>
    <w:p w14:paraId="780D89FD" w14:textId="77777777" w:rsidR="00AC0448" w:rsidRPr="0069489A" w:rsidRDefault="00AC0448" w:rsidP="00AC0448">
      <w:pPr>
        <w:pStyle w:val="Heading1"/>
      </w:pPr>
      <w:bookmarkStart w:id="2" w:name="_Toc235552774"/>
      <w:r w:rsidRPr="0069489A">
        <w:t xml:space="preserve">The </w:t>
      </w:r>
      <w:r w:rsidR="00904229" w:rsidRPr="0069489A">
        <w:t>Importance of Multi-Agency Working</w:t>
      </w:r>
      <w:bookmarkEnd w:id="2"/>
    </w:p>
    <w:p w14:paraId="3A7398C9" w14:textId="77777777" w:rsidR="00A346F1" w:rsidRPr="0069489A" w:rsidRDefault="00AC0448" w:rsidP="00A346F1">
      <w:r w:rsidRPr="0069489A">
        <w:t xml:space="preserve">Multi-agency working brings together the knowledge and authority of local government, health, education, police, housing and voluntary organisations. </w:t>
      </w:r>
      <w:r w:rsidR="00A346F1" w:rsidRPr="0069489A">
        <w:t xml:space="preserve">Families do not usually have needs in one category, and a single agency response may tackle a symptom and not the relationship between school </w:t>
      </w:r>
      <w:r w:rsidR="00A346F1" w:rsidRPr="0069489A">
        <w:lastRenderedPageBreak/>
        <w:t>absence, parents' mental health, debt or domestic abuse. Statutory thresholds, sharing of information and pathways are expected to be agreed with partners through statutory safeguarding partner arrangements, as introduced in Children and Social Work Act 2017, and Working Together 2023.</w:t>
      </w:r>
    </w:p>
    <w:p w14:paraId="7FB923D1" w14:textId="77777777" w:rsidR="00AC0448" w:rsidRPr="0069489A" w:rsidRDefault="00A346F1" w:rsidP="00A346F1">
      <w:r w:rsidRPr="0069489A">
        <w:t>Effective integration is more than referral. It needs a common assessment, a lead practitioner, shared outcomes, the timely provision of information and professional challenge. However, research on integrated children's services indicates that structural co-location does not necessarily lead to collaboration, as differences in thresholds, language and accountability can remain (Hood, 2014). The site is thus a part of a partnership practice. It can reveal if or how families are given a clear route or are made to cross institutional borders. Also, information sharing explanations are important. Early Help should be supported by consent, except in exceptional circumstances and it cannot be said that there is anything in the Data Protection Act 2018 to stop necessary and proportionate sharing where this is needed to protect a child (HM Government, 2024).</w:t>
      </w:r>
    </w:p>
    <w:p w14:paraId="7CA01018" w14:textId="77777777" w:rsidR="00AC0448" w:rsidRPr="0069489A" w:rsidRDefault="00AC0448" w:rsidP="00AC0448">
      <w:pPr>
        <w:pStyle w:val="Heading1"/>
      </w:pPr>
      <w:bookmarkStart w:id="3" w:name="_Toc235552775"/>
      <w:r w:rsidRPr="0069489A">
        <w:t>Method and evaluation criteria</w:t>
      </w:r>
      <w:bookmarkEnd w:id="3"/>
    </w:p>
    <w:p w14:paraId="23965CA3" w14:textId="77777777" w:rsidR="00AC0448" w:rsidRPr="0069489A" w:rsidRDefault="00A346F1" w:rsidP="00AC0448">
      <w:r w:rsidRPr="0069489A">
        <w:t>Each website was accessed through its public children-and-families pages rather than a search-engine snippet alone. The parents' review was about their ability to understand Early Help, identify for whom or what it is for, select a contact route, discern the urgency of safeguarding, expect the consequences to follow, and access support without having high literacy or professional knowledge. This is structured usability testing, not technical accessibility testing. Findings refer to the pages that are available on the review date and may change when the council updates its services.</w:t>
      </w:r>
    </w:p>
    <w:tbl>
      <w:tblPr>
        <w:tblStyle w:val="TableGrid"/>
        <w:tblW w:w="0" w:type="auto"/>
        <w:jc w:val="center"/>
        <w:tblLook w:val="04A0" w:firstRow="1" w:lastRow="0" w:firstColumn="1" w:lastColumn="0" w:noHBand="0" w:noVBand="1"/>
      </w:tblPr>
      <w:tblGrid>
        <w:gridCol w:w="4929"/>
        <w:gridCol w:w="4929"/>
      </w:tblGrid>
      <w:tr w:rsidR="00AC0448" w:rsidRPr="0069489A" w14:paraId="65FCB0D8" w14:textId="77777777" w:rsidTr="005B3449">
        <w:trPr>
          <w:cantSplit/>
          <w:jc w:val="center"/>
        </w:trPr>
        <w:tc>
          <w:tcPr>
            <w:tcW w:w="4929" w:type="dxa"/>
            <w:shd w:val="clear" w:color="auto" w:fill="17324D"/>
          </w:tcPr>
          <w:p w14:paraId="5A6C8CB0"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b/>
                <w:color w:val="FFFFFF"/>
                <w:sz w:val="20"/>
              </w:rPr>
              <w:t>Criterion</w:t>
            </w:r>
          </w:p>
        </w:tc>
        <w:tc>
          <w:tcPr>
            <w:tcW w:w="4929" w:type="dxa"/>
            <w:shd w:val="clear" w:color="auto" w:fill="17324D"/>
          </w:tcPr>
          <w:p w14:paraId="115E33FA"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b/>
                <w:color w:val="FFFFFF"/>
                <w:sz w:val="20"/>
              </w:rPr>
              <w:t>Question applied to each website</w:t>
            </w:r>
          </w:p>
        </w:tc>
      </w:tr>
      <w:tr w:rsidR="00AC0448" w:rsidRPr="0069489A" w14:paraId="5C7A30DE" w14:textId="77777777" w:rsidTr="005B3449">
        <w:trPr>
          <w:cantSplit/>
          <w:jc w:val="center"/>
        </w:trPr>
        <w:tc>
          <w:tcPr>
            <w:tcW w:w="4929" w:type="dxa"/>
            <w:tcMar>
              <w:top w:w="65" w:type="dxa"/>
              <w:left w:w="75" w:type="dxa"/>
              <w:bottom w:w="65" w:type="dxa"/>
              <w:right w:w="75" w:type="dxa"/>
            </w:tcMar>
          </w:tcPr>
          <w:p w14:paraId="2A19430F" w14:textId="77777777" w:rsidR="00AC0448" w:rsidRPr="0069489A" w:rsidRDefault="00AC0448" w:rsidP="00F26B9B">
            <w:pPr>
              <w:spacing w:line="276" w:lineRule="auto"/>
              <w:rPr>
                <w:rFonts w:ascii="Times New Roman" w:hAnsi="Times New Roman" w:cs="Times New Roman"/>
                <w:sz w:val="20"/>
              </w:rPr>
            </w:pPr>
            <w:proofErr w:type="spellStart"/>
            <w:r w:rsidRPr="0069489A">
              <w:rPr>
                <w:rFonts w:ascii="Times New Roman" w:hAnsi="Times New Roman" w:cs="Times New Roman"/>
                <w:sz w:val="20"/>
              </w:rPr>
              <w:t>Findability</w:t>
            </w:r>
            <w:proofErr w:type="spellEnd"/>
          </w:p>
        </w:tc>
        <w:tc>
          <w:tcPr>
            <w:tcW w:w="4929" w:type="dxa"/>
            <w:tcMar>
              <w:top w:w="65" w:type="dxa"/>
              <w:left w:w="75" w:type="dxa"/>
              <w:bottom w:w="65" w:type="dxa"/>
              <w:right w:w="75" w:type="dxa"/>
            </w:tcMar>
          </w:tcPr>
          <w:p w14:paraId="262E6234" w14:textId="77777777" w:rsidR="00AC0448" w:rsidRPr="0069489A" w:rsidRDefault="00A346F1" w:rsidP="00F26B9B">
            <w:pPr>
              <w:spacing w:line="276" w:lineRule="auto"/>
              <w:rPr>
                <w:rFonts w:ascii="Times New Roman" w:hAnsi="Times New Roman" w:cs="Times New Roman"/>
                <w:sz w:val="20"/>
              </w:rPr>
            </w:pPr>
            <w:r w:rsidRPr="0069489A">
              <w:rPr>
                <w:rFonts w:ascii="Times New Roman" w:hAnsi="Times New Roman" w:cs="Times New Roman"/>
                <w:sz w:val="20"/>
              </w:rPr>
              <w:t>Is there Early Help in the public children-and-families area for a family to find?</w:t>
            </w:r>
          </w:p>
        </w:tc>
      </w:tr>
      <w:tr w:rsidR="00AC0448" w:rsidRPr="0069489A" w14:paraId="3B8D97BE" w14:textId="77777777" w:rsidTr="005B3449">
        <w:trPr>
          <w:cantSplit/>
          <w:jc w:val="center"/>
        </w:trPr>
        <w:tc>
          <w:tcPr>
            <w:tcW w:w="4929" w:type="dxa"/>
            <w:tcMar>
              <w:top w:w="65" w:type="dxa"/>
              <w:left w:w="75" w:type="dxa"/>
              <w:bottom w:w="65" w:type="dxa"/>
              <w:right w:w="75" w:type="dxa"/>
            </w:tcMar>
          </w:tcPr>
          <w:p w14:paraId="56B19588"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sz w:val="20"/>
              </w:rPr>
              <w:t>Clarity</w:t>
            </w:r>
          </w:p>
        </w:tc>
        <w:tc>
          <w:tcPr>
            <w:tcW w:w="4929" w:type="dxa"/>
            <w:tcMar>
              <w:top w:w="65" w:type="dxa"/>
              <w:left w:w="75" w:type="dxa"/>
              <w:bottom w:w="65" w:type="dxa"/>
              <w:right w:w="75" w:type="dxa"/>
            </w:tcMar>
          </w:tcPr>
          <w:p w14:paraId="75C256EC" w14:textId="77777777" w:rsidR="00AC0448" w:rsidRPr="0069489A" w:rsidRDefault="00A346F1" w:rsidP="00F26B9B">
            <w:pPr>
              <w:spacing w:line="276" w:lineRule="auto"/>
              <w:rPr>
                <w:rFonts w:ascii="Times New Roman" w:hAnsi="Times New Roman" w:cs="Times New Roman"/>
                <w:sz w:val="20"/>
              </w:rPr>
            </w:pPr>
            <w:r w:rsidRPr="0069489A">
              <w:rPr>
                <w:rFonts w:ascii="Times New Roman" w:hAnsi="Times New Roman" w:cs="Times New Roman"/>
                <w:sz w:val="20"/>
              </w:rPr>
              <w:t>Does the purpose and target group are clearly worded?</w:t>
            </w:r>
          </w:p>
        </w:tc>
      </w:tr>
      <w:tr w:rsidR="00AC0448" w:rsidRPr="0069489A" w14:paraId="1E29A5D3" w14:textId="77777777" w:rsidTr="005B3449">
        <w:trPr>
          <w:cantSplit/>
          <w:jc w:val="center"/>
        </w:trPr>
        <w:tc>
          <w:tcPr>
            <w:tcW w:w="4929" w:type="dxa"/>
            <w:tcMar>
              <w:top w:w="65" w:type="dxa"/>
              <w:left w:w="75" w:type="dxa"/>
              <w:bottom w:w="65" w:type="dxa"/>
              <w:right w:w="75" w:type="dxa"/>
            </w:tcMar>
          </w:tcPr>
          <w:p w14:paraId="42031F2D"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sz w:val="20"/>
              </w:rPr>
              <w:t>Actionability</w:t>
            </w:r>
          </w:p>
        </w:tc>
        <w:tc>
          <w:tcPr>
            <w:tcW w:w="4929" w:type="dxa"/>
            <w:tcMar>
              <w:top w:w="65" w:type="dxa"/>
              <w:left w:w="75" w:type="dxa"/>
              <w:bottom w:w="65" w:type="dxa"/>
              <w:right w:w="75" w:type="dxa"/>
            </w:tcMar>
          </w:tcPr>
          <w:p w14:paraId="0CCFE24F" w14:textId="77777777" w:rsidR="00AC0448" w:rsidRPr="0069489A" w:rsidRDefault="00A346F1" w:rsidP="00F26B9B">
            <w:pPr>
              <w:spacing w:line="276" w:lineRule="auto"/>
              <w:rPr>
                <w:rFonts w:ascii="Times New Roman" w:hAnsi="Times New Roman" w:cs="Times New Roman"/>
                <w:sz w:val="20"/>
              </w:rPr>
            </w:pPr>
            <w:r w:rsidRPr="0069489A">
              <w:rPr>
                <w:rFonts w:ascii="Times New Roman" w:hAnsi="Times New Roman" w:cs="Times New Roman"/>
                <w:sz w:val="20"/>
              </w:rPr>
              <w:t>Is there direct telephone, e-mail, form or on-site availability?</w:t>
            </w:r>
          </w:p>
        </w:tc>
      </w:tr>
      <w:tr w:rsidR="00AC0448" w:rsidRPr="0069489A" w14:paraId="2AE67CF1" w14:textId="77777777" w:rsidTr="005B3449">
        <w:trPr>
          <w:cantSplit/>
          <w:jc w:val="center"/>
        </w:trPr>
        <w:tc>
          <w:tcPr>
            <w:tcW w:w="4929" w:type="dxa"/>
            <w:tcMar>
              <w:top w:w="65" w:type="dxa"/>
              <w:left w:w="75" w:type="dxa"/>
              <w:bottom w:w="65" w:type="dxa"/>
              <w:right w:w="75" w:type="dxa"/>
            </w:tcMar>
          </w:tcPr>
          <w:p w14:paraId="3ECB612D"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sz w:val="20"/>
              </w:rPr>
              <w:t>Accessibility and equity</w:t>
            </w:r>
          </w:p>
        </w:tc>
        <w:tc>
          <w:tcPr>
            <w:tcW w:w="4929" w:type="dxa"/>
            <w:tcMar>
              <w:top w:w="65" w:type="dxa"/>
              <w:left w:w="75" w:type="dxa"/>
              <w:bottom w:w="65" w:type="dxa"/>
              <w:right w:w="75" w:type="dxa"/>
            </w:tcMar>
          </w:tcPr>
          <w:p w14:paraId="1B5BC6CE" w14:textId="77777777" w:rsidR="00AC0448" w:rsidRPr="0069489A" w:rsidRDefault="00904229" w:rsidP="00F26B9B">
            <w:pPr>
              <w:spacing w:line="276" w:lineRule="auto"/>
              <w:rPr>
                <w:rFonts w:ascii="Times New Roman" w:hAnsi="Times New Roman" w:cs="Times New Roman"/>
                <w:sz w:val="20"/>
              </w:rPr>
            </w:pPr>
            <w:r w:rsidRPr="0069489A">
              <w:rPr>
                <w:rFonts w:ascii="Times New Roman" w:hAnsi="Times New Roman" w:cs="Times New Roman"/>
                <w:sz w:val="20"/>
              </w:rPr>
              <w:t>Are there alternatives to non-digital, inclusive?</w:t>
            </w:r>
          </w:p>
        </w:tc>
      </w:tr>
      <w:tr w:rsidR="00AC0448" w:rsidRPr="0069489A" w14:paraId="2E72240A" w14:textId="77777777" w:rsidTr="005B3449">
        <w:trPr>
          <w:cantSplit/>
          <w:jc w:val="center"/>
        </w:trPr>
        <w:tc>
          <w:tcPr>
            <w:tcW w:w="4929" w:type="dxa"/>
            <w:tcMar>
              <w:top w:w="65" w:type="dxa"/>
              <w:left w:w="75" w:type="dxa"/>
              <w:bottom w:w="65" w:type="dxa"/>
              <w:right w:w="75" w:type="dxa"/>
            </w:tcMar>
          </w:tcPr>
          <w:p w14:paraId="6753F48D"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sz w:val="20"/>
              </w:rPr>
              <w:t>Safeguarding distinction</w:t>
            </w:r>
          </w:p>
        </w:tc>
        <w:tc>
          <w:tcPr>
            <w:tcW w:w="4929" w:type="dxa"/>
            <w:tcMar>
              <w:top w:w="65" w:type="dxa"/>
              <w:left w:w="75" w:type="dxa"/>
              <w:bottom w:w="65" w:type="dxa"/>
              <w:right w:w="75" w:type="dxa"/>
            </w:tcMar>
          </w:tcPr>
          <w:p w14:paraId="1AD9BE9C" w14:textId="77777777" w:rsidR="00AC0448" w:rsidRPr="0069489A" w:rsidRDefault="00904229" w:rsidP="00F26B9B">
            <w:pPr>
              <w:spacing w:line="276" w:lineRule="auto"/>
              <w:rPr>
                <w:rFonts w:ascii="Times New Roman" w:hAnsi="Times New Roman" w:cs="Times New Roman"/>
                <w:sz w:val="20"/>
              </w:rPr>
            </w:pPr>
            <w:r w:rsidRPr="0069489A">
              <w:rPr>
                <w:rFonts w:ascii="Times New Roman" w:hAnsi="Times New Roman" w:cs="Times New Roman"/>
                <w:sz w:val="20"/>
              </w:rPr>
              <w:t>Do urgent danger and statutory concerns are clearly distinguished?</w:t>
            </w:r>
          </w:p>
        </w:tc>
      </w:tr>
      <w:tr w:rsidR="00AC0448" w:rsidRPr="0069489A" w14:paraId="6B80C92E" w14:textId="77777777" w:rsidTr="005B3449">
        <w:trPr>
          <w:cantSplit/>
          <w:jc w:val="center"/>
        </w:trPr>
        <w:tc>
          <w:tcPr>
            <w:tcW w:w="4929" w:type="dxa"/>
            <w:tcMar>
              <w:top w:w="65" w:type="dxa"/>
              <w:left w:w="75" w:type="dxa"/>
              <w:bottom w:w="65" w:type="dxa"/>
              <w:right w:w="75" w:type="dxa"/>
            </w:tcMar>
          </w:tcPr>
          <w:p w14:paraId="6BDD6467" w14:textId="77777777" w:rsidR="00AC0448" w:rsidRPr="0069489A" w:rsidRDefault="00AC0448" w:rsidP="00F26B9B">
            <w:pPr>
              <w:spacing w:line="276" w:lineRule="auto"/>
              <w:rPr>
                <w:rFonts w:ascii="Times New Roman" w:hAnsi="Times New Roman" w:cs="Times New Roman"/>
                <w:sz w:val="20"/>
              </w:rPr>
            </w:pPr>
            <w:r w:rsidRPr="0069489A">
              <w:rPr>
                <w:rFonts w:ascii="Times New Roman" w:hAnsi="Times New Roman" w:cs="Times New Roman"/>
                <w:sz w:val="20"/>
              </w:rPr>
              <w:t>Process transparency</w:t>
            </w:r>
          </w:p>
        </w:tc>
        <w:tc>
          <w:tcPr>
            <w:tcW w:w="4929" w:type="dxa"/>
            <w:tcMar>
              <w:top w:w="65" w:type="dxa"/>
              <w:left w:w="75" w:type="dxa"/>
              <w:bottom w:w="65" w:type="dxa"/>
              <w:right w:w="75" w:type="dxa"/>
            </w:tcMar>
          </w:tcPr>
          <w:p w14:paraId="2761BC47" w14:textId="77777777" w:rsidR="00AC0448" w:rsidRPr="0069489A" w:rsidRDefault="00904229" w:rsidP="00F26B9B">
            <w:pPr>
              <w:spacing w:line="276" w:lineRule="auto"/>
              <w:rPr>
                <w:rFonts w:ascii="Times New Roman" w:hAnsi="Times New Roman" w:cs="Times New Roman"/>
                <w:sz w:val="20"/>
              </w:rPr>
            </w:pPr>
            <w:r w:rsidRPr="0069489A">
              <w:rPr>
                <w:rFonts w:ascii="Times New Roman" w:hAnsi="Times New Roman" w:cs="Times New Roman"/>
                <w:sz w:val="20"/>
              </w:rPr>
              <w:t>Is there consent, assessment, ownership and next steps within the family?</w:t>
            </w:r>
          </w:p>
        </w:tc>
      </w:tr>
    </w:tbl>
    <w:p w14:paraId="46B2DE4D" w14:textId="77777777" w:rsidR="00AC0448" w:rsidRPr="0069489A" w:rsidRDefault="00AC0448" w:rsidP="00F26B9B">
      <w:pPr>
        <w:pStyle w:val="Heading1"/>
        <w:spacing w:before="100" w:beforeAutospacing="1"/>
      </w:pPr>
      <w:bookmarkStart w:id="4" w:name="_Toc235552776"/>
      <w:r w:rsidRPr="0069489A">
        <w:t>Evaluation 1: Leeds City Council</w:t>
      </w:r>
      <w:bookmarkEnd w:id="4"/>
    </w:p>
    <w:p w14:paraId="5706FBB9" w14:textId="77777777" w:rsidR="00904229" w:rsidRPr="0069489A" w:rsidRDefault="00904229" w:rsidP="00904229">
      <w:r w:rsidRPr="0069489A">
        <w:lastRenderedPageBreak/>
        <w:t>A good conceptual explanation is given at Leeds. It recommends that support starts early in the life of a problem, is voluntary and adopts a graduated Thrive model as stated in its “One minute guide: Early help.” It differentiates between universal help, more targeted help and risk support and clearly links in section 17 and 47 concerns to the Duty and Advice team (Leeds City Council, 2025a). This provides professionals with a clear threshold narrative and is a reflection of the alignment with Working Together 2023.</w:t>
      </w:r>
    </w:p>
    <w:p w14:paraId="41F3DA8C" w14:textId="77777777" w:rsidR="00AC0448" w:rsidRPr="0069489A" w:rsidRDefault="00904229" w:rsidP="00904229">
      <w:r w:rsidRPr="0069489A">
        <w:t>Family Hubs pages enhance the actionability.</w:t>
      </w:r>
      <w:r w:rsidR="00AC0448" w:rsidRPr="0069489A">
        <w:t xml:space="preserve"> Seven multidisciplinary hubs offer a central telephone number and email, and families may drop in or arrange an appointment. The Early Help Front Door page explains that hubs include social work, substance-use, domestic-abuse, mental-health, SEND and police expertise, and states that a conversation is preferred to an immediate form (Leeds City Council, 2025b). This human-first contact is a significant strength for families unsure how to describe their need.</w:t>
      </w:r>
    </w:p>
    <w:p w14:paraId="43140DBE" w14:textId="77777777" w:rsidR="00AC0448" w:rsidRPr="0069489A" w:rsidRDefault="00AC0448" w:rsidP="00AC0448">
      <w:r w:rsidRPr="0069489A">
        <w:t>The main weakness is fragmentation. Useful information is distributed across one-minute guides, age-banded service pages, Family Hubs, children’s centres and a separate Family Information Service. The “one minute” format is concise but uses system language such as clusters, Thrive and targeted service leaders. A parent can find practical contact details, yet may need several clicks to understand the complete journey. Leeds therefore communicates a sophisticated service system more successfully than it communicates one simple public pathway.</w:t>
      </w:r>
    </w:p>
    <w:p w14:paraId="7360068A" w14:textId="77777777" w:rsidR="00AC0448" w:rsidRPr="0069489A" w:rsidRDefault="00AC0448" w:rsidP="00AC0448">
      <w:pPr>
        <w:pStyle w:val="Heading1"/>
      </w:pPr>
      <w:bookmarkStart w:id="5" w:name="_Toc235552777"/>
      <w:r w:rsidRPr="0069489A">
        <w:t>Evaluation 2: Tower Hamlets Council</w:t>
      </w:r>
      <w:bookmarkEnd w:id="5"/>
    </w:p>
    <w:p w14:paraId="45E7D824" w14:textId="77777777" w:rsidR="00AC0448" w:rsidRPr="0069489A" w:rsidRDefault="00AC0448" w:rsidP="00AC0448">
      <w:r w:rsidRPr="0069489A">
        <w:t>Tower Hamlets offers the clearest integrated front door. Its “About Early Help” page uses plain language, explains that support is available from pregnancy to age 19, or 25 with SEND, and separates universal from targeted help. It names common reasons for seeking support, including parental conflict, attendance, mental health and language barriers. This helps families recognise themselves without first translating needs into a professional category (Tower Hamlets Council, 2026a).</w:t>
      </w:r>
    </w:p>
    <w:p w14:paraId="6A5BA83B" w14:textId="77777777" w:rsidR="00AC0448" w:rsidRPr="0069489A" w:rsidRDefault="00AC0448" w:rsidP="00AC0448">
      <w:pPr>
        <w:rPr>
          <w:highlight w:val="yellow"/>
        </w:rPr>
      </w:pPr>
      <w:r w:rsidRPr="0069489A">
        <w:t xml:space="preserve">The strongest feature is MAST, the Multi-Agency Support Team. The website explains that the Early Help Hub and MASH are merged and co-located, lists contributing agencies, and provides one telephone number, email address and request-for-support form. It also clearly separates immediate danger, office-hours safeguarding and out-of-hours duty arrangements. The Early Help Assessment page explains that assessment is voluntary, records what is going well and what is worrying, creates an agreed plan and may reduce repeated storytelling (Tower Hamlets Council, 2026b). </w:t>
      </w:r>
      <w:r w:rsidR="00904229" w:rsidRPr="0069489A">
        <w:t>The information provided makes the process transparent and links digital signposting to on-the-ground multi-agency practice.</w:t>
      </w:r>
    </w:p>
    <w:p w14:paraId="5951C064" w14:textId="77777777" w:rsidR="00AC0448" w:rsidRPr="0069489A" w:rsidRDefault="00AC0448" w:rsidP="00AC0448">
      <w:r w:rsidRPr="0069489A">
        <w:t xml:space="preserve">Weaknesses remain. </w:t>
      </w:r>
      <w:r w:rsidR="00904229" w:rsidRPr="0069489A">
        <w:t xml:space="preserve">The acronym MAST is defined, along with other terms such as MASH and service-specific terms. Some pages are supposed to be meant for professionals, and have duplicated routes and </w:t>
      </w:r>
      <w:r w:rsidR="00904229" w:rsidRPr="0069489A">
        <w:lastRenderedPageBreak/>
        <w:t>a lot of information in a dense block. The request form could be formal for a parent who just wants some help. However the extent of the channel availability (phone, email and form) and the clear safeguarding split minimises the impact of these restrictions.</w:t>
      </w:r>
    </w:p>
    <w:p w14:paraId="304E97D1" w14:textId="77777777" w:rsidR="00AC0448" w:rsidRPr="0069489A" w:rsidRDefault="00AC0448" w:rsidP="00AC0448">
      <w:pPr>
        <w:pStyle w:val="Heading1"/>
      </w:pPr>
      <w:bookmarkStart w:id="6" w:name="_Toc235552778"/>
      <w:r w:rsidRPr="0069489A">
        <w:t>Evaluation 3: Southwark Council</w:t>
      </w:r>
      <w:bookmarkEnd w:id="6"/>
    </w:p>
    <w:p w14:paraId="5222FE72" w14:textId="77777777" w:rsidR="00904229" w:rsidRPr="0069489A" w:rsidRDefault="00904229" w:rsidP="00904229">
      <w:r w:rsidRPr="0069489A">
        <w:t>Southwark has a clear two level structure: ‘early help for everyone' and ‘extra early help'. The universal page includes details of services available to all including health visiting, school nursing, GPs, youth clubs, CAMHS, domestic abuse support, housing, family hubs. It then encourages families to consult a trusted professional, or to seek further support if required (Southwark Council, 2024a). This is a word for word explanation that is easy to comprehend and justifies self-referral.</w:t>
      </w:r>
    </w:p>
    <w:p w14:paraId="23884D3B" w14:textId="77777777" w:rsidR="00904229" w:rsidRPr="0069489A" w:rsidRDefault="00904229" w:rsidP="00904229">
      <w:r w:rsidRPr="0069489A">
        <w:t>The additional Early Help pages detail partner services and who can refer. Any parent, family member, school, social worker or other professional can make a referral. Useful practical elements are a referral form, email and a duty manager telephone number for advice. The ‘what happens next’ section indicates that a weekly-allocation meeting is held to consider referrals and that the council will explain the reasons for refusal and alternatives (Southwark Council, 2025). This is a proper way of transparency in procedure. A dedicated telephone number and MASH route are also in place to separate urgent safeguarding separately.</w:t>
      </w:r>
    </w:p>
    <w:p w14:paraId="3F07A6E7" w14:textId="77777777" w:rsidR="00AC0448" w:rsidRPr="0069489A" w:rsidRDefault="00904229" w:rsidP="00904229">
      <w:r w:rsidRPr="0069489A">
        <w:t>One of the main limitations is the lack of threshold presentation. The whole family page says that if extra help is being offered, then three of the listed criteria must apply. While it is designed to point to resources, this could come across as a gate keeping test and may turn off a family with one severe problem or several problems which do not appear on the list. The service is also split into four pages (parenting, education inclusion, mental and physical wellbeing), each with different pathways. Southwark therefore should be easily readable at entry, but the path becomes more complicated towards referral.</w:t>
      </w:r>
    </w:p>
    <w:p w14:paraId="239AB6EC" w14:textId="77777777" w:rsidR="00AC0448" w:rsidRPr="0069489A" w:rsidRDefault="00AC0448" w:rsidP="00AC0448">
      <w:pPr>
        <w:pStyle w:val="Heading1"/>
      </w:pPr>
      <w:bookmarkStart w:id="7" w:name="_Toc235552779"/>
      <w:r w:rsidRPr="0069489A">
        <w:t>Comparative analysis</w:t>
      </w:r>
      <w:bookmarkEnd w:id="7"/>
    </w:p>
    <w:p w14:paraId="01684EC2" w14:textId="77777777" w:rsidR="00904229" w:rsidRPr="0069489A" w:rsidRDefault="00904229" w:rsidP="00904229">
      <w:pPr>
        <w:spacing w:after="100" w:afterAutospacing="1"/>
      </w:pPr>
      <w:r w:rsidRPr="0069489A">
        <w:t>All three councils state that the aim of Early Help is to prevent problems escalating and all have alternative ways to contact them apart from digitally. There is also evidence of some multi-agency arrangement in each of these. Their differences are where they think the websites are successful or unsuccessful in making this policy a family journey.</w:t>
      </w:r>
    </w:p>
    <w:p w14:paraId="19A225D8" w14:textId="77777777" w:rsidR="00904229" w:rsidRPr="0069489A" w:rsidRDefault="00904229" w:rsidP="00904229">
      <w:pPr>
        <w:spacing w:after="100" w:afterAutospacing="1"/>
      </w:pPr>
      <w:r w:rsidRPr="0069489A">
        <w:t xml:space="preserve">Tower Hamlets excels in terms of actionability and safeguarding clarity. All Early Help requests and concerns are integrated and presented in one contact with clear alternatives provided for emergency and out-of-hours. Assessment process, consent and range of partner agencies is visible. A family will know </w:t>
      </w:r>
      <w:r w:rsidRPr="0069489A">
        <w:lastRenderedPageBreak/>
        <w:t>not only where to go, but what is likely to occur. The risk is acronym overload, yet the pathway itself remains coherent.</w:t>
      </w:r>
    </w:p>
    <w:p w14:paraId="7C92A03D" w14:textId="77777777" w:rsidR="00904229" w:rsidRPr="0069489A" w:rsidRDefault="00904229" w:rsidP="00904229">
      <w:pPr>
        <w:spacing w:after="100" w:afterAutospacing="1"/>
      </w:pPr>
      <w:r w:rsidRPr="0069489A">
        <w:t>Southwark has the highest initial readability score. It de</w:t>
      </w:r>
      <w:r w:rsidR="00297618">
        <w:t>-professionalis</w:t>
      </w:r>
      <w:r w:rsidRPr="0069489A">
        <w:t>es its universal/extra distinction and explicit assertion that parents can self-refer. It also provides information about the result of allocation. The “three criteria” threshold, however, could result in the feeling that “eligibility” is mechanical. Families should not be asked even to evaluate their score before seeking guidance. The division of service strands can also result in the fragmentation that whole family working aims to address.</w:t>
      </w:r>
    </w:p>
    <w:p w14:paraId="201A4886" w14:textId="77777777" w:rsidR="00904229" w:rsidRPr="0069489A" w:rsidRDefault="00904229" w:rsidP="00904229">
      <w:pPr>
        <w:spacing w:after="100" w:afterAutospacing="1"/>
      </w:pPr>
      <w:r w:rsidRPr="0069489A">
        <w:t>Leeds has the most diverse and complex service ecosystem, and perhaps the best practice explanation. It's accessed with hubs, has multi-expertise and conversation-led access, and exhibits escalation in the Thrive model. However, valuable information is distributed across various pages and audiences. The public route is a rival to one-minute guides and child-specific guides. This can overload cognition, especially for English or digital non- or under-confident users and limited-literacy users.</w:t>
      </w:r>
    </w:p>
    <w:p w14:paraId="2B5CFE3E" w14:textId="77777777" w:rsidR="00904229" w:rsidRPr="0069489A" w:rsidRDefault="00904229" w:rsidP="00904229">
      <w:pPr>
        <w:spacing w:after="100" w:afterAutospacing="1"/>
      </w:pPr>
      <w:r w:rsidRPr="0069489A">
        <w:t>Accessibility must be thought of beyond compliance. Under the 2018 Regulations, public-sector websites must be accessible, conform to WCAG 2.2 AA and offer alternatives. In practice, accessibility also involves plain language, mobile-friendly design, translation, access by telephone and minimal repetition and descriptive link labels. None of the three reviewed pathways prominently displayed a single visual journey with expected response times at every stage. The idea of waiting time uncertainty is significant because a family might think that silence equates to rejection or that if they put their information online, then they are protected.</w:t>
      </w:r>
    </w:p>
    <w:p w14:paraId="299267E4" w14:textId="77777777" w:rsidR="00AC0448" w:rsidRPr="0069489A" w:rsidRDefault="00904229" w:rsidP="00904229">
      <w:pPr>
        <w:spacing w:after="100" w:afterAutospacing="1"/>
      </w:pPr>
      <w:r w:rsidRPr="0069489A">
        <w:t>Overall, Tower Hamlets is the best and most accessible of the three. It is not about the amount of information but on the recognition of the target audience, front door integration, multi-contact points, clear safeguarding pathways and explanation of assessment. Second only to Southwark, in terms of plain-language entry and self-referral. Leeds has good provision, but needs consolidation.</w:t>
      </w:r>
    </w:p>
    <w:tbl>
      <w:tblPr>
        <w:tblStyle w:val="TableGrid"/>
        <w:tblW w:w="0" w:type="auto"/>
        <w:jc w:val="center"/>
        <w:tblLook w:val="04A0" w:firstRow="1" w:lastRow="0" w:firstColumn="1" w:lastColumn="0" w:noHBand="0" w:noVBand="1"/>
      </w:tblPr>
      <w:tblGrid>
        <w:gridCol w:w="1972"/>
        <w:gridCol w:w="1972"/>
        <w:gridCol w:w="1972"/>
        <w:gridCol w:w="1972"/>
        <w:gridCol w:w="1972"/>
      </w:tblGrid>
      <w:tr w:rsidR="00AC0448" w:rsidRPr="0069489A" w14:paraId="322F363B" w14:textId="77777777" w:rsidTr="005B3449">
        <w:trPr>
          <w:cantSplit/>
          <w:jc w:val="center"/>
        </w:trPr>
        <w:tc>
          <w:tcPr>
            <w:tcW w:w="1972" w:type="dxa"/>
            <w:shd w:val="clear" w:color="auto" w:fill="147D87"/>
          </w:tcPr>
          <w:p w14:paraId="70A867B9"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b/>
                <w:color w:val="FFFFFF"/>
                <w:sz w:val="18"/>
              </w:rPr>
              <w:t>Authority</w:t>
            </w:r>
          </w:p>
        </w:tc>
        <w:tc>
          <w:tcPr>
            <w:tcW w:w="1972" w:type="dxa"/>
            <w:shd w:val="clear" w:color="auto" w:fill="147D87"/>
          </w:tcPr>
          <w:p w14:paraId="07A01281"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b/>
                <w:color w:val="FFFFFF"/>
                <w:sz w:val="18"/>
              </w:rPr>
              <w:t>Strongest feature</w:t>
            </w:r>
          </w:p>
        </w:tc>
        <w:tc>
          <w:tcPr>
            <w:tcW w:w="1972" w:type="dxa"/>
            <w:shd w:val="clear" w:color="auto" w:fill="147D87"/>
          </w:tcPr>
          <w:p w14:paraId="22F2A0BA"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b/>
                <w:color w:val="FFFFFF"/>
                <w:sz w:val="18"/>
              </w:rPr>
              <w:t>Main limitation</w:t>
            </w:r>
          </w:p>
        </w:tc>
        <w:tc>
          <w:tcPr>
            <w:tcW w:w="1972" w:type="dxa"/>
            <w:shd w:val="clear" w:color="auto" w:fill="147D87"/>
          </w:tcPr>
          <w:p w14:paraId="510CCC72"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b/>
                <w:color w:val="FFFFFF"/>
                <w:sz w:val="18"/>
              </w:rPr>
              <w:t>Family-facing judgement</w:t>
            </w:r>
          </w:p>
        </w:tc>
        <w:tc>
          <w:tcPr>
            <w:tcW w:w="1972" w:type="dxa"/>
            <w:shd w:val="clear" w:color="auto" w:fill="147D87"/>
          </w:tcPr>
          <w:p w14:paraId="730C1930"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b/>
                <w:color w:val="FFFFFF"/>
                <w:sz w:val="18"/>
              </w:rPr>
              <w:t>Overall position</w:t>
            </w:r>
          </w:p>
        </w:tc>
      </w:tr>
      <w:tr w:rsidR="00AC0448" w:rsidRPr="0069489A" w14:paraId="1449CC83" w14:textId="77777777" w:rsidTr="005B3449">
        <w:trPr>
          <w:cantSplit/>
          <w:jc w:val="center"/>
        </w:trPr>
        <w:tc>
          <w:tcPr>
            <w:tcW w:w="1972" w:type="dxa"/>
            <w:tcMar>
              <w:top w:w="55" w:type="dxa"/>
              <w:left w:w="60" w:type="dxa"/>
              <w:bottom w:w="55" w:type="dxa"/>
              <w:right w:w="60" w:type="dxa"/>
            </w:tcMar>
          </w:tcPr>
          <w:p w14:paraId="58404F92"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t>Leeds</w:t>
            </w:r>
          </w:p>
        </w:tc>
        <w:tc>
          <w:tcPr>
            <w:tcW w:w="1972" w:type="dxa"/>
            <w:tcMar>
              <w:top w:w="55" w:type="dxa"/>
              <w:left w:w="60" w:type="dxa"/>
              <w:bottom w:w="55" w:type="dxa"/>
              <w:right w:w="60" w:type="dxa"/>
            </w:tcMar>
          </w:tcPr>
          <w:p w14:paraId="36398196"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Conversation-led multidisciplinary hubs</w:t>
            </w:r>
          </w:p>
        </w:tc>
        <w:tc>
          <w:tcPr>
            <w:tcW w:w="1972" w:type="dxa"/>
            <w:tcMar>
              <w:top w:w="55" w:type="dxa"/>
              <w:left w:w="60" w:type="dxa"/>
              <w:bottom w:w="55" w:type="dxa"/>
              <w:right w:w="60" w:type="dxa"/>
            </w:tcMar>
          </w:tcPr>
          <w:p w14:paraId="572D2065"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Information fragmented across audiences and pages</w:t>
            </w:r>
          </w:p>
        </w:tc>
        <w:tc>
          <w:tcPr>
            <w:tcW w:w="1972" w:type="dxa"/>
            <w:tcMar>
              <w:top w:w="55" w:type="dxa"/>
              <w:left w:w="60" w:type="dxa"/>
              <w:bottom w:w="55" w:type="dxa"/>
              <w:right w:w="60" w:type="dxa"/>
            </w:tcMar>
          </w:tcPr>
          <w:p w14:paraId="7940B8C6"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Strong system; more effort to navigate</w:t>
            </w:r>
          </w:p>
        </w:tc>
        <w:tc>
          <w:tcPr>
            <w:tcW w:w="1972" w:type="dxa"/>
            <w:tcMar>
              <w:top w:w="55" w:type="dxa"/>
              <w:left w:w="60" w:type="dxa"/>
              <w:bottom w:w="55" w:type="dxa"/>
              <w:right w:w="60" w:type="dxa"/>
            </w:tcMar>
          </w:tcPr>
          <w:p w14:paraId="42FD8E53"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t>3</w:t>
            </w:r>
          </w:p>
        </w:tc>
      </w:tr>
      <w:tr w:rsidR="00AC0448" w:rsidRPr="0069489A" w14:paraId="7637702B" w14:textId="77777777" w:rsidTr="005B3449">
        <w:trPr>
          <w:cantSplit/>
          <w:jc w:val="center"/>
        </w:trPr>
        <w:tc>
          <w:tcPr>
            <w:tcW w:w="1972" w:type="dxa"/>
            <w:shd w:val="clear" w:color="auto" w:fill="F3F6F8"/>
            <w:tcMar>
              <w:top w:w="55" w:type="dxa"/>
              <w:left w:w="60" w:type="dxa"/>
              <w:bottom w:w="55" w:type="dxa"/>
              <w:right w:w="60" w:type="dxa"/>
            </w:tcMar>
          </w:tcPr>
          <w:p w14:paraId="6E378691"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t>Tower Hamlets</w:t>
            </w:r>
          </w:p>
        </w:tc>
        <w:tc>
          <w:tcPr>
            <w:tcW w:w="1972" w:type="dxa"/>
            <w:shd w:val="clear" w:color="auto" w:fill="F3F6F8"/>
            <w:tcMar>
              <w:top w:w="55" w:type="dxa"/>
              <w:left w:w="60" w:type="dxa"/>
              <w:bottom w:w="55" w:type="dxa"/>
              <w:right w:w="60" w:type="dxa"/>
            </w:tcMar>
          </w:tcPr>
          <w:p w14:paraId="633265BB"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Integrated MAST front door and clear safeguarding routes</w:t>
            </w:r>
          </w:p>
        </w:tc>
        <w:tc>
          <w:tcPr>
            <w:tcW w:w="1972" w:type="dxa"/>
            <w:shd w:val="clear" w:color="auto" w:fill="F3F6F8"/>
            <w:tcMar>
              <w:top w:w="55" w:type="dxa"/>
              <w:left w:w="60" w:type="dxa"/>
              <w:bottom w:w="55" w:type="dxa"/>
              <w:right w:w="60" w:type="dxa"/>
            </w:tcMar>
          </w:tcPr>
          <w:p w14:paraId="1F7596EB"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Acronyms and some professional density</w:t>
            </w:r>
          </w:p>
        </w:tc>
        <w:tc>
          <w:tcPr>
            <w:tcW w:w="1972" w:type="dxa"/>
            <w:shd w:val="clear" w:color="auto" w:fill="F3F6F8"/>
            <w:tcMar>
              <w:top w:w="55" w:type="dxa"/>
              <w:left w:w="60" w:type="dxa"/>
              <w:bottom w:w="55" w:type="dxa"/>
              <w:right w:w="60" w:type="dxa"/>
            </w:tcMar>
          </w:tcPr>
          <w:p w14:paraId="7D2B82FE"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Most complete actionable pathway</w:t>
            </w:r>
          </w:p>
        </w:tc>
        <w:tc>
          <w:tcPr>
            <w:tcW w:w="1972" w:type="dxa"/>
            <w:shd w:val="clear" w:color="auto" w:fill="F3F6F8"/>
            <w:tcMar>
              <w:top w:w="55" w:type="dxa"/>
              <w:left w:w="60" w:type="dxa"/>
              <w:bottom w:w="55" w:type="dxa"/>
              <w:right w:w="60" w:type="dxa"/>
            </w:tcMar>
          </w:tcPr>
          <w:p w14:paraId="094D515F"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t>1</w:t>
            </w:r>
          </w:p>
        </w:tc>
      </w:tr>
      <w:tr w:rsidR="00AC0448" w:rsidRPr="0069489A" w14:paraId="32F9D47F" w14:textId="77777777" w:rsidTr="005B3449">
        <w:trPr>
          <w:cantSplit/>
          <w:jc w:val="center"/>
        </w:trPr>
        <w:tc>
          <w:tcPr>
            <w:tcW w:w="1972" w:type="dxa"/>
            <w:tcMar>
              <w:top w:w="55" w:type="dxa"/>
              <w:left w:w="60" w:type="dxa"/>
              <w:bottom w:w="55" w:type="dxa"/>
              <w:right w:w="60" w:type="dxa"/>
            </w:tcMar>
          </w:tcPr>
          <w:p w14:paraId="47D70679"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lastRenderedPageBreak/>
              <w:t>Southwark</w:t>
            </w:r>
          </w:p>
        </w:tc>
        <w:tc>
          <w:tcPr>
            <w:tcW w:w="1972" w:type="dxa"/>
            <w:tcMar>
              <w:top w:w="55" w:type="dxa"/>
              <w:left w:w="60" w:type="dxa"/>
              <w:bottom w:w="55" w:type="dxa"/>
              <w:right w:w="60" w:type="dxa"/>
            </w:tcMar>
          </w:tcPr>
          <w:p w14:paraId="1F203C88"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Plain-language universal/extra structure and self-referral</w:t>
            </w:r>
          </w:p>
        </w:tc>
        <w:tc>
          <w:tcPr>
            <w:tcW w:w="1972" w:type="dxa"/>
            <w:tcMar>
              <w:top w:w="55" w:type="dxa"/>
              <w:left w:w="60" w:type="dxa"/>
              <w:bottom w:w="55" w:type="dxa"/>
              <w:right w:w="60" w:type="dxa"/>
            </w:tcMar>
          </w:tcPr>
          <w:p w14:paraId="32BEE873"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Three-criteria threshold may deter contact</w:t>
            </w:r>
          </w:p>
        </w:tc>
        <w:tc>
          <w:tcPr>
            <w:tcW w:w="1972" w:type="dxa"/>
            <w:tcMar>
              <w:top w:w="55" w:type="dxa"/>
              <w:left w:w="60" w:type="dxa"/>
              <w:bottom w:w="55" w:type="dxa"/>
              <w:right w:w="60" w:type="dxa"/>
            </w:tcMar>
          </w:tcPr>
          <w:p w14:paraId="60E862B6" w14:textId="77777777" w:rsidR="00AC0448" w:rsidRPr="0069489A" w:rsidRDefault="00AC0448" w:rsidP="00F26B9B">
            <w:pPr>
              <w:spacing w:before="100" w:beforeAutospacing="1" w:line="276" w:lineRule="auto"/>
              <w:jc w:val="left"/>
              <w:rPr>
                <w:rFonts w:ascii="Times New Roman" w:hAnsi="Times New Roman" w:cs="Times New Roman"/>
                <w:sz w:val="18"/>
              </w:rPr>
            </w:pPr>
            <w:r w:rsidRPr="0069489A">
              <w:rPr>
                <w:rFonts w:ascii="Times New Roman" w:hAnsi="Times New Roman" w:cs="Times New Roman"/>
                <w:sz w:val="18"/>
              </w:rPr>
              <w:t>Easy entry; more complex at referral</w:t>
            </w:r>
          </w:p>
        </w:tc>
        <w:tc>
          <w:tcPr>
            <w:tcW w:w="1972" w:type="dxa"/>
            <w:tcMar>
              <w:top w:w="55" w:type="dxa"/>
              <w:left w:w="60" w:type="dxa"/>
              <w:bottom w:w="55" w:type="dxa"/>
              <w:right w:w="60" w:type="dxa"/>
            </w:tcMar>
          </w:tcPr>
          <w:p w14:paraId="4E1FBF47" w14:textId="77777777" w:rsidR="00AC0448" w:rsidRPr="0069489A" w:rsidRDefault="00AC0448" w:rsidP="00F26B9B">
            <w:pPr>
              <w:spacing w:before="100" w:beforeAutospacing="1" w:line="276" w:lineRule="auto"/>
              <w:rPr>
                <w:rFonts w:ascii="Times New Roman" w:hAnsi="Times New Roman" w:cs="Times New Roman"/>
                <w:sz w:val="18"/>
              </w:rPr>
            </w:pPr>
            <w:r w:rsidRPr="0069489A">
              <w:rPr>
                <w:rFonts w:ascii="Times New Roman" w:hAnsi="Times New Roman" w:cs="Times New Roman"/>
                <w:sz w:val="18"/>
              </w:rPr>
              <w:t>2</w:t>
            </w:r>
          </w:p>
        </w:tc>
      </w:tr>
    </w:tbl>
    <w:p w14:paraId="3559CD7A" w14:textId="77777777" w:rsidR="00AC0448" w:rsidRPr="0069489A" w:rsidRDefault="00AC0448" w:rsidP="00F26B9B">
      <w:pPr>
        <w:pStyle w:val="Heading1"/>
        <w:spacing w:before="100" w:beforeAutospacing="1"/>
      </w:pPr>
      <w:bookmarkStart w:id="8" w:name="_Toc235552780"/>
      <w:r w:rsidRPr="0069489A">
        <w:t>Conclusion and recommendations</w:t>
      </w:r>
      <w:bookmarkEnd w:id="8"/>
    </w:p>
    <w:p w14:paraId="512C83C8" w14:textId="77777777" w:rsidR="00904229" w:rsidRPr="0069489A" w:rsidRDefault="00904229" w:rsidP="00904229">
      <w:r w:rsidRPr="0069489A">
        <w:t>The comparison makes it clear that website signposting is not just a communications ‘add-on' but a safeguarding and equity issue. It should be clear to see that there is one system of Early Help which is visible even if delivered by many organisations. Tower Hamlets currently does this best, with both Southwark and Leeds demonstrating important strengths.</w:t>
      </w:r>
    </w:p>
    <w:p w14:paraId="33C86DEB" w14:textId="77777777" w:rsidR="00904229" w:rsidRPr="0069489A" w:rsidRDefault="00904229" w:rsidP="00904229">
      <w:r w:rsidRPr="0069489A">
        <w:t>There are 5 recommendations for each of the three sites. First make one family friendly landing page with a short definition, “get advice now” button, route and postcode / locality search for urgent safety. Second, share a visual journey of contact, consent, assessment, lead practitioner, decision and review and set realistic response time. Third, clarify or define acronyms and professional standards with examples in everyday language. Fourth, provide equivalent telephone, in-person, translated, and Easy Read and assisted-digital routes and pilot them with the families most likely to have barriers to access. Fifth, acknowledge all requests, identify the owner of the request, give updates on request status and explain alternative support when a referral is not being accepted, using closed-loop communication.</w:t>
      </w:r>
    </w:p>
    <w:p w14:paraId="2B2D972E" w14:textId="77777777" w:rsidR="00AC0448" w:rsidRPr="0069489A" w:rsidRDefault="00904229" w:rsidP="00904229">
      <w:r w:rsidRPr="0069489A">
        <w:t>This would not take away professional judgement. They would make it more easily accessible to the families. The best website is, however, the one that enables a family to make the next step safely, effectively and with the least avoidable effort, not the one that lists the most services.</w:t>
      </w:r>
    </w:p>
    <w:p w14:paraId="0F0D8C24" w14:textId="77777777" w:rsidR="00AC0448" w:rsidRPr="0069489A" w:rsidRDefault="00AC0448">
      <w:pPr>
        <w:spacing w:after="160" w:line="259" w:lineRule="auto"/>
        <w:rPr>
          <w:rFonts w:eastAsia="Times New Roman" w:cs="Times New Roman"/>
          <w:b/>
          <w:bCs/>
          <w:color w:val="222222"/>
          <w:kern w:val="36"/>
          <w:szCs w:val="48"/>
        </w:rPr>
      </w:pPr>
      <w:r w:rsidRPr="0069489A">
        <w:br w:type="page"/>
      </w:r>
    </w:p>
    <w:p w14:paraId="15C5FF0C" w14:textId="77777777" w:rsidR="00AC0448" w:rsidRPr="0069489A" w:rsidRDefault="001E6CEC" w:rsidP="001E6CEC">
      <w:pPr>
        <w:pStyle w:val="Heading1"/>
      </w:pPr>
      <w:bookmarkStart w:id="9" w:name="_Toc235552781"/>
      <w:r w:rsidRPr="0069489A">
        <w:lastRenderedPageBreak/>
        <w:t>References</w:t>
      </w:r>
      <w:bookmarkEnd w:id="9"/>
    </w:p>
    <w:p w14:paraId="67D62B26"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Children Act 1989, c.41. London: The Stationery Office.</w:t>
      </w:r>
    </w:p>
    <w:p w14:paraId="1E424F10"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Children and Social Work Act 2017, c.16. London: The Stationery Office.</w:t>
      </w:r>
    </w:p>
    <w:p w14:paraId="70DFCEC2"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Data Protection Act 2018, c.12. London: The Stationery Office.</w:t>
      </w:r>
    </w:p>
    <w:p w14:paraId="550BE049"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Department for Education (2023) Working together to safeguard children 2023: A guide to multi-agency working to help, protect and promote the welfare of children. London: Department for Education.</w:t>
      </w:r>
    </w:p>
    <w:p w14:paraId="43A83B71"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Department for Education and Department for Levelling Up, Housing and Communities (2022) Supporting Families: Early Help System Guide. London: HM Government.</w:t>
      </w:r>
    </w:p>
    <w:p w14:paraId="27FD3F9C"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HM Government (2024) Information sharing: Advice for practitioners providing safeguarding services to children, young people, parents and carers. London: HM Government.</w:t>
      </w:r>
    </w:p>
    <w:p w14:paraId="397E0A2E"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Hood, R. (2014) ‘Complexity and integrated working in children’s services’, British Journal of Social Work, 44(1), pp. 27-43.</w:t>
      </w:r>
    </w:p>
    <w:p w14:paraId="33595DA1"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Leeds City Council (2025a) One minute guide: Early help. Available at: https://www.leeds.gov.uk/one-minute-guides/early-help (Accessed: 21 July 2026).</w:t>
      </w:r>
    </w:p>
    <w:p w14:paraId="0669B7F1"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Leeds City Council (2025b) Family Hubs and the Early Help Front Door team. Available at: https://www.leeds.gov.uk/one-minute-guides/family-hubs-and-early-help-front-door-team (Accessed: 21 July 2026).</w:t>
      </w:r>
    </w:p>
    <w:p w14:paraId="20C252D9"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 xml:space="preserve">Public Sector Bodies (Websites and Mobile Applications) (No. 2) Accessibility Regulations 2018, </w:t>
      </w:r>
      <w:proofErr w:type="spellStart"/>
      <w:r w:rsidRPr="0069489A">
        <w:rPr>
          <w:rFonts w:ascii="Times New Roman" w:hAnsi="Times New Roman" w:cs="Times New Roman"/>
          <w:color w:val="auto"/>
          <w:sz w:val="24"/>
          <w:lang w:val="en-GB"/>
        </w:rPr>
        <w:t>SI</w:t>
      </w:r>
      <w:proofErr w:type="spellEnd"/>
      <w:r w:rsidRPr="0069489A">
        <w:rPr>
          <w:rFonts w:ascii="Times New Roman" w:hAnsi="Times New Roman" w:cs="Times New Roman"/>
          <w:color w:val="auto"/>
          <w:sz w:val="24"/>
          <w:lang w:val="en-GB"/>
        </w:rPr>
        <w:t xml:space="preserve"> 2018/952.</w:t>
      </w:r>
    </w:p>
    <w:p w14:paraId="59F10E72"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Southwark Council (2024a) Early help for everyone. Available at: https://www.southwark.gov.uk/children-and-families/childrens-social-care/early-help/about-early-help/early-help-everyone (Accessed: 21 July 2026).</w:t>
      </w:r>
    </w:p>
    <w:p w14:paraId="0FC40D6C"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Southwark Council (2025) Make a referral: Family Early Help. Available at: https://www.southwark.gov.uk/children-and-families/childrens-social-care/early-help/extra-early-help/make-referral (Accessed: 21 July 2026).</w:t>
      </w:r>
    </w:p>
    <w:p w14:paraId="6F43B230"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t>Tower Hamlets Council (2026a) About Early Help. Available at: https://www.towerhamlets.gov.uk/lgnl/health__social_care/children_and_family_care/Early_Help/About_Early_Help.aspx (Accessed: 21 July 2026).</w:t>
      </w:r>
    </w:p>
    <w:p w14:paraId="1317BFFF" w14:textId="77777777" w:rsidR="00AC0448" w:rsidRPr="0069489A" w:rsidRDefault="00AC0448" w:rsidP="001E6CEC">
      <w:pPr>
        <w:pStyle w:val="Reference"/>
        <w:spacing w:before="120" w:after="0" w:line="360" w:lineRule="auto"/>
        <w:rPr>
          <w:rFonts w:ascii="Times New Roman" w:hAnsi="Times New Roman" w:cs="Times New Roman"/>
          <w:color w:val="auto"/>
          <w:sz w:val="24"/>
          <w:lang w:val="en-GB"/>
        </w:rPr>
      </w:pPr>
      <w:r w:rsidRPr="0069489A">
        <w:rPr>
          <w:rFonts w:ascii="Times New Roman" w:hAnsi="Times New Roman" w:cs="Times New Roman"/>
          <w:color w:val="auto"/>
          <w:sz w:val="24"/>
          <w:lang w:val="en-GB"/>
        </w:rPr>
        <w:lastRenderedPageBreak/>
        <w:t>Tower Hamlets Council (2026b) Early Help Assessment (eEHA). Available at: https://www.towerhamlets.gov.uk/lgnl/health__social_care/children_and_family_care/Early_Help/Early_Help_Assessment_eEHA.aspx (Accessed: 21 July 2026).</w:t>
      </w:r>
    </w:p>
    <w:p w14:paraId="112D43F9" w14:textId="77777777" w:rsidR="00CC502E" w:rsidRPr="0069489A" w:rsidRDefault="00CC502E" w:rsidP="001E6CEC">
      <w:pPr>
        <w:rPr>
          <w:rFonts w:cs="Times New Roman"/>
          <w:sz w:val="36"/>
        </w:rPr>
      </w:pPr>
    </w:p>
    <w:sectPr w:rsidR="00CC502E" w:rsidRPr="0069489A" w:rsidSect="00034616">
      <w:pgSz w:w="12240" w:h="15840"/>
      <w:pgMar w:top="1020" w:right="1134" w:bottom="907" w:left="1191"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5BEC3C" w14:textId="77777777" w:rsidR="001C4DBB" w:rsidRDefault="001C4DBB" w:rsidP="00E14E75">
      <w:pPr>
        <w:spacing w:before="0" w:line="240" w:lineRule="auto"/>
      </w:pPr>
      <w:r>
        <w:separator/>
      </w:r>
    </w:p>
  </w:endnote>
  <w:endnote w:type="continuationSeparator" w:id="0">
    <w:p w14:paraId="51225708" w14:textId="77777777" w:rsidR="001C4DBB" w:rsidRDefault="001C4DBB" w:rsidP="00E14E7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05BCCC" w14:textId="77777777" w:rsidR="001C4DBB" w:rsidRDefault="001C4DBB" w:rsidP="00E14E75">
      <w:pPr>
        <w:spacing w:before="0" w:line="240" w:lineRule="auto"/>
      </w:pPr>
      <w:r>
        <w:separator/>
      </w:r>
    </w:p>
  </w:footnote>
  <w:footnote w:type="continuationSeparator" w:id="0">
    <w:p w14:paraId="55BD8D90" w14:textId="77777777" w:rsidR="001C4DBB" w:rsidRDefault="001C4DBB" w:rsidP="00E14E75">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448"/>
    <w:rsid w:val="000C3BC3"/>
    <w:rsid w:val="00114E17"/>
    <w:rsid w:val="00126F15"/>
    <w:rsid w:val="001C4DBB"/>
    <w:rsid w:val="001E6CEC"/>
    <w:rsid w:val="002162BD"/>
    <w:rsid w:val="00297618"/>
    <w:rsid w:val="005846A0"/>
    <w:rsid w:val="00635917"/>
    <w:rsid w:val="0069489A"/>
    <w:rsid w:val="00851048"/>
    <w:rsid w:val="00904229"/>
    <w:rsid w:val="0098133D"/>
    <w:rsid w:val="009C7B91"/>
    <w:rsid w:val="00A346F1"/>
    <w:rsid w:val="00AC0448"/>
    <w:rsid w:val="00AD4E5F"/>
    <w:rsid w:val="00B75788"/>
    <w:rsid w:val="00BA4E92"/>
    <w:rsid w:val="00BB402B"/>
    <w:rsid w:val="00CC502E"/>
    <w:rsid w:val="00DA03D5"/>
    <w:rsid w:val="00DC647C"/>
    <w:rsid w:val="00DD28FA"/>
    <w:rsid w:val="00E14E75"/>
    <w:rsid w:val="00EC0FB1"/>
    <w:rsid w:val="00EE0DBF"/>
    <w:rsid w:val="00F01EB0"/>
    <w:rsid w:val="00F26B9B"/>
    <w:rsid w:val="00FA1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ED897"/>
  <w15:chartTrackingRefBased/>
  <w15:docId w15:val="{1D093A91-61DD-48A2-AF3D-B1C07B0B9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Arial"/>
        <w:color w:val="222222"/>
        <w:sz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E75"/>
    <w:pPr>
      <w:spacing w:before="120" w:after="0" w:line="360" w:lineRule="auto"/>
      <w:jc w:val="both"/>
    </w:pPr>
    <w:rPr>
      <w:rFonts w:eastAsiaTheme="minorEastAsia" w:cstheme="minorBidi"/>
      <w:color w:val="auto"/>
      <w:szCs w:val="22"/>
      <w:lang w:val="en-GB"/>
    </w:rPr>
  </w:style>
  <w:style w:type="paragraph" w:styleId="Heading1">
    <w:name w:val="heading 1"/>
    <w:basedOn w:val="Normal"/>
    <w:link w:val="Heading1Char"/>
    <w:uiPriority w:val="9"/>
    <w:qFormat/>
    <w:rsid w:val="00851048"/>
    <w:pPr>
      <w:jc w:val="center"/>
      <w:outlineLvl w:val="0"/>
    </w:pPr>
    <w:rPr>
      <w:rFonts w:eastAsia="Times New Roman" w:cs="Times New Roman"/>
      <w:b/>
      <w:bCs/>
      <w:kern w:val="36"/>
      <w:szCs w:val="48"/>
    </w:rPr>
  </w:style>
  <w:style w:type="paragraph" w:styleId="Heading2">
    <w:name w:val="heading 2"/>
    <w:basedOn w:val="Normal"/>
    <w:link w:val="Heading2Char"/>
    <w:uiPriority w:val="9"/>
    <w:qFormat/>
    <w:rsid w:val="00851048"/>
    <w:pPr>
      <w:jc w:val="left"/>
      <w:outlineLvl w:val="1"/>
    </w:pPr>
    <w:rPr>
      <w:rFonts w:eastAsia="Times New Roman" w:cs="Times New Roman"/>
      <w:b/>
      <w:bCs/>
      <w:szCs w:val="36"/>
    </w:rPr>
  </w:style>
  <w:style w:type="paragraph" w:styleId="Heading3">
    <w:name w:val="heading 3"/>
    <w:basedOn w:val="Normal"/>
    <w:link w:val="Heading3Char"/>
    <w:uiPriority w:val="9"/>
    <w:qFormat/>
    <w:rsid w:val="00851048"/>
    <w:pPr>
      <w:jc w:val="left"/>
      <w:outlineLvl w:val="2"/>
    </w:pPr>
    <w:rPr>
      <w:rFonts w:eastAsia="Times New Roman" w:cs="Times New Roman"/>
      <w:bCs/>
      <w:i/>
      <w:szCs w:val="27"/>
    </w:rPr>
  </w:style>
  <w:style w:type="paragraph" w:styleId="Heading4">
    <w:name w:val="heading 4"/>
    <w:basedOn w:val="Normal"/>
    <w:link w:val="Heading4Char"/>
    <w:uiPriority w:val="9"/>
    <w:qFormat/>
    <w:rsid w:val="00851048"/>
    <w:pPr>
      <w:outlineLvl w:val="3"/>
    </w:pPr>
    <w:rPr>
      <w:rFonts w:eastAsia="Times New Roman" w:cs="Times New Roman"/>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048"/>
    <w:rPr>
      <w:rFonts w:ascii="Times New Roman" w:eastAsia="Times New Roman" w:hAnsi="Times New Roman" w:cs="Times New Roman"/>
      <w:b/>
      <w:bCs/>
      <w:kern w:val="36"/>
      <w:sz w:val="24"/>
      <w:szCs w:val="48"/>
    </w:rPr>
  </w:style>
  <w:style w:type="character" w:customStyle="1" w:styleId="Heading2Char">
    <w:name w:val="Heading 2 Char"/>
    <w:basedOn w:val="DefaultParagraphFont"/>
    <w:link w:val="Heading2"/>
    <w:uiPriority w:val="9"/>
    <w:rsid w:val="00851048"/>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rsid w:val="00851048"/>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rsid w:val="00851048"/>
    <w:rPr>
      <w:rFonts w:ascii="Times New Roman" w:eastAsia="Times New Roman" w:hAnsi="Times New Roman" w:cs="Times New Roman"/>
      <w:bCs/>
      <w:sz w:val="24"/>
      <w:szCs w:val="24"/>
    </w:rPr>
  </w:style>
  <w:style w:type="paragraph" w:styleId="FootnoteText">
    <w:name w:val="footnote text"/>
    <w:basedOn w:val="Normal"/>
    <w:link w:val="FootnoteTextChar"/>
    <w:uiPriority w:val="9"/>
    <w:unhideWhenUsed/>
    <w:qFormat/>
    <w:rsid w:val="00EC0FB1"/>
    <w:pPr>
      <w:spacing w:before="0" w:line="240" w:lineRule="auto"/>
      <w:contextualSpacing/>
      <w:jc w:val="left"/>
    </w:pPr>
    <w:rPr>
      <w:sz w:val="20"/>
      <w:szCs w:val="24"/>
      <w:lang w:val="en"/>
    </w:rPr>
  </w:style>
  <w:style w:type="character" w:customStyle="1" w:styleId="FootnoteTextChar">
    <w:name w:val="Footnote Text Char"/>
    <w:basedOn w:val="DefaultParagraphFont"/>
    <w:link w:val="FootnoteText"/>
    <w:uiPriority w:val="9"/>
    <w:rsid w:val="00EC0FB1"/>
    <w:rPr>
      <w:rFonts w:cstheme="minorBidi"/>
      <w:color w:val="auto"/>
      <w:sz w:val="20"/>
      <w:szCs w:val="24"/>
      <w:lang w:val="en"/>
    </w:rPr>
  </w:style>
  <w:style w:type="paragraph" w:styleId="Caption">
    <w:name w:val="caption"/>
    <w:basedOn w:val="Normal"/>
    <w:next w:val="Normal"/>
    <w:uiPriority w:val="35"/>
    <w:unhideWhenUsed/>
    <w:qFormat/>
    <w:rsid w:val="000C3BC3"/>
    <w:pPr>
      <w:spacing w:after="120"/>
      <w:jc w:val="left"/>
    </w:pPr>
    <w:rPr>
      <w:rFonts w:eastAsia="Times New Roman" w:cs="Times New Roman"/>
      <w:iCs/>
      <w:sz w:val="20"/>
      <w:szCs w:val="18"/>
      <w:lang w:eastAsia="en-GB"/>
    </w:rPr>
  </w:style>
  <w:style w:type="paragraph" w:styleId="Header">
    <w:name w:val="header"/>
    <w:basedOn w:val="Normal"/>
    <w:link w:val="HeaderChar"/>
    <w:uiPriority w:val="99"/>
    <w:unhideWhenUsed/>
    <w:rsid w:val="00AC0448"/>
    <w:pPr>
      <w:tabs>
        <w:tab w:val="center" w:pos="4680"/>
        <w:tab w:val="right" w:pos="9360"/>
      </w:tabs>
      <w:spacing w:line="240" w:lineRule="auto"/>
    </w:pPr>
  </w:style>
  <w:style w:type="character" w:customStyle="1" w:styleId="HeaderChar">
    <w:name w:val="Header Char"/>
    <w:basedOn w:val="DefaultParagraphFont"/>
    <w:link w:val="Header"/>
    <w:uiPriority w:val="99"/>
    <w:rsid w:val="00AC0448"/>
    <w:rPr>
      <w:rFonts w:ascii="Arial" w:eastAsiaTheme="minorEastAsia" w:hAnsi="Arial" w:cstheme="minorBidi"/>
      <w:color w:val="1F2933"/>
      <w:sz w:val="21"/>
      <w:szCs w:val="22"/>
    </w:rPr>
  </w:style>
  <w:style w:type="paragraph" w:styleId="Subtitle">
    <w:name w:val="Subtitle"/>
    <w:basedOn w:val="Normal"/>
    <w:next w:val="Normal"/>
    <w:link w:val="SubtitleChar"/>
    <w:uiPriority w:val="11"/>
    <w:qFormat/>
    <w:rsid w:val="00AC0448"/>
    <w:pPr>
      <w:numPr>
        <w:ilvl w:val="1"/>
      </w:numPr>
      <w:spacing w:before="200" w:after="100"/>
    </w:pPr>
    <w:rPr>
      <w:rFonts w:asciiTheme="majorHAnsi" w:eastAsiaTheme="majorEastAsia" w:hAnsiTheme="majorHAnsi" w:cstheme="majorBidi"/>
      <w:b/>
      <w:i/>
      <w:iCs/>
      <w:color w:val="5C6770"/>
      <w:spacing w:val="15"/>
      <w:sz w:val="26"/>
      <w:szCs w:val="24"/>
    </w:rPr>
  </w:style>
  <w:style w:type="character" w:customStyle="1" w:styleId="SubtitleChar">
    <w:name w:val="Subtitle Char"/>
    <w:basedOn w:val="DefaultParagraphFont"/>
    <w:link w:val="Subtitle"/>
    <w:uiPriority w:val="11"/>
    <w:rsid w:val="00AC0448"/>
    <w:rPr>
      <w:rFonts w:asciiTheme="majorHAnsi" w:eastAsiaTheme="majorEastAsia" w:hAnsiTheme="majorHAnsi" w:cstheme="majorBidi"/>
      <w:b/>
      <w:i/>
      <w:iCs/>
      <w:color w:val="5C6770"/>
      <w:spacing w:val="15"/>
      <w:sz w:val="26"/>
      <w:szCs w:val="24"/>
    </w:rPr>
  </w:style>
  <w:style w:type="table" w:styleId="TableGrid">
    <w:name w:val="Table Grid"/>
    <w:basedOn w:val="TableNormal"/>
    <w:uiPriority w:val="59"/>
    <w:rsid w:val="00AC0448"/>
    <w:pPr>
      <w:spacing w:after="0" w:line="240" w:lineRule="auto"/>
    </w:pPr>
    <w:rPr>
      <w:rFonts w:asciiTheme="minorHAnsi" w:eastAsiaTheme="minorEastAsia" w:hAnsiTheme="minorHAnsi" w:cstheme="minorBidi"/>
      <w:color w:val="auto"/>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essmentTitle">
    <w:name w:val="Assessment Title"/>
    <w:rsid w:val="00AC0448"/>
    <w:pPr>
      <w:keepNext/>
      <w:spacing w:after="200" w:line="276" w:lineRule="auto"/>
    </w:pPr>
    <w:rPr>
      <w:rFonts w:ascii="Arial" w:eastAsiaTheme="minorEastAsia" w:hAnsi="Arial" w:cstheme="minorBidi"/>
      <w:b/>
      <w:color w:val="17324D"/>
      <w:sz w:val="48"/>
      <w:szCs w:val="22"/>
    </w:rPr>
  </w:style>
  <w:style w:type="paragraph" w:customStyle="1" w:styleId="Reference">
    <w:name w:val="Reference"/>
    <w:rsid w:val="00AC0448"/>
    <w:pPr>
      <w:spacing w:after="60" w:line="240" w:lineRule="auto"/>
      <w:ind w:left="369" w:hanging="369"/>
    </w:pPr>
    <w:rPr>
      <w:rFonts w:ascii="Arial" w:eastAsiaTheme="minorEastAsia" w:hAnsi="Arial" w:cstheme="minorBidi"/>
      <w:color w:val="1F2933"/>
      <w:sz w:val="18"/>
      <w:szCs w:val="22"/>
    </w:rPr>
  </w:style>
  <w:style w:type="paragraph" w:customStyle="1" w:styleId="Small">
    <w:name w:val="Small"/>
    <w:rsid w:val="00AC0448"/>
    <w:pPr>
      <w:spacing w:after="60" w:line="276" w:lineRule="auto"/>
    </w:pPr>
    <w:rPr>
      <w:rFonts w:ascii="Arial" w:eastAsiaTheme="minorEastAsia" w:hAnsi="Arial" w:cstheme="minorBidi"/>
      <w:color w:val="5C6770"/>
      <w:sz w:val="17"/>
      <w:szCs w:val="22"/>
    </w:rPr>
  </w:style>
  <w:style w:type="paragraph" w:styleId="Footer">
    <w:name w:val="footer"/>
    <w:basedOn w:val="Normal"/>
    <w:link w:val="FooterChar"/>
    <w:uiPriority w:val="99"/>
    <w:unhideWhenUsed/>
    <w:rsid w:val="00E14E75"/>
    <w:pPr>
      <w:tabs>
        <w:tab w:val="center" w:pos="4680"/>
        <w:tab w:val="right" w:pos="9360"/>
      </w:tabs>
      <w:spacing w:before="0" w:line="240" w:lineRule="auto"/>
    </w:pPr>
  </w:style>
  <w:style w:type="character" w:customStyle="1" w:styleId="FooterChar">
    <w:name w:val="Footer Char"/>
    <w:basedOn w:val="DefaultParagraphFont"/>
    <w:link w:val="Footer"/>
    <w:uiPriority w:val="99"/>
    <w:rsid w:val="00E14E75"/>
    <w:rPr>
      <w:rFonts w:eastAsiaTheme="minorEastAsia" w:cstheme="minorBidi"/>
      <w:color w:val="auto"/>
      <w:szCs w:val="22"/>
    </w:rPr>
  </w:style>
  <w:style w:type="paragraph" w:styleId="TOC1">
    <w:name w:val="toc 1"/>
    <w:basedOn w:val="Normal"/>
    <w:next w:val="Normal"/>
    <w:autoRedefine/>
    <w:uiPriority w:val="39"/>
    <w:unhideWhenUsed/>
    <w:rsid w:val="00DA03D5"/>
    <w:pPr>
      <w:spacing w:after="100"/>
    </w:pPr>
  </w:style>
  <w:style w:type="character" w:styleId="Hyperlink">
    <w:name w:val="Hyperlink"/>
    <w:basedOn w:val="DefaultParagraphFont"/>
    <w:uiPriority w:val="99"/>
    <w:unhideWhenUsed/>
    <w:rsid w:val="00DA03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2826E-A412-4ED1-8E9D-900347B8CF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2754</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HENRY WIREDU</cp:lastModifiedBy>
  <cp:revision>8</cp:revision>
  <dcterms:created xsi:type="dcterms:W3CDTF">2026-07-23T11:56:00Z</dcterms:created>
  <dcterms:modified xsi:type="dcterms:W3CDTF">2026-07-23T11:59:00Z</dcterms:modified>
</cp:coreProperties>
</file>