
<file path=[Content_Types].xml><?xml version="1.0" encoding="utf-8"?>
<Types xmlns="http://schemas.openxmlformats.org/package/2006/content-types">
  <Default Extension="odttf" ContentType="application/vnd.openxmlformats-officedocument.obfuscatedFont"/>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
    </w:p>
    <w:p w:rsidR="00543883" w:rsidRDefault="00543883" w14:paraId="3B53D2DD" w14:textId="77777777" w:rsidP="008360CD" w:rsidRPr="008360CD"/>
    <w:p w:rsidR="00543883" w:rsidRDefault="00543883" w14:paraId="466B8419" w14:textId="25B77D30" w:rsidP="008360CD" w:rsidRPr="008360CD">
      <w:pPr>
        <w:jc w:val="center"/>
      </w:pPr>
      <w:r>
        <w:rPr>
          <w:noProof/>
        </w:rPr>
        <w:drawing>
          <wp:inline distB="0" distL="0" distR="0" distT="0" wp14:anchorId="0B4A6691" wp14:editId="404D9122">
            <wp:extent cx="2886075" cy="1133475"/>
            <wp:effectExtent l="0" t="0" r="9525" b="9525"/>
            <wp:docPr id="1138720862" name="Picture 1138720862" descr="A white sign with black tex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ign with black text  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543883" w:rsidRDefault="00543883" w14:paraId="4CD8CABA" w14:textId="77777777" w:rsidP="008360CD" w:rsidRPr="008360CD"/>
    <w:p w:rsidR="00543883" w:rsidRDefault="00543883" w14:paraId="64E3E7B2" w14:textId="2D6CA071" w:rsidP="008360CD" w:rsidRPr="008360CD">
      <w:pPr>
        <w:jc w:val="center"/>
        <w:rPr>
          <w:bCs/>
          <w:b/>
          <w:sz w:val="36"/>
          <w:szCs w:val="36"/>
        </w:rPr>
      </w:pPr>
      <w:r w:rsidRPr="008360CD">
        <w:rPr>
          <w:bCs/>
          <w:b/>
          <w:sz w:val="36"/>
          <w:szCs w:val="36"/>
        </w:rPr>
        <w:t>Finance for Business Managers</w:t>
      </w:r>
    </w:p>
    <w:p w:rsidR="00543883" w:rsidRDefault="00543883" w14:paraId="2C561FF0" w14:textId="471D5737" w:rsidP="008360CD" w:rsidRPr="008360CD">
      <w:pPr>
        <w:jc w:val="center"/>
        <w:rPr>
          <w:bCs/>
          <w:b/>
          <w:sz w:val="36"/>
          <w:szCs w:val="36"/>
        </w:rPr>
      </w:pPr>
      <w:r w:rsidRPr="008360CD">
        <w:rPr>
          <w:bCs/>
          <w:b/>
          <w:sz w:val="36"/>
          <w:szCs w:val="36"/>
        </w:rPr>
        <w:t>BMMB7005</w:t>
      </w:r>
    </w:p>
    <w:p w:rsidR="00543883" w:rsidRDefault="00543883" w14:paraId="5F6D3194" w14:textId="77777777" w:rsidP="008360CD" w:rsidRPr="008360CD">
      <w:pPr>
        <w:jc w:val="center"/>
        <w:rPr>
          <w:bCs/>
          <w:b/>
          <w:sz w:val="36"/>
          <w:szCs w:val="36"/>
        </w:rPr>
      </w:pPr>
      <w:r>
        <w:rPr>
          <w:b/>
          <w:sz w:val="36"/>
        </w:rPr>
        <w:t>Name : Vedant Naredrakumar Vyas (2516706)</w:t>
      </w:r>
    </w:p>
    <w:p w:rsidR="00543883" w:rsidRDefault="00543883" w14:paraId="76A78C51" w14:textId="2E110EB0" w:rsidP="008360CD" w:rsidRPr="008360CD">
      <w:pPr>
        <w:jc w:val="center"/>
        <w:rPr>
          <w:bCs/>
          <w:b/>
          <w:sz w:val="36"/>
          <w:szCs w:val="36"/>
        </w:rPr>
      </w:pPr>
      <w:r w:rsidRPr="008360CD">
        <w:rPr>
          <w:bCs/>
          <w:b/>
          <w:sz w:val="36"/>
          <w:szCs w:val="36"/>
        </w:rPr>
        <w:t>LEVEL 7</w:t>
      </w:r>
    </w:p>
    <w:p w:rsidR="00543883" w:rsidRDefault="00543883" w14:paraId="462E692F" w14:textId="77777777" w:rsidP="008360CD" w:rsidRPr="008360CD">
      <w:pPr>
        <w:jc w:val="center"/>
        <w:rPr>
          <w:bCs/>
          <w:b/>
          <w:sz w:val="36"/>
          <w:szCs w:val="36"/>
        </w:rPr>
      </w:pPr>
    </w:p>
    <w:p w:rsidR="00543883" w:rsidRDefault="00543883" w14:paraId="2EE089B7" w14:textId="7B13EB14" w:rsidP="008360CD" w:rsidRPr="008360CD">
      <w:pPr>
        <w:jc w:val="center"/>
        <w:rPr>
          <w:bCs/>
          <w:b/>
          <w:sz w:val="36"/>
          <w:szCs w:val="36"/>
        </w:rPr>
      </w:pPr>
      <w:r w:rsidRPr="008360CD">
        <w:rPr>
          <w:bCs/>
          <w:b/>
          <w:sz w:val="36"/>
          <w:szCs w:val="36"/>
        </w:rPr>
        <w:t>SCHOOL OF BUSINESS</w:t>
      </w:r>
    </w:p>
    <w:p w:rsidR="00543883" w:rsidRDefault="00543883" w14:paraId="74AE47DE" w14:textId="3F760D14" w:rsidP="008360CD" w:rsidRPr="008360CD">
      <w:pPr>
        <w:jc w:val="center"/>
        <w:rPr>
          <w:bCs/>
          <w:b/>
          <w:sz w:val="36"/>
          <w:szCs w:val="36"/>
        </w:rPr>
      </w:pPr>
      <w:r w:rsidRPr="008360CD">
        <w:rPr>
          <w:bCs/>
          <w:b/>
          <w:sz w:val="36"/>
          <w:szCs w:val="36"/>
        </w:rPr>
        <w:t xml:space="preserve">FACULTY OF BUSINESS AND MANAGEMENT </w:t>
      </w:r>
      <w:r>
        <w:rPr>
          <w:b/>
          <w:sz w:val="36"/>
        </w:rPr>
        <w:t>Semester 1 – 2025-2026</w:t>
      </w:r>
    </w:p>
    <w:p>
      <w:r>
        <w:rPr>
          <w:b/>
          <w:sz w:val="28"/>
        </w:rPr>
      </w:r>
    </w:p>
    <w:p w:rsidR="00554139" w:rsidRDefault="00554139" w14:paraId="008AEA85" w14:textId="77777777" w:rsidP="008360CD" w:rsidRPr="008360CD">
      <w:pPr>
        <w:rPr>
          <w:bCs/>
          <w:b/>
          <w:sz w:val="36"/>
          <w:szCs w:val="36"/>
        </w:rPr>
      </w:pPr>
      <w:r>
        <w:rPr>
          <w:b/>
          <w:sz w:val="28"/>
        </w:rPr>
        <w:t xml:space="preserve">Executive summary </w:t>
      </w:r>
    </w:p>
    <w:p w:rsidR="000D1114" w:rsidRDefault="008921CE" w14:paraId="14A09271" w14:textId="0255B314" w:rsidP="000D1114" w:rsidRPr="000D1114">
      <w:pPr>
        <w:rPr>
          <w:lang w:val="en-GB"/>
        </w:rPr>
      </w:pPr>
      <w:r>
        <w:rPr>
          <w:lang w:val="en-GB"/>
        </w:rPr>
        <w:t xml:space="preserve">For the first segment of the report, financial ratios of Aldi </w:t>
      </w:r>
      <w:r w:rsidR="00B96819">
        <w:rPr>
          <w:lang w:val="en-GB"/>
        </w:rPr>
        <w:t>have</w:t>
      </w:r>
      <w:r>
        <w:rPr>
          <w:lang w:val="en-GB"/>
        </w:rPr>
        <w:t xml:space="preserve"> been evaluated in line with appropriate recommendations for Aldi’s financial management. Additionally, the second part of the</w:t>
      </w:r>
      <w:r w:rsidR="000D1114" w:rsidRPr="000D1114">
        <w:rPr>
          <w:lang w:val="en-GB"/>
        </w:rPr>
        <w:t xml:space="preserve"> report appraises the three strategies and potential investment choices that can be made by Westward Plc using discounted cash flow methods within a </w:t>
      </w:r>
      <w:proofErr w:type="gramStart"/>
      <w:r w:rsidR="000D1114" w:rsidRPr="000D1114">
        <w:rPr>
          <w:lang w:val="en-GB"/>
        </w:rPr>
        <w:t>four year</w:t>
      </w:r>
      <w:proofErr w:type="gramEnd"/>
      <w:r w:rsidR="000D1114" w:rsidRPr="000D1114">
        <w:rPr>
          <w:lang w:val="en-GB"/>
        </w:rPr>
        <w:t xml:space="preserve"> </w:t>
      </w:r>
      <w:r w:rsidRPr="000D1114">
        <w:rPr>
          <w:lang w:val="en-GB"/>
        </w:rPr>
        <w:t>time</w:t>
      </w:r>
      <w:r w:rsidR="000D1114" w:rsidRPr="000D1114">
        <w:rPr>
          <w:lang w:val="en-GB"/>
        </w:rPr>
        <w:t>. Net present value calculations with the cost of capital of 6 taking into consideration the tax, and capital allowances show that all the three projects are being financially viable, with internet sales development project (Project B) producing the highest NPV. Project B has internal rate of return (IRR) of about 32.5 which is remarkably higher than the required rate of return by the company which justifies its financial appeal. The report concludes that Project B is the most preferred project to be done under condition of strategic fit, risk, and financing.</w:t>
      </w:r>
    </w:p>
    <w:p w:rsidR="00213A85" w:rsidRDefault="00213A85" w14:paraId="45DB40A9" w14:textId="2D424F07" w:rsidP="008360CD" w:rsidRPr="008360CD">
      <w:pPr>
        <w:jc w:val="center"/>
        <w:rPr>
          <w:bCs/>
          <w:b/>
          <w:sz w:val="40"/>
          <w:szCs w:val="40"/>
        </w:rPr>
      </w:pPr>
      <w:r>
        <w:rPr>
          <w:b/>
          <w:sz w:val="36"/>
          <w:szCs w:val="36"/>
        </w:rPr>
        <w:br w:type="page"/>
      </w:r>
    </w:p>
    <w:sdt>
      <w:sdtPr>
        <w:rPr>
          <w:rFonts w:ascii="Times New Roman" w:eastAsia="Times New Roman" w:hAnsi="Times New Roman" w:cs="Times New Roman"/>
          <w:b/>
          <w:bCs/>
          <w:color w:val="auto"/>
          <w:sz w:val="28"/>
          <w:szCs w:val="28"/>
          <w:lang w:val=""/>
        </w:rPr>
        <w:id w:val="-2048123592"/>
        <w:docPartObj>
          <w:docPartGallery w:val="Table of Contents"/>
          <w:docPartUnique/>
        </w:docPartObj>
      </w:sdtPr>
      <w:sdtEndPr>
        <w:rPr>
          <w:rFonts w:ascii="Arial" w:hAnsi="Arial"/>
          <w:noProof/>
          <w:sz w:val="24"/>
          <w:szCs w:val="24"/>
        </w:rPr>
      </w:sdtEndPr>
      <w:sdtContent>
        <w:p w:rsidR="00FE1777" w:rsidRDefault="00FE1777" w14:paraId="559B5A76" w14:textId="7CD77DD8" w:rsidP="008360CD" w:rsidRPr="008360CD">
          <w:pPr>
            <w:pStyle w:val="TOCHeading"/>
            <w:jc w:val="center"/>
            <w:spacing w:line="360" w:lineRule="auto"/>
            <w:rPr>
              <w:bCs/>
              <w:b/>
              <w:color w:val="auto"/>
              <w:rFonts w:ascii="Times New Roman" w:cs="Times New Roman" w:hAnsi="Times New Roman"/>
              <w:sz w:val="28"/>
              <w:szCs w:val="28"/>
            </w:rPr>
          </w:pPr>
          <w:r w:rsidRPr="008360CD">
            <w:rPr>
              <w:bCs/>
              <w:b/>
              <w:color w:val="auto"/>
              <w:rFonts w:ascii="Times New Roman" w:cs="Times New Roman" w:hAnsi="Times New Roman"/>
              <w:sz w:val="28"/>
              <w:szCs w:val="28"/>
            </w:rPr>
            <w:t>Table of Contents</w:t>
          </w:r>
        </w:p>
        <w:p w:rsidR="00865328" w:rsidRDefault="00FE1777" w14:paraId="42BA01ED" w14:textId="70C36FD0">
          <w:pPr>
            <w:pStyle w:val="TOC1"/>
            <w:rPr>
              <w:kern w:val="2"/>
              <w:lang w:val="en-US"/>
              <w14:ligatures w14:val="standardContextual"/>
              <w:rFonts w:ascii="Cambria" w:eastAsiaTheme="minorEastAsia" w:hAnsiTheme="minorHAnsi" w:cstheme="minorBidi"/>
            </w:rPr>
          </w:pPr>
          <w:r w:rsidRPr="008360CD">
            <w:fldChar w:fldCharType="begin"/>
          </w:r>
          <w:r w:rsidRPr="008360CD">
            <w:instrText xml:space="preserve"> TOC \o "1-3" \h \z \u </w:instrText>
          </w:r>
          <w:r w:rsidRPr="008360CD">
            <w:fldChar w:fldCharType="separate"/>
          </w:r>
          <w:hyperlink w:anchor="_Toc218539681" w:history="1">
            <w:r w:rsidR="00865328" w:rsidRPr="00416D2A">
              <w:rPr>
                <w:rStyle w:val="Hyperlink"/>
              </w:rPr>
              <w:t>Part 1</w:t>
            </w:r>
            <w:r w:rsidR="00865328">
              <w:rPr>
                <w:webHidden/>
              </w:rPr>
              <w:tab/>
            </w:r>
            <w:r w:rsidR="00865328">
              <w:rPr>
                <w:webHidden/>
              </w:rPr>
              <w:fldChar w:fldCharType="begin"/>
            </w:r>
            <w:r w:rsidR="00865328">
              <w:rPr>
                <w:webHidden/>
              </w:rPr>
              <w:instrText xml:space="preserve"> PAGEREF _Toc218539681 \h </w:instrText>
            </w:r>
            <w:r w:rsidR="00865328">
              <w:rPr>
                <w:webHidden/>
              </w:rPr>
            </w:r>
            <w:r w:rsidR="00865328">
              <w:rPr>
                <w:webHidden/>
              </w:rPr>
              <w:fldChar w:fldCharType="separate"/>
            </w:r>
            <w:r w:rsidR="00865328">
              <w:rPr>
                <w:webHidden/>
              </w:rPr>
              <w:t>5</w:t>
            </w:r>
            <w:r w:rsidR="00865328">
              <w:rPr>
                <w:webHidden/>
              </w:rPr>
              <w:fldChar w:fldCharType="end"/>
            </w:r>
          </w:hyperlink>
        </w:p>
        <w:p w:rsidR="00865328" w:rsidRDefault="00865328" w14:paraId="74E8B3F7" w14:textId="2AA6E644">
          <w:pPr>
            <w:pStyle w:val="TOC1"/>
            <w:rPr>
              <w:kern w:val="2"/>
              <w:lang w:val="en-US"/>
              <w14:ligatures w14:val="standardContextual"/>
              <w:rFonts w:ascii="Cambria" w:eastAsiaTheme="minorEastAsia" w:hAnsiTheme="minorHAnsi" w:cstheme="minorBidi"/>
            </w:rPr>
          </w:pPr>
          <w:hyperlink w:anchor="_Toc218539682" w:history="1">
            <w:r w:rsidRPr="00416D2A">
              <w:rPr>
                <w:rStyle w:val="Hyperlink"/>
              </w:rPr>
              <w:t>1. Introduction</w:t>
            </w:r>
            <w:r>
              <w:rPr>
                <w:webHidden/>
              </w:rPr>
              <w:tab/>
            </w:r>
            <w:r>
              <w:rPr>
                <w:webHidden/>
              </w:rPr>
              <w:fldChar w:fldCharType="begin"/>
            </w:r>
            <w:r>
              <w:rPr>
                <w:webHidden/>
              </w:rPr>
              <w:instrText xml:space="preserve"> PAGEREF _Toc218539682 \h </w:instrText>
            </w:r>
            <w:r>
              <w:rPr>
                <w:webHidden/>
              </w:rPr>
            </w:r>
            <w:r>
              <w:rPr>
                <w:webHidden/>
              </w:rPr>
              <w:fldChar w:fldCharType="separate"/>
            </w:r>
            <w:r>
              <w:rPr>
                <w:webHidden/>
              </w:rPr>
              <w:t>5</w:t>
            </w:r>
            <w:r>
              <w:rPr>
                <w:webHidden/>
              </w:rPr>
              <w:fldChar w:fldCharType="end"/>
            </w:r>
          </w:hyperlink>
        </w:p>
        <w:p w:rsidR="00865328" w:rsidRDefault="00865328" w14:paraId="1E4D06E4" w14:textId="2B848D4D">
          <w:pPr>
            <w:pStyle w:val="TOC1"/>
            <w:rPr>
              <w:kern w:val="2"/>
              <w:lang w:val="en-US"/>
              <w14:ligatures w14:val="standardContextual"/>
              <w:rFonts w:ascii="Cambria" w:eastAsiaTheme="minorEastAsia" w:hAnsiTheme="minorHAnsi" w:cstheme="minorBidi"/>
            </w:rPr>
          </w:pPr>
          <w:hyperlink w:anchor="_Toc218539683" w:history="1">
            <w:r w:rsidRPr="00416D2A">
              <w:rPr>
                <w:rStyle w:val="Hyperlink"/>
              </w:rPr>
              <w:t>2. Findings and analysis</w:t>
            </w:r>
            <w:r>
              <w:rPr>
                <w:webHidden/>
              </w:rPr>
              <w:tab/>
            </w:r>
            <w:r>
              <w:rPr>
                <w:webHidden/>
              </w:rPr>
              <w:fldChar w:fldCharType="begin"/>
            </w:r>
            <w:r>
              <w:rPr>
                <w:webHidden/>
              </w:rPr>
              <w:instrText xml:space="preserve"> PAGEREF _Toc218539683 \h </w:instrText>
            </w:r>
            <w:r>
              <w:rPr>
                <w:webHidden/>
              </w:rPr>
            </w:r>
            <w:r>
              <w:rPr>
                <w:webHidden/>
              </w:rPr>
              <w:fldChar w:fldCharType="separate"/>
            </w:r>
            <w:r>
              <w:rPr>
                <w:webHidden/>
              </w:rPr>
              <w:t>5</w:t>
            </w:r>
            <w:r>
              <w:rPr>
                <w:webHidden/>
              </w:rPr>
              <w:fldChar w:fldCharType="end"/>
            </w:r>
          </w:hyperlink>
        </w:p>
        <w:p w:rsidR="00865328" w:rsidRDefault="00865328" w14:paraId="0C0E0B8F" w14:textId="49592697">
          <w:pPr>
            <w:pStyle w:val="TOC2"/>
            <w:tabs>
              <w:tab w:val="right" w:leader="dot" w:pos="9019"/>
            </w:tabs>
            <w:rPr>
              <w:noProof/>
              <w:kern w:val="2"/>
              <w:lang w:val="en-US"/>
              <w14:ligatures w14:val="standardContextual"/>
              <w:rFonts w:ascii="Cambria" w:eastAsiaTheme="minorEastAsia" w:hAnsiTheme="minorHAnsi" w:cstheme="minorBidi"/>
            </w:rPr>
          </w:pPr>
          <w:hyperlink w:anchor="_Toc218539684" w:history="1">
            <w:r w:rsidRPr="00416D2A">
              <w:rPr>
                <w:noProof/>
                <w:rStyle w:val="Hyperlink"/>
              </w:rPr>
              <w:t>2.1 Ratio analysis for Aldi</w:t>
            </w:r>
            <w:r>
              <w:rPr>
                <w:noProof/>
                <w:webHidden/>
              </w:rPr>
              <w:tab/>
            </w:r>
            <w:r>
              <w:rPr>
                <w:noProof/>
                <w:webHidden/>
              </w:rPr>
              <w:fldChar w:fldCharType="begin"/>
            </w:r>
            <w:r>
              <w:rPr>
                <w:noProof/>
                <w:webHidden/>
              </w:rPr>
              <w:instrText xml:space="preserve"> PAGEREF _Toc218539684 \h </w:instrText>
            </w:r>
            <w:r>
              <w:rPr>
                <w:noProof/>
                <w:webHidden/>
              </w:rPr>
            </w:r>
            <w:r>
              <w:rPr>
                <w:noProof/>
                <w:webHidden/>
              </w:rPr>
              <w:fldChar w:fldCharType="separate"/>
            </w:r>
            <w:r>
              <w:rPr>
                <w:noProof/>
                <w:webHidden/>
              </w:rPr>
              <w:t>5</w:t>
            </w:r>
            <w:r>
              <w:rPr>
                <w:noProof/>
                <w:webHidden/>
              </w:rPr>
              <w:fldChar w:fldCharType="end"/>
            </w:r>
          </w:hyperlink>
        </w:p>
        <w:p w:rsidR="00865328" w:rsidRDefault="00865328" w14:paraId="11DE1F4E" w14:textId="7F58ADA2">
          <w:pPr>
            <w:pStyle w:val="TOC2"/>
            <w:tabs>
              <w:tab w:val="right" w:leader="dot" w:pos="9019"/>
            </w:tabs>
            <w:rPr>
              <w:noProof/>
              <w:kern w:val="2"/>
              <w:lang w:val="en-US"/>
              <w14:ligatures w14:val="standardContextual"/>
              <w:rFonts w:ascii="Cambria" w:eastAsiaTheme="minorEastAsia" w:hAnsiTheme="minorHAnsi" w:cstheme="minorBidi"/>
            </w:rPr>
          </w:pPr>
          <w:hyperlink w:anchor="_Toc218539685" w:history="1">
            <w:r w:rsidRPr="00416D2A">
              <w:rPr>
                <w:noProof/>
                <w:rStyle w:val="Hyperlink"/>
              </w:rPr>
              <w:t>2.2 Critical evaluation of calculated ratios</w:t>
            </w:r>
            <w:r>
              <w:rPr>
                <w:noProof/>
                <w:webHidden/>
              </w:rPr>
              <w:tab/>
            </w:r>
            <w:r>
              <w:rPr>
                <w:noProof/>
                <w:webHidden/>
              </w:rPr>
              <w:fldChar w:fldCharType="begin"/>
            </w:r>
            <w:r>
              <w:rPr>
                <w:noProof/>
                <w:webHidden/>
              </w:rPr>
              <w:instrText xml:space="preserve"> PAGEREF _Toc218539685 \h </w:instrText>
            </w:r>
            <w:r>
              <w:rPr>
                <w:noProof/>
                <w:webHidden/>
              </w:rPr>
            </w:r>
            <w:r>
              <w:rPr>
                <w:noProof/>
                <w:webHidden/>
              </w:rPr>
              <w:fldChar w:fldCharType="separate"/>
            </w:r>
            <w:r>
              <w:rPr>
                <w:noProof/>
                <w:webHidden/>
              </w:rPr>
              <w:t>9</w:t>
            </w:r>
            <w:r>
              <w:rPr>
                <w:noProof/>
                <w:webHidden/>
              </w:rPr>
              <w:fldChar w:fldCharType="end"/>
            </w:r>
          </w:hyperlink>
        </w:p>
        <w:p w:rsidR="00865328" w:rsidRDefault="00865328" w14:paraId="1163A936" w14:textId="04746DC1">
          <w:pPr>
            <w:pStyle w:val="TOC2"/>
            <w:tabs>
              <w:tab w:val="right" w:leader="dot" w:pos="9019"/>
            </w:tabs>
            <w:rPr>
              <w:noProof/>
              <w:kern w:val="2"/>
              <w:lang w:val="en-US"/>
              <w14:ligatures w14:val="standardContextual"/>
              <w:rFonts w:ascii="Cambria" w:eastAsiaTheme="minorEastAsia" w:hAnsiTheme="minorHAnsi" w:cstheme="minorBidi"/>
            </w:rPr>
          </w:pPr>
          <w:hyperlink w:anchor="_Toc218539686" w:history="1">
            <w:r w:rsidRPr="00416D2A">
              <w:rPr>
                <w:noProof/>
                <w:rStyle w:val="Hyperlink"/>
              </w:rPr>
              <w:t>2.3 Recommendation for Aldi’s financial management improvement</w:t>
            </w:r>
            <w:r>
              <w:rPr>
                <w:noProof/>
                <w:webHidden/>
              </w:rPr>
              <w:tab/>
            </w:r>
            <w:r>
              <w:rPr>
                <w:noProof/>
                <w:webHidden/>
              </w:rPr>
              <w:fldChar w:fldCharType="begin"/>
            </w:r>
            <w:r>
              <w:rPr>
                <w:noProof/>
                <w:webHidden/>
              </w:rPr>
              <w:instrText xml:space="preserve"> PAGEREF _Toc218539686 \h </w:instrText>
            </w:r>
            <w:r>
              <w:rPr>
                <w:noProof/>
                <w:webHidden/>
              </w:rPr>
            </w:r>
            <w:r>
              <w:rPr>
                <w:noProof/>
                <w:webHidden/>
              </w:rPr>
              <w:fldChar w:fldCharType="separate"/>
            </w:r>
            <w:r>
              <w:rPr>
                <w:noProof/>
                <w:webHidden/>
              </w:rPr>
              <w:t>11</w:t>
            </w:r>
            <w:r>
              <w:rPr>
                <w:noProof/>
                <w:webHidden/>
              </w:rPr>
              <w:fldChar w:fldCharType="end"/>
            </w:r>
          </w:hyperlink>
        </w:p>
        <w:p w:rsidR="00865328" w:rsidRDefault="00865328" w14:paraId="375F4719" w14:textId="6EBE9F04">
          <w:pPr>
            <w:pStyle w:val="TOC1"/>
            <w:rPr>
              <w:kern w:val="2"/>
              <w:lang w:val="en-US"/>
              <w14:ligatures w14:val="standardContextual"/>
              <w:rFonts w:ascii="Cambria" w:eastAsiaTheme="minorEastAsia" w:hAnsiTheme="minorHAnsi" w:cstheme="minorBidi"/>
            </w:rPr>
          </w:pPr>
          <w:hyperlink w:anchor="_Toc218539687" w:history="1">
            <w:r w:rsidRPr="00416D2A">
              <w:rPr>
                <w:rStyle w:val="Hyperlink"/>
              </w:rPr>
              <w:t>3. Conclusion</w:t>
            </w:r>
            <w:r>
              <w:rPr>
                <w:webHidden/>
              </w:rPr>
              <w:tab/>
            </w:r>
            <w:r>
              <w:rPr>
                <w:webHidden/>
              </w:rPr>
              <w:fldChar w:fldCharType="begin"/>
            </w:r>
            <w:r>
              <w:rPr>
                <w:webHidden/>
              </w:rPr>
              <w:instrText xml:space="preserve"> PAGEREF _Toc218539687 \h </w:instrText>
            </w:r>
            <w:r>
              <w:rPr>
                <w:webHidden/>
              </w:rPr>
            </w:r>
            <w:r>
              <w:rPr>
                <w:webHidden/>
              </w:rPr>
              <w:fldChar w:fldCharType="separate"/>
            </w:r>
            <w:r>
              <w:rPr>
                <w:webHidden/>
              </w:rPr>
              <w:t>14</w:t>
            </w:r>
            <w:r>
              <w:rPr>
                <w:webHidden/>
              </w:rPr>
              <w:fldChar w:fldCharType="end"/>
            </w:r>
          </w:hyperlink>
        </w:p>
        <w:p w:rsidR="00865328" w:rsidRDefault="00865328" w14:paraId="5D3752B0" w14:textId="40903C23">
          <w:pPr>
            <w:pStyle w:val="TOC1"/>
            <w:rPr>
              <w:kern w:val="2"/>
              <w:lang w:val="en-US"/>
              <w14:ligatures w14:val="standardContextual"/>
              <w:rFonts w:ascii="Cambria" w:eastAsiaTheme="minorEastAsia" w:hAnsiTheme="minorHAnsi" w:cstheme="minorBidi"/>
            </w:rPr>
          </w:pPr>
          <w:hyperlink w:anchor="_Toc218539688" w:history="1">
            <w:r w:rsidRPr="00416D2A">
              <w:rPr>
                <w:rStyle w:val="Hyperlink"/>
              </w:rPr>
              <w:t>Part 2</w:t>
            </w:r>
            <w:r>
              <w:rPr>
                <w:webHidden/>
              </w:rPr>
              <w:tab/>
            </w:r>
            <w:r>
              <w:rPr>
                <w:webHidden/>
              </w:rPr>
              <w:fldChar w:fldCharType="begin"/>
            </w:r>
            <w:r>
              <w:rPr>
                <w:webHidden/>
              </w:rPr>
              <w:instrText xml:space="preserve"> PAGEREF _Toc218539688 \h </w:instrText>
            </w:r>
            <w:r>
              <w:rPr>
                <w:webHidden/>
              </w:rPr>
            </w:r>
            <w:r>
              <w:rPr>
                <w:webHidden/>
              </w:rPr>
              <w:fldChar w:fldCharType="separate"/>
            </w:r>
            <w:r>
              <w:rPr>
                <w:webHidden/>
              </w:rPr>
              <w:t>15</w:t>
            </w:r>
            <w:r>
              <w:rPr>
                <w:webHidden/>
              </w:rPr>
              <w:fldChar w:fldCharType="end"/>
            </w:r>
          </w:hyperlink>
        </w:p>
        <w:p w:rsidR="00865328" w:rsidRDefault="00865328" w14:paraId="2E6C0427" w14:textId="0E9132A3">
          <w:pPr>
            <w:pStyle w:val="TOC1"/>
            <w:rPr>
              <w:kern w:val="2"/>
              <w:lang w:val="en-US"/>
              <w14:ligatures w14:val="standardContextual"/>
              <w:rFonts w:ascii="Cambria" w:eastAsiaTheme="minorEastAsia" w:hAnsiTheme="minorHAnsi" w:cstheme="minorBidi"/>
            </w:rPr>
          </w:pPr>
          <w:hyperlink w:anchor="_Toc218539689" w:history="1">
            <w:r w:rsidRPr="00416D2A">
              <w:rPr>
                <w:rStyle w:val="Hyperlink"/>
              </w:rPr>
              <w:t>1. Introduction</w:t>
            </w:r>
            <w:r>
              <w:rPr>
                <w:webHidden/>
              </w:rPr>
              <w:tab/>
            </w:r>
            <w:r>
              <w:rPr>
                <w:webHidden/>
              </w:rPr>
              <w:fldChar w:fldCharType="begin"/>
            </w:r>
            <w:r>
              <w:rPr>
                <w:webHidden/>
              </w:rPr>
              <w:instrText xml:space="preserve"> PAGEREF _Toc218539689 \h </w:instrText>
            </w:r>
            <w:r>
              <w:rPr>
                <w:webHidden/>
              </w:rPr>
            </w:r>
            <w:r>
              <w:rPr>
                <w:webHidden/>
              </w:rPr>
              <w:fldChar w:fldCharType="separate"/>
            </w:r>
            <w:r>
              <w:rPr>
                <w:webHidden/>
              </w:rPr>
              <w:t>15</w:t>
            </w:r>
            <w:r>
              <w:rPr>
                <w:webHidden/>
              </w:rPr>
              <w:fldChar w:fldCharType="end"/>
            </w:r>
          </w:hyperlink>
        </w:p>
        <w:p w:rsidR="00865328" w:rsidRDefault="00865328" w14:paraId="00E81A53" w14:textId="6A81F7A4">
          <w:pPr>
            <w:pStyle w:val="TOC1"/>
            <w:rPr>
              <w:kern w:val="2"/>
              <w:lang w:val="en-US"/>
              <w14:ligatures w14:val="standardContextual"/>
              <w:rFonts w:ascii="Cambria" w:eastAsiaTheme="minorEastAsia" w:hAnsiTheme="minorHAnsi" w:cstheme="minorBidi"/>
            </w:rPr>
          </w:pPr>
          <w:hyperlink w:anchor="_Toc218539690" w:history="1">
            <w:r w:rsidRPr="00416D2A">
              <w:rPr>
                <w:rStyle w:val="Hyperlink"/>
              </w:rPr>
              <w:t>2. Investment option evaluation using NPV</w:t>
            </w:r>
            <w:r>
              <w:rPr>
                <w:webHidden/>
              </w:rPr>
              <w:tab/>
            </w:r>
            <w:r>
              <w:rPr>
                <w:webHidden/>
              </w:rPr>
              <w:fldChar w:fldCharType="begin"/>
            </w:r>
            <w:r>
              <w:rPr>
                <w:webHidden/>
              </w:rPr>
              <w:instrText xml:space="preserve"> PAGEREF _Toc218539690 \h </w:instrText>
            </w:r>
            <w:r>
              <w:rPr>
                <w:webHidden/>
              </w:rPr>
            </w:r>
            <w:r>
              <w:rPr>
                <w:webHidden/>
              </w:rPr>
              <w:fldChar w:fldCharType="separate"/>
            </w:r>
            <w:r>
              <w:rPr>
                <w:webHidden/>
              </w:rPr>
              <w:t>15</w:t>
            </w:r>
            <w:r>
              <w:rPr>
                <w:webHidden/>
              </w:rPr>
              <w:fldChar w:fldCharType="end"/>
            </w:r>
          </w:hyperlink>
        </w:p>
        <w:p w:rsidR="00865328" w:rsidRDefault="00865328" w14:paraId="63468092" w14:textId="68599CB4">
          <w:pPr>
            <w:pStyle w:val="TOC1"/>
            <w:rPr>
              <w:kern w:val="2"/>
              <w:lang w:val="en-US"/>
              <w14:ligatures w14:val="standardContextual"/>
              <w:rFonts w:ascii="Cambria" w:eastAsiaTheme="minorEastAsia" w:hAnsiTheme="minorHAnsi" w:cstheme="minorBidi"/>
            </w:rPr>
          </w:pPr>
          <w:hyperlink w:anchor="_Toc218539691" w:history="1">
            <w:r w:rsidRPr="00416D2A">
              <w:rPr>
                <w:rStyle w:val="Hyperlink"/>
              </w:rPr>
              <w:t>3. IRR evaluation</w:t>
            </w:r>
            <w:r>
              <w:rPr>
                <w:webHidden/>
              </w:rPr>
              <w:tab/>
            </w:r>
            <w:r>
              <w:rPr>
                <w:webHidden/>
              </w:rPr>
              <w:fldChar w:fldCharType="begin"/>
            </w:r>
            <w:r>
              <w:rPr>
                <w:webHidden/>
              </w:rPr>
              <w:instrText xml:space="preserve"> PAGEREF _Toc218539691 \h </w:instrText>
            </w:r>
            <w:r>
              <w:rPr>
                <w:webHidden/>
              </w:rPr>
            </w:r>
            <w:r>
              <w:rPr>
                <w:webHidden/>
              </w:rPr>
              <w:fldChar w:fldCharType="separate"/>
            </w:r>
            <w:r>
              <w:rPr>
                <w:webHidden/>
              </w:rPr>
              <w:t>17</w:t>
            </w:r>
            <w:r>
              <w:rPr>
                <w:webHidden/>
              </w:rPr>
              <w:fldChar w:fldCharType="end"/>
            </w:r>
          </w:hyperlink>
        </w:p>
        <w:p w:rsidR="00865328" w:rsidRDefault="00865328" w14:paraId="22BF5781" w14:textId="6209CB2F">
          <w:pPr>
            <w:pStyle w:val="TOC1"/>
            <w:rPr>
              <w:kern w:val="2"/>
              <w:lang w:val="en-US"/>
              <w14:ligatures w14:val="standardContextual"/>
              <w:rFonts w:ascii="Cambria" w:eastAsiaTheme="minorEastAsia" w:hAnsiTheme="minorHAnsi" w:cstheme="minorBidi"/>
            </w:rPr>
          </w:pPr>
          <w:hyperlink w:anchor="_Toc218539692" w:history="1">
            <w:r w:rsidRPr="00416D2A">
              <w:rPr>
                <w:rStyle w:val="Hyperlink"/>
              </w:rPr>
              <w:t>4. Result interpretation</w:t>
            </w:r>
            <w:r>
              <w:rPr>
                <w:webHidden/>
              </w:rPr>
              <w:tab/>
            </w:r>
            <w:r>
              <w:rPr>
                <w:webHidden/>
              </w:rPr>
              <w:fldChar w:fldCharType="begin"/>
            </w:r>
            <w:r>
              <w:rPr>
                <w:webHidden/>
              </w:rPr>
              <w:instrText xml:space="preserve"> PAGEREF _Toc218539692 \h </w:instrText>
            </w:r>
            <w:r>
              <w:rPr>
                <w:webHidden/>
              </w:rPr>
            </w:r>
            <w:r>
              <w:rPr>
                <w:webHidden/>
              </w:rPr>
              <w:fldChar w:fldCharType="separate"/>
            </w:r>
            <w:r>
              <w:rPr>
                <w:webHidden/>
              </w:rPr>
              <w:t>19</w:t>
            </w:r>
            <w:r>
              <w:rPr>
                <w:webHidden/>
              </w:rPr>
              <w:fldChar w:fldCharType="end"/>
            </w:r>
          </w:hyperlink>
        </w:p>
        <w:p w:rsidR="00865328" w:rsidRDefault="00865328" w14:paraId="218CB579" w14:textId="0F2D158B">
          <w:pPr>
            <w:pStyle w:val="TOC2"/>
            <w:tabs>
              <w:tab w:val="right" w:leader="dot" w:pos="9019"/>
            </w:tabs>
            <w:rPr>
              <w:noProof/>
              <w:kern w:val="2"/>
              <w:lang w:val="en-US"/>
              <w14:ligatures w14:val="standardContextual"/>
              <w:rFonts w:ascii="Cambria" w:eastAsiaTheme="minorEastAsia" w:hAnsiTheme="minorHAnsi" w:cstheme="minorBidi"/>
            </w:rPr>
          </w:pPr>
          <w:hyperlink w:anchor="_Toc218539693" w:history="1">
            <w:r w:rsidRPr="00416D2A">
              <w:rPr>
                <w:noProof/>
                <w:rStyle w:val="Hyperlink"/>
              </w:rPr>
              <w:t>4.1 NPV's relevance as the best investment appraisal method</w:t>
            </w:r>
            <w:r>
              <w:rPr>
                <w:noProof/>
                <w:webHidden/>
              </w:rPr>
              <w:tab/>
            </w:r>
            <w:r>
              <w:rPr>
                <w:noProof/>
                <w:webHidden/>
              </w:rPr>
              <w:fldChar w:fldCharType="begin"/>
            </w:r>
            <w:r>
              <w:rPr>
                <w:noProof/>
                <w:webHidden/>
              </w:rPr>
              <w:instrText xml:space="preserve"> PAGEREF _Toc218539693 \h </w:instrText>
            </w:r>
            <w:r>
              <w:rPr>
                <w:noProof/>
                <w:webHidden/>
              </w:rPr>
            </w:r>
            <w:r>
              <w:rPr>
                <w:noProof/>
                <w:webHidden/>
              </w:rPr>
              <w:fldChar w:fldCharType="separate"/>
            </w:r>
            <w:r>
              <w:rPr>
                <w:noProof/>
                <w:webHidden/>
              </w:rPr>
              <w:t>19</w:t>
            </w:r>
            <w:r>
              <w:rPr>
                <w:noProof/>
                <w:webHidden/>
              </w:rPr>
              <w:fldChar w:fldCharType="end"/>
            </w:r>
          </w:hyperlink>
        </w:p>
        <w:p w:rsidR="00865328" w:rsidRDefault="00865328" w14:paraId="2E1AB2FB" w14:textId="517B45A9">
          <w:pPr>
            <w:pStyle w:val="TOC2"/>
            <w:tabs>
              <w:tab w:val="right" w:leader="dot" w:pos="9019"/>
            </w:tabs>
            <w:rPr>
              <w:noProof/>
              <w:kern w:val="2"/>
              <w:lang w:val="en-US"/>
              <w14:ligatures w14:val="standardContextual"/>
              <w:rFonts w:ascii="Cambria" w:eastAsiaTheme="minorEastAsia" w:hAnsiTheme="minorHAnsi" w:cstheme="minorBidi"/>
            </w:rPr>
          </w:pPr>
          <w:hyperlink w:anchor="_Toc218539694" w:history="1">
            <w:r w:rsidRPr="00416D2A">
              <w:rPr>
                <w:noProof/>
                <w:rStyle w:val="Hyperlink"/>
              </w:rPr>
              <w:t>4.2 Continuous popularity of non-discounting methods of investment appraisal</w:t>
            </w:r>
            <w:r>
              <w:rPr>
                <w:noProof/>
                <w:webHidden/>
              </w:rPr>
              <w:tab/>
            </w:r>
            <w:r>
              <w:rPr>
                <w:noProof/>
                <w:webHidden/>
              </w:rPr>
              <w:fldChar w:fldCharType="begin"/>
            </w:r>
            <w:r>
              <w:rPr>
                <w:noProof/>
                <w:webHidden/>
              </w:rPr>
              <w:instrText xml:space="preserve"> PAGEREF _Toc218539694 \h </w:instrText>
            </w:r>
            <w:r>
              <w:rPr>
                <w:noProof/>
                <w:webHidden/>
              </w:rPr>
            </w:r>
            <w:r>
              <w:rPr>
                <w:noProof/>
                <w:webHidden/>
              </w:rPr>
              <w:fldChar w:fldCharType="separate"/>
            </w:r>
            <w:r>
              <w:rPr>
                <w:noProof/>
                <w:webHidden/>
              </w:rPr>
              <w:t>21</w:t>
            </w:r>
            <w:r>
              <w:rPr>
                <w:noProof/>
                <w:webHidden/>
              </w:rPr>
              <w:fldChar w:fldCharType="end"/>
            </w:r>
          </w:hyperlink>
        </w:p>
        <w:p w:rsidR="00865328" w:rsidRDefault="00865328" w14:paraId="515120B9" w14:textId="179BE9A5">
          <w:pPr>
            <w:pStyle w:val="TOC2"/>
            <w:tabs>
              <w:tab w:val="right" w:leader="dot" w:pos="9019"/>
            </w:tabs>
            <w:rPr>
              <w:noProof/>
              <w:kern w:val="2"/>
              <w:lang w:val="en-US"/>
              <w14:ligatures w14:val="standardContextual"/>
              <w:rFonts w:ascii="Cambria" w:eastAsiaTheme="minorEastAsia" w:hAnsiTheme="minorHAnsi" w:cstheme="minorBidi"/>
            </w:rPr>
          </w:pPr>
          <w:hyperlink w:anchor="_Toc218539695" w:history="1">
            <w:r w:rsidRPr="00416D2A">
              <w:rPr>
                <w:noProof/>
                <w:rStyle w:val="Hyperlink"/>
              </w:rPr>
              <w:t>4.3 Considerable factors before making an investment decision</w:t>
            </w:r>
            <w:r>
              <w:rPr>
                <w:noProof/>
                <w:webHidden/>
              </w:rPr>
              <w:tab/>
            </w:r>
            <w:r>
              <w:rPr>
                <w:noProof/>
                <w:webHidden/>
              </w:rPr>
              <w:fldChar w:fldCharType="begin"/>
            </w:r>
            <w:r>
              <w:rPr>
                <w:noProof/>
                <w:webHidden/>
              </w:rPr>
              <w:instrText xml:space="preserve"> PAGEREF _Toc218539695 \h </w:instrText>
            </w:r>
            <w:r>
              <w:rPr>
                <w:noProof/>
                <w:webHidden/>
              </w:rPr>
            </w:r>
            <w:r>
              <w:rPr>
                <w:noProof/>
                <w:webHidden/>
              </w:rPr>
              <w:fldChar w:fldCharType="separate"/>
            </w:r>
            <w:r>
              <w:rPr>
                <w:noProof/>
                <w:webHidden/>
              </w:rPr>
              <w:t>22</w:t>
            </w:r>
            <w:r>
              <w:rPr>
                <w:noProof/>
                <w:webHidden/>
              </w:rPr>
              <w:fldChar w:fldCharType="end"/>
            </w:r>
          </w:hyperlink>
        </w:p>
        <w:p w:rsidR="00865328" w:rsidRDefault="00865328" w14:paraId="3061355F" w14:textId="059C7EA5">
          <w:pPr>
            <w:pStyle w:val="TOC1"/>
            <w:rPr>
              <w:kern w:val="2"/>
              <w:lang w:val="en-US"/>
              <w14:ligatures w14:val="standardContextual"/>
              <w:rFonts w:ascii="Cambria" w:eastAsiaTheme="minorEastAsia" w:hAnsiTheme="minorHAnsi" w:cstheme="minorBidi"/>
            </w:rPr>
          </w:pPr>
          <w:hyperlink w:anchor="_Toc218539696" w:history="1">
            <w:r w:rsidRPr="00416D2A">
              <w:rPr>
                <w:rStyle w:val="Hyperlink"/>
              </w:rPr>
              <w:t>5. Optimal investment policies</w:t>
            </w:r>
            <w:r>
              <w:rPr>
                <w:webHidden/>
              </w:rPr>
              <w:tab/>
            </w:r>
            <w:r>
              <w:rPr>
                <w:webHidden/>
              </w:rPr>
              <w:fldChar w:fldCharType="begin"/>
            </w:r>
            <w:r>
              <w:rPr>
                <w:webHidden/>
              </w:rPr>
              <w:instrText xml:space="preserve"> PAGEREF _Toc218539696 \h </w:instrText>
            </w:r>
            <w:r>
              <w:rPr>
                <w:webHidden/>
              </w:rPr>
            </w:r>
            <w:r>
              <w:rPr>
                <w:webHidden/>
              </w:rPr>
              <w:fldChar w:fldCharType="separate"/>
            </w:r>
            <w:r>
              <w:rPr>
                <w:webHidden/>
              </w:rPr>
              <w:t>23</w:t>
            </w:r>
            <w:r>
              <w:rPr>
                <w:webHidden/>
              </w:rPr>
              <w:fldChar w:fldCharType="end"/>
            </w:r>
          </w:hyperlink>
        </w:p>
        <w:p w:rsidR="00865328" w:rsidRDefault="00865328" w14:paraId="1C494106" w14:textId="7AB6CB4C">
          <w:pPr>
            <w:pStyle w:val="TOC1"/>
            <w:rPr>
              <w:kern w:val="2"/>
              <w:lang w:val="en-US"/>
              <w14:ligatures w14:val="standardContextual"/>
              <w:rFonts w:ascii="Cambria" w:eastAsiaTheme="minorEastAsia" w:hAnsiTheme="minorHAnsi" w:cstheme="minorBidi"/>
            </w:rPr>
          </w:pPr>
          <w:hyperlink w:anchor="_Toc218539697" w:history="1">
            <w:r w:rsidRPr="00416D2A">
              <w:rPr>
                <w:rStyle w:val="Hyperlink"/>
              </w:rPr>
              <w:t>6. Conclusion</w:t>
            </w:r>
            <w:r>
              <w:rPr>
                <w:webHidden/>
              </w:rPr>
              <w:tab/>
            </w:r>
            <w:r>
              <w:rPr>
                <w:webHidden/>
              </w:rPr>
              <w:fldChar w:fldCharType="begin"/>
            </w:r>
            <w:r>
              <w:rPr>
                <w:webHidden/>
              </w:rPr>
              <w:instrText xml:space="preserve"> PAGEREF _Toc218539697 \h </w:instrText>
            </w:r>
            <w:r>
              <w:rPr>
                <w:webHidden/>
              </w:rPr>
            </w:r>
            <w:r>
              <w:rPr>
                <w:webHidden/>
              </w:rPr>
              <w:fldChar w:fldCharType="separate"/>
            </w:r>
            <w:r>
              <w:rPr>
                <w:webHidden/>
              </w:rPr>
              <w:t>25</w:t>
            </w:r>
            <w:r>
              <w:rPr>
                <w:webHidden/>
              </w:rPr>
              <w:fldChar w:fldCharType="end"/>
            </w:r>
          </w:hyperlink>
        </w:p>
        <w:p w:rsidR="00865328" w:rsidRDefault="00865328" w14:paraId="41504FE8" w14:textId="514FB7A4">
          <w:pPr>
            <w:pStyle w:val="TOC1"/>
            <w:rPr>
              <w:kern w:val="2"/>
              <w:lang w:val="en-US"/>
              <w14:ligatures w14:val="standardContextual"/>
              <w:rFonts w:ascii="Cambria" w:eastAsiaTheme="minorEastAsia" w:hAnsiTheme="minorHAnsi" w:cstheme="minorBidi"/>
            </w:rPr>
          </w:pPr>
          <w:hyperlink w:anchor="_Toc218539698" w:history="1">
            <w:r w:rsidRPr="00416D2A">
              <w:rPr>
                <w:lang w:val="en-GB"/>
                <w:rStyle w:val="Hyperlink"/>
              </w:rPr>
              <w:t>Reference List</w:t>
            </w:r>
            <w:r>
              <w:rPr>
                <w:webHidden/>
              </w:rPr>
              <w:tab/>
            </w:r>
            <w:r>
              <w:rPr>
                <w:webHidden/>
              </w:rPr>
              <w:fldChar w:fldCharType="begin"/>
            </w:r>
            <w:r>
              <w:rPr>
                <w:webHidden/>
              </w:rPr>
              <w:instrText xml:space="preserve"> PAGEREF _Toc218539698 \h </w:instrText>
            </w:r>
            <w:r>
              <w:rPr>
                <w:webHidden/>
              </w:rPr>
            </w:r>
            <w:r>
              <w:rPr>
                <w:webHidden/>
              </w:rPr>
              <w:fldChar w:fldCharType="separate"/>
            </w:r>
            <w:r>
              <w:rPr>
                <w:webHidden/>
              </w:rPr>
              <w:t>26</w:t>
            </w:r>
            <w:r>
              <w:rPr>
                <w:webHidden/>
              </w:rPr>
              <w:fldChar w:fldCharType="end"/>
            </w:r>
          </w:hyperlink>
        </w:p>
        <w:p w:rsidR="00865328" w:rsidRDefault="00865328" w14:paraId="4116511F" w14:textId="40BA80DD">
          <w:pPr>
            <w:pStyle w:val="TOC1"/>
            <w:rPr>
              <w:kern w:val="2"/>
              <w:lang w:val="en-US"/>
              <w14:ligatures w14:val="standardContextual"/>
              <w:rFonts w:ascii="Cambria" w:eastAsiaTheme="minorEastAsia" w:hAnsiTheme="minorHAnsi" w:cstheme="minorBidi"/>
            </w:rPr>
          </w:pPr>
          <w:hyperlink w:anchor="_Toc218539699" w:history="1">
            <w:r w:rsidRPr="00416D2A">
              <w:rPr>
                <w:rStyle w:val="Hyperlink"/>
              </w:rPr>
              <w:t>Appendices</w:t>
            </w:r>
            <w:r>
              <w:rPr>
                <w:webHidden/>
              </w:rPr>
              <w:tab/>
            </w:r>
            <w:r>
              <w:rPr>
                <w:webHidden/>
              </w:rPr>
              <w:fldChar w:fldCharType="begin"/>
            </w:r>
            <w:r>
              <w:rPr>
                <w:webHidden/>
              </w:rPr>
              <w:instrText xml:space="preserve"> PAGEREF _Toc218539699 \h </w:instrText>
            </w:r>
            <w:r>
              <w:rPr>
                <w:webHidden/>
              </w:rPr>
            </w:r>
            <w:r>
              <w:rPr>
                <w:webHidden/>
              </w:rPr>
              <w:fldChar w:fldCharType="separate"/>
            </w:r>
            <w:r>
              <w:rPr>
                <w:webHidden/>
              </w:rPr>
              <w:t>30</w:t>
            </w:r>
            <w:r>
              <w:rPr>
                <w:webHidden/>
              </w:rPr>
              <w:fldChar w:fldCharType="end"/>
            </w:r>
          </w:hyperlink>
        </w:p>
        <w:p w:rsidR="00865328" w:rsidRDefault="00865328" w14:paraId="1032E3F0" w14:textId="4E2D5032">
          <w:pPr>
            <w:pStyle w:val="TOC2"/>
            <w:tabs>
              <w:tab w:val="right" w:leader="dot" w:pos="9019"/>
            </w:tabs>
            <w:rPr>
              <w:noProof/>
              <w:kern w:val="2"/>
              <w:lang w:val="en-US"/>
              <w14:ligatures w14:val="standardContextual"/>
              <w:rFonts w:ascii="Cambria" w:eastAsiaTheme="minorEastAsia" w:hAnsiTheme="minorHAnsi" w:cstheme="minorBidi"/>
            </w:rPr>
          </w:pPr>
          <w:hyperlink w:anchor="_Toc218539700" w:history="1">
            <w:r w:rsidRPr="00416D2A">
              <w:rPr>
                <w:noProof/>
                <w:rStyle w:val="Hyperlink"/>
              </w:rPr>
              <w:t>Appendix 1: Ratio calculation</w:t>
            </w:r>
            <w:r>
              <w:rPr>
                <w:noProof/>
                <w:webHidden/>
              </w:rPr>
              <w:tab/>
            </w:r>
            <w:r>
              <w:rPr>
                <w:noProof/>
                <w:webHidden/>
              </w:rPr>
              <w:fldChar w:fldCharType="begin"/>
            </w:r>
            <w:r>
              <w:rPr>
                <w:noProof/>
                <w:webHidden/>
              </w:rPr>
              <w:instrText xml:space="preserve"> PAGEREF _Toc218539700 \h </w:instrText>
            </w:r>
            <w:r>
              <w:rPr>
                <w:noProof/>
                <w:webHidden/>
              </w:rPr>
            </w:r>
            <w:r>
              <w:rPr>
                <w:noProof/>
                <w:webHidden/>
              </w:rPr>
              <w:fldChar w:fldCharType="separate"/>
            </w:r>
            <w:r>
              <w:rPr>
                <w:noProof/>
                <w:webHidden/>
              </w:rPr>
              <w:t>30</w:t>
            </w:r>
            <w:r>
              <w:rPr>
                <w:noProof/>
                <w:webHidden/>
              </w:rPr>
              <w:fldChar w:fldCharType="end"/>
            </w:r>
          </w:hyperlink>
        </w:p>
        <w:p w:rsidR="00865328" w:rsidRDefault="00865328" w14:paraId="0B5F2138" w14:textId="7E0D6A0C">
          <w:pPr>
            <w:pStyle w:val="TOC2"/>
            <w:tabs>
              <w:tab w:val="right" w:leader="dot" w:pos="9019"/>
            </w:tabs>
            <w:rPr>
              <w:noProof/>
              <w:kern w:val="2"/>
              <w:lang w:val="en-US"/>
              <w14:ligatures w14:val="standardContextual"/>
              <w:rFonts w:ascii="Cambria" w:eastAsiaTheme="minorEastAsia" w:hAnsiTheme="minorHAnsi" w:cstheme="minorBidi"/>
            </w:rPr>
          </w:pPr>
          <w:hyperlink w:anchor="_Toc218539701" w:history="1">
            <w:r w:rsidRPr="00416D2A">
              <w:rPr>
                <w:noProof/>
                <w:rStyle w:val="Hyperlink"/>
              </w:rPr>
              <w:t>Appendix 2: Investment appraisal calculations</w:t>
            </w:r>
            <w:r>
              <w:rPr>
                <w:noProof/>
                <w:webHidden/>
              </w:rPr>
              <w:tab/>
            </w:r>
            <w:r>
              <w:rPr>
                <w:noProof/>
                <w:webHidden/>
              </w:rPr>
              <w:fldChar w:fldCharType="begin"/>
            </w:r>
            <w:r>
              <w:rPr>
                <w:noProof/>
                <w:webHidden/>
              </w:rPr>
              <w:instrText xml:space="preserve"> PAGEREF _Toc218539701 \h </w:instrText>
            </w:r>
            <w:r>
              <w:rPr>
                <w:noProof/>
                <w:webHidden/>
              </w:rPr>
            </w:r>
            <w:r>
              <w:rPr>
                <w:noProof/>
                <w:webHidden/>
              </w:rPr>
              <w:fldChar w:fldCharType="separate"/>
            </w:r>
            <w:r>
              <w:rPr>
                <w:noProof/>
                <w:webHidden/>
              </w:rPr>
              <w:t>31</w:t>
            </w:r>
            <w:r>
              <w:rPr>
                <w:noProof/>
                <w:webHidden/>
              </w:rPr>
              <w:fldChar w:fldCharType="end"/>
            </w:r>
          </w:hyperlink>
        </w:p>
        <w:p w:rsidR="00FE1777" w:rsidRDefault="00FE1777" w14:paraId="43EA42CC" w14:textId="5B8A0934" w:rsidP="008360CD" w:rsidRPr="008360CD">
          <w:r w:rsidRPr="008360CD">
            <w:rPr>
              <w:bCs/>
              <w:noProof/>
              <w:b/>
            </w:rPr>
            <w:fldChar w:fldCharType="end"/>
          </w:r>
        </w:p>
      </w:sdtContent>
    </w:sdt>
    <w:p w:rsidR="00213A85" w:rsidRDefault="00213A85" w14:paraId="18A018A3" w14:textId="77777777" w:rsidP="008360CD" w:rsidRPr="008360CD">
      <w:pPr>
        <w:rPr>
          <w:bCs/>
          <w:b/>
          <w:sz w:val="28"/>
          <w:szCs w:val="28"/>
        </w:rPr>
      </w:pPr>
      <w:r>
        <w:br w:type="page"/>
      </w:r>
    </w:p>
    <w:p w:rsidR="00074BD0" w:rsidRDefault="00000000" w14:paraId="14CCF03E" w14:textId="074C63DF" w:rsidP="008360CD" w:rsidRPr="008360CD">
      <w:pPr>
        <w:pStyle w:val="Heading1"/>
      </w:pPr>
      <w:bookmarkStart w:id="0" w:name="_Toc218539681"/>
      <w:r w:rsidRPr="008360CD">
        <w:t>Part 1</w:t>
        <w:lastRenderedPageBreak/>
      </w:r>
      <w:bookmarkEnd w:id="0"/>
      <w:r w:rsidRPr="008360CD">
        <w:t xml:space="preserve"> </w:t>
      </w:r>
    </w:p>
    <w:p w:rsidR="00074BD0" w:rsidRDefault="00000000" w14:paraId="15294322" w14:textId="77777777" w:rsidP="008360CD" w:rsidRPr="008360CD">
      <w:pPr>
        <w:pStyle w:val="Heading1"/>
      </w:pPr>
      <w:bookmarkStart w:id="1" w:name="_hlz7tyl5ppg0" w:colFirst="0" w:colLast="0"/>
      <w:bookmarkStart w:id="2" w:name="_Toc218539682"/>
      <w:bookmarkEnd w:id="1"/>
      <w:r w:rsidRPr="008360CD">
        <w:t>1. Introduction</w:t>
      </w:r>
      <w:bookmarkEnd w:id="2"/>
    </w:p>
    <w:p w:rsidR="00074BD0" w:rsidRDefault="00000000" w14:paraId="6B012333" w14:textId="77777777" w:rsidP="008360CD" w:rsidRPr="008360CD">
      <w:r w:rsidRPr="008360CD">
        <w:t>The following report provides a financial performance review of Aldi Stores Limited, the subsidiary operating in the UK, based on audited consolidated financial statements. The report was prepared with the aim of giving the Directors an informed opinion on the financial health, operational efficiency, liquidity position, capital structure and other financial management of the company. Ratio analysis is used as the main means of analysis, addressing such areas as profitability, liquidity, efficiency, gearing and investor views. Moreover, computing and analysing the ratios, the report highly evaluates the trend, weaknesses of the ratio analysis, and offers practical guidelines to enhance the financial management and long-term viability of Aldi.</w:t>
      </w:r>
    </w:p>
    <w:p w:rsidR="00074BD0" w:rsidRDefault="00000000" w14:paraId="25B0500B" w14:textId="77777777" w:rsidP="008360CD" w:rsidRPr="008360CD">
      <w:pPr>
        <w:pStyle w:val="Heading1"/>
      </w:pPr>
      <w:bookmarkStart w:id="3" w:name="_johum23o8f0e" w:colFirst="0" w:colLast="0"/>
      <w:bookmarkStart w:id="4" w:name="_Toc218539683"/>
      <w:bookmarkEnd w:id="3"/>
      <w:r w:rsidRPr="008360CD">
        <w:t>2. Findings and analysis</w:t>
      </w:r>
      <w:bookmarkEnd w:id="4"/>
      <w:r w:rsidRPr="008360CD">
        <w:t xml:space="preserve"> </w:t>
      </w:r>
    </w:p>
    <w:p w:rsidR="00074BD0" w:rsidRDefault="00000000" w14:paraId="77FB7ADA" w14:textId="77777777" w:rsidP="008360CD" w:rsidRPr="008360CD">
      <w:pPr>
        <w:pStyle w:val="Heading2"/>
      </w:pPr>
      <w:bookmarkStart w:id="5" w:name="_ub5mvzsu7lws" w:colFirst="0" w:colLast="0"/>
      <w:bookmarkStart w:id="6" w:name="_Toc218539684"/>
      <w:bookmarkEnd w:id="5"/>
      <w:r w:rsidRPr="008360CD">
        <w:t>2.1 Ratio analysis for Aldi</w:t>
      </w:r>
      <w:bookmarkEnd w:id="6"/>
    </w:p>
    <w:p w:rsidR="00074BD0" w:rsidRDefault="00000000" w14:paraId="05A4FAA1" w14:textId="77777777" w:rsidP="008360CD" w:rsidRPr="008360CD">
      <w:r w:rsidRPr="008360CD">
        <w:t>The financial ratio analysis allows a systematic assessment of the performance of Aldi over time, as it provides a connection between data in the statements of income and financial position (Atrill, 2019). Calculated ratios of 2023 and 2024 may help understand the effectiveness of Aldi in turning sales into profit, working with short-term commitments, using assets, and funding its activities.</w:t>
      </w:r>
    </w:p>
    <w:p w:rsidR="00074BD0" w:rsidRDefault="00000000" w14:paraId="252FA8AA" w14:textId="77777777" w:rsidP="008360CD" w:rsidRPr="008360CD">
      <w:pPr>
        <w:rPr>
          <w:bCs/>
          <w:iCs/>
          <w:b/>
          <w:i/>
          <w:u w:val="single"/>
        </w:rPr>
      </w:pPr>
      <w:r w:rsidRPr="008360CD">
        <w:rPr>
          <w:bCs/>
          <w:iCs/>
          <w:b/>
          <w:i/>
          <w:u w:val="single"/>
        </w:rPr>
        <w:t xml:space="preserve">2.1.1 Profitability Ratios </w:t>
      </w:r>
    </w:p>
    <w:p w:rsidR="00074BD0" w:rsidRDefault="00000000" w14:paraId="306641BF" w14:textId="77777777" w:rsidP="008360CD" w:rsidRPr="008360CD">
      <w:r w:rsidRPr="008360CD">
        <w:t>The profitability ratios evaluate the capacity of the organisation to earn profits in relation to sales and the use of capital (Bekaert, 2017). The gross profit margin of Aldi reduced to 5.22% in 2024, refer to figure 1 as compared to that of 5.70% in 2023. This decrease indicates rising cost pressures, which are led by a rise in the cost of inputs, wage growth, and competitive pricing policy within the UK grocery market.</w:t>
      </w:r>
    </w:p>
    <w:p w:rsidR="00074BD0" w:rsidRDefault="00000000" w14:paraId="5DF51ADF" w14:textId="77777777" w:rsidP="008360CD" w:rsidRPr="008360CD">
      <w:pPr>
        <w:jc w:val="center"/>
      </w:pPr>
      <w:r>
        <w:rPr>
          <w:noProof/>
        </w:rPr>
        <w:drawing>
          <wp:inline distB="114300" distL="114300" distR="114300" distT="114300" wp14:anchorId="20689ABA" wp14:editId="31EF26A5">
            <wp:extent cx="4763135" cy="3215640"/>
            <wp:effectExtent l="0" t="0" r="0" b="381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6"/>
                    <a:stretch>
                      <a:fillRect/>
                    </a:stretch>
                  </pic:blipFill>
                  <pic:spPr>
                    <a:xfrm>
                      <a:off x="0" y="0"/>
                      <a:ext cx="4763408" cy="3215824"/>
                    </a:xfrm>
                    <a:prstGeom prst="rect">
                      <a:avLst/>
                    </a:prstGeom>
                  </pic:spPr>
                </pic:pic>
              </a:graphicData>
            </a:graphic>
          </wp:inline>
        </w:drawing>
      </w:r>
    </w:p>
    <w:p w:rsidR="00074BD0" w:rsidRDefault="00000000" w14:paraId="1F14B8BA" w14:textId="700C0FBC" w:rsidP="008360CD" w:rsidRPr="008360CD">
      <w:pPr>
        <w:jc w:val="center"/>
        <w:rPr>
          <w:bCs/>
          <w:b/>
        </w:rPr>
      </w:pPr>
      <w:r w:rsidRPr="008360CD">
        <w:rPr>
          <w:bCs/>
          <w:b/>
        </w:rPr>
        <w:t>Figure 1: Profitability Ratios of Aldi</w:t>
      </w:r>
    </w:p>
    <w:p w:rsidR="00074BD0" w:rsidRDefault="00000000" w14:paraId="78FF77A1" w14:textId="77777777" w:rsidP="008360CD" w:rsidRPr="008360CD">
      <w:pPr>
        <w:jc w:val="center"/>
      </w:pPr>
      <w:r w:rsidRPr="008360CD">
        <w:t>(Source: Self-created)</w:t>
      </w:r>
    </w:p>
    <w:p w:rsidR="00074BD0" w:rsidRDefault="00000000" w14:paraId="7B9D674D" w14:textId="77777777" w:rsidP="008360CD" w:rsidRPr="008360CD">
      <w:r w:rsidRPr="008360CD">
        <w:t>The operating profit margin declined to 2.40 as opposed to 3.09, which implies that the operating expenses increased at a higher rate than the revenue. In that case, there is an increment in turnover in 2024, Aldi is aware of the ability to keep prices low, and it may not have been able to transmit increasing costs to consumers. The net profit margin declined by contracting the operating profitability and the costs of finances, 2.23% to 1.67%. This suggests that there is lower efficiency in realising operating profits available out of long-term capital, perhaps as much investment was made in new stores and infrastructure that are yet to fully convert into equivalent growth in profits (Drury, 2020).</w:t>
      </w:r>
    </w:p>
    <w:p w:rsidR="00074BD0" w:rsidRDefault="00000000" w14:paraId="6090F313" w14:textId="77777777" w:rsidP="008360CD" w:rsidRPr="008360CD">
      <w:pPr>
        <w:rPr>
          <w:bCs/>
          <w:iCs/>
          <w:b/>
          <w:i/>
          <w:u w:val="single"/>
        </w:rPr>
      </w:pPr>
      <w:r w:rsidRPr="008360CD">
        <w:rPr>
          <w:bCs/>
          <w:iCs/>
          <w:b/>
          <w:i/>
          <w:u w:val="single"/>
        </w:rPr>
        <w:t xml:space="preserve">2.1.2 Liquidity Ratios </w:t>
      </w:r>
    </w:p>
    <w:p w:rsidR="00074BD0" w:rsidRDefault="00000000" w14:paraId="33CA14B7" w14:textId="77777777" w:rsidP="008360CD" w:rsidRPr="008360CD">
      <w:r w:rsidRPr="008360CD">
        <w:t>The liquidity ratios assess the capability of Aldi to fulfil its short-term obligations as they become limited in some cases (Mazur et al., 2021). According to Figure 2, the current ratio declined in 2024 to 0.42, and the quick ratio declined to 0.14 as compared to 2023 and 0.27, respectively. The two ratios are significantly lower than the traditional ratio of 1:1.</w:t>
      </w:r>
    </w:p>
    <w:p w:rsidR="00074BD0" w:rsidRDefault="00000000" w14:paraId="6A899123" w14:textId="77777777" w:rsidP="008360CD" w:rsidRPr="008360CD">
      <w:pPr>
        <w:jc w:val="center"/>
      </w:pPr>
      <w:r>
        <w:rPr>
          <w:noProof/>
        </w:rPr>
        <w:drawing>
          <wp:inline distB="114300" distL="114300" distR="114300" distT="114300" wp14:anchorId="10CFCAC4" wp14:editId="289D7925">
            <wp:extent cx="4831715" cy="3040380"/>
            <wp:effectExtent l="0" t="0" r="6985" b="762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4"/>
                    <a:stretch>
                      <a:fillRect/>
                    </a:stretch>
                  </pic:blipFill>
                  <pic:spPr>
                    <a:xfrm>
                      <a:off x="0" y="0"/>
                      <a:ext cx="4831990" cy="3040553"/>
                    </a:xfrm>
                    <a:prstGeom prst="rect">
                      <a:avLst/>
                    </a:prstGeom>
                  </pic:spPr>
                </pic:pic>
              </a:graphicData>
            </a:graphic>
          </wp:inline>
        </w:drawing>
      </w:r>
    </w:p>
    <w:p w:rsidR="00074BD0" w:rsidRDefault="00000000" w14:paraId="3A91D1B1" w14:textId="19C4923D" w:rsidP="008360CD" w:rsidRPr="008360CD">
      <w:pPr>
        <w:jc w:val="center"/>
        <w:rPr>
          <w:bCs/>
          <w:b/>
        </w:rPr>
      </w:pPr>
      <w:r w:rsidRPr="008360CD">
        <w:rPr>
          <w:bCs/>
          <w:b/>
        </w:rPr>
        <w:t>Figure 2: Liquidity ratios of Aldi</w:t>
      </w:r>
    </w:p>
    <w:p w:rsidR="00074BD0" w:rsidRDefault="00000000" w14:paraId="07265550" w14:textId="77777777" w:rsidP="008360CD" w:rsidRPr="008360CD">
      <w:pPr>
        <w:jc w:val="center"/>
      </w:pPr>
      <w:r w:rsidRPr="008360CD">
        <w:t>(Source: Self-created)</w:t>
      </w:r>
    </w:p>
    <w:p w:rsidR="00074BD0" w:rsidRDefault="00000000" w14:paraId="64A381A7" w14:textId="583ECCA4" w:rsidP="008360CD" w:rsidRPr="008360CD">
      <w:r w:rsidRPr="008360CD">
        <w:t>Although low liquidity ratios can be efficient, they are beneficial in the case of discount retailers like Aldi, which failed to maintain high cash reserves</w:t>
      </w:r>
      <w:r w:rsidR="00337D02">
        <w:t xml:space="preserve">; however, </w:t>
      </w:r>
      <w:r w:rsidRPr="008360CD">
        <w:t>instead due to high rates of turnover and operating working cash flows. The subsequent reduction in 2024 indicates greater dependency on supplier credit and less short-term financial flexibility.</w:t>
      </w:r>
    </w:p>
    <w:p w:rsidR="00074BD0" w:rsidRDefault="00000000" w14:paraId="6FB1C838" w14:textId="77777777" w:rsidP="008360CD" w:rsidRPr="008360CD">
      <w:pPr>
        <w:rPr>
          <w:bCs/>
          <w:iCs/>
          <w:b/>
          <w:i/>
          <w:u w:val="single"/>
        </w:rPr>
      </w:pPr>
      <w:r w:rsidRPr="008360CD">
        <w:rPr>
          <w:bCs/>
          <w:iCs/>
          <w:b/>
          <w:i/>
          <w:u w:val="single"/>
        </w:rPr>
        <w:t xml:space="preserve">2.1.3 Efficiency ratios </w:t>
      </w:r>
    </w:p>
    <w:p w:rsidR="00074BD0" w:rsidRDefault="00000000" w14:paraId="125B0368" w14:textId="3C9D096E" w:rsidP="008360CD" w:rsidRPr="008360CD">
      <w:r w:rsidRPr="008360CD">
        <w:t>Efficiency ratios determine the effectiveness of Aldi in using its assets and working capital. The stock movement, as indicated in Figure 3, was slightly slow as inventory days increased to 11.88 days compared to 10.75 days. This can be indicative of increased inventory quantities to control infrastructure supply chain failures or seasonability (</w:t>
      </w:r>
      <w:r w:rsidR="00125C2A" w:rsidRPr="008360CD">
        <w:t>Tadayonrad and Ndiaye, 2023</w:t>
      </w:r>
      <w:r w:rsidRPr="008360CD">
        <w:t>).</w:t>
      </w:r>
    </w:p>
    <w:p w:rsidR="00074BD0" w:rsidRDefault="00000000" w14:paraId="489E7862" w14:textId="77777777" w:rsidP="008360CD" w:rsidRPr="008360CD">
      <w:pPr>
        <w:jc w:val="center"/>
      </w:pPr>
      <w:r>
        <w:rPr>
          <w:noProof/>
        </w:rPr>
        <w:drawing>
          <wp:inline distB="114300" distL="114300" distR="114300" distT="114300" wp14:anchorId="0BEF8B88" wp14:editId="12108BB0">
            <wp:extent cx="4770755" cy="3025140"/>
            <wp:effectExtent l="0" t="0" r="0" b="381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81"/>
                    <a:stretch>
                      <a:fillRect/>
                    </a:stretch>
                  </pic:blipFill>
                  <pic:spPr>
                    <a:xfrm>
                      <a:off x="0" y="0"/>
                      <a:ext cx="4771028" cy="3025313"/>
                    </a:xfrm>
                    <a:prstGeom prst="rect">
                      <a:avLst/>
                    </a:prstGeom>
                  </pic:spPr>
                </pic:pic>
              </a:graphicData>
            </a:graphic>
          </wp:inline>
        </w:drawing>
      </w:r>
    </w:p>
    <w:p w:rsidR="00074BD0" w:rsidRDefault="00000000" w14:paraId="027D2C02" w14:textId="252AFA37" w:rsidP="008360CD" w:rsidRPr="008360CD">
      <w:pPr>
        <w:jc w:val="center"/>
        <w:rPr>
          <w:bCs/>
          <w:b/>
        </w:rPr>
      </w:pPr>
      <w:r w:rsidRPr="008360CD">
        <w:rPr>
          <w:bCs/>
          <w:b/>
        </w:rPr>
        <w:t>Figure 3: Efficiency ratios</w:t>
      </w:r>
    </w:p>
    <w:p w:rsidR="00074BD0" w:rsidRDefault="00000000" w14:paraId="170E0B7E" w14:textId="77777777" w:rsidP="008360CD" w:rsidRPr="008360CD">
      <w:pPr>
        <w:jc w:val="center"/>
      </w:pPr>
      <w:r w:rsidRPr="008360CD">
        <w:t>(Source: Self-created)</w:t>
      </w:r>
    </w:p>
    <w:p w:rsidR="00074BD0" w:rsidRDefault="00000000" w14:paraId="10DB8E2F" w14:textId="7EBAB2A4" w:rsidP="008360CD" w:rsidRPr="008360CD">
      <w:r w:rsidRPr="008360CD">
        <w:t>On the other hand, the receivables days have been reducing drastically, as it has declined by 7.62 days to 3.43 days, which is indicative of effective credit management and quick collection of cash. The days on payables have declined by 48.00 days to 43.25 days, indicating that Aldi is paying suppliers faster, which may lower its liquidity position</w:t>
      </w:r>
      <w:r w:rsidR="003D2412">
        <w:t xml:space="preserve">; however, </w:t>
      </w:r>
      <w:r w:rsidRPr="008360CD">
        <w:t>enhance its positive relation with the suppliers. Asset turnover decreased slightly, which indicated the asset investment increment as opposed to the revenue growth (Liu, 2022).</w:t>
      </w:r>
    </w:p>
    <w:p w:rsidR="00074BD0" w:rsidRDefault="00000000" w14:paraId="51EA6E66" w14:textId="77777777" w:rsidP="008360CD" w:rsidRPr="008360CD">
      <w:pPr>
        <w:rPr>
          <w:bCs/>
          <w:iCs/>
          <w:b/>
          <w:i/>
          <w:u w:val="single"/>
        </w:rPr>
      </w:pPr>
      <w:r w:rsidRPr="008360CD">
        <w:rPr>
          <w:bCs/>
          <w:iCs/>
          <w:b/>
          <w:i/>
          <w:u w:val="single"/>
        </w:rPr>
        <w:t xml:space="preserve">2.1.4 Gearing ratios </w:t>
      </w:r>
    </w:p>
    <w:p w:rsidR="00074BD0" w:rsidRDefault="00000000" w14:paraId="299A2A47" w14:textId="77777777" w:rsidP="008360CD" w:rsidRPr="008360CD">
      <w:r w:rsidRPr="008360CD">
        <w:t xml:space="preserve">Gearing ratios determine financial risk that can be caused by the capital structure of the company (Challoumis, 2024). Figure 4 highlights that Aldi has lost its 0.16 debt-to-equity ratio and assumes 0.22 as the result of increased dependence on long-term borrowing. In that case, interest cover had fallen to 12.28 times compared to 17.43 times, with operations profits with less operating profit and increased finance costs. </w:t>
      </w:r>
    </w:p>
    <w:p w:rsidR="00074BD0" w:rsidRDefault="00000000" w14:paraId="1A54BCDD" w14:textId="77777777" w:rsidP="008360CD" w:rsidRPr="008360CD">
      <w:pPr>
        <w:jc w:val="center"/>
      </w:pPr>
      <w:r>
        <w:rPr>
          <w:noProof/>
        </w:rPr>
        <w:drawing>
          <wp:inline distB="114300" distL="114300" distR="114300" distT="114300" wp14:anchorId="4A969107" wp14:editId="1453A985">
            <wp:extent cx="4686935" cy="2697480"/>
            <wp:effectExtent l="0" t="0" r="0" b="762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9"/>
                    <a:stretch>
                      <a:fillRect/>
                    </a:stretch>
                  </pic:blipFill>
                  <pic:spPr>
                    <a:xfrm>
                      <a:off x="0" y="0"/>
                      <a:ext cx="4687203" cy="2697634"/>
                    </a:xfrm>
                    <a:prstGeom prst="rect">
                      <a:avLst/>
                    </a:prstGeom>
                  </pic:spPr>
                </pic:pic>
              </a:graphicData>
            </a:graphic>
          </wp:inline>
        </w:drawing>
      </w:r>
    </w:p>
    <w:p w:rsidR="00074BD0" w:rsidRDefault="00000000" w14:paraId="3FDE204F" w14:textId="7CCDD177" w:rsidP="008360CD" w:rsidRPr="008360CD">
      <w:pPr>
        <w:jc w:val="center"/>
        <w:rPr>
          <w:bCs/>
          <w:b/>
        </w:rPr>
      </w:pPr>
      <w:r w:rsidRPr="008360CD">
        <w:rPr>
          <w:bCs/>
          <w:b/>
        </w:rPr>
        <w:t>Figure 4: Gearing ratios</w:t>
      </w:r>
    </w:p>
    <w:p w:rsidR="00074BD0" w:rsidRDefault="00000000" w14:paraId="478A4F1D" w14:textId="77777777" w:rsidP="008360CD" w:rsidRPr="008360CD">
      <w:pPr>
        <w:jc w:val="center"/>
      </w:pPr>
      <w:r w:rsidRPr="008360CD">
        <w:t>(Source: Self-created)</w:t>
      </w:r>
    </w:p>
    <w:p w:rsidR="00074BD0" w:rsidRDefault="00000000" w14:paraId="2009F244" w14:textId="77777777" w:rsidP="008360CD" w:rsidRPr="008360CD">
      <w:pPr>
        <w:pStyle w:val="Heading2"/>
      </w:pPr>
      <w:bookmarkStart w:id="7" w:name="_o7en3eq1scjp" w:colFirst="0" w:colLast="0"/>
      <w:bookmarkStart w:id="8" w:name="_Toc218539685"/>
      <w:bookmarkEnd w:id="7"/>
      <w:r w:rsidRPr="008360CD">
        <w:t>2.2 Critical evaluation of calculated ratios</w:t>
      </w:r>
      <w:bookmarkEnd w:id="8"/>
    </w:p>
    <w:p w:rsidR="00074BD0" w:rsidRDefault="00000000" w14:paraId="389FCF4E" w14:textId="77777777" w:rsidP="008360CD" w:rsidRPr="008360CD">
      <w:r w:rsidRPr="008360CD">
        <w:t>In this section, critical assessments of the financial ratios of Aldi Stores Limited for the years ended 31 December 2023 and 31 December 2024 are assessed critically. The analysis has taken into consideration an increase or decrease in profitability, liquidity, efficiency, gearing and the measures and involves the investor, as well as the inseparable limitations of ratio analysis by itself are identified (Le, 2021).</w:t>
      </w:r>
    </w:p>
    <w:p w:rsidR="00074BD0" w:rsidRDefault="00000000" w14:paraId="65E0AA71" w14:textId="77777777" w:rsidP="008360CD" w:rsidRPr="008360CD">
      <w:pPr>
        <w:rPr>
          <w:bCs/>
          <w:iCs/>
          <w:b/>
          <w:i/>
          <w:u w:val="single"/>
        </w:rPr>
      </w:pPr>
      <w:r w:rsidRPr="008360CD">
        <w:rPr>
          <w:bCs/>
          <w:iCs/>
          <w:b/>
          <w:i/>
          <w:u w:val="single"/>
        </w:rPr>
        <w:t>Profitability Ratios</w:t>
      </w:r>
    </w:p>
    <w:p w:rsidR="00074BD0" w:rsidRDefault="00000000" w14:paraId="76F79959" w14:textId="77777777" w:rsidP="008360CD" w:rsidRPr="008360CD">
      <w:r w:rsidRPr="008360CD">
        <w:t>The profitability ratios highlight that there is a decline in the earnings performance of Aldi over the period. Its gross profit margin decreased to 5.22 in 2024 versus 5.70 in 2023, indicating that its cost of sales increased by a greater percentage than its revenue. The trend can probably be explained as it remains under the influence of inflationary pressure in the food commodities, energy and logistic expenditures (Fan et al., 2023). As Aldi has a low-cost strategy of hard-discounting, the company can maintain these cost-related limitations and fails to transfer it into the clients at the expense of its competitive stance.</w:t>
      </w:r>
    </w:p>
    <w:p w:rsidR="00074BD0" w:rsidRDefault="00000000" w14:paraId="13C2E58B" w14:textId="77777777" w:rsidP="008360CD" w:rsidRPr="008360CD">
      <w:r w:rsidRPr="008360CD">
        <w:t xml:space="preserve">The decrease is more evident in the levels of operating and net profits. The margin profit decreased to 2.40, which represented the increase in the administrative and </w:t>
      </w:r>
      <w:r w:rsidRPr="008360CD">
        <w:t xml:space="preserve">operating expenses. The possible causes of this include investment in store expansion, wage increments to attract and retain labour and an increase in compliance costs. The net profit margin needs to be managed to be lower than previously, at 1.67, which explains the joint effect of the decreasing operating profitability and the rising finance costs. In that case, the absolute level of profitability is positive, and the declining trend implies the concern raised as to whether the margin can be sustained in a dynamic retail world (Xue, 2025). The value of return on capital employed (ROCE) decreased drastically to 11.43, which was much lower than 16.82%. This implies that Aldi had been generating low operating returns compared to the investment that they made in the business. This decrease can be attributed to a high rate of investment in fixed assets, including the new stores and distribution facilities. </w:t>
        <w:lastRenderedPageBreak/>
      </w:r>
    </w:p>
    <w:p w:rsidR="00074BD0" w:rsidRDefault="00000000" w14:paraId="36ECC2DD" w14:textId="77777777" w:rsidP="008360CD" w:rsidRPr="008360CD">
      <w:pPr>
        <w:rPr>
          <w:bCs/>
          <w:iCs/>
          <w:b/>
          <w:i/>
          <w:u w:val="single"/>
        </w:rPr>
      </w:pPr>
      <w:r w:rsidRPr="008360CD">
        <w:rPr>
          <w:bCs/>
          <w:iCs/>
          <w:b/>
          <w:i/>
          <w:u w:val="single"/>
        </w:rPr>
        <w:t>Liquidity Ratios</w:t>
      </w:r>
    </w:p>
    <w:p w:rsidR="00074BD0" w:rsidRDefault="00000000" w14:paraId="33FC690F" w14:textId="77777777" w:rsidP="008360CD" w:rsidRPr="008360CD">
      <w:r w:rsidRPr="008360CD">
        <w:t xml:space="preserve">The liquidity ratios indicate that Aldi is experiencing low short-term liquidity. The current ratio decreased during the same period (2023) to 2024 (0.49 on 0.14), and the quick ratio decreased during the same period (2023) to 2024 (0.27 on 0.14). This is much lower than standard values, implying that current assets are substantially less than current liabilities. These ratios need to be viewed within the framework of the business model of Aldi. The company is a high-volume, short-cycle retailer which depends on repeated cash receipts through sales and long credit periods among suppliers, as opposed to maintaining large deposits of liquid assets (Shou, 2022). However, the additional worsening of liquidity ratios in 2024 can be taken as an indication of the growing reliance on short-term liabilities. </w:t>
      </w:r>
    </w:p>
    <w:p w:rsidR="00074BD0" w:rsidRDefault="00000000" w14:paraId="755736F1" w14:textId="77777777" w:rsidP="008360CD" w:rsidRPr="008360CD">
      <w:pPr>
        <w:rPr>
          <w:bCs/>
          <w:iCs/>
          <w:b/>
          <w:i/>
          <w:u w:val="single"/>
        </w:rPr>
      </w:pPr>
      <w:r w:rsidRPr="008360CD">
        <w:rPr>
          <w:bCs/>
          <w:iCs/>
          <w:b/>
          <w:i/>
          <w:u w:val="single"/>
        </w:rPr>
        <w:t>Efficiency Ratios</w:t>
      </w:r>
    </w:p>
    <w:p w:rsidR="00074BD0" w:rsidRDefault="00000000" w14:paraId="2DE3BB3B" w14:textId="6B3872CA" w:rsidP="008360CD" w:rsidRPr="008360CD">
      <w:r w:rsidRPr="008360CD">
        <w:t xml:space="preserve">The efficiency ratios will offer information regarding the management of the working capital and asset utilisation of Aldi. The number of inventory days has risen to 11.88 days, a decrease in the number compared to 10.75 days. This can be attributed to increased inventory to cover supply chain failures or expansion of the store (Arjunan, 2022). Receivables days, on the other hand, had improved by large margins, with the decrease in receivables days to 3.43 days. This indicates good cash collection habits and a mostly cash-based grocery retailing business. The payables days decreased to 43.25 days as compared to 48.00 days, indicating that Aldi is paying its suppliers much </w:t>
      </w:r>
      <w:r w:rsidRPr="008360CD">
        <w:t xml:space="preserve">faster. As this will reinforce the supplier relations, it undermines the liquidity advantages of trade credit. The turnover of assets went down marginally to 3.10 times as compared to 3.25 times, showing that the level of growth in revenue was not as high as the growth in the asset base. </w:t>
        <w:lastRenderedPageBreak/>
      </w:r>
    </w:p>
    <w:p w:rsidR="00074BD0" w:rsidRDefault="00000000" w14:paraId="14928DB2" w14:textId="77777777" w:rsidP="008360CD" w:rsidRPr="008360CD">
      <w:pPr>
        <w:rPr>
          <w:bCs/>
          <w:iCs/>
          <w:b/>
          <w:i/>
          <w:u w:val="single"/>
        </w:rPr>
      </w:pPr>
      <w:r w:rsidRPr="008360CD">
        <w:rPr>
          <w:bCs/>
          <w:iCs/>
          <w:b/>
          <w:i/>
          <w:u w:val="single"/>
        </w:rPr>
        <w:t>Gearing Ratios</w:t>
      </w:r>
    </w:p>
    <w:p w:rsidR="00074BD0" w:rsidRDefault="00000000" w14:paraId="55528F2C" w14:textId="519B01A8" w:rsidP="008360CD" w:rsidRPr="008360CD">
      <w:r w:rsidRPr="008360CD">
        <w:t>The gearing rates indicate that there is a moderate yet rising amount of financial risk. The debt-to-equity ratio increased between 0.16 in 2023 and 0.22 in 2024, which means that more long-term borrowings were used to finance the activity and expansion. Though the actual amount of gearing is not efficient, the growth tendency implies exposure to more interest rate risk. Interest coverage reduced from 17.43 times to 12.28 times, demonstrating a decrease in operating profits and an increase in the finance costs. In that case, this continues to portray a high capacity to service debt; subsequent downfalls will limit the financial discretion as the interest rates are high (</w:t>
      </w:r>
      <w:r w:rsidR="0073152F" w:rsidRPr="008360CD">
        <w:t>Cooper, 2023</w:t>
      </w:r>
      <w:r w:rsidRPr="008360CD">
        <w:t>).</w:t>
      </w:r>
    </w:p>
    <w:p w:rsidR="00074BD0" w:rsidRDefault="00000000" w14:paraId="5B4B7CF3" w14:textId="77777777" w:rsidP="008360CD" w:rsidRPr="008360CD">
      <w:pPr>
        <w:rPr>
          <w:bCs/>
          <w:iCs/>
          <w:b/>
          <w:i/>
          <w:u w:val="single"/>
        </w:rPr>
      </w:pPr>
      <w:r w:rsidRPr="008360CD">
        <w:rPr>
          <w:bCs/>
          <w:iCs/>
          <w:b/>
          <w:i/>
          <w:u w:val="single"/>
        </w:rPr>
        <w:t>Investor Ratios and Limitations</w:t>
      </w:r>
    </w:p>
    <w:p w:rsidR="00074BD0" w:rsidRDefault="00000000" w14:paraId="7A055AAE" w14:textId="74B00710" w:rsidP="008360CD" w:rsidRPr="008360CD">
      <w:r w:rsidRPr="008360CD">
        <w:t>Investor ratio analysis, such as earnings per share and price-earnings ratio, cannot be used since Aldi Stores Limited is a privately owned company. This restricts the external market-based evaluation of performance and gives more focus on the internal financial measures. Ratios are recollected in that they are susceptible to accounting policies and fail to focus on qualitative aspects like brand strength, market share and positioning strategy (</w:t>
      </w:r>
      <w:r w:rsidR="0073152F" w:rsidRPr="008360CD">
        <w:t>Osarenmwinda, 2024</w:t>
      </w:r>
      <w:r w:rsidRPr="008360CD">
        <w:t>). There is the potential of distorting year-to-year comparability due to inflation and other changes in the accounting standards that may affect lease accounting, in particular. As a result, ratios are not to be viewed independently of strategic and qualitative analysis.</w:t>
      </w:r>
    </w:p>
    <w:p w:rsidR="00074BD0" w:rsidRDefault="00000000" w14:paraId="3A74AE56" w14:textId="77777777" w:rsidP="008360CD" w:rsidRPr="008360CD">
      <w:pPr>
        <w:pStyle w:val="Heading2"/>
      </w:pPr>
      <w:bookmarkStart w:id="9" w:name="_ijyyanohnibd" w:colFirst="0" w:colLast="0"/>
      <w:bookmarkStart w:id="10" w:name="_Toc218539686"/>
      <w:bookmarkEnd w:id="9"/>
      <w:r w:rsidRPr="008360CD">
        <w:t>2.3 Recommendation for Aldi’s financial management improvement</w:t>
      </w:r>
      <w:bookmarkEnd w:id="10"/>
    </w:p>
    <w:p w:rsidR="00074BD0" w:rsidRDefault="00000000" w14:paraId="2950ED17" w14:textId="77777777" w:rsidP="008360CD" w:rsidRPr="008360CD">
      <w:pPr>
        <w:rPr>
          <w:bCs/>
          <w:iCs/>
          <w:b/>
          <w:i/>
        </w:rPr>
      </w:pPr>
      <w:r w:rsidRPr="008360CD">
        <w:rPr>
          <w:bCs/>
          <w:iCs/>
          <w:b/>
          <w:i/>
        </w:rPr>
        <w:t>Increase profit margins by optimising costs and prices</w:t>
      </w:r>
    </w:p>
    <w:p w:rsidR="00074BD0" w:rsidRDefault="00000000" w14:paraId="20A448A6" w14:textId="77777777" w:rsidP="008360CD" w:rsidRPr="008360CD">
      <w:r w:rsidRPr="008360CD">
        <w:t xml:space="preserve">The gross profit margin, operating profit margin and net profit margin are decreasing, which implies that rising cost requirements are not completely balanced with growth in revenues. Aldi needs to intensify its cost-management efforts, which may involve </w:t>
      </w:r>
      <w:r w:rsidRPr="008360CD">
        <w:t>contracting suppliers further, increasing sourcing of its own label, as well as an investment in automation at the distribution centres (Le, 2021). Wastage on perishable products could be minimised through the increased application of data analytics to make more precise demand forecasts. In that case, Aldi remains discount-oriented in terms of price positioning, price increases in the premium segments under personal-label may be selective and enhance the margins of the company without compromising the brand value proposition. The use of energy-efficient stores and logistics can continue to lower operating costs in the medium term, which contributes to the recovery of margins (Cooper, 2023).</w:t>
        <w:lastRenderedPageBreak/>
      </w:r>
    </w:p>
    <w:p w:rsidR="00074BD0" w:rsidRDefault="00000000" w14:paraId="5983D21C" w14:textId="1832B324" w:rsidP="008360CD" w:rsidRPr="008360CD">
      <w:pPr>
        <w:rPr>
          <w:bCs/>
          <w:iCs/>
          <w:b/>
          <w:i/>
        </w:rPr>
      </w:pPr>
      <w:r w:rsidRPr="008360CD">
        <w:rPr>
          <w:bCs/>
          <w:iCs/>
          <w:b/>
          <w:i/>
        </w:rPr>
        <w:t>Enhance capital efficiency and ROCE</w:t>
      </w:r>
    </w:p>
    <w:p w:rsidR="00074BD0" w:rsidRDefault="00000000" w14:paraId="312052CA" w14:textId="088BEC49" w:rsidP="008360CD" w:rsidRPr="008360CD">
      <w:r w:rsidRPr="008360CD">
        <w:t>ROCE is poor as it is based on implying that the current capital expenditure efforts of the company are not paying off in operating returns. The approach to capital evaluation taken by Aldi should be more stringent in reviewing new store openings and investments in infrastructure (</w:t>
      </w:r>
      <w:r w:rsidR="006828D4" w:rsidRPr="008360CD">
        <w:t>Cooper, 2023</w:t>
      </w:r>
      <w:r w:rsidRPr="008360CD">
        <w:t>). The priorities of the project should be done according to the anticipated amount of cash and payback period, as the capital must be taken to the location and project that provides the best returns. Moreover, the reviews should be used after the investment to the end of the year of investment to determine whether the new assets are exceeding profitability expectations (Abdul Kareem et al., 2023). In case of poor-quality assets, Aldi can explore its asset restructuring or divesting operations to enhance total capital efficiency. The increase in ROCE will raise shareholder value and guarantee long-term sustainable growth.</w:t>
      </w:r>
    </w:p>
    <w:p w:rsidR="00074BD0" w:rsidRDefault="00000000" w14:paraId="4014E853" w14:textId="77777777" w:rsidP="008360CD" w:rsidRPr="008360CD">
      <w:pPr>
        <w:rPr>
          <w:bCs/>
          <w:iCs/>
          <w:b/>
          <w:i/>
        </w:rPr>
      </w:pPr>
      <w:r w:rsidRPr="008360CD">
        <w:rPr>
          <w:bCs/>
          <w:iCs/>
          <w:b/>
          <w:i/>
        </w:rPr>
        <w:t>Improve liquidity resilience and management of cash flows.</w:t>
      </w:r>
    </w:p>
    <w:p w:rsidR="00074BD0" w:rsidRDefault="00000000" w14:paraId="7D2182ED" w14:textId="323853B6" w:rsidP="008360CD" w:rsidRPr="008360CD">
      <w:r w:rsidRPr="008360CD">
        <w:t xml:space="preserve">The statistics of liquidity indicate that Aldi has a very minimal liquidity cushion in the short term. Even though this is as per the high-turnover retail concept of the company, the increased decline in liquidity ratios in 2024 leaves the company more exposed to external shocks (Almansour et al., 2023). To enhance the resilience in this area, Aldi needs to install more advanced cash-flow forecasting mechanisms that enable the management team to predict cash constraint periods. Having a minimum cash reserve policy or getting committed revolving credit facilities would add to the financial flexibility. As the excess cash is not effective under normal circumstances, having </w:t>
      </w:r>
      <w:r w:rsidRPr="008360CD">
        <w:t>access to liquidity at times of economic recessions or a disruption of the supply chains is necessary to maintain the business operation (Adil et al., 2022).</w:t>
        <w:lastRenderedPageBreak/>
      </w:r>
    </w:p>
    <w:p w:rsidR="00074BD0" w:rsidRDefault="00000000" w14:paraId="09A8C8F2" w14:textId="77777777" w:rsidP="008360CD" w:rsidRPr="008360CD">
      <w:pPr>
        <w:rPr>
          <w:bCs/>
          <w:iCs/>
          <w:b/>
          <w:i/>
        </w:rPr>
      </w:pPr>
      <w:r w:rsidRPr="008360CD">
        <w:rPr>
          <w:bCs/>
          <w:iCs/>
          <w:b/>
          <w:i/>
        </w:rPr>
        <w:t>Optimise the management of working capital.</w:t>
      </w:r>
    </w:p>
    <w:p w:rsidR="00074BD0" w:rsidRDefault="00000000" w14:paraId="2B318F5B" w14:textId="77777777" w:rsidP="008360CD" w:rsidRPr="008360CD">
      <w:r w:rsidRPr="008360CD">
        <w:t>The Efficiency ratios indicate mixed results in the working capital management. Receivables collection has been greatly enhanced, although the inventory days have grown and payables days have decreased. Aldi must strive to equalise the working capital by increasing inventory turnover by means of increasing demand planning and coordinating with suppliers (Bon and Hartoko, 2022). The implementation of inventory management tools, including real-time stock tracking and automatic replenishment, might help reduce the stock and still allow having the products in stock. Meanwhile, Aldi needs to consider changing the terms of supplier payments to avoid unnecessary load on liquidity as a result of faster payments. A moderate strategy that will ensure good relations with suppliers, besides conserving cash flow.</w:t>
      </w:r>
    </w:p>
    <w:p w:rsidR="00074BD0" w:rsidRDefault="00000000" w14:paraId="27556CAD" w14:textId="77777777" w:rsidP="008360CD" w:rsidRPr="008360CD">
      <w:pPr>
        <w:rPr>
          <w:bCs/>
          <w:iCs/>
          <w:b/>
          <w:i/>
        </w:rPr>
      </w:pPr>
      <w:r w:rsidRPr="008360CD">
        <w:rPr>
          <w:bCs/>
          <w:iCs/>
          <w:b/>
          <w:i/>
        </w:rPr>
        <w:t>Prudent management of gearing and financial risk</w:t>
      </w:r>
    </w:p>
    <w:p w:rsidR="00074BD0" w:rsidRDefault="00000000" w14:paraId="133701CA" w14:textId="1087E7CF" w:rsidP="008360CD" w:rsidRPr="008360CD">
      <w:r w:rsidRPr="008360CD">
        <w:t>The rising levels of gearing and falling interest cover suggest the onset of rising financial risk. Though the present deviations are manageable, Aldi must be based on its capital structure, especially in a high-interest-rate environment. The management should consider capping further expansion based on debt financing in the short run, and instead, it can use retained earnings to finance growth where it can afford (Jámbor and Zanócz, 2023). Moreover, Aldi can make use of the maturity dispersion of its borrowings to minimise the refinancing risk. The interest rate ratios should be fixed on part of the debt, as the company is not hit by future increases, and its funds will be in a stable position.</w:t>
      </w:r>
    </w:p>
    <w:p w:rsidR="00074BD0" w:rsidRDefault="00000000" w14:paraId="404C6D29" w14:textId="77777777" w:rsidP="008360CD" w:rsidRPr="008360CD">
      <w:pPr>
        <w:rPr>
          <w:bCs/>
          <w:iCs/>
          <w:b/>
          <w:i/>
        </w:rPr>
      </w:pPr>
      <w:r w:rsidRPr="008360CD">
        <w:rPr>
          <w:bCs/>
          <w:iCs/>
          <w:b/>
          <w:i/>
        </w:rPr>
        <w:t>Enhance financial reporting and performance measurement.</w:t>
      </w:r>
    </w:p>
    <w:p w:rsidR="00074BD0" w:rsidRDefault="00000000" w14:paraId="4F04A25F" w14:textId="77777777" w:rsidP="008360CD" w:rsidRPr="008360CD">
      <w:r w:rsidRPr="008360CD">
        <w:t xml:space="preserve">Due to the shortcomings of ratio analysis, Aldi needs to supplement financial measures with non-financial performance indicators, which include store-level productivity, customer satisfaction and supply chain performance. By incorporating both a financial and operational dashboard, the top-level management would have the chance to learn about every immediate problem and provide a more efficient response (Akcigit et al., 2022). Periodic comparison with the major competitors in the UK grocery </w:t>
      </w:r>
      <w:r w:rsidRPr="008360CD">
        <w:t>market would be useful for the performance analysis. Despite Aldi being privately owned, internal benchmarking is a tool that can build strategic decision-making and constant improvement.</w:t>
        <w:lastRenderedPageBreak/>
      </w:r>
    </w:p>
    <w:p w:rsidR="00074BD0" w:rsidRDefault="00000000" w14:paraId="7FD6069A" w14:textId="77777777" w:rsidP="008360CD" w:rsidRPr="008360CD">
      <w:pPr>
        <w:rPr>
          <w:bCs/>
          <w:iCs/>
          <w:b/>
          <w:i/>
        </w:rPr>
      </w:pPr>
      <w:r w:rsidRPr="008360CD">
        <w:rPr>
          <w:bCs/>
          <w:iCs/>
          <w:b/>
          <w:i/>
        </w:rPr>
        <w:t>Encourage sustainable financial and environmental performance.</w:t>
      </w:r>
    </w:p>
    <w:p w:rsidR="00074BD0" w:rsidRDefault="00000000" w14:paraId="50C837F5" w14:textId="7AF463C7" w:rsidP="008360CD" w:rsidRPr="008360CD">
      <w:r w:rsidRPr="008360CD">
        <w:t>Aldi needs to manage on incorporating sustainability programs in the financial management strategy. Energy efficiency, waste minimisation investments and ethical sourcing can be expensive initially, which can bring long-term financial satisfaction through savings in costs, reduction in risks and improvement in the brand image (</w:t>
      </w:r>
      <w:r w:rsidR="006828D4" w:rsidRPr="008360CD">
        <w:t>Cooper, 2023</w:t>
      </w:r>
      <w:r w:rsidRPr="008360CD">
        <w:t>). Based on this, the environment and social goals, as well as the goals of financial planning, will help Aldi become more resilient and competitive over the long term.</w:t>
      </w:r>
    </w:p>
    <w:p w:rsidR="00074BD0" w:rsidRDefault="00000000" w14:paraId="2C178F24" w14:textId="77777777" w:rsidP="008360CD" w:rsidRPr="008360CD">
      <w:pPr>
        <w:pStyle w:val="Heading1"/>
      </w:pPr>
      <w:bookmarkStart w:id="11" w:name="_cvvu92tyybbp" w:colFirst="0" w:colLast="0"/>
      <w:bookmarkStart w:id="12" w:name="_Toc218539687"/>
      <w:bookmarkEnd w:id="11"/>
      <w:r w:rsidRPr="008360CD">
        <w:t>3. Conclusion</w:t>
      </w:r>
      <w:bookmarkEnd w:id="12"/>
    </w:p>
    <w:p w:rsidR="00C30443" w:rsidRDefault="00000000" w14:paraId="243856D9" w14:textId="3A31EF13" w:rsidP="008360CD" w:rsidRPr="008360CD">
      <w:r w:rsidRPr="008360CD">
        <w:t>Aldi Stores Limited is characterised by a high level of operation effectiveness and revenue growth</w:t>
      </w:r>
      <w:r w:rsidR="003D2412">
        <w:t xml:space="preserve">; however, </w:t>
      </w:r>
      <w:r w:rsidRPr="008360CD">
        <w:t>lower profitability and risk of finance. In that case, its business model enables low liquidity ratios, the increase of leverage and the decrease of margins should be closely handled. With tougher cost management, a more efficient control of capital, and reasonable financial policies, Aldi can become more financially resilient and be able to grow in the most competitive retail market in the long term</w:t>
      </w:r>
      <w:bookmarkStart w:id="13" w:name="_e8ec54rm9aw1" w:colFirst="0" w:colLast="0"/>
      <w:bookmarkStart w:id="14" w:name="_r07bdvrehvif" w:colFirst="0" w:colLast="0"/>
      <w:bookmarkStart w:id="15" w:name="_3nzhaz7ptym7" w:colFirst="0" w:colLast="0"/>
      <w:bookmarkStart w:id="16" w:name="_2vryx4w12d0p" w:colFirst="0" w:colLast="0"/>
      <w:bookmarkStart w:id="17" w:name="_6am12t5629bg" w:colFirst="0" w:colLast="0"/>
      <w:bookmarkStart w:id="18" w:name="_l37rr5fc3z6k" w:colFirst="0" w:colLast="0"/>
      <w:bookmarkStart w:id="19" w:name="_ljmx3b7lnsjr" w:colFirst="0" w:colLast="0"/>
      <w:bookmarkStart w:id="20" w:name="_krl2axpzujqx" w:colFirst="0" w:colLast="0"/>
      <w:bookmarkStart w:id="21" w:name="_mbedlr53lnj1" w:colFirst="0" w:colLast="0"/>
      <w:bookmarkEnd w:id="13"/>
      <w:bookmarkEnd w:id="14"/>
      <w:bookmarkEnd w:id="15"/>
      <w:bookmarkEnd w:id="16"/>
      <w:bookmarkEnd w:id="17"/>
      <w:bookmarkEnd w:id="18"/>
      <w:bookmarkEnd w:id="19"/>
      <w:bookmarkEnd w:id="20"/>
      <w:bookmarkEnd w:id="21"/>
      <w:r w:rsidR="008D5707" w:rsidRPr="008360CD">
        <w:t xml:space="preserve">. </w:t>
      </w:r>
      <w:bookmarkStart w:id="22" w:name="_2170jpmh3s1g" w:colFirst="0" w:colLast="0"/>
      <w:bookmarkStart w:id="23" w:name="_2br9m5ax2k3l" w:colFirst="0" w:colLast="0"/>
      <w:bookmarkEnd w:id="22"/>
      <w:bookmarkEnd w:id="23"/>
    </w:p>
    <w:p w:rsidR="00C30443" w:rsidRDefault="00C30443" w14:paraId="7ACE83C4" w14:textId="77777777" w:rsidP="008360CD" w:rsidRPr="008360CD">
      <w:pPr>
        <w:spacing w:before="0" w:after="0"/>
      </w:pPr>
      <w:r>
        <w:br w:type="page"/>
      </w:r>
    </w:p>
    <w:p w:rsidR="00C30443" w:rsidRDefault="00C30443" w14:paraId="5FA1FDF9" w14:textId="77777777" w:rsidP="008360CD" w:rsidRPr="008360CD">
      <w:pPr>
        <w:pStyle w:val="Heading1"/>
      </w:pPr>
      <w:bookmarkStart w:id="24" w:name="_Toc218539688"/>
      <w:r w:rsidRPr="008360CD">
        <w:t>Part 2</w:t>
        <w:lastRenderedPageBreak/>
      </w:r>
      <w:bookmarkEnd w:id="24"/>
    </w:p>
    <w:p w:rsidR="00C30443" w:rsidRDefault="00C30443" w14:paraId="64991864" w14:textId="77777777" w:rsidP="008360CD" w:rsidRPr="008360CD">
      <w:pPr>
        <w:pStyle w:val="Heading1"/>
      </w:pPr>
      <w:bookmarkStart w:id="25" w:name="_Toc218539689"/>
      <w:r w:rsidRPr="008360CD">
        <w:t>1. Introduction</w:t>
      </w:r>
      <w:bookmarkEnd w:id="25"/>
      <w:r w:rsidRPr="008360CD">
        <w:t xml:space="preserve"> </w:t>
      </w:r>
    </w:p>
    <w:p w:rsidR="00C30443" w:rsidRDefault="00C30443" w14:paraId="6049937C" w14:textId="48D49D28" w:rsidP="008360CD" w:rsidRPr="008360CD">
      <w:r w:rsidRPr="008360CD">
        <w:t>The report assesses three strategic investment alternatives for West infrastructure as part of a four-year growth strategy. The available alternatives are to grow the established retail store, develop an online sales platform, and venture into manufacturing wooden and Roman blinds. It is to invest varying amounts of capital and to generate cash flows in a project under each option. This report evaluates the financial viability of both projects. It provides a recommendation to the Board using discounted cash flow methods, specifically net present value (NPV) and internal rate of return (IRR). Several other strategic, financial and risk considerations are discussed.</w:t>
      </w:r>
    </w:p>
    <w:p w:rsidR="00C30443" w:rsidRDefault="00C30443" w14:paraId="01ABF01D" w14:textId="77777777" w:rsidP="008360CD" w:rsidRPr="008360CD">
      <w:pPr>
        <w:pStyle w:val="Heading1"/>
      </w:pPr>
      <w:bookmarkStart w:id="26" w:name="_Toc218539690"/>
      <w:r w:rsidRPr="008360CD">
        <w:t>2. Investment option evaluation using NPV</w:t>
      </w:r>
      <w:bookmarkEnd w:id="26"/>
    </w:p>
    <w:p w:rsidR="00C30443" w:rsidRDefault="00C30443" w14:paraId="3C2749E0" w14:textId="2F879C03" w:rsidP="008360CD" w:rsidRPr="008360CD">
      <w:r w:rsidRPr="008360CD">
        <w:t>This part would investigate the three investment alternatives for Westward Plc using the net present value (NPV) method with a cost of capital of 6%. A positive NPV is a statistical indicator that a project will enhance value above the required return for the company, which should result in growth in shareholder wealth (</w:t>
      </w:r>
      <w:r w:rsidR="00633DA1" w:rsidRPr="008360CD">
        <w:t>Rahayu and Wardana, 2021</w:t>
      </w:r>
      <w:r w:rsidRPr="008360CD">
        <w:t xml:space="preserve">). The three projects, such as Retail expansion, development of internet sales, and production of wooden and Roman blinds, were evaluated over four years. The assessment involved a 25% capital tax and 20% capital allowances on a straight-line basis, and the resulting tax shield was added to after-tax operating cash flows. These adjusted cash flows were discounted at 6% to reflect the time value of money and the company's opportunity cost of capital. </w:t>
      </w:r>
    </w:p>
    <w:p w:rsidR="00C30443" w:rsidRDefault="00C30443" w14:paraId="4A49D8D7" w14:textId="77777777" w:rsidP="008360CD" w:rsidRPr="008360CD">
      <w:pPr>
        <w:jc w:val="center"/>
      </w:pPr>
      <w:r>
        <w:rPr>
          <w:noProof/>
        </w:rPr>
        <w:drawing>
          <wp:inline distB="114300" distL="114300" distR="114300" distT="114300" wp14:anchorId="0A4B125E" wp14:editId="24315AEC">
            <wp:extent cx="4885055" cy="3124200"/>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13" name="image7.png"/>
                    <pic:cNvPicPr/>
                  </pic:nvPicPr>
                  <pic:blipFill>
                    <a:blip r:embed="rId78"/>
                    <a:stretch>
                      <a:fillRect/>
                    </a:stretch>
                  </pic:blipFill>
                  <pic:spPr>
                    <a:xfrm>
                      <a:off x="0" y="0"/>
                      <a:ext cx="4885335" cy="3124379"/>
                    </a:xfrm>
                    <a:prstGeom prst="rect">
                      <a:avLst/>
                    </a:prstGeom>
                  </pic:spPr>
                </pic:pic>
              </a:graphicData>
            </a:graphic>
          </wp:inline>
        </w:drawing>
      </w:r>
    </w:p>
    <w:p w:rsidR="00C30443" w:rsidRDefault="00C30443" w14:paraId="0E107F02" w14:textId="77777777" w:rsidP="008360CD" w:rsidRPr="008360CD">
      <w:pPr>
        <w:jc w:val="center"/>
        <w:rPr>
          <w:bCs/>
          <w:b/>
        </w:rPr>
      </w:pPr>
      <w:r w:rsidRPr="008360CD">
        <w:rPr>
          <w:bCs/>
          <w:b/>
        </w:rPr>
        <w:t xml:space="preserve">Figure 5: NPV comparison for all three projects </w:t>
      </w:r>
    </w:p>
    <w:p w:rsidR="00C30443" w:rsidRDefault="00C30443" w14:paraId="29E52D78" w14:textId="77777777" w:rsidP="008360CD" w:rsidRPr="008360CD">
      <w:pPr>
        <w:jc w:val="center"/>
      </w:pPr>
      <w:r w:rsidRPr="008360CD">
        <w:t>(Source: Self-created)</w:t>
      </w:r>
    </w:p>
    <w:p w:rsidR="00C30443" w:rsidRDefault="00C30443" w14:paraId="580E21D8" w14:textId="23FE2E6E" w:rsidP="008360CD" w:rsidRPr="008360CD">
      <w:r w:rsidRPr="008360CD">
        <w:t xml:space="preserve">The NPV analysis shows that all three projects have positive NPVs, indicating that each option is financially viable on its own. In particular, Project A implies the use of £643.17k to result in the creation of NPV, Project B implies the use of £792.23k in an endeavour to come up with the NPV, and Project C implies the use of £742.48k to come up with NPV. Figure 5 presents these findings and provides a graphical comparison of the relative value each project delivers. Project A requires the lowest initial investment (£600k) and delivers a decent positive NPV, as the street-level retail outlet is to be expanded. This implies that the project is comparatively low-risk and can produce continuous incremental returns (Prekazi et al., 2023). However, its NPV is lower than that of the other two options, implying it creates less value. Project C, which focuses on diversification into wooden and Roman stores, will generate substantial cash inflows over the four years of the project and deliver a better NPV than Project A. The investment would not be economically feasible and would put additional pressure on the company's resources. Project B, which entails creating an online sales channel, offers the best financial option based on NPV. Although it requires a greater initial investment than Project A (£1.0m), it has the highest NPV, indicating it has generated high value. This implies high perceived cash inflows, scalability of internet business, and the ability to expand to a larger number of </w:t>
      </w:r>
      <w:r w:rsidRPr="008360CD">
        <w:t>customers, without a respective rise in fixed expenditures (Rahayu and Wardana, 2021). By the NPV decision rule, in which the projects with the best NPV are selected, Project B must be selected. Therefore, assuming that no non-financial factors or market aspects limit the choice of investments under the NPV criterion, Project B is the best investment proposal to settle the decision of Westward Plc.</w:t>
        <w:lastRenderedPageBreak/>
      </w:r>
    </w:p>
    <w:p w:rsidR="00C30443" w:rsidRDefault="00C30443" w14:paraId="31353FB9" w14:textId="77777777" w:rsidP="008360CD" w:rsidRPr="008360CD">
      <w:pPr>
        <w:pStyle w:val="Heading1"/>
      </w:pPr>
      <w:bookmarkStart w:id="27" w:name="_Toc218539691"/>
      <w:r w:rsidRPr="008360CD">
        <w:t>3. IRR evaluation</w:t>
      </w:r>
      <w:bookmarkEnd w:id="27"/>
    </w:p>
    <w:p w:rsidR="00C30443" w:rsidRDefault="00C30443" w14:paraId="62DA7765" w14:textId="77777777" w:rsidP="008360CD" w:rsidRPr="008360CD">
      <w:r w:rsidRPr="008360CD">
        <w:t>One common technique in capital investment appraisal is the internal rate of return (IRR). It is the rate at which the net present value (NPV) of a project is equal to zero; that is, the current value of the inflows likely to be received, given the cash inflows, maintains the value of the initial outlay. IRR indicates the average annual rate of return a project is likely to achieve over its economic lifespan (Rashid, 2021). The IRR is more valuable when making investment decisions, as it provides a percentage-based measure of return that is usually easier for managers to interpret and compare with hurdle rates, the cost of borrowing, or other investment opportunities (Lubis, 2023). Compared with non-discounting techniques, IRR is the only method that explicitly accounts for the time value of money by discounting future cash flows, thereby providing a better estimate of the project's long-run profitability.</w:t>
      </w:r>
    </w:p>
    <w:p w:rsidR="00C30443" w:rsidRDefault="00C30443" w14:paraId="722339B3" w14:textId="77777777" w:rsidP="008360CD" w:rsidRPr="008360CD"/>
    <w:p w:rsidR="00C30443" w:rsidRDefault="00C30443" w14:paraId="4C698A54" w14:textId="77777777" w:rsidP="008360CD" w:rsidRPr="008360CD"/>
    <w:p w:rsidR="00C30443" w:rsidRDefault="00C30443" w14:paraId="07EC8D90" w14:textId="77777777" w:rsidP="008360CD" w:rsidRPr="008360CD">
      <w:r>
        <w:rPr>
          <w:noProof/>
        </w:rPr>
        <w:drawing>
          <wp:inline distB="114300" distL="114300" distR="114300" distT="114300" wp14:anchorId="5D780CB8" wp14:editId="618CC66F">
            <wp:extent cx="5730875" cy="73787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87"/>
                    <a:stretch>
                      <a:fillRect/>
                    </a:stretch>
                  </pic:blipFill>
                  <pic:spPr>
                    <a:xfrm>
                      <a:off x="0" y="0"/>
                      <a:ext cx="5731200" cy="7378700"/>
                    </a:xfrm>
                    <a:prstGeom prst="rect">
                      <a:avLst/>
                    </a:prstGeom>
                  </pic:spPr>
                </pic:pic>
              </a:graphicData>
            </a:graphic>
          </wp:inline>
        </w:drawing>
      </w:r>
    </w:p>
    <w:p w:rsidR="00C30443" w:rsidRDefault="00C30443" w14:paraId="18FF8703" w14:textId="77777777" w:rsidP="008360CD" w:rsidRPr="008360CD">
      <w:pPr>
        <w:jc w:val="center"/>
        <w:rPr>
          <w:bCs/>
          <w:b/>
        </w:rPr>
      </w:pPr>
      <w:r w:rsidRPr="008360CD">
        <w:rPr>
          <w:bCs/>
          <w:b/>
        </w:rPr>
        <w:t>Figure 6: IRR evaluation for project B</w:t>
      </w:r>
    </w:p>
    <w:p w:rsidR="00C30443" w:rsidRDefault="00C30443" w14:paraId="1DEB2C53" w14:textId="77777777" w:rsidP="008360CD" w:rsidRPr="008360CD">
      <w:pPr>
        <w:jc w:val="center"/>
      </w:pPr>
      <w:r w:rsidRPr="008360CD">
        <w:t>(Source: Self-created)</w:t>
      </w:r>
    </w:p>
    <w:p w:rsidR="00C30443" w:rsidRDefault="00C30443" w14:paraId="62102266" w14:textId="77777777" w:rsidP="008360CD" w:rsidRPr="008360CD">
      <w:r w:rsidRPr="008360CD">
        <w:t>The IRR of Project B, the most preferred project based on NPV criteria, has been estimated in this analysis. Project B will require a capital outlay of £1,000,000 and will yield strong net cash flows after tax and capital allowances in four years. Two discount rates were used in estimating the IRR 25% and 35%. They were selected because the project had a positive NPV at 25% and a negative NPV at 35%, meaning the IRR can be calculated using the linear interpolation method. Incidentally, the present value of the cash inflows for Project B at a 25% discount is £1,151.62k, and the NPV is positive at £151.62k. The total present value of inflows resolves to £948.02k at 35, resulting in an unsound NPV of £51.98k. The standard IRR interpolation formula was used:</w:t>
        <w:lastRenderedPageBreak/>
      </w:r>
    </w:p>
    <w:p w:rsidR="00C30443" w:rsidRDefault="00C30443" w14:paraId="20049061" w14:textId="77777777" w:rsidP="008360CD" w:rsidRPr="008360CD">
      <w:pPr>
        <w:jc w:val="center"/>
      </w:pPr>
      <w:r>
        <w:rPr>
          <w:noProof/>
        </w:rPr>
        <w:drawing>
          <wp:inline distB="114300" distL="114300" distR="114300" distT="114300" wp14:anchorId="70A57720" wp14:editId="16D7E88F">
            <wp:extent cx="2374900" cy="457200"/>
            <wp:effectExtent l="0" t="0" r="0" b="0"/>
            <wp:docPr id="994806216"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83"/>
                    <a:stretch>
                      <a:fillRect/>
                    </a:stretch>
                  </pic:blipFill>
                  <pic:spPr>
                    <a:xfrm>
                      <a:off x="0" y="0"/>
                      <a:ext cx="2374900" cy="457200"/>
                    </a:xfrm>
                    <a:prstGeom prst="rect">
                      <a:avLst/>
                    </a:prstGeom>
                  </pic:spPr>
                </pic:pic>
              </a:graphicData>
            </a:graphic>
          </wp:inline>
        </w:drawing>
      </w:r>
    </w:p>
    <w:p w:rsidR="00C30443" w:rsidRDefault="00C30443" w14:paraId="6A238D3C" w14:textId="2FEA2135" w:rsidP="008360CD" w:rsidRPr="008360CD">
      <w:r w:rsidRPr="008360CD">
        <w:t xml:space="preserve">Project B is estimated to have an IRR of about 32.45. This value is very high compared to Westward Plc's assumed cost of capital of 6, indicating that the project will have significant economic value. Critically, the high IRR supports the NPV analysis's conclusion that Project B is a financially attractive project. It implies that there is a high margin of safety: that is, regardless of whether cash flows were lower than expected or the cost of capital increased, the project would remain sustainable (Koundouri et al., 2022). Nonetheless, IRR is limited. It assumes that intermediate cash flows can be reinvested at the IRR, which may not be realistic, especially when the IRR is unusually high. </w:t>
      </w:r>
      <w:r w:rsidR="00A846C4">
        <w:t>Moreover</w:t>
      </w:r>
      <w:r w:rsidRPr="008360CD">
        <w:t xml:space="preserve">, IRR can yield false rankings of mutually exclusive projects of varying magnitudes, making it a poor choice as a decision criterion (Mazur et al., 2021). Although IRR is a convenient and intuitive measure of the profitability of Project B, it must be used alongside NPV and other strategic factors. </w:t>
      </w:r>
    </w:p>
    <w:p w:rsidR="00C30443" w:rsidRDefault="00C30443" w14:paraId="70EE393F" w14:textId="77777777" w:rsidP="008360CD" w:rsidRPr="008360CD">
      <w:pPr>
        <w:pStyle w:val="Heading1"/>
      </w:pPr>
      <w:bookmarkStart w:id="28" w:name="_Toc218539692"/>
      <w:r w:rsidRPr="008360CD">
        <w:t>4. Result interpretation</w:t>
      </w:r>
      <w:bookmarkEnd w:id="28"/>
    </w:p>
    <w:p w:rsidR="00C30443" w:rsidRDefault="00C30443" w14:paraId="7E1708CA" w14:textId="77777777" w:rsidP="008360CD" w:rsidRPr="008360CD">
      <w:pPr>
        <w:pStyle w:val="Heading2"/>
      </w:pPr>
      <w:bookmarkStart w:id="29" w:name="_Toc218539693"/>
      <w:r w:rsidRPr="008360CD">
        <w:t>4.1 NPV's relevance as the best investment appraisal method</w:t>
      </w:r>
      <w:bookmarkEnd w:id="29"/>
      <w:r w:rsidRPr="008360CD">
        <w:t xml:space="preserve"> </w:t>
      </w:r>
    </w:p>
    <w:p w:rsidR="00C30443" w:rsidRDefault="00C30443" w14:paraId="54B92498" w14:textId="0078F184" w:rsidP="008360CD" w:rsidRPr="008360CD">
      <w:r w:rsidRPr="008360CD">
        <w:t>NPV is generally considered the strongest and most theoretically sound approach to investment appraisal in financial theory. Its main strength is its clear acknowledgement of the time value of money, which states that a pound received on the present day would be worth more than a pound received tomorrow because of opportunity costs, inflation and risk (</w:t>
      </w:r>
      <w:r w:rsidR="00633DA1" w:rsidRPr="008360CD">
        <w:t>Rahayu and Wardana, 2021</w:t>
      </w:r>
      <w:r w:rsidRPr="008360CD">
        <w:t xml:space="preserve">). One of the theoretical strengths of </w:t>
      </w:r>
      <w:r w:rsidRPr="008360CD">
        <w:t>NPV is that it is directly used to address the anticipated growth in shareholder wealth of an investment decision. Positive NPV means that a project will be able to yield returns above the rate of return that is required by the firm, thus creating value among the shareholders (Rashid, 2021). On the other hand, negative NPV is an indication of destruction. This direct correlation with the goal of maximising stockholder wealth means that NPV will be better than other methods of appraisal in terms of corporate finance.</w:t>
        <w:lastRenderedPageBreak/>
      </w:r>
    </w:p>
    <w:p w:rsidR="00C30443" w:rsidRDefault="00C30443" w14:paraId="5DBDB4C2" w14:textId="77777777" w:rsidP="008360CD" w:rsidRPr="008360CD">
      <w:pPr>
        <w:jc w:val="center"/>
      </w:pPr>
      <w:r>
        <w:rPr>
          <w:noProof/>
        </w:rPr>
        <w:drawing>
          <wp:inline distB="114300" distL="114300" distR="114300" distT="114300" wp14:anchorId="74017902" wp14:editId="57C56C2A">
            <wp:extent cx="4526915" cy="2941320"/>
            <wp:effectExtent l="0" t="0" r="6985" b="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80"/>
                    <a:stretch>
                      <a:fillRect/>
                    </a:stretch>
                  </pic:blipFill>
                  <pic:spPr>
                    <a:xfrm>
                      <a:off x="0" y="0"/>
                      <a:ext cx="4527175" cy="2941489"/>
                    </a:xfrm>
                    <a:prstGeom prst="rect">
                      <a:avLst/>
                    </a:prstGeom>
                  </pic:spPr>
                </pic:pic>
              </a:graphicData>
            </a:graphic>
          </wp:inline>
        </w:drawing>
      </w:r>
    </w:p>
    <w:p w:rsidR="00C30443" w:rsidRDefault="00C30443" w14:paraId="51CC52A3" w14:textId="77777777" w:rsidP="008360CD" w:rsidRPr="008360CD">
      <w:pPr>
        <w:jc w:val="center"/>
        <w:rPr>
          <w:bCs/>
          <w:b/>
        </w:rPr>
      </w:pPr>
      <w:r w:rsidRPr="008360CD">
        <w:rPr>
          <w:bCs/>
          <w:b/>
        </w:rPr>
        <w:t>Figure 7: Key theoretical strengths of NPV</w:t>
      </w:r>
    </w:p>
    <w:p w:rsidR="00C30443" w:rsidRDefault="00C30443" w14:paraId="268B2117" w14:textId="77777777" w:rsidP="008360CD" w:rsidRPr="008360CD">
      <w:pPr>
        <w:jc w:val="center"/>
      </w:pPr>
      <w:r w:rsidRPr="008360CD">
        <w:t>(Source: Self-created)</w:t>
      </w:r>
    </w:p>
    <w:p w:rsidR="00C30443" w:rsidRDefault="00C30443" w14:paraId="42813C15" w14:textId="331BA996" w:rsidP="008360CD" w:rsidRPr="008360CD">
      <w:r w:rsidRPr="008360CD">
        <w:t xml:space="preserve">Moreover, NPV suits effectively in comparing projects that are mutually exclusive in that it considers the difference in scale of the project, the timing of cash flows, and the risk-averse discount rate that is risk-averse. In contrast to percentage-oriented indicators like IRR, NPV does not rank conflicts that can occur when the projects are quite different in their magnitude or duration. This renders it particularly helpful in high investment choices of capital resources (capital rationing) or long-term allocation. These characteristics make it relevant in the real world of decision-making (Citterio and King, 2023). In short, the theoretical validity of NPV is based on its good conceptual basis, its adherence to the goals of value maximisation, and the fact that complex and real-world investment decisions can be made using NPV. Hence, NPV </w:t>
      </w:r>
      <w:r w:rsidRPr="008360CD">
        <w:t>receives many recommendations among financial economists as the most accurate approach to capital investment appraisal.</w:t>
        <w:lastRenderedPageBreak/>
      </w:r>
    </w:p>
    <w:p w:rsidR="00C30443" w:rsidRDefault="00C30443" w14:paraId="72EACB77" w14:textId="77777777" w:rsidP="008360CD" w:rsidRPr="008360CD">
      <w:pPr>
        <w:pStyle w:val="Heading2"/>
      </w:pPr>
      <w:bookmarkStart w:id="30" w:name="_Toc218539694"/>
      <w:r w:rsidRPr="008360CD">
        <w:t>4.2 Continuous popularity of non-discounting methods of investment appraisal</w:t>
      </w:r>
      <w:bookmarkEnd w:id="30"/>
      <w:r w:rsidRPr="008360CD">
        <w:t xml:space="preserve"> </w:t>
      </w:r>
    </w:p>
    <w:p w:rsidR="00C30443" w:rsidRDefault="00C30443" w14:paraId="348C8C44" w14:textId="17AB1B27" w:rsidP="008360CD" w:rsidRPr="008360CD">
      <w:r w:rsidRPr="008360CD">
        <w:t>The application of discounted cash flow methods like NPV has good theoretical underpinnings; non-discounting approaches, such as payback period and accounting rate of return (ARR), are still commonly used by managers and decision makers. The non-discounting procedures are based on simple mathematical calculations and do not need any higher financial expertise, and hence can be used by managers who have no special training as a financial expert (Arjunan, 2022). Payback is a measure that gives an understanding of the duration of exposure in which capital is at risk. When managers are operating in volatile or uncertain business conditions, the focus on the quickest cash recovery preceding profitability may be the primary consideration in times of financial constraints based on financing or when operational risks exist in the market (Osarenmwinda, 2024). This makes payback an effective screening tool, though it does not consider cash flows after the payback point, and fails to take into consideration the time value of money.</w:t>
      </w:r>
    </w:p>
    <w:p w:rsidR="00C30443" w:rsidRDefault="00C30443" w14:paraId="0EEDE63F" w14:textId="77777777" w:rsidP="00CD1C05" w:rsidRPr="008360CD">
      <w:pPr>
        <w:jc w:val="center"/>
      </w:pPr>
      <w:r>
        <w:rPr>
          <w:noProof/>
        </w:rPr>
        <w:drawing>
          <wp:inline distB="114300" distL="114300" distR="114300" distT="114300" wp14:anchorId="584ED5DD" wp14:editId="38E42766">
            <wp:extent cx="5014595" cy="3032760"/>
            <wp:effectExtent l="0" t="0" r="0" b="0"/>
            <wp:docPr id="1475111549"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90"/>
                    <a:stretch>
                      <a:fillRect/>
                    </a:stretch>
                  </pic:blipFill>
                  <pic:spPr>
                    <a:xfrm>
                      <a:off x="0" y="0"/>
                      <a:ext cx="5014884" cy="3032935"/>
                    </a:xfrm>
                    <a:prstGeom prst="rect">
                      <a:avLst/>
                    </a:prstGeom>
                  </pic:spPr>
                </pic:pic>
              </a:graphicData>
            </a:graphic>
          </wp:inline>
        </w:drawing>
      </w:r>
    </w:p>
    <w:p w:rsidR="00C30443" w:rsidRDefault="00C30443" w14:paraId="57A6B4AF" w14:textId="77777777" w:rsidP="008360CD" w:rsidRPr="008360CD">
      <w:pPr>
        <w:jc w:val="center"/>
        <w:rPr>
          <w:bCs/>
          <w:b/>
          <w:sz w:val="26"/>
          <w:szCs w:val="26"/>
        </w:rPr>
      </w:pPr>
      <w:r w:rsidRPr="008360CD">
        <w:rPr>
          <w:bCs/>
          <w:b/>
        </w:rPr>
        <w:t xml:space="preserve">Figure 8: </w:t>
      </w:r>
      <w:r w:rsidRPr="008360CD">
        <w:rPr>
          <w:bCs/>
          <w:b/>
          <w:sz w:val="26"/>
          <w:szCs w:val="26"/>
        </w:rPr>
        <w:t>Reasons for continued use of non-discounting methods</w:t>
      </w:r>
    </w:p>
    <w:p w:rsidR="00C30443" w:rsidRDefault="00C30443" w14:paraId="316E8773" w14:textId="77777777" w:rsidP="008360CD" w:rsidRPr="008360CD">
      <w:pPr>
        <w:jc w:val="center"/>
      </w:pPr>
      <w:r w:rsidRPr="008360CD">
        <w:t>(Source: Self-created)</w:t>
      </w:r>
    </w:p>
    <w:p w:rsidR="00C30443" w:rsidRDefault="00C30443" w14:paraId="784F1380" w14:textId="03374F1B" w:rsidP="008360CD" w:rsidRPr="008360CD">
      <w:r w:rsidRPr="008360CD">
        <w:t xml:space="preserve">On the same note, ARR may tend to be preferred as it relies on accounting profit figures as opposed to cash flows, which are in close relation to financial statements and performance indicators that internal users rely on when budgeting and evaluating performance. The managers can thus find ARR more intuitive and aligning with the reported financial performance, </w:t>
        <w:lastRenderedPageBreak/>
      </w:r>
      <w:r w:rsidR="000F3642">
        <w:t>in line</w:t>
      </w:r>
      <w:r w:rsidRPr="008360CD">
        <w:t xml:space="preserve"> with their underlying conceptual weakness (Lusardi and Messy, 2023). Nonetheless, as much as these methods have practical advantages, they are inferior in theory as they do not consider the time value of money and can result in suboptimal investment decision-making (Prekazi et al., 2023). </w:t>
      </w:r>
      <w:r w:rsidR="005E4ABF">
        <w:t xml:space="preserve">Furthermore, </w:t>
      </w:r>
      <w:r w:rsidR="005802A6">
        <w:t>these models</w:t>
      </w:r>
      <w:r w:rsidRPr="008360CD">
        <w:t xml:space="preserve"> continue to be popular is an indication of convenience in management, not financial optimality, and contributes to the necessity of employing them sparingly and together with NPV.</w:t>
      </w:r>
    </w:p>
    <w:p w:rsidR="00C30443" w:rsidRDefault="00C30443" w14:paraId="0CAC15B5" w14:textId="77777777" w:rsidP="008360CD" w:rsidRPr="008360CD">
      <w:pPr>
        <w:pStyle w:val="Heading2"/>
      </w:pPr>
      <w:bookmarkStart w:id="31" w:name="_Toc218539695"/>
      <w:r w:rsidRPr="008360CD">
        <w:t>4.3 Considerable factors before making an investment decision</w:t>
      </w:r>
      <w:bookmarkEnd w:id="31"/>
      <w:r w:rsidRPr="008360CD">
        <w:t xml:space="preserve"> </w:t>
      </w:r>
    </w:p>
    <w:p w:rsidR="00C30443" w:rsidRDefault="00C30443" w14:paraId="40C96C23" w14:textId="0206F5F8" w:rsidP="008360CD" w:rsidRPr="008360CD">
      <w:r w:rsidRPr="008360CD">
        <w:t xml:space="preserve">Although financial evaluation methods like the NPV and IRR are useful as far as quantitative data are concerned, the investment decision must not be made based on the figures only. Various qualitative and strategic issues should be taken into account to ensure the selected project is in line with the larger goals and operating conditions of the firm. Strategic fit is a very important aspect (Citterio and King, 2023). The management has to evaluate whether the investment is anticipated to advance the long-term strategy of Westward Plc, brand positioning, and the competitive advantage of the company. Per the case, the market can be expanded into and targeted through creating an online sales platform, though product diversification can add complexity to the operation. A project with high financial returns can not be appropriate if it takes away resources from the core competencies. The assumptions on the cash flow projections are subject to change depending on the fluctuations in consumer demand, competition, technology or the economic conditions (Lusardi and Messy, 2023). Prior to committing capital, management should, therefore, put into consideration sensitivity analysis, scenario analysis and exposure to downside risk. </w:t>
      </w:r>
    </w:p>
    <w:p w:rsidR="00C30443" w:rsidRDefault="00C30443" w14:paraId="0A465B14" w14:textId="77777777" w:rsidP="00CD1C05" w:rsidRPr="008360CD">
      <w:pPr>
        <w:jc w:val="center"/>
      </w:pPr>
      <w:r>
        <w:rPr>
          <w:noProof/>
        </w:rPr>
        <w:drawing>
          <wp:inline distB="114300" distL="114300" distR="114300" distT="114300" wp14:anchorId="4244EC17" wp14:editId="25E2977D">
            <wp:extent cx="4534535" cy="2895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79"/>
                    <a:stretch>
                      <a:fillRect/>
                    </a:stretch>
                  </pic:blipFill>
                  <pic:spPr>
                    <a:xfrm>
                      <a:off x="0" y="0"/>
                      <a:ext cx="4534795" cy="2895766"/>
                    </a:xfrm>
                    <a:prstGeom prst="rect">
                      <a:avLst/>
                    </a:prstGeom>
                  </pic:spPr>
                </pic:pic>
              </a:graphicData>
            </a:graphic>
          </wp:inline>
        </w:drawing>
      </w:r>
    </w:p>
    <w:p w:rsidR="00C30443" w:rsidRDefault="00C30443" w14:paraId="4820B202" w14:textId="77777777" w:rsidP="008360CD" w:rsidRPr="008360CD">
      <w:pPr>
        <w:jc w:val="center"/>
        <w:rPr>
          <w:bCs/>
          <w:b/>
          <w:sz w:val="26"/>
          <w:szCs w:val="26"/>
        </w:rPr>
      </w:pPr>
      <w:r w:rsidRPr="008360CD">
        <w:rPr>
          <w:bCs/>
          <w:b/>
        </w:rPr>
        <w:t xml:space="preserve">Figure 9: </w:t>
      </w:r>
      <w:r w:rsidRPr="008360CD">
        <w:rPr>
          <w:bCs/>
          <w:b/>
          <w:sz w:val="26"/>
          <w:szCs w:val="26"/>
        </w:rPr>
        <w:t>Factors before making an investment decision</w:t>
      </w:r>
    </w:p>
    <w:p w:rsidR="00C30443" w:rsidRDefault="00C30443" w14:paraId="2959C2DB" w14:textId="77777777" w:rsidP="008360CD" w:rsidRPr="008360CD">
      <w:pPr>
        <w:jc w:val="center"/>
        <w:rPr>
          <w:sz w:val="26"/>
          <w:szCs w:val="26"/>
        </w:rPr>
      </w:pPr>
      <w:r w:rsidRPr="008360CD">
        <w:rPr>
          <w:sz w:val="26"/>
          <w:szCs w:val="26"/>
        </w:rPr>
        <w:t>(Source: Self-created)</w:t>
      </w:r>
    </w:p>
    <w:p w:rsidR="00C30443" w:rsidRDefault="00C30443" w14:paraId="73951403" w14:textId="3AD600F0" w:rsidP="008360CD" w:rsidRPr="008360CD">
      <w:r w:rsidRPr="008360CD">
        <w:t>The availability of resources and the organisational capability shall have to be considered. This involves determining whether the firm possesses the managerial know-how, systems, supply chains and human resources required to implement the project successfully. The development of an investment that appears economically viable can result in failure if the organisation is not able to execute it (</w:t>
      </w:r>
      <w:r w:rsidR="00633DA1" w:rsidRPr="008360CD">
        <w:t>Rahayu and Wardana, 2021</w:t>
      </w:r>
      <w:r w:rsidRPr="008360CD">
        <w:t>). Furthermore, this is due to the approach of financing, either retained earnings, debt or external equity, which influences cash flow commitments, financial risk and strength of the balance sheet. Lastly, ethical, environmental and regulatory considerations must be considered, especially in the instances where investments could affect sustainability, compliance, or corporate image (Citterio and King, 2023). Hence, to make a good investment decision, it is necessary to take a combination of serious financial analysis and strategic, operational, and risk-based judgment.</w:t>
      </w:r>
    </w:p>
    <w:p w:rsidR="00C30443" w:rsidRDefault="00C30443" w14:paraId="392DA9BB" w14:textId="77777777" w:rsidP="008360CD" w:rsidRPr="008360CD">
      <w:pPr>
        <w:pStyle w:val="Heading1"/>
      </w:pPr>
      <w:bookmarkStart w:id="32" w:name="_Toc218539696"/>
      <w:r w:rsidRPr="008360CD">
        <w:t>5. Optimal investment policies</w:t>
      </w:r>
      <w:bookmarkEnd w:id="32"/>
    </w:p>
    <w:p w:rsidR="00C30443" w:rsidRDefault="00733101" w14:paraId="27D5417A" w14:textId="73433C04" w:rsidP="008360CD" w:rsidRPr="00733101">
      <w:pPr>
        <w:rPr>
          <w:lang w:val="en-GB"/>
        </w:rPr>
      </w:pPr>
      <w:r w:rsidRPr="00733101">
        <w:rPr>
          <w:lang w:val="en-GB"/>
        </w:rPr>
        <w:t xml:space="preserve">The best investment policy is a strategy that involves the use of limited capital on the available projects in a manner that maximizes the total shareholder value. Once the budget is limited and the projects are splitting, the management should take a step past the accept-reject decision and start deciding on the most efficient decision in </w:t>
      </w:r>
      <w:r w:rsidRPr="00733101">
        <w:rPr>
          <w:lang w:val="en-GB"/>
        </w:rPr>
        <w:t xml:space="preserve">terms of investments. </w:t>
        <w:lastRenderedPageBreak/>
      </w:r>
      <w:r w:rsidR="00292F5C">
        <w:rPr>
          <w:lang w:val="en-GB"/>
        </w:rPr>
        <w:t>Moreover, t</w:t>
      </w:r>
      <w:r w:rsidRPr="00733101">
        <w:rPr>
          <w:lang w:val="en-GB"/>
        </w:rPr>
        <w:t>his comes with a prioritisation of projects that create the highest value based on the resources which they utilize. Under these circumstances, the consideration given is on attaining maximum aggregate economic payoff within the budget constraint awaiting implementation and not on separate projects on isolated basis. An ideal investment policy thus guarantees effective use of capital, encourages maximisation of value goals, and make investment choices tied to financial limitations and strategic goals.</w:t>
      </w:r>
      <w:r>
        <w:rPr>
          <w:lang w:val="en-GB"/>
        </w:rPr>
        <w:t xml:space="preserve"> </w:t>
      </w:r>
      <w:r w:rsidR="00CC2E29">
        <w:t>Considering</w:t>
      </w:r>
      <w:r w:rsidR="00C30443" w:rsidRPr="008360CD">
        <w:t xml:space="preserve"> limited capital, companies have to invest the available funds in a manner that will maximise the total shareholder value. The problem of Westward Plc in this scenario is that there is a capital limit of £2.5 million, and the three suggested projects can be divided as they can be undertaken in fractions. In this case </w:t>
      </w:r>
      <w:r w:rsidR="00A51066">
        <w:t>P</w:t>
      </w:r>
      <w:r w:rsidR="00C30443" w:rsidRPr="008360CD">
        <w:t xml:space="preserve">rofitability </w:t>
      </w:r>
      <w:r w:rsidR="00A51066">
        <w:t>I</w:t>
      </w:r>
      <w:r w:rsidR="00C30443" w:rsidRPr="008360CD">
        <w:t>ndex (PI), which is the ratio between the net present value of the project and its original investment, is used to determine the optimum investment policy (Osarenmwinda, 2024). Projects of the highest PI are chosen, the project that produces the maximum NPV divided by pounds invested.</w:t>
      </w:r>
    </w:p>
    <w:p w:rsidR="00C30443" w:rsidRDefault="00C30443" w14:paraId="3B3DB74B" w14:textId="77777777" w:rsidP="008360CD" w:rsidRPr="008360CD">
      <w:r w:rsidRPr="008360CD">
        <w:t>According to the NPV analysis using a cost of capital of 6%, the indices of profitability are as follows:</w:t>
      </w:r>
    </w:p>
    <w:p w:rsidR="00C30443" w:rsidRDefault="00C30443" w14:paraId="49AD8725" w14:textId="77777777" w:rsidP="008360CD" w:rsidRPr="008360CD">
      <w:pPr>
        <w:numPr>
          <w:ilvl w:val="0"/>
          <w:numId w:val="2"/>
        </w:numPr>
        <w:jc w:val="left"/>
        <w:spacing w:after="0"/>
      </w:pPr>
      <w:r w:rsidRPr="008360CD">
        <w:rPr>
          <w:bCs/>
          <w:b/>
        </w:rPr>
        <w:t>Project B</w:t>
      </w:r>
      <w:r w:rsidRPr="008360CD">
        <w:t xml:space="preserve">: NPV £792.23 / Investment £1,000k = </w:t>
      </w:r>
      <w:r w:rsidRPr="008360CD">
        <w:rPr>
          <w:bCs/>
          <w:b/>
        </w:rPr>
        <w:t>0.79</w:t>
      </w:r>
    </w:p>
    <w:p w:rsidR="00C30443" w:rsidRDefault="00C30443" w14:paraId="21267A8C" w14:textId="77777777" w:rsidP="008360CD" w:rsidRPr="008360CD">
      <w:pPr>
        <w:numPr>
          <w:ilvl w:val="0"/>
          <w:numId w:val="2"/>
        </w:numPr>
        <w:jc w:val="left"/>
        <w:spacing w:before="0" w:after="0"/>
      </w:pPr>
      <w:r w:rsidRPr="008360CD">
        <w:rPr>
          <w:bCs/>
          <w:b/>
        </w:rPr>
        <w:t>Project C</w:t>
      </w:r>
      <w:r w:rsidRPr="008360CD">
        <w:t xml:space="preserve">: NPV £742.48 / Investment £1,600k = </w:t>
      </w:r>
      <w:r w:rsidRPr="008360CD">
        <w:rPr>
          <w:bCs/>
          <w:b/>
        </w:rPr>
        <w:t>0.46</w:t>
      </w:r>
    </w:p>
    <w:p w:rsidR="00C30443" w:rsidRDefault="00C30443" w14:paraId="5C381A1C" w14:textId="77777777" w:rsidP="008360CD" w:rsidRPr="008360CD">
      <w:pPr>
        <w:numPr>
          <w:ilvl w:val="0"/>
          <w:numId w:val="2"/>
        </w:numPr>
        <w:jc w:val="left"/>
        <w:spacing w:before="0"/>
      </w:pPr>
      <w:r w:rsidRPr="008360CD">
        <w:rPr>
          <w:bCs/>
          <w:b/>
        </w:rPr>
        <w:t>Project A</w:t>
      </w:r>
      <w:r w:rsidRPr="008360CD">
        <w:t xml:space="preserve">: NPV £643.17 / Investment £600k = </w:t>
      </w:r>
      <w:r w:rsidRPr="008360CD">
        <w:rPr>
          <w:bCs/>
          <w:b/>
        </w:rPr>
        <w:t>1.07</w:t>
      </w:r>
    </w:p>
    <w:p w:rsidR="00C30443" w:rsidRDefault="00C30443" w14:paraId="6F4E886C" w14:textId="5498186E" w:rsidP="008360CD" w:rsidRPr="008360CD">
      <w:r w:rsidRPr="008360CD">
        <w:t>The project with the highest index of profitability should be done first, hence Project A. This will consume £600k, which amounts to £1.9m. Project B is the second highest PI</w:t>
      </w:r>
      <w:r w:rsidR="003D2412">
        <w:t xml:space="preserve">; however, </w:t>
      </w:r>
      <w:r w:rsidRPr="008360CD">
        <w:t>it needs £1.0m, and this leaves the remaining £0.9m. Lastly, Project C will utilise the least PI and can be carried out partially with the remaining capital. As a total of £1.6m of Project C is needed, the ratio of the amount to do is £0.9m/ 1.6m = 56.25%.</w:t>
      </w:r>
    </w:p>
    <w:p w:rsidR="00C30443" w:rsidRDefault="00C30443" w14:paraId="32D498C9" w14:textId="77777777" w:rsidP="008360CD" w:rsidRPr="008360CD">
      <w:r w:rsidRPr="008360CD">
        <w:t>The overall NPV of such an optimal policy of investment is found as follows:</w:t>
      </w:r>
    </w:p>
    <w:p w:rsidR="00C30443" w:rsidRDefault="00C30443" w14:paraId="20F6331C" w14:textId="77777777" w:rsidP="008360CD" w:rsidRPr="008360CD">
      <w:pPr>
        <w:numPr>
          <w:ilvl w:val="0"/>
          <w:numId w:val="1"/>
        </w:numPr>
        <w:jc w:val="left"/>
        <w:spacing w:after="0"/>
      </w:pPr>
      <w:r w:rsidRPr="008360CD">
        <w:t>Project A: £643.17</w:t>
      </w:r>
    </w:p>
    <w:p w:rsidR="00C30443" w:rsidRDefault="00C30443" w14:paraId="201375B7" w14:textId="77777777" w:rsidP="008360CD" w:rsidRPr="008360CD">
      <w:pPr>
        <w:numPr>
          <w:ilvl w:val="0"/>
          <w:numId w:val="1"/>
        </w:numPr>
        <w:jc w:val="left"/>
        <w:spacing w:before="0" w:after="0"/>
      </w:pPr>
      <w:r w:rsidRPr="008360CD">
        <w:t>Project B: £792.23</w:t>
      </w:r>
    </w:p>
    <w:p w:rsidR="00C30443" w:rsidRDefault="00C30443" w14:paraId="2597BE54" w14:textId="77777777" w:rsidP="008360CD" w:rsidRPr="008360CD">
      <w:pPr>
        <w:numPr>
          <w:ilvl w:val="0"/>
          <w:numId w:val="1"/>
        </w:numPr>
        <w:jc w:val="left"/>
        <w:spacing w:before="0"/>
      </w:pPr>
      <w:r w:rsidRPr="008360CD">
        <w:t>Project C (56.25% × £742.48k): £417.65</w:t>
      </w:r>
    </w:p>
    <w:p w:rsidR="00C30443" w:rsidRDefault="00C30443" w14:paraId="496D75FB" w14:textId="77777777" w:rsidP="008360CD" w:rsidRPr="008360CD">
      <w:r w:rsidRPr="008360CD">
        <w:t>This gives an estimated NPV of about £1,853.05, which would be superior to the aggregation of whole projects in the constraint of capital. Hence, such allocation is the best policy for investment in the economic context of capital rationing.</w:t>
        <w:lastRenderedPageBreak/>
      </w:r>
    </w:p>
    <w:p w:rsidR="00C30443" w:rsidRDefault="00C30443" w14:paraId="0753F361" w14:textId="77777777" w:rsidP="008360CD" w:rsidRPr="008360CD">
      <w:pPr>
        <w:pStyle w:val="Heading1"/>
      </w:pPr>
      <w:bookmarkStart w:id="33" w:name="_Toc218539697"/>
      <w:r w:rsidRPr="008360CD">
        <w:t>6. Conclusion</w:t>
      </w:r>
      <w:bookmarkEnd w:id="33"/>
    </w:p>
    <w:p w:rsidR="008D5707" w:rsidRDefault="00C30443" w14:paraId="7355D7E1" w14:textId="6A92F438" w:rsidP="00292624" w:rsidRPr="008360CD">
      <w:r w:rsidRPr="008360CD">
        <w:t xml:space="preserve">In cases of capital rationing, the NPV alone is not enough to help in making decisions, and the profitability index is necessary in terms of what makes the best choice under the condition of limited funds. The highest NPV per pound invested will allow Westward Plc to maximise the total shareholder value using £2.5 million as a budget constraint. Moreover, it can be seen in the analysis that pursuing Projects A and B in their entirety, and a partial investment in Project C, would result in the maximum possible total NPV. This is the best investment policy as it will ensure good use of capital and will not go against the goals of value-maximisation.  </w:t>
      </w:r>
      <w:r>
        <w:br w:type="page"/>
      </w:r>
    </w:p>
    <w:p w:rsidR="00572878" w:rsidRDefault="00572878" w14:paraId="62265FD5" w14:textId="3C67960E" w:rsidP="008360CD" w:rsidRPr="008360CD">
      <w:pPr>
        <w:pStyle w:val="Heading1"/>
        <w:rPr>
          <w:lang w:val="en-GB"/>
        </w:rPr>
      </w:pPr>
      <w:bookmarkStart w:id="34" w:name="_Toc218539698"/>
      <w:r w:rsidRPr="008360CD">
        <w:rPr>
          <w:lang w:val="en-GB"/>
        </w:rPr>
        <w:t>Reference List</w:t>
        <w:lastRenderedPageBreak/>
      </w:r>
      <w:bookmarkEnd w:id="34"/>
      <w:r w:rsidRPr="008360CD">
        <w:rPr>
          <w:lang w:val="en-GB"/>
        </w:rPr>
        <w:t xml:space="preserve"> </w:t>
      </w:r>
    </w:p>
    <w:p w:rsidR="00125C2A" w:rsidRDefault="00125C2A" w14:paraId="3371E096" w14:textId="77777777" w:rsidP="008360CD" w:rsidRPr="008360CD">
      <w:pPr>
        <w:rPr>
          <w:lang w:val="en-GB"/>
        </w:rPr>
      </w:pPr>
      <w:r w:rsidRPr="008360CD">
        <w:rPr>
          <w:lang w:val="en-GB"/>
        </w:rPr>
        <w:t>Abdul Kareem, A.A., Fayed, Z.T., Rady, S., Amin El-</w:t>
      </w:r>
      <w:proofErr w:type="spellStart"/>
      <w:r w:rsidRPr="008360CD">
        <w:rPr>
          <w:lang w:val="en-GB"/>
        </w:rPr>
        <w:t>Regaily</w:t>
      </w:r>
      <w:proofErr w:type="spellEnd"/>
      <w:r w:rsidRPr="008360CD">
        <w:rPr>
          <w:lang w:val="en-GB"/>
        </w:rPr>
        <w:t xml:space="preserve">, S. and Nema, B.M., (2023). Factors influencing investment decisions in financial investment companies. Systems, 11(3), p.146. </w:t>
      </w:r>
      <w:hyperlink w:history="1" r:id="rId19">
        <w:r w:rsidRPr="008360CD">
          <w:rPr>
            <w:lang w:val="en-GB"/>
            <w:rStyle w:val="Hyperlink"/>
          </w:rPr>
          <w:t>https://www.mdpi.com/2079-8954/11/3/146</w:t>
        </w:r>
      </w:hyperlink>
      <w:r w:rsidRPr="008360CD">
        <w:rPr>
          <w:lang w:val="en-GB"/>
        </w:rPr>
        <w:t> </w:t>
      </w:r>
    </w:p>
    <w:p w:rsidR="00125C2A" w:rsidRDefault="00125C2A" w14:paraId="32C1B096" w14:textId="77777777" w:rsidP="008360CD" w:rsidRPr="008360CD">
      <w:pPr>
        <w:rPr>
          <w:lang w:val="en-GB"/>
        </w:rPr>
      </w:pPr>
      <w:r w:rsidRPr="008360CD">
        <w:rPr>
          <w:lang w:val="en-GB"/>
        </w:rPr>
        <w:t xml:space="preserve">Adil, M., Singh, Y. and Ansari, M.S., (2022). How financial literacy moderate the association between behaviour biases and investment </w:t>
      </w:r>
      <w:proofErr w:type="gramStart"/>
      <w:r w:rsidRPr="008360CD">
        <w:rPr>
          <w:lang w:val="en-GB"/>
        </w:rPr>
        <w:t>decision?.</w:t>
      </w:r>
      <w:proofErr w:type="gramEnd"/>
      <w:r w:rsidRPr="008360CD">
        <w:rPr>
          <w:lang w:val="en-GB"/>
        </w:rPr>
        <w:t xml:space="preserve"> Asian Journal of Accounting Research, 7(1), pp.17-30. </w:t>
      </w:r>
      <w:hyperlink w:history="1" r:id="rId20">
        <w:r w:rsidRPr="008360CD">
          <w:rPr>
            <w:lang w:val="en-GB"/>
            <w:rStyle w:val="Hyperlink"/>
          </w:rPr>
          <w:t>https://www.emerald.com/insight/content/doi/10.1108/ajar-09-2020-0086/full/html</w:t>
        </w:r>
      </w:hyperlink>
      <w:r w:rsidRPr="008360CD">
        <w:rPr>
          <w:lang w:val="en-GB"/>
        </w:rPr>
        <w:t> </w:t>
      </w:r>
    </w:p>
    <w:p w:rsidR="00125C2A" w:rsidRDefault="00125C2A" w14:paraId="5CB83614" w14:textId="77777777" w:rsidP="008360CD" w:rsidRPr="008360CD">
      <w:pPr>
        <w:rPr>
          <w:lang w:val="en-GB"/>
        </w:rPr>
      </w:pPr>
      <w:proofErr w:type="spellStart"/>
      <w:r w:rsidRPr="008360CD">
        <w:rPr>
          <w:lang w:val="en-GB"/>
        </w:rPr>
        <w:t>Akcigit</w:t>
      </w:r>
      <w:proofErr w:type="spellEnd"/>
      <w:r w:rsidRPr="008360CD">
        <w:rPr>
          <w:lang w:val="en-GB"/>
        </w:rPr>
        <w:t xml:space="preserve">, U., Hanley, D. and </w:t>
      </w:r>
      <w:proofErr w:type="spellStart"/>
      <w:r w:rsidRPr="008360CD">
        <w:rPr>
          <w:lang w:val="en-GB"/>
        </w:rPr>
        <w:t>Stantcheva</w:t>
      </w:r>
      <w:proofErr w:type="spellEnd"/>
      <w:r w:rsidRPr="008360CD">
        <w:rPr>
          <w:lang w:val="en-GB"/>
        </w:rPr>
        <w:t xml:space="preserve">, S., (2022). Optimal taxation and R&amp;D policies. </w:t>
      </w:r>
      <w:proofErr w:type="spellStart"/>
      <w:r w:rsidRPr="008360CD">
        <w:rPr>
          <w:lang w:val="en-GB"/>
        </w:rPr>
        <w:t>Econometrica</w:t>
      </w:r>
      <w:proofErr w:type="spellEnd"/>
      <w:r w:rsidRPr="008360CD">
        <w:rPr>
          <w:lang w:val="en-GB"/>
        </w:rPr>
        <w:t xml:space="preserve">, 90(2), pp.645-684. </w:t>
      </w:r>
      <w:hyperlink w:history="1" r:id="rId21">
        <w:r w:rsidRPr="008360CD">
          <w:rPr>
            <w:lang w:val="en-GB"/>
            <w:rStyle w:val="Hyperlink"/>
          </w:rPr>
          <w:t>https://onlinelibrary.wiley.com/doi/abs/10.3982/ECTA15445</w:t>
        </w:r>
      </w:hyperlink>
      <w:r w:rsidRPr="008360CD">
        <w:rPr>
          <w:lang w:val="en-GB"/>
        </w:rPr>
        <w:t> </w:t>
      </w:r>
    </w:p>
    <w:p w:rsidR="00125C2A" w:rsidRDefault="00125C2A" w14:paraId="21FF7F20" w14:textId="77777777" w:rsidP="008360CD" w:rsidRPr="008360CD">
      <w:pPr>
        <w:rPr>
          <w:lang w:val="en-GB"/>
        </w:rPr>
      </w:pPr>
      <w:r w:rsidRPr="008360CD">
        <w:rPr>
          <w:lang w:val="en-GB"/>
        </w:rPr>
        <w:t xml:space="preserve">Almansour, B.Y., </w:t>
      </w:r>
      <w:proofErr w:type="spellStart"/>
      <w:r w:rsidRPr="008360CD">
        <w:rPr>
          <w:lang w:val="en-GB"/>
        </w:rPr>
        <w:t>Elkrghli</w:t>
      </w:r>
      <w:proofErr w:type="spellEnd"/>
      <w:r w:rsidRPr="008360CD">
        <w:rPr>
          <w:lang w:val="en-GB"/>
        </w:rPr>
        <w:t xml:space="preserve">, S. and Almansour, A.Y., (2023). </w:t>
      </w:r>
      <w:proofErr w:type="spellStart"/>
      <w:r w:rsidRPr="008360CD">
        <w:rPr>
          <w:lang w:val="en-GB"/>
        </w:rPr>
        <w:t>Behavioral</w:t>
      </w:r>
      <w:proofErr w:type="spellEnd"/>
      <w:r w:rsidRPr="008360CD">
        <w:rPr>
          <w:lang w:val="en-GB"/>
        </w:rPr>
        <w:t xml:space="preserve"> finance factors and investment decisions: A mediating role of risk perception. Cogent Economics &amp; Finance, 11(2), p.2239032. </w:t>
      </w:r>
      <w:hyperlink w:history="1" r:id="rId22">
        <w:r w:rsidRPr="008360CD">
          <w:rPr>
            <w:lang w:val="en-GB"/>
            <w:rStyle w:val="Hyperlink"/>
          </w:rPr>
          <w:t>https://www.tandfonline.com/doi/abs/10.1080/23322039.2023.2239032</w:t>
        </w:r>
      </w:hyperlink>
      <w:r w:rsidRPr="008360CD">
        <w:rPr>
          <w:lang w:val="en-GB"/>
        </w:rPr>
        <w:t> </w:t>
      </w:r>
    </w:p>
    <w:p w:rsidR="00125C2A" w:rsidRDefault="00125C2A" w14:paraId="61BCAAA4" w14:textId="77777777" w:rsidP="008360CD" w:rsidRPr="008360CD">
      <w:pPr>
        <w:rPr>
          <w:lang w:val="en-GB"/>
        </w:rPr>
      </w:pPr>
      <w:r w:rsidRPr="008360CD">
        <w:rPr>
          <w:lang w:val="en-GB"/>
        </w:rPr>
        <w:t xml:space="preserve">Arjunan, K., (2022). A new method to estimate NPV and IRR from the capital amortization schedule and the advantages of the new method. Australasian Accounting, Business and Finance Journal, 16(6). </w:t>
      </w:r>
      <w:hyperlink w:history="1" r:id="rId23">
        <w:r w:rsidRPr="008360CD">
          <w:rPr>
            <w:lang w:val="en-GB"/>
            <w:rStyle w:val="Hyperlink"/>
          </w:rPr>
          <w:t>https://www.uowoajournals.org/aabfj/article/id/941/</w:t>
        </w:r>
      </w:hyperlink>
      <w:r w:rsidRPr="008360CD">
        <w:rPr>
          <w:lang w:val="en-GB"/>
        </w:rPr>
        <w:t> </w:t>
      </w:r>
    </w:p>
    <w:p w:rsidR="00125C2A" w:rsidRDefault="00125C2A" w14:paraId="1DEB4260" w14:textId="77777777" w:rsidP="008360CD" w:rsidRPr="008360CD">
      <w:pPr>
        <w:rPr>
          <w:lang w:val="en-GB"/>
        </w:rPr>
      </w:pPr>
      <w:proofErr w:type="spellStart"/>
      <w:r w:rsidRPr="008360CD">
        <w:rPr>
          <w:lang w:val="en-GB"/>
        </w:rPr>
        <w:t>Atrill</w:t>
      </w:r>
      <w:proofErr w:type="spellEnd"/>
      <w:r w:rsidRPr="008360CD">
        <w:rPr>
          <w:lang w:val="en-GB"/>
        </w:rPr>
        <w:t xml:space="preserve">, P. (2019) Financial Management for Decision Makers. 9th </w:t>
      </w:r>
      <w:proofErr w:type="spellStart"/>
      <w:r w:rsidRPr="008360CD">
        <w:rPr>
          <w:lang w:val="en-GB"/>
        </w:rPr>
        <w:t>edn</w:t>
      </w:r>
      <w:proofErr w:type="spellEnd"/>
      <w:r w:rsidRPr="008360CD">
        <w:rPr>
          <w:lang w:val="en-GB"/>
        </w:rPr>
        <w:t>. Pearson.</w:t>
      </w:r>
    </w:p>
    <w:p w:rsidR="00125C2A" w:rsidRDefault="00125C2A" w14:paraId="68EA6D39" w14:textId="77777777" w:rsidP="008360CD" w:rsidRPr="008360CD">
      <w:pPr>
        <w:rPr>
          <w:lang w:val="en-GB"/>
        </w:rPr>
      </w:pPr>
      <w:r w:rsidRPr="008360CD">
        <w:rPr>
          <w:lang w:val="en-GB"/>
        </w:rPr>
        <w:t xml:space="preserve">Bekaert, G. (2017). 3rd </w:t>
      </w:r>
      <w:proofErr w:type="spellStart"/>
      <w:r w:rsidRPr="008360CD">
        <w:rPr>
          <w:lang w:val="en-GB"/>
        </w:rPr>
        <w:t>edn</w:t>
      </w:r>
      <w:proofErr w:type="spellEnd"/>
      <w:r w:rsidRPr="008360CD">
        <w:rPr>
          <w:lang w:val="en-GB"/>
        </w:rPr>
        <w:t>. Cambridge University Press.</w:t>
      </w:r>
    </w:p>
    <w:p w:rsidR="00125C2A" w:rsidRDefault="00125C2A" w14:paraId="046D03FE" w14:textId="77777777" w:rsidP="008360CD" w:rsidRPr="008360CD">
      <w:pPr>
        <w:rPr>
          <w:lang w:val="en-GB"/>
        </w:rPr>
      </w:pPr>
      <w:r w:rsidRPr="008360CD">
        <w:rPr>
          <w:lang w:val="en-GB"/>
        </w:rPr>
        <w:t>Bhimani, A. (2022) Financial Management for technology Start-ups: A Handbook for Growth. 2</w:t>
      </w:r>
      <w:r w:rsidRPr="008360CD">
        <w:rPr>
          <w:lang w:val="en-GB"/>
          <w:vertAlign w:val="superscript"/>
        </w:rPr>
        <w:t>nd</w:t>
      </w:r>
      <w:r w:rsidRPr="008360CD">
        <w:rPr>
          <w:lang w:val="en-GB"/>
        </w:rPr>
        <w:t xml:space="preserve"> Edition Kogan Page.</w:t>
      </w:r>
    </w:p>
    <w:p w:rsidR="00125C2A" w:rsidRDefault="00125C2A" w14:paraId="653EEA68" w14:textId="77777777" w:rsidP="008360CD" w:rsidRPr="008360CD">
      <w:pPr>
        <w:rPr>
          <w:lang w:val="en-GB"/>
        </w:rPr>
      </w:pPr>
      <w:r w:rsidRPr="008360CD">
        <w:rPr>
          <w:lang w:val="en-GB"/>
        </w:rPr>
        <w:t xml:space="preserve">Bon, S.F. and Hartoko, S., (2022). The effect of dividend policy, investment decision, leverage, profitability, and firm size on firm value. European Journal of Business and Management Research, 7(3), pp.7-13. </w:t>
      </w:r>
      <w:hyperlink w:history="1" r:id="rId24">
        <w:r w:rsidRPr="008360CD">
          <w:rPr>
            <w:lang w:val="en-GB"/>
            <w:rStyle w:val="Hyperlink"/>
          </w:rPr>
          <w:t>https://ejbmr.org/index.php/ejbmr/article/view/1405</w:t>
        </w:r>
      </w:hyperlink>
      <w:r w:rsidRPr="008360CD">
        <w:rPr>
          <w:lang w:val="en-GB"/>
        </w:rPr>
        <w:t> </w:t>
      </w:r>
    </w:p>
    <w:p w:rsidR="00125C2A" w:rsidRDefault="00125C2A" w14:paraId="39B38E65" w14:textId="77777777" w:rsidP="008360CD" w:rsidRPr="008360CD">
      <w:pPr>
        <w:rPr>
          <w:lang w:val="en-GB"/>
        </w:rPr>
      </w:pPr>
      <w:proofErr w:type="spellStart"/>
      <w:r w:rsidRPr="008360CD">
        <w:rPr>
          <w:lang w:val="en-GB"/>
        </w:rPr>
        <w:t>Challoumis</w:t>
        <w:lastRenderedPageBreak/>
      </w:r>
      <w:proofErr w:type="spellEnd"/>
      <w:r w:rsidRPr="008360CD">
        <w:rPr>
          <w:lang w:val="en-GB"/>
        </w:rPr>
        <w:t xml:space="preserve">, C., (2024). Integrating money cycle dynamics and </w:t>
      </w:r>
      <w:proofErr w:type="spellStart"/>
      <w:r w:rsidRPr="008360CD">
        <w:rPr>
          <w:lang w:val="en-GB"/>
        </w:rPr>
        <w:t>economocracy</w:t>
      </w:r>
      <w:proofErr w:type="spellEnd"/>
      <w:r w:rsidRPr="008360CD">
        <w:rPr>
          <w:lang w:val="en-GB"/>
        </w:rPr>
        <w:t xml:space="preserve"> for optimal resource allocation and economic stability. Journal of Risk and Financial Management, 17(9), p.422. </w:t>
      </w:r>
      <w:hyperlink w:history="1" r:id="rId25">
        <w:r w:rsidRPr="008360CD">
          <w:rPr>
            <w:lang w:val="en-GB"/>
            <w:rStyle w:val="Hyperlink"/>
          </w:rPr>
          <w:t>https://www.mdpi.com/1911-8074/17/9/422</w:t>
        </w:r>
      </w:hyperlink>
      <w:r w:rsidRPr="008360CD">
        <w:rPr>
          <w:lang w:val="en-GB"/>
        </w:rPr>
        <w:t> </w:t>
      </w:r>
    </w:p>
    <w:p w:rsidR="00125C2A" w:rsidRDefault="00125C2A" w14:paraId="386A80C6" w14:textId="77777777" w:rsidP="008360CD" w:rsidRPr="008360CD">
      <w:pPr>
        <w:rPr>
          <w:lang w:val="en-GB"/>
        </w:rPr>
      </w:pPr>
      <w:proofErr w:type="spellStart"/>
      <w:r w:rsidRPr="008360CD">
        <w:rPr>
          <w:lang w:val="en-GB"/>
        </w:rPr>
        <w:t>Citterio</w:t>
      </w:r>
      <w:proofErr w:type="spellEnd"/>
      <w:r w:rsidRPr="008360CD">
        <w:rPr>
          <w:lang w:val="en-GB"/>
        </w:rPr>
        <w:t xml:space="preserve">, A. and King, T., (2023). The role of Environmental, Social, and Governance (ESG) in predicting bank financial distress. Finance Research Letters, 51, p.103411. </w:t>
      </w:r>
      <w:hyperlink w:history="1" r:id="rId26">
        <w:r w:rsidRPr="008360CD">
          <w:rPr>
            <w:lang w:val="en-GB"/>
            <w:rStyle w:val="Hyperlink"/>
          </w:rPr>
          <w:t>https://www.sciencedirect.com/science/article/pii/S1544612322005888</w:t>
        </w:r>
      </w:hyperlink>
      <w:r w:rsidRPr="008360CD">
        <w:rPr>
          <w:lang w:val="en-GB"/>
        </w:rPr>
        <w:t> </w:t>
      </w:r>
    </w:p>
    <w:p w:rsidR="00125C2A" w:rsidRDefault="00125C2A" w14:paraId="68DAFBBA" w14:textId="77777777" w:rsidP="008360CD" w:rsidRPr="008360CD">
      <w:pPr>
        <w:rPr>
          <w:lang w:val="en-GB"/>
        </w:rPr>
      </w:pPr>
      <w:r w:rsidRPr="008360CD">
        <w:rPr>
          <w:lang w:val="en-GB"/>
        </w:rPr>
        <w:t xml:space="preserve">Cooper, R.G., (2023). Expected commercial value for new-product project valuation when high uncertainty exists. IEEE Engineering Management Review, 51(2), pp.75-87. </w:t>
      </w:r>
      <w:hyperlink w:history="1" r:id="rId27">
        <w:r w:rsidRPr="008360CD">
          <w:rPr>
            <w:lang w:val="en-GB"/>
            <w:rStyle w:val="Hyperlink"/>
          </w:rPr>
          <w:t>https://ieeexplore.ieee.org/abstract/document/10103160/</w:t>
        </w:r>
      </w:hyperlink>
      <w:r w:rsidRPr="008360CD">
        <w:rPr>
          <w:lang w:val="en-GB"/>
        </w:rPr>
        <w:t> </w:t>
      </w:r>
    </w:p>
    <w:p w:rsidR="00125C2A" w:rsidRDefault="00125C2A" w14:paraId="33F7F992" w14:textId="77777777" w:rsidP="008360CD" w:rsidRPr="008360CD">
      <w:pPr>
        <w:rPr>
          <w:lang w:val="en-GB"/>
        </w:rPr>
      </w:pPr>
      <w:r w:rsidRPr="008360CD">
        <w:rPr>
          <w:lang w:val="en-GB"/>
        </w:rPr>
        <w:t xml:space="preserve">Drury, C. (2020) Management and Cost Accounting. 11th </w:t>
      </w:r>
      <w:proofErr w:type="spellStart"/>
      <w:r w:rsidRPr="008360CD">
        <w:rPr>
          <w:lang w:val="en-GB"/>
        </w:rPr>
        <w:t>edn</w:t>
      </w:r>
      <w:proofErr w:type="spellEnd"/>
      <w:r w:rsidRPr="008360CD">
        <w:rPr>
          <w:lang w:val="en-GB"/>
        </w:rPr>
        <w:t>. Cengage.</w:t>
      </w:r>
    </w:p>
    <w:p w:rsidR="00125C2A" w:rsidRDefault="00125C2A" w14:paraId="4B2E1833" w14:textId="77777777" w:rsidP="008360CD" w:rsidRPr="008360CD">
      <w:pPr>
        <w:rPr>
          <w:lang w:val="en-GB"/>
        </w:rPr>
      </w:pPr>
      <w:r w:rsidRPr="008360CD">
        <w:rPr>
          <w:lang w:val="en-GB"/>
        </w:rPr>
        <w:t xml:space="preserve">Fan, X., Chen, K. and Chen, Y.J., (2023). Is price commitment a better solution to control carbon emissions and promote technology </w:t>
      </w:r>
      <w:proofErr w:type="gramStart"/>
      <w:r w:rsidRPr="008360CD">
        <w:rPr>
          <w:lang w:val="en-GB"/>
        </w:rPr>
        <w:t>investment?.</w:t>
      </w:r>
      <w:proofErr w:type="gramEnd"/>
      <w:r w:rsidRPr="008360CD">
        <w:rPr>
          <w:lang w:val="en-GB"/>
        </w:rPr>
        <w:t xml:space="preserve"> Management Science, 69(1), pp.325-341. </w:t>
      </w:r>
      <w:hyperlink w:history="1" r:id="rId28">
        <w:r w:rsidRPr="008360CD">
          <w:rPr>
            <w:lang w:val="en-GB"/>
            <w:rStyle w:val="Hyperlink"/>
          </w:rPr>
          <w:t>https://pubsonline.informs.org/doi/abs/10.1287/mnsc.2022.4365</w:t>
        </w:r>
      </w:hyperlink>
      <w:r w:rsidRPr="008360CD">
        <w:rPr>
          <w:lang w:val="en-GB"/>
        </w:rPr>
        <w:t> </w:t>
      </w:r>
    </w:p>
    <w:p w:rsidR="00125C2A" w:rsidRDefault="00125C2A" w14:paraId="75658C15" w14:textId="77777777" w:rsidP="008360CD" w:rsidRPr="008360CD">
      <w:pPr>
        <w:rPr>
          <w:lang w:val="en-GB"/>
        </w:rPr>
      </w:pPr>
      <w:r w:rsidRPr="008360CD">
        <w:rPr>
          <w:lang w:val="en-GB"/>
        </w:rPr>
        <w:t xml:space="preserve">Jámbor, A. and </w:t>
      </w:r>
      <w:proofErr w:type="spellStart"/>
      <w:r w:rsidRPr="008360CD">
        <w:rPr>
          <w:lang w:val="en-GB"/>
        </w:rPr>
        <w:t>Zanócz</w:t>
      </w:r>
      <w:proofErr w:type="spellEnd"/>
      <w:r w:rsidRPr="008360CD">
        <w:rPr>
          <w:lang w:val="en-GB"/>
        </w:rPr>
        <w:t xml:space="preserve">, A., (2023). The diversity of environmental, social, and governance aspects in sustainability: A systematic literature review. Sustainability, 15(18), p.13958. </w:t>
      </w:r>
      <w:hyperlink w:history="1" r:id="rId29">
        <w:r w:rsidRPr="008360CD">
          <w:rPr>
            <w:lang w:val="en-GB"/>
            <w:rStyle w:val="Hyperlink"/>
          </w:rPr>
          <w:t>https://www.mdpi.com/2071-1050/15/18/13958</w:t>
        </w:r>
      </w:hyperlink>
      <w:r w:rsidRPr="008360CD">
        <w:rPr>
          <w:lang w:val="en-GB"/>
        </w:rPr>
        <w:t> </w:t>
      </w:r>
    </w:p>
    <w:p w:rsidR="00125C2A" w:rsidRDefault="00125C2A" w14:paraId="53BBF2EB" w14:textId="77777777" w:rsidP="008360CD" w:rsidRPr="008360CD">
      <w:pPr>
        <w:rPr>
          <w:lang w:val="en-GB"/>
        </w:rPr>
      </w:pPr>
      <w:r w:rsidRPr="008360CD">
        <w:rPr>
          <w:lang w:val="en-GB"/>
        </w:rPr>
        <w:t>Kersten, R. et al (2017) Small Firms, large Impact? A systematic review of the SME Finance Literature, World Development. September 2017, (97), pp. 330-348 </w:t>
      </w:r>
    </w:p>
    <w:p w:rsidR="00125C2A" w:rsidRDefault="00125C2A" w14:paraId="6C6313C9" w14:textId="77777777" w:rsidP="008360CD" w:rsidRPr="008360CD">
      <w:pPr>
        <w:rPr>
          <w:lang w:val="en-GB"/>
        </w:rPr>
      </w:pPr>
      <w:proofErr w:type="spellStart"/>
      <w:r w:rsidRPr="008360CD">
        <w:rPr>
          <w:lang w:val="en-GB"/>
        </w:rPr>
        <w:t>Koundouri</w:t>
      </w:r>
      <w:proofErr w:type="spellEnd"/>
      <w:r w:rsidRPr="008360CD">
        <w:rPr>
          <w:lang w:val="en-GB"/>
        </w:rPr>
        <w:t xml:space="preserve">, P., Pittis, N. and </w:t>
      </w:r>
      <w:proofErr w:type="spellStart"/>
      <w:r w:rsidRPr="008360CD">
        <w:rPr>
          <w:lang w:val="en-GB"/>
        </w:rPr>
        <w:t>Plataniotis</w:t>
      </w:r>
      <w:proofErr w:type="spellEnd"/>
      <w:r w:rsidRPr="008360CD">
        <w:rPr>
          <w:lang w:val="en-GB"/>
        </w:rPr>
        <w:t xml:space="preserve">, A., (2022). The impact of ESG performance on the financial performance of European area companies: An empirical examination. Environmental Sciences Proceedings, 15(1), p.13. </w:t>
      </w:r>
      <w:hyperlink w:history="1" r:id="rId30">
        <w:r w:rsidRPr="008360CD">
          <w:rPr>
            <w:lang w:val="en-GB"/>
            <w:rStyle w:val="Hyperlink"/>
          </w:rPr>
          <w:t>https://www.mdpi.com/2673-4931/15/1/13</w:t>
        </w:r>
      </w:hyperlink>
      <w:r w:rsidRPr="008360CD">
        <w:rPr>
          <w:lang w:val="en-GB"/>
        </w:rPr>
        <w:t> </w:t>
      </w:r>
    </w:p>
    <w:p w:rsidR="00125C2A" w:rsidRDefault="00125C2A" w14:paraId="2FFAEDDF" w14:textId="77777777" w:rsidP="008360CD" w:rsidRPr="008360CD">
      <w:pPr>
        <w:rPr>
          <w:lang w:val="en-GB"/>
        </w:rPr>
      </w:pPr>
      <w:r w:rsidRPr="008360CD">
        <w:rPr>
          <w:lang w:val="en-GB"/>
        </w:rPr>
        <w:t xml:space="preserve">Le, S., (2021, December). The applications of NPV in different types of markets. In 2021 3rd International Conference on Economic Management and Cultural Industry (ICEMCI 2021) (pp. 1054-1059). Atlantis Press. </w:t>
      </w:r>
      <w:hyperlink w:history="1" r:id="rId32">
        <w:r w:rsidRPr="008360CD">
          <w:rPr>
            <w:lang w:val="en-GB"/>
            <w:rStyle w:val="Hyperlink"/>
          </w:rPr>
          <w:t>https://www.atlantis-press.com/proceedings/icemci-21/125966042</w:t>
        </w:r>
      </w:hyperlink>
      <w:r w:rsidRPr="008360CD">
        <w:rPr>
          <w:lang w:val="en-GB"/>
        </w:rPr>
        <w:t> </w:t>
      </w:r>
    </w:p>
    <w:p w:rsidR="00125C2A" w:rsidRDefault="00125C2A" w14:paraId="4884548F" w14:textId="77777777" w:rsidP="008360CD" w:rsidRPr="008360CD">
      <w:pPr>
        <w:rPr>
          <w:lang w:val="en-GB"/>
        </w:rPr>
      </w:pPr>
      <w:r w:rsidRPr="008360CD">
        <w:rPr>
          <w:lang w:val="en-GB"/>
        </w:rPr>
        <w:t xml:space="preserve">Le, S., (2021, December). The applications of NPV in different types of markets. In 2021 3rd International Conference on Economic Management and Cultural Industry (ICEMCI 2021) (pp. 1054-1059). Atlantis Press. </w:t>
        <w:lastRenderedPageBreak/>
      </w:r>
      <w:hyperlink w:history="1" r:id="rId31">
        <w:r w:rsidRPr="008360CD">
          <w:rPr>
            <w:lang w:val="en-GB"/>
            <w:rStyle w:val="Hyperlink"/>
          </w:rPr>
          <w:t>https://www.atlantis-press.com/proceedings/icemci-21/125966042</w:t>
        </w:r>
      </w:hyperlink>
      <w:r w:rsidRPr="008360CD">
        <w:rPr>
          <w:lang w:val="en-GB"/>
        </w:rPr>
        <w:t> </w:t>
      </w:r>
    </w:p>
    <w:p w:rsidR="00125C2A" w:rsidRDefault="00125C2A" w14:paraId="17ACD5E8" w14:textId="77777777" w:rsidP="008360CD" w:rsidRPr="008360CD">
      <w:pPr>
        <w:rPr>
          <w:lang w:val="en-GB"/>
        </w:rPr>
      </w:pPr>
      <w:r w:rsidRPr="008360CD">
        <w:rPr>
          <w:lang w:val="en-GB"/>
        </w:rPr>
        <w:t xml:space="preserve">Liu, Y., (2022, July). Evaluation method based on NPV and IRR. In 2022 2nd International Conference on Enterprise Management and Economic Development (ICEMED 2022) (pp. 816-820). Atlantis Press. </w:t>
      </w:r>
      <w:hyperlink w:history="1" r:id="rId33">
        <w:r w:rsidRPr="008360CD">
          <w:rPr>
            <w:lang w:val="en-GB"/>
            <w:rStyle w:val="Hyperlink"/>
          </w:rPr>
          <w:t>https://www.atlantis-press.com/proceedings/icemed-22/125975479</w:t>
        </w:r>
      </w:hyperlink>
      <w:r w:rsidRPr="008360CD">
        <w:rPr>
          <w:lang w:val="en-GB"/>
        </w:rPr>
        <w:t> </w:t>
      </w:r>
    </w:p>
    <w:p w:rsidR="00125C2A" w:rsidRDefault="00125C2A" w14:paraId="5C96E498" w14:textId="77777777" w:rsidP="008360CD" w:rsidRPr="008360CD">
      <w:pPr>
        <w:rPr>
          <w:lang w:val="en-GB"/>
        </w:rPr>
      </w:pPr>
      <w:r w:rsidRPr="008360CD">
        <w:rPr>
          <w:lang w:val="en-GB"/>
        </w:rPr>
        <w:t xml:space="preserve">Lubis, S.S., (2023). Identify Financial Ratios to Measure </w:t>
      </w:r>
      <w:proofErr w:type="gramStart"/>
      <w:r w:rsidRPr="008360CD">
        <w:rPr>
          <w:lang w:val="en-GB"/>
        </w:rPr>
        <w:t>The</w:t>
      </w:r>
      <w:proofErr w:type="gramEnd"/>
      <w:r w:rsidRPr="008360CD">
        <w:rPr>
          <w:lang w:val="en-GB"/>
        </w:rPr>
        <w:t xml:space="preserve"> Company's Financial Performance. Journal of Economics Business Industry, 1(1), pp.1-9. </w:t>
      </w:r>
      <w:hyperlink w:history="1" r:id="rId34">
        <w:r w:rsidRPr="008360CD">
          <w:rPr>
            <w:lang w:val="en-GB"/>
            <w:rStyle w:val="Hyperlink"/>
          </w:rPr>
          <w:t>https://jurnaljepip.com/index.php/Jebin/article/view/7</w:t>
        </w:r>
      </w:hyperlink>
      <w:r w:rsidRPr="008360CD">
        <w:rPr>
          <w:lang w:val="en-GB"/>
        </w:rPr>
        <w:t> </w:t>
      </w:r>
    </w:p>
    <w:p w:rsidR="00125C2A" w:rsidRDefault="00125C2A" w14:paraId="23CC87B8" w14:textId="77777777" w:rsidP="008360CD" w:rsidRPr="008360CD">
      <w:pPr>
        <w:rPr>
          <w:lang w:val="en-GB"/>
        </w:rPr>
      </w:pPr>
      <w:r w:rsidRPr="008360CD">
        <w:rPr>
          <w:lang w:val="en-GB"/>
        </w:rPr>
        <w:t xml:space="preserve">Lusardi, A. and Messy, F.A., (2023). The importance of financial literacy and its impact on financial wellbeing. Journal of Financial Literacy and Wellbeing, 1(1), pp.1-11. </w:t>
      </w:r>
      <w:hyperlink w:history="1" r:id="rId35">
        <w:r w:rsidRPr="008360CD">
          <w:rPr>
            <w:lang w:val="en-GB"/>
            <w:rStyle w:val="Hyperlink"/>
          </w:rPr>
          <w:t>https://www.cambridge.org/core/journals/journal-of-financial-literacy-and-wellbeing/article/importance-of-financial-literacy-and-its-impact-on-financial-wellbeing/A5DBBF9D6F0696E5FD3733241EE28E66</w:t>
        </w:r>
      </w:hyperlink>
      <w:r w:rsidRPr="008360CD">
        <w:rPr>
          <w:lang w:val="en-GB"/>
        </w:rPr>
        <w:t> </w:t>
      </w:r>
    </w:p>
    <w:p w:rsidR="00125C2A" w:rsidRDefault="00125C2A" w14:paraId="787F51EA" w14:textId="77777777" w:rsidP="008360CD" w:rsidRPr="008360CD">
      <w:r w:rsidRPr="008360CD">
        <w:rPr>
          <w:lang w:val="en-GB"/>
        </w:rPr>
        <w:t xml:space="preserve">Mazur, N., Khrystenko, L., </w:t>
      </w:r>
      <w:proofErr w:type="spellStart"/>
      <w:r w:rsidRPr="008360CD">
        <w:rPr>
          <w:lang w:val="en-GB"/>
        </w:rPr>
        <w:t>Pásztorová</w:t>
      </w:r>
      <w:proofErr w:type="spellEnd"/>
      <w:r w:rsidRPr="008360CD">
        <w:rPr>
          <w:lang w:val="en-GB"/>
        </w:rPr>
        <w:t xml:space="preserve">, J., Zos-Kior, M., Hnatenko, I., </w:t>
      </w:r>
      <w:proofErr w:type="spellStart"/>
      <w:r w:rsidRPr="008360CD">
        <w:rPr>
          <w:lang w:val="en-GB"/>
        </w:rPr>
        <w:t>Puzyrova</w:t>
      </w:r>
      <w:proofErr w:type="spellEnd"/>
      <w:r w:rsidRPr="008360CD">
        <w:rPr>
          <w:lang w:val="en-GB"/>
        </w:rPr>
        <w:t xml:space="preserve">, P. and </w:t>
      </w:r>
      <w:proofErr w:type="spellStart"/>
      <w:r w:rsidRPr="008360CD">
        <w:rPr>
          <w:lang w:val="en-GB"/>
        </w:rPr>
        <w:t>Rubezhanska</w:t>
      </w:r>
      <w:proofErr w:type="spellEnd"/>
      <w:r w:rsidRPr="008360CD">
        <w:rPr>
          <w:lang w:val="en-GB"/>
        </w:rPr>
        <w:t xml:space="preserve">, V., (2021). Improvement of controlling in the financial management of enterprises. TEM Journal-Technology, Education, Management, Informatics. </w:t>
      </w:r>
      <w:hyperlink w:history="1" r:id="rId36">
        <w:r w:rsidRPr="008360CD">
          <w:rPr>
            <w:rStyle w:val="Hyperlink"/>
          </w:rPr>
          <w:t>https://www.ceeol.com/search/article-detail?id=997864</w:t>
        </w:r>
      </w:hyperlink>
      <w:r w:rsidRPr="008360CD">
        <w:t> </w:t>
      </w:r>
    </w:p>
    <w:p w:rsidR="00125C2A" w:rsidRDefault="00125C2A" w14:paraId="4ED13F60" w14:textId="77777777" w:rsidP="008360CD" w:rsidRPr="008360CD">
      <w:pPr>
        <w:rPr>
          <w:lang w:val="en-GB"/>
        </w:rPr>
      </w:pPr>
      <w:proofErr w:type="spellStart"/>
      <w:r w:rsidRPr="008360CD">
        <w:rPr>
          <w:lang w:val="en-GB"/>
        </w:rPr>
        <w:t>Osarenmwinda</w:t>
      </w:r>
      <w:proofErr w:type="spellEnd"/>
      <w:r w:rsidRPr="008360CD">
        <w:rPr>
          <w:lang w:val="en-GB"/>
        </w:rPr>
        <w:t xml:space="preserve">, S., (2024). Journal of Accounting, Finance and Management Discovery. Journal of Accounting, 7(2). </w:t>
      </w:r>
      <w:hyperlink w:history="1" r:id="rId37">
        <w:r w:rsidRPr="008360CD">
          <w:rPr>
            <w:lang w:val="en-GB"/>
            <w:rStyle w:val="Hyperlink"/>
          </w:rPr>
          <w:t>https://www.researchgate.net/profile/Irabor-Uyimwen-Kurtis/publication/382743182/links/66ab5bd175fcd863e5ed674d/Management-Discovery-Subsidy-Removal-and-Consumer-Behavioral-Pattern-in-Nigeria-a-Study-of-Benin-City-Metropolis-Edo-State.pdf</w:t>
        </w:r>
      </w:hyperlink>
      <w:r w:rsidRPr="008360CD">
        <w:rPr>
          <w:lang w:val="en-GB"/>
        </w:rPr>
        <w:t> </w:t>
      </w:r>
    </w:p>
    <w:p w:rsidR="00125C2A" w:rsidRDefault="00125C2A" w14:paraId="4C792D93" w14:textId="77777777" w:rsidP="008360CD" w:rsidRPr="008360CD">
      <w:pPr>
        <w:rPr>
          <w:lang w:val="en-GB"/>
        </w:rPr>
      </w:pPr>
      <w:proofErr w:type="spellStart"/>
      <w:r w:rsidRPr="008360CD">
        <w:rPr>
          <w:lang w:val="en-GB"/>
        </w:rPr>
        <w:t>Prekazi</w:t>
      </w:r>
      <w:proofErr w:type="spellEnd"/>
      <w:r w:rsidRPr="008360CD">
        <w:rPr>
          <w:lang w:val="en-GB"/>
        </w:rPr>
        <w:t xml:space="preserve">, Y., Bajrami, R. and Hoxha, A., (2023). The impact of capital structure on financial performance. International Journal of Applied Economics, Finance and Accounting, 17(1), pp.1-6. </w:t>
      </w:r>
      <w:hyperlink w:history="1" r:id="rId38">
        <w:r w:rsidRPr="008360CD">
          <w:rPr>
            <w:lang w:val="en-GB"/>
            <w:rStyle w:val="Hyperlink"/>
          </w:rPr>
          <w:t>https://www.academia.edu/download/115142774/758.pdf</w:t>
        </w:r>
      </w:hyperlink>
      <w:r w:rsidRPr="008360CD">
        <w:rPr>
          <w:lang w:val="en-GB"/>
        </w:rPr>
        <w:t> </w:t>
      </w:r>
    </w:p>
    <w:p w:rsidR="00125C2A" w:rsidRDefault="00125C2A" w14:paraId="5FD6493A" w14:textId="77777777" w:rsidP="008360CD" w:rsidRPr="008360CD">
      <w:pPr>
        <w:rPr>
          <w:lang w:val="nl-NL"/>
        </w:rPr>
      </w:pPr>
      <w:r w:rsidRPr="008360CD">
        <w:rPr>
          <w:lang w:val="en-GB"/>
        </w:rPr>
        <w:t xml:space="preserve">Rahayu, Y.S. and Wardana, G.K., (2021). The Effect of financial performance and dividend policy on cumulative abnormal return. </w:t>
        <w:lastRenderedPageBreak/>
      </w:r>
      <w:r w:rsidRPr="008360CD">
        <w:rPr>
          <w:lang w:val="nl-NL"/>
        </w:rPr>
        <w:t xml:space="preserve">EL DINAR: Jurnal Keuangan Dan Perbankan Syariah, 9(1), pp.62-76. </w:t>
      </w:r>
      <w:hyperlink w:history="1" r:id="rId39">
        <w:r w:rsidRPr="008360CD">
          <w:rPr>
            <w:lang w:val="nl-NL"/>
            <w:rStyle w:val="Hyperlink"/>
          </w:rPr>
          <w:t>http://repository.uin-malang.ac.id/8235/</w:t>
        </w:r>
      </w:hyperlink>
      <w:r w:rsidRPr="008360CD">
        <w:rPr>
          <w:lang w:val="nl-NL"/>
        </w:rPr>
        <w:t> </w:t>
      </w:r>
    </w:p>
    <w:p w:rsidR="00125C2A" w:rsidRDefault="00125C2A" w14:paraId="3AC41455" w14:textId="77777777" w:rsidP="008360CD" w:rsidRPr="008360CD">
      <w:pPr>
        <w:rPr>
          <w:lang w:val="en-GB"/>
        </w:rPr>
      </w:pPr>
      <w:r w:rsidRPr="008360CD">
        <w:rPr>
          <w:lang w:val="en-GB"/>
        </w:rPr>
        <w:t xml:space="preserve">Rashid, C.A., (2021). The efficiency of financial ratios analysis to evaluate company’s profitability. Journal of Global Economics and Business, 2(4), pp.119-132. </w:t>
      </w:r>
      <w:hyperlink w:history="1" r:id="rId40">
        <w:r w:rsidRPr="008360CD">
          <w:rPr>
            <w:lang w:val="en-GB"/>
            <w:rStyle w:val="Hyperlink"/>
          </w:rPr>
          <w:t>https://www.researchgate.net/profile/Chnar-Rashid/publication/348686551/links/600ad9df92851c13fe2b24ba/THE-EFFICIENCY-OF-FINANCIAL-RATIOS-ANALYSIS-TO-EVALUATE-COMPANYS-PROFITABILITY.pdf</w:t>
        </w:r>
      </w:hyperlink>
      <w:r w:rsidRPr="008360CD">
        <w:rPr>
          <w:lang w:val="en-GB"/>
        </w:rPr>
        <w:t> </w:t>
      </w:r>
    </w:p>
    <w:p w:rsidR="00125C2A" w:rsidRDefault="00125C2A" w14:paraId="0F4CC7B0" w14:textId="77777777" w:rsidP="008360CD" w:rsidRPr="008360CD">
      <w:pPr>
        <w:rPr>
          <w:lang w:val="en-GB"/>
        </w:rPr>
      </w:pPr>
      <w:r w:rsidRPr="008360CD">
        <w:rPr>
          <w:lang w:val="en-GB"/>
        </w:rPr>
        <w:t xml:space="preserve">Rashid, C.A., (2021). The efficiency of financial ratios analysis to evaluate company’s profitability. Journal of Global Economics and Business, 2(4), pp.119-132. </w:t>
      </w:r>
      <w:hyperlink w:history="1" r:id="rId41">
        <w:r w:rsidRPr="008360CD">
          <w:rPr>
            <w:lang w:val="en-GB"/>
            <w:rStyle w:val="Hyperlink"/>
          </w:rPr>
          <w:t>https://www.researchgate.net/profile/Chnar-Rashid/publication/348686551_THE_EFFICIENCY_OF_FINANCIAL_RATIOS_ANALYSIS_TO_EVALUATE_COMPANY'S_PROFITABILITY/links/600ad9df92851c13fe2b24ba/THE-EFFICIENCY-OF-FINANCIAL-RATIOS-ANALYSIS-TO-EVALUATE-COMPANYS-PROFITABILITY.pdf</w:t>
        </w:r>
      </w:hyperlink>
      <w:r w:rsidRPr="008360CD">
        <w:rPr>
          <w:lang w:val="en-GB"/>
        </w:rPr>
        <w:t> </w:t>
      </w:r>
    </w:p>
    <w:p w:rsidR="00125C2A" w:rsidRDefault="00125C2A" w14:paraId="697D3757" w14:textId="77777777" w:rsidP="008360CD" w:rsidRPr="008360CD">
      <w:pPr>
        <w:rPr>
          <w:lang w:val="en-GB"/>
        </w:rPr>
      </w:pPr>
      <w:proofErr w:type="spellStart"/>
      <w:r w:rsidRPr="008360CD">
        <w:rPr>
          <w:lang w:val="en-GB"/>
        </w:rPr>
        <w:t>Tadayonrad</w:t>
      </w:r>
      <w:proofErr w:type="spellEnd"/>
      <w:r w:rsidRPr="008360CD">
        <w:rPr>
          <w:lang w:val="en-GB"/>
        </w:rPr>
        <w:t xml:space="preserve">, Y. and Ndiaye, A.B., (2023). A new key performance indicator model for demand forecasting in inventory management considering supply chain reliability and seasonality. </w:t>
      </w:r>
      <w:r w:rsidRPr="008360CD">
        <w:rPr>
          <w:iCs/>
          <w:lang w:val="en-GB"/>
          <w:i/>
        </w:rPr>
        <w:t>Supply Chain Analytics</w:t>
      </w:r>
      <w:r w:rsidRPr="008360CD">
        <w:rPr>
          <w:lang w:val="en-GB"/>
        </w:rPr>
        <w:t xml:space="preserve">, </w:t>
      </w:r>
      <w:r w:rsidRPr="008360CD">
        <w:rPr>
          <w:iCs/>
          <w:lang w:val="en-GB"/>
          <w:i/>
        </w:rPr>
        <w:t>3</w:t>
      </w:r>
      <w:r w:rsidRPr="008360CD">
        <w:rPr>
          <w:lang w:val="en-GB"/>
        </w:rPr>
        <w:t xml:space="preserve">, p.100026. </w:t>
      </w:r>
      <w:hyperlink w:history="1" r:id="rId42">
        <w:r w:rsidRPr="008360CD">
          <w:rPr>
            <w:lang w:val="en-GB"/>
            <w:rStyle w:val="Hyperlink"/>
          </w:rPr>
          <w:t>https://www.sciencedirect.com/science/article/pii/S2949863523000250</w:t>
        </w:r>
      </w:hyperlink>
      <w:r w:rsidRPr="008360CD">
        <w:rPr>
          <w:lang w:val="en-GB"/>
        </w:rPr>
        <w:t> </w:t>
      </w:r>
    </w:p>
    <w:p w:rsidR="00125C2A" w:rsidRDefault="00125C2A" w14:paraId="1B9810C4" w14:textId="77777777" w:rsidP="008360CD" w:rsidRPr="008360CD">
      <w:pPr>
        <w:rPr>
          <w:lang w:val="en-GB"/>
        </w:rPr>
      </w:pPr>
      <w:r w:rsidRPr="008360CD">
        <w:rPr>
          <w:lang w:val="en-GB"/>
        </w:rPr>
        <w:t xml:space="preserve">Xue, H., (2025). ESG disclosure, market forces, and investment efficiency. The Accounting Review, 100(5), pp.439-467. </w:t>
      </w:r>
      <w:hyperlink w:history="1" r:id="rId43">
        <w:r w:rsidRPr="008360CD">
          <w:rPr>
            <w:lang w:val="en-GB"/>
            <w:rStyle w:val="Hyperlink"/>
          </w:rPr>
          <w:t>https://publications.aaahq.org/accounting-review/article-abstract/100/5/439/13601</w:t>
        </w:r>
      </w:hyperlink>
      <w:r w:rsidRPr="008360CD">
        <w:rPr>
          <w:lang w:val="en-GB"/>
        </w:rPr>
        <w:t> </w:t>
      </w:r>
    </w:p>
    <w:p w:rsidR="00C30443" w:rsidRDefault="00C30443" w14:paraId="0222BAF0" w14:textId="77777777" w:rsidP="008360CD" w:rsidRPr="008360CD">
      <w:pPr>
        <w:pStyle w:val="Heading1"/>
      </w:pPr>
      <w:bookmarkStart w:id="35" w:name="_Toc218539699"/>
      <w:r w:rsidRPr="008360CD">
        <w:t>Appendices</w:t>
        <w:lastRenderedPageBreak/>
      </w:r>
      <w:bookmarkEnd w:id="35"/>
    </w:p>
    <w:p w:rsidR="00C30443" w:rsidRDefault="00C30443" w14:paraId="096A462F" w14:textId="77777777" w:rsidP="008360CD" w:rsidRPr="008360CD">
      <w:pPr>
        <w:pStyle w:val="Heading2"/>
      </w:pPr>
      <w:bookmarkStart w:id="36" w:name="_35rxvxnvh0lo" w:colFirst="0" w:colLast="0"/>
      <w:bookmarkStart w:id="37" w:name="_Toc218539700"/>
      <w:bookmarkEnd w:id="36"/>
      <w:r w:rsidRPr="008360CD">
        <w:t>Appendix 1: Ratio calculation</w:t>
      </w:r>
      <w:bookmarkEnd w:id="37"/>
      <w:r w:rsidRPr="008360CD">
        <w:t xml:space="preserve"> </w:t>
      </w:r>
    </w:p>
    <w:p w:rsidR="00C30443" w:rsidRDefault="00C30443" w14:paraId="4D132702" w14:textId="77777777" w:rsidP="008360CD" w:rsidRPr="008360CD">
      <w:r>
        <w:rPr>
          <w:noProof/>
        </w:rPr>
        <w:drawing>
          <wp:inline distB="114300" distL="114300" distR="114300" distT="114300" wp14:anchorId="1CD588B6" wp14:editId="46EA7B98">
            <wp:extent cx="5730875" cy="69596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85"/>
                    <a:stretch>
                      <a:fillRect/>
                    </a:stretch>
                  </pic:blipFill>
                  <pic:spPr>
                    <a:xfrm>
                      <a:off x="0" y="0"/>
                      <a:ext cx="5731200" cy="6959600"/>
                    </a:xfrm>
                    <a:prstGeom prst="rect">
                      <a:avLst/>
                    </a:prstGeom>
                  </pic:spPr>
                </pic:pic>
              </a:graphicData>
            </a:graphic>
          </wp:inline>
        </w:drawing>
      </w:r>
    </w:p>
    <w:p w:rsidR="00C30443" w:rsidRDefault="00C30443" w14:paraId="72CC4F75" w14:textId="77777777" w:rsidP="008360CD" w:rsidRPr="008360CD">
      <w:pPr>
        <w:pStyle w:val="Heading2"/>
      </w:pPr>
      <w:bookmarkStart w:id="38" w:name="_7ascnopjkv1v" w:colFirst="0" w:colLast="0"/>
      <w:bookmarkEnd w:id="38"/>
      <w:r>
        <w:br w:type="page"/>
      </w:r>
    </w:p>
    <w:p w:rsidR="00C30443" w:rsidRDefault="00C30443" w14:paraId="231120F5" w14:textId="77777777" w:rsidP="008360CD" w:rsidRPr="008360CD">
      <w:pPr>
        <w:pStyle w:val="Heading2"/>
      </w:pPr>
      <w:bookmarkStart w:id="39" w:name="_1txjp8ao4h07" w:colFirst="0" w:colLast="0"/>
      <w:bookmarkStart w:id="40" w:name="_Toc218539701"/>
      <w:bookmarkEnd w:id="39"/>
      <w:r w:rsidRPr="008360CD">
        <w:t>Appendix 2: Investment appraisal calculations</w:t>
        <w:lastRenderedPageBreak/>
      </w:r>
      <w:bookmarkEnd w:id="40"/>
      <w:r w:rsidRPr="008360CD">
        <w:t xml:space="preserve"> </w:t>
      </w:r>
    </w:p>
    <w:p w:rsidR="00C30443" w:rsidRDefault="00C30443" w14:paraId="632A2EBE" w14:textId="77777777" w:rsidP="008360CD" w:rsidRPr="008360CD">
      <w:pPr>
        <w:jc w:val="center"/>
      </w:pPr>
      <w:r>
        <w:rPr>
          <w:noProof/>
        </w:rPr>
        <w:drawing>
          <wp:inline distB="114300" distL="114300" distR="114300" distT="114300" wp14:anchorId="2C944904" wp14:editId="4FC1ED47">
            <wp:extent cx="4119245" cy="7134225"/>
            <wp:effectExtent l="0" t="0" r="0" b="0"/>
            <wp:docPr id="2142776755" name="image11.png"/>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82"/>
                    <a:stretch>
                      <a:fillRect/>
                    </a:stretch>
                  </pic:blipFill>
                  <pic:spPr>
                    <a:xfrm>
                      <a:off x="0" y="0"/>
                      <a:ext cx="4119563" cy="7134225"/>
                    </a:xfrm>
                    <a:prstGeom prst="rect">
                      <a:avLst/>
                    </a:prstGeom>
                  </pic:spPr>
                </pic:pic>
              </a:graphicData>
            </a:graphic>
          </wp:inline>
        </w:drawing>
      </w:r>
    </w:p>
    <w:p w:rsidR="00C30443" w:rsidRDefault="00C30443" w14:paraId="645023C3" w14:textId="77777777" w:rsidP="008360CD" w:rsidRPr="008360CD">
      <w:pPr>
        <w:jc w:val="center"/>
      </w:pPr>
      <w:r>
        <w:rPr>
          <w:noProof/>
        </w:rPr>
        <w:drawing>
          <wp:inline distB="114300" distL="114300" distR="114300" distT="114300" wp14:anchorId="5DB899ED" wp14:editId="0DF610D6">
            <wp:extent cx="4735830" cy="639572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6" name="image12.png"/>
                    <pic:cNvPicPr/>
                  </pic:nvPicPr>
                  <pic:blipFill>
                    <a:blip r:embed="rId91"/>
                    <a:stretch>
                      <a:fillRect/>
                    </a:stretch>
                  </pic:blipFill>
                  <pic:spPr>
                    <a:xfrm>
                      <a:off x="0" y="0"/>
                      <a:ext cx="4736057" cy="6396038"/>
                    </a:xfrm>
                    <a:prstGeom prst="rect">
                      <a:avLst/>
                    </a:prstGeom>
                  </pic:spPr>
                </pic:pic>
              </a:graphicData>
            </a:graphic>
          </wp:inline>
        </w:drawing>
      </w:r>
    </w:p>
    <w:p w:rsidR="00C30443" w:rsidRDefault="00C30443" w14:paraId="7178C987" w14:textId="77777777" w:rsidP="008360CD" w:rsidRPr="008360CD"/>
    <w:p w:rsidR="00C30443" w:rsidRDefault="00C30443" w14:paraId="41D82A24" w14:textId="77777777" w:rsidP="008360CD" w:rsidRPr="008360CD"/>
    <w:p w:rsidR="00074BD0" w:rsidRDefault="00074BD0" w14:paraId="7768B830" w14:textId="77777777" w:rsidP="008360CD" w:rsidRPr="008360CD"/>
    <w:sectPr w:rsidR="00074BD0" w:rsidRPr="008360CD" w:rsidSect="007D6A15">
      <w:footerReference r:id="rId47"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330E7" w14:textId="77777777" w:rsidR="00363E43" w:rsidRDefault="00363E43" w:rsidP="004F09CF">
      <w:pPr>
        <w:spacing w:before="0" w:after="0" w:line="240" w:lineRule="auto"/>
      </w:pPr>
      <w:r>
        <w:separator/>
      </w:r>
    </w:p>
  </w:endnote>
  <w:endnote w:type="continuationSeparator" w:id="0">
    <w:p w14:paraId="6E0BB0F9" w14:textId="77777777" w:rsidR="00363E43" w:rsidRDefault="00363E43" w:rsidP="004F09CF">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embedRegular r:id="rId1" w:fontKey="{2396F712-F440-EC47-9412-E6BC45ABB4FF}"/>
    <w:embedBold r:id="rId2" w:fontKey="{005DB9C3-1779-C243-B29F-33C0E16D2C6C}"/>
    <w:embedItalic r:id="rId3" w:fontKey="{38EFC626-E9B5-BA44-A70C-C400F96D9F14}"/>
    <w:embedBoldItalic r:id="rId4" w:fontKey="{11D75AE8-5077-164D-8A2D-5E2216155615}"/>
  </w:font>
  <w:font w:name="Arial">
    <w:panose1 w:val="020B0604020202020204"/>
    <w:charset w:val="00"/>
    <w:family w:val="swiss"/>
    <w:pitch w:val="variable"/>
    <w:sig w:usb0="E0002EFF" w:usb1="C0007843" w:usb2="00000009" w:usb3="00000000" w:csb0="000001FF" w:csb1="00000000"/>
    <w:embedRegular r:id="rId5" w:fontKey="{DE51CAE4-E96C-BB48-8E05-A84FDCA13279}"/>
    <w:embedBold r:id="rId6" w:fontKey="{B09D562E-8517-8345-BDB8-A98925204181}"/>
    <w:embedItalic r:id="rId7" w:fontKey="{EDE3DC11-93C8-D649-909F-8E62051A58AA}"/>
    <w:embedBoldItalic r:id="rId8" w:fontKey="{663450A5-8906-3C4F-BBB3-1A37FC9E2E67}"/>
  </w:font>
  <w:font w:name="Calibri">
    <w:panose1 w:val="020F0502020204030204"/>
    <w:charset w:val="00"/>
    <w:family w:val="swiss"/>
    <w:pitch w:val="variable"/>
    <w:sig w:usb0="E4002EFF" w:usb1="C000247B" w:usb2="00000009" w:usb3="00000000" w:csb0="000001FF" w:csb1="00000000"/>
    <w:embedRegular r:id="rId9" w:fontKey="{9D07E856-10B7-7D46-A8C4-2426D47B9342}"/>
  </w:font>
  <w:font w:name="Cambria">
    <w:panose1 w:val="02040503050406030204"/>
    <w:charset w:val="00"/>
    <w:family w:val="roman"/>
    <w:pitch w:val="variable"/>
    <w:sig w:usb0="E00006FF" w:usb1="420024FF" w:usb2="02000000" w:usb3="00000000" w:csb0="0000019F" w:csb1="00000000"/>
    <w:embedRegular r:id="rId10" w:fontKey="{9663EC45-BB77-794F-977D-931ED686FC5C}"/>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4946145"/>
      <w:docPartObj>
        <w:docPartGallery w:val="Page Numbers (Bottom of Page)"/>
        <w:docPartUnique/>
      </w:docPartObj>
    </w:sdtPr>
    <w:sdtEndPr>
      <w:rPr>
        <w:noProof/>
      </w:rPr>
    </w:sdtEndPr>
    <w:sdtContent>
      <w:p w14:paraId="5D8BBC2D" w14:textId="60AB44B3" w:rsidR="004F09CF" w:rsidRDefault="004F09CF" w:rsidP="007D6A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3A692" w14:textId="77777777" w:rsidR="00363E43" w:rsidRDefault="00363E43" w:rsidP="004F09CF">
      <w:pPr>
        <w:spacing w:before="0" w:after="0" w:line="240" w:lineRule="auto"/>
      </w:pPr>
      <w:r>
        <w:separator/>
      </w:r>
    </w:p>
  </w:footnote>
  <w:footnote w:type="continuationSeparator" w:id="0">
    <w:p w14:paraId="430E5DCF" w14:textId="77777777" w:rsidR="00363E43" w:rsidRDefault="00363E43" w:rsidP="004F09CF">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C5D50E3"/>
    <w:tmpl w:val="D52A58B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5C405BD1"/>
    <w:tmpl w:val="66CE546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16"/>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5DCB2"/>
  <w15:docId w15:val="{2FF09B20-DA33-4428-8287-5E9BA646102C}"/>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A15"/>
    <w:pPr>
      <w:spacing w:before="240" w:after="240"/>
    </w:pPr>
    <w:rPr>
      <w:rFonts w:ascii="Arial" w:hAnsi="Arial"/>
    </w:rPr>
  </w:style>
  <w:style w:type="paragraph" w:styleId="Heading1">
    <w:name w:val="heading 1"/>
    <w:basedOn w:val="Normal"/>
    <w:next w:val="Normal"/>
    <w:qFormat/>
    <w:rsid w:val="00213A85"/>
    <w:pPr>
      <w:keepNext/>
      <w:keepLines/>
      <w:outlineLvl w:val="0"/>
    </w:pPr>
    <w:rPr>
      <w:b/>
      <w:bCs/>
      <w:sz w:val="28"/>
      <w:szCs w:val="28"/>
    </w:rPr>
  </w:style>
  <w:style w:type="paragraph" w:styleId="Heading2">
    <w:name w:val="heading 2"/>
    <w:basedOn w:val="Normal"/>
    <w:next w:val="Normal"/>
    <w:qFormat/>
    <w:rsid w:val="00213A85"/>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eastAsia="Arial" w:cs="Arial"/>
      <w:color w:val="666666"/>
      <w:sz w:val="30"/>
      <w:szCs w:val="30"/>
    </w:rPr>
  </w:style>
  <w:style w:type="paragraph" w:styleId="TOCHeading">
    <w:name w:val="TOC Heading"/>
    <w:basedOn w:val="Heading1"/>
    <w:next w:val="Normal"/>
    <w:uiPriority w:val="39"/>
    <w:unhideWhenUsed/>
    <w:qFormat/>
    <w:rsid w:val="00FE1777"/>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C7D68"/>
    <w:pPr>
      <w:tabs>
        <w:tab w:val="right" w:leader="dot" w:pos="9019"/>
      </w:tabs>
      <w:spacing w:after="100"/>
    </w:pPr>
    <w:rPr>
      <w:noProof/>
    </w:rPr>
  </w:style>
  <w:style w:type="paragraph" w:styleId="TOC2">
    <w:name w:val="toc 2"/>
    <w:basedOn w:val="Normal"/>
    <w:next w:val="Normal"/>
    <w:autoRedefine/>
    <w:uiPriority w:val="39"/>
    <w:unhideWhenUsed/>
    <w:rsid w:val="00FE1777"/>
    <w:pPr>
      <w:spacing w:after="100"/>
      <w:ind w:left="240"/>
    </w:pPr>
  </w:style>
  <w:style w:type="character" w:styleId="Hyperlink">
    <w:name w:val="Hyperlink"/>
    <w:basedOn w:val="DefaultParagraphFont"/>
    <w:uiPriority w:val="99"/>
    <w:unhideWhenUsed/>
    <w:rsid w:val="00FE1777"/>
    <w:rPr>
      <w:color w:val="0000FF" w:themeColor="hyperlink"/>
      <w:u w:val="single"/>
    </w:rPr>
  </w:style>
  <w:style w:type="paragraph" w:styleId="Header">
    <w:name w:val="header"/>
    <w:basedOn w:val="Normal"/>
    <w:link w:val="HeaderChar"/>
    <w:uiPriority w:val="99"/>
    <w:unhideWhenUsed/>
    <w:rsid w:val="004F09C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F09CF"/>
  </w:style>
  <w:style w:type="paragraph" w:styleId="Footer">
    <w:name w:val="footer"/>
    <w:basedOn w:val="Normal"/>
    <w:link w:val="FooterChar"/>
    <w:uiPriority w:val="99"/>
    <w:unhideWhenUsed/>
    <w:rsid w:val="004F09C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F09CF"/>
  </w:style>
  <w:style w:type="character" w:styleId="UnresolvedMention">
    <w:name w:val="Unresolved Mention"/>
    <w:basedOn w:val="DefaultParagraphFont"/>
    <w:uiPriority w:val="99"/>
    <w:semiHidden/>
    <w:unhideWhenUsed/>
    <w:rsid w:val="00572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ciencedirect.com/science/article/pii/S1544612322005888" TargetMode="External"/><Relationship Id="rId39" Type="http://schemas.openxmlformats.org/officeDocument/2006/relationships/hyperlink" Target="http://repository.uin-malang.ac.id/8235/" TargetMode="External"/><Relationship Id="rId21" Type="http://schemas.openxmlformats.org/officeDocument/2006/relationships/hyperlink" Target="https://onlinelibrary.wiley.com/doi/abs/10.3982/ECTA15445" TargetMode="External"/><Relationship Id="rId34" Type="http://schemas.openxmlformats.org/officeDocument/2006/relationships/hyperlink" Target="https://jurnaljepip.com/index.php/Jebin/article/view/7" TargetMode="External"/><Relationship Id="rId42" Type="http://schemas.openxmlformats.org/officeDocument/2006/relationships/hyperlink" Target="https://www.sciencedirect.com/science/article/pii/S2949863523000250"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mdpi.com/2071-1050/15/18/13958" TargetMode="External"/><Relationship Id="rId11" Type="http://schemas.openxmlformats.org/officeDocument/2006/relationships/image" Target="media/image4.png"/><Relationship Id="rId24" Type="http://schemas.openxmlformats.org/officeDocument/2006/relationships/hyperlink" Target="https://ejbmr.org/index.php/ejbmr/article/view/1405" TargetMode="External"/><Relationship Id="rId32" Type="http://schemas.openxmlformats.org/officeDocument/2006/relationships/hyperlink" Target="https://www.atlantis-press.com/proceedings/icemci-21/125966042" TargetMode="External"/><Relationship Id="rId37" Type="http://schemas.openxmlformats.org/officeDocument/2006/relationships/hyperlink" Target="https://www.researchgate.net/profile/Irabor-Uyimwen-Kurtis/publication/382743182_Management_Discovery_Subsidy_Removal_and_Consumer_Behavioral_Pattern_in_Nigeria_a_Study_of_Benin-City_Metropolis_Edo_State/links/66ab5bd175fcd863e5ed674d/Management-Discovery-Subsidy-Removal-and-Consumer-Behavioral-Pattern-in-Nigeria-a-Study-of-Benin-City-Metropolis-Edo-State.pdf" TargetMode="External"/><Relationship Id="rId40" Type="http://schemas.openxmlformats.org/officeDocument/2006/relationships/hyperlink" Target="https://www.researchgate.net/profile/Chnar-Rashid/publication/348686551_THE_EFFICIENCY_OF_FINANCIAL_RATIOS_ANALYSIS_TO_EVALUATE_COMPANY&apos;S_PROFITABILITY/links/600ad9df92851c13fe2b24ba/THE-EFFICIENCY-OF-FINANCIAL-RATIOS-ANALYSIS-TO-EVALUATE-COMPANYS-PROFITABILITY.pdf" TargetMode="External"/><Relationship Id="rId45"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uowoajournals.org/aabfj/article/id/941/" TargetMode="External"/><Relationship Id="rId28" Type="http://schemas.openxmlformats.org/officeDocument/2006/relationships/hyperlink" Target="https://pubsonline.informs.org/doi/abs/10.1287/mnsc.2022.4365" TargetMode="External"/><Relationship Id="rId36" Type="http://schemas.openxmlformats.org/officeDocument/2006/relationships/hyperlink" Target="https://www.ceeol.com/search/article-detail?id=997864"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mdpi.com/2079-8954/11/3/146" TargetMode="External"/><Relationship Id="rId31" Type="http://schemas.openxmlformats.org/officeDocument/2006/relationships/hyperlink" Target="https://www.atlantis-press.com/proceedings/icemci-21/125966042" TargetMode="External"/><Relationship Id="rId4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ndfonline.com/doi/abs/10.1080/23322039.2023.2239032" TargetMode="External"/><Relationship Id="rId27" Type="http://schemas.openxmlformats.org/officeDocument/2006/relationships/hyperlink" Target="https://ieeexplore.ieee.org/abstract/document/10103160/" TargetMode="External"/><Relationship Id="rId30" Type="http://schemas.openxmlformats.org/officeDocument/2006/relationships/hyperlink" Target="https://www.mdpi.com/2673-4931/15/1/13" TargetMode="External"/><Relationship Id="rId35" Type="http://schemas.openxmlformats.org/officeDocument/2006/relationships/hyperlink" Target="https://www.cambridge.org/core/journals/journal-of-financial-literacy-and-wellbeing/article/importance-of-financial-literacy-and-its-impact-on-financial-wellbeing/A5DBBF9D6F0696E5FD3733241EE28E66" TargetMode="External"/><Relationship Id="rId43" Type="http://schemas.openxmlformats.org/officeDocument/2006/relationships/hyperlink" Target="https://publications.aaahq.org/accounting-review/article-abstract/100/5/439/13601"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dpi.com/1911-8074/17/9/422" TargetMode="External"/><Relationship Id="rId33" Type="http://schemas.openxmlformats.org/officeDocument/2006/relationships/hyperlink" Target="https://www.atlantis-press.com/proceedings/icemed-22/125975479" TargetMode="External"/><Relationship Id="rId38" Type="http://schemas.openxmlformats.org/officeDocument/2006/relationships/hyperlink" Target="https://www.academia.edu/download/115142774/758.pdf" TargetMode="External"/><Relationship Id="rId46" Type="http://schemas.openxmlformats.org/officeDocument/2006/relationships/image" Target="media/image14.png"/><Relationship Id="rId20" Type="http://schemas.openxmlformats.org/officeDocument/2006/relationships/hyperlink" Target="https://www.emerald.com/insight/content/doi/10.1108/ajar-09-2020-0086/full/html" TargetMode="External"/><Relationship Id="rId41" Type="http://schemas.openxmlformats.org/officeDocument/2006/relationships/hyperlink" Target="https://www.researchgate.net/profile/Chnar-Rashid/publication/348686551_THE_EFFICIENCY_OF_FINANCIAL_RATIOS_ANALYSIS_TO_EVALUATE_COMPANY&apos;S_PROFITABILITY/links/600ad9df92851c13fe2b24ba/THE-EFFICIENCY-OF-FINANCIAL-RATIOS-ANALYSIS-TO-EVALUATE-COMPANYS-PROFITABILITY.pdf" TargetMode="External"/><Relationship Id="rId1" Type="http://schemas.openxmlformats.org/officeDocument/2006/relationships/customXml" Target="../customXml/item1.xml"/><Relationship Id="rId6" Type="http://schemas.openxmlformats.org/officeDocument/2006/relationships/footnotes" Target="footnotes.xml"/><Relationship Id="rId50" Type="http://schemas.openxmlformats.org/officeDocument/2006/relationships/image" Target="media/image6.png"/><Relationship Id="rId51" Type="http://schemas.openxmlformats.org/officeDocument/2006/relationships/image" Target="media/image11.png"/><Relationship Id="rId52" Type="http://schemas.openxmlformats.org/officeDocument/2006/relationships/image" Target="media/image9.png"/><Relationship Id="rId53" Type="http://schemas.openxmlformats.org/officeDocument/2006/relationships/image" Target="media/image4.png"/><Relationship Id="rId54" Type="http://schemas.openxmlformats.org/officeDocument/2006/relationships/image" Target="media/image13.png"/><Relationship Id="rId55" Type="http://schemas.openxmlformats.org/officeDocument/2006/relationships/image" Target="media/image8.png"/><Relationship Id="rId56" Type="http://schemas.openxmlformats.org/officeDocument/2006/relationships/image" Target="media/image3.png"/><Relationship Id="rId57" Type="http://schemas.openxmlformats.org/officeDocument/2006/relationships/image" Target="media/image12.png"/><Relationship Id="rId58" Type="http://schemas.openxmlformats.org/officeDocument/2006/relationships/image" Target="media/image2.png"/><Relationship Id="rId59" Type="http://schemas.openxmlformats.org/officeDocument/2006/relationships/image" Target="media/image7.png"/><Relationship Id="rId60" Type="http://schemas.openxmlformats.org/officeDocument/2006/relationships/image" Target="media/image1.jpeg"/><Relationship Id="rId61" Type="http://schemas.openxmlformats.org/officeDocument/2006/relationships/image" Target="media/image5.png"/><Relationship Id="rId62" Type="http://schemas.openxmlformats.org/officeDocument/2006/relationships/image" Target="media/image10.png"/><Relationship Id="rId63" Type="http://schemas.openxmlformats.org/officeDocument/2006/relationships/image" Target="media/image14.png"/><Relationship Id="rId64" Type="http://schemas.openxmlformats.org/officeDocument/2006/relationships/image" Target="media/image6.png"/><Relationship Id="rId65" Type="http://schemas.openxmlformats.org/officeDocument/2006/relationships/image" Target="media/image11.png"/><Relationship Id="rId66" Type="http://schemas.openxmlformats.org/officeDocument/2006/relationships/image" Target="media/image9.png"/><Relationship Id="rId67" Type="http://schemas.openxmlformats.org/officeDocument/2006/relationships/image" Target="media/image4.png"/><Relationship Id="rId68" Type="http://schemas.openxmlformats.org/officeDocument/2006/relationships/image" Target="media/image13.png"/><Relationship Id="rId69" Type="http://schemas.openxmlformats.org/officeDocument/2006/relationships/image" Target="media/image8.png"/><Relationship Id="rId70" Type="http://schemas.openxmlformats.org/officeDocument/2006/relationships/image" Target="media/image3.png"/><Relationship Id="rId71" Type="http://schemas.openxmlformats.org/officeDocument/2006/relationships/image" Target="media/image12.png"/><Relationship Id="rId72" Type="http://schemas.openxmlformats.org/officeDocument/2006/relationships/image" Target="media/image2.png"/><Relationship Id="rId73" Type="http://schemas.openxmlformats.org/officeDocument/2006/relationships/image" Target="media/image7.png"/><Relationship Id="rId74" Type="http://schemas.openxmlformats.org/officeDocument/2006/relationships/image" Target="media/image1.jpeg"/><Relationship Id="rId75" Type="http://schemas.openxmlformats.org/officeDocument/2006/relationships/image" Target="media/image5.png"/><Relationship Id="rId76" Type="http://schemas.openxmlformats.org/officeDocument/2006/relationships/image" Target="media/image10.png"/><Relationship Id="rId77" Type="http://schemas.openxmlformats.org/officeDocument/2006/relationships/image" Target="media/image14.png"/><Relationship Id="rId78" Type="http://schemas.openxmlformats.org/officeDocument/2006/relationships/image" Target="media/image6.png"/><Relationship Id="rId79" Type="http://schemas.openxmlformats.org/officeDocument/2006/relationships/image" Target="media/image11.png"/><Relationship Id="rId80" Type="http://schemas.openxmlformats.org/officeDocument/2006/relationships/image" Target="media/image9.png"/><Relationship Id="rId81" Type="http://schemas.openxmlformats.org/officeDocument/2006/relationships/image" Target="media/image4.png"/><Relationship Id="rId82" Type="http://schemas.openxmlformats.org/officeDocument/2006/relationships/image" Target="media/image13.png"/><Relationship Id="rId83" Type="http://schemas.openxmlformats.org/officeDocument/2006/relationships/image" Target="media/image8.png"/><Relationship Id="rId84" Type="http://schemas.openxmlformats.org/officeDocument/2006/relationships/image" Target="media/image3.png"/><Relationship Id="rId85" Type="http://schemas.openxmlformats.org/officeDocument/2006/relationships/image" Target="media/image12.png"/><Relationship Id="rId86" Type="http://schemas.openxmlformats.org/officeDocument/2006/relationships/image" Target="media/image2.png"/><Relationship Id="rId87" Type="http://schemas.openxmlformats.org/officeDocument/2006/relationships/image" Target="media/image7.png"/><Relationship Id="rId88" Type="http://schemas.openxmlformats.org/officeDocument/2006/relationships/image" Target="media/image1.jpeg"/><Relationship Id="rId89" Type="http://schemas.openxmlformats.org/officeDocument/2006/relationships/image" Target="media/image5.png"/><Relationship Id="rId90" Type="http://schemas.openxmlformats.org/officeDocument/2006/relationships/image" Target="media/image10.png"/><Relationship Id="rId91" Type="http://schemas.openxmlformats.org/officeDocument/2006/relationships/image" Target="media/image14.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CD50F-12B2-4D47-825E-079740478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32</Pages>
  <Words>6345</Words>
  <Characters>39532</Characters>
  <Application>Microsoft Office Word</Application>
  <DocSecurity>0</DocSecurity>
  <Lines>590</Lines>
  <Paragraphs>160</Paragraphs>
  <ScaleCrop>false</ScaleCrop>
  <Company/>
  <LinksUpToDate>false</LinksUpToDate>
  <CharactersWithSpaces>45717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LAPTOP</dc:creator>
  <cp:lastModifiedBy>.</cp:lastModifiedBy>
  <cp:revision>14</cp:revision>
  <dcterms:created xsi:type="dcterms:W3CDTF">2025-12-29T13:04:00Z</dcterms:created>
  <dcterms:modified xsi:type="dcterms:W3CDTF">2026-01-05T15:37:00Z</dcterms:modified>
</cp:coreProperties>
</file>