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B32DB" w14:textId="77777777" w:rsidR="0028626B" w:rsidRPr="0028626B" w:rsidRDefault="0028626B" w:rsidP="0028626B">
      <w:pPr>
        <w:pStyle w:val="IntenseQuote"/>
        <w:rPr>
          <w:lang w:val="en-US"/>
        </w:rPr>
      </w:pPr>
      <w:r>
        <w:rPr>
          <w:lang w:val="en-US"/>
        </w:rPr>
        <w:t xml:space="preserve">FINANCIAL ANALYSIS OF </w:t>
      </w:r>
      <w:r w:rsidR="004D5903">
        <w:rPr>
          <w:lang w:val="en-US"/>
        </w:rPr>
        <w:t>BMW</w:t>
      </w:r>
      <w:r>
        <w:rPr>
          <w:lang w:val="en-US"/>
        </w:rPr>
        <w:t xml:space="preserve"> </w:t>
      </w:r>
    </w:p>
    <w:p w14:paraId="624ACFED" w14:textId="77777777" w:rsidR="0028626B" w:rsidRDefault="0028626B" w:rsidP="0028626B">
      <w:pPr>
        <w:rPr>
          <w:lang w:val="en-GB"/>
        </w:rPr>
      </w:pPr>
    </w:p>
    <w:p w14:paraId="6B17A52A" w14:textId="77777777" w:rsidR="004D5903" w:rsidRDefault="00D945FD" w:rsidP="00D945FD">
      <w:pPr>
        <w:pStyle w:val="Heading1"/>
        <w:rPr>
          <w:lang w:val="en-GB"/>
        </w:rPr>
      </w:pPr>
      <w:r>
        <w:rPr>
          <w:lang w:val="en-GB"/>
        </w:rPr>
        <w:t xml:space="preserve">INTRODUCTION : </w:t>
      </w:r>
    </w:p>
    <w:p w14:paraId="052835F2" w14:textId="77777777" w:rsidR="00D945FD" w:rsidRPr="00343329" w:rsidRDefault="00D945FD" w:rsidP="00343329">
      <w:pPr>
        <w:pStyle w:val="ListParagraph"/>
        <w:numPr>
          <w:ilvl w:val="0"/>
          <w:numId w:val="2"/>
        </w:numPr>
        <w:spacing w:line="360" w:lineRule="auto"/>
        <w:rPr>
          <w:i/>
          <w:iCs/>
          <w:lang w:val="en-GB"/>
        </w:rPr>
      </w:pPr>
      <w:r w:rsidRPr="00343329">
        <w:rPr>
          <w:i/>
          <w:iCs/>
          <w:lang w:val="en-GB"/>
        </w:rPr>
        <w:t>Who is “</w:t>
      </w:r>
      <w:r w:rsidR="00343329">
        <w:rPr>
          <w:i/>
          <w:iCs/>
          <w:lang w:val="en-GB"/>
        </w:rPr>
        <w:t xml:space="preserve">BMW </w:t>
      </w:r>
      <w:r w:rsidRPr="00343329">
        <w:rPr>
          <w:i/>
          <w:iCs/>
          <w:lang w:val="en-GB"/>
        </w:rPr>
        <w:t>”</w:t>
      </w:r>
      <w:r w:rsidR="00343329">
        <w:rPr>
          <w:i/>
          <w:iCs/>
          <w:lang w:val="en-GB"/>
        </w:rPr>
        <w:t xml:space="preserve"> </w:t>
      </w:r>
      <w:r w:rsidRPr="00343329">
        <w:rPr>
          <w:i/>
          <w:iCs/>
          <w:lang w:val="en-GB"/>
        </w:rPr>
        <w:t>?</w:t>
      </w:r>
    </w:p>
    <w:p w14:paraId="72AA37CA" w14:textId="77777777" w:rsidR="00D945FD" w:rsidRDefault="00D945FD" w:rsidP="00343329">
      <w:pPr>
        <w:spacing w:line="360" w:lineRule="auto"/>
        <w:rPr>
          <w:rStyle w:val="apple-converted-space"/>
          <w:rFonts w:cstheme="minorHAnsi"/>
          <w:color w:val="000000"/>
        </w:rPr>
      </w:pPr>
      <w:r w:rsidRPr="00D945FD">
        <w:rPr>
          <w:rFonts w:asciiTheme="minorHAnsi" w:hAnsiTheme="minorHAnsi" w:cstheme="minorHAnsi"/>
          <w:color w:val="000000"/>
        </w:rPr>
        <w:t>Leading the way in the automotive sector is BMW AG, a German company with its main office located in Munich. BMW has established an excellent reputation for itself as a leading producer of high-performance motors, automobiles, and luxury cars. With production facilities and a strong supply chain ensuring a substantial competitive position globally, the company's global reach includes many continents.</w:t>
      </w:r>
      <w:r w:rsidRPr="00D945FD">
        <w:rPr>
          <w:rStyle w:val="apple-converted-space"/>
          <w:rFonts w:asciiTheme="minorHAnsi" w:eastAsiaTheme="majorEastAsia" w:hAnsiTheme="minorHAnsi" w:cstheme="minorHAnsi"/>
          <w:color w:val="000000"/>
        </w:rPr>
        <w:t> </w:t>
      </w:r>
      <w:r w:rsidRPr="00D945FD">
        <w:rPr>
          <w:rStyle w:val="apple-converted-space"/>
          <w:rFonts w:cstheme="minorHAnsi"/>
          <w:color w:val="000000"/>
        </w:rPr>
        <w:t>(BMW Group, n.d.)</w:t>
      </w:r>
    </w:p>
    <w:p w14:paraId="072B270A" w14:textId="77777777" w:rsidR="00D945FD" w:rsidRPr="00343329" w:rsidRDefault="00343329" w:rsidP="00343329">
      <w:pPr>
        <w:pStyle w:val="ListParagraph"/>
        <w:numPr>
          <w:ilvl w:val="0"/>
          <w:numId w:val="2"/>
        </w:numPr>
        <w:spacing w:line="360" w:lineRule="auto"/>
        <w:rPr>
          <w:rStyle w:val="apple-converted-space"/>
          <w:rFonts w:cstheme="minorHAnsi"/>
          <w:i/>
          <w:iCs/>
          <w:lang w:val="en-GB"/>
        </w:rPr>
      </w:pPr>
      <w:r w:rsidRPr="00343329">
        <w:rPr>
          <w:rStyle w:val="apple-converted-space"/>
          <w:rFonts w:cstheme="minorHAnsi"/>
          <w:i/>
          <w:iCs/>
          <w:color w:val="000000"/>
        </w:rPr>
        <w:t xml:space="preserve">What will I be analyising ? </w:t>
      </w:r>
    </w:p>
    <w:p w14:paraId="1D855844" w14:textId="77777777" w:rsidR="00343329" w:rsidRDefault="00343329" w:rsidP="00343329">
      <w:pPr>
        <w:spacing w:line="360" w:lineRule="auto"/>
        <w:rPr>
          <w:rFonts w:cstheme="minorHAnsi"/>
          <w:color w:val="000000"/>
        </w:rPr>
      </w:pPr>
      <w:r w:rsidRPr="00343329">
        <w:rPr>
          <w:rFonts w:asciiTheme="minorHAnsi" w:hAnsiTheme="minorHAnsi" w:cstheme="minorHAnsi"/>
          <w:color w:val="000000"/>
        </w:rPr>
        <w:t>The Income Statement offers details on BMW's revenues, costs, and profits. Both the Balance Sheet and Cash Flow Statement of BMW AG were taken straight from their website and included in the selection of financial statements for research. The company's assets, liabilities, and other information are displayed on the balance sheet, and BMW's cash inflows and outflows over the time frame specified are detailed in the cash flow statement.</w:t>
      </w:r>
      <w:r>
        <w:rPr>
          <w:rFonts w:cstheme="minorHAnsi"/>
          <w:color w:val="000000"/>
        </w:rPr>
        <w:t xml:space="preserve"> </w:t>
      </w:r>
      <w:r w:rsidRPr="00343329">
        <w:rPr>
          <w:rFonts w:cstheme="minorHAnsi"/>
          <w:color w:val="000000"/>
        </w:rPr>
        <w:t>(GoCardless, 2022)</w:t>
      </w:r>
    </w:p>
    <w:p w14:paraId="1F97F3EF" w14:textId="77777777" w:rsidR="00343329" w:rsidRDefault="00343329" w:rsidP="00343329">
      <w:pPr>
        <w:spacing w:line="360" w:lineRule="auto"/>
        <w:rPr>
          <w:rFonts w:cstheme="minorHAnsi"/>
          <w:color w:val="000000"/>
        </w:rPr>
      </w:pPr>
    </w:p>
    <w:p w14:paraId="2375D963" w14:textId="77777777" w:rsidR="00343329" w:rsidRDefault="00B07301" w:rsidP="00B07301">
      <w:pPr>
        <w:pStyle w:val="Heading1"/>
        <w:rPr>
          <w:rFonts w:eastAsia="Times New Roman"/>
        </w:rPr>
      </w:pPr>
      <w:r>
        <w:rPr>
          <w:rFonts w:eastAsia="Times New Roman"/>
        </w:rPr>
        <w:t xml:space="preserve">RATIO ANALYSIS </w:t>
      </w:r>
    </w:p>
    <w:p w14:paraId="7B218254" w14:textId="77777777" w:rsidR="00B07301" w:rsidRDefault="00B07301" w:rsidP="00B07301">
      <w:r>
        <w:t xml:space="preserve">Summary : </w:t>
      </w:r>
    </w:p>
    <w:p w14:paraId="4F91C8C6" w14:textId="77777777" w:rsidR="00B07301" w:rsidRDefault="00B07301" w:rsidP="00B07301">
      <w:pPr>
        <w:rPr>
          <w:rStyle w:val="apple-converted-space"/>
          <w:rFonts w:cstheme="minorHAnsi"/>
          <w:color w:val="000000"/>
        </w:rPr>
      </w:pPr>
      <w:r w:rsidRPr="00B07301">
        <w:rPr>
          <w:rFonts w:asciiTheme="minorHAnsi" w:hAnsiTheme="minorHAnsi" w:cstheme="minorHAnsi"/>
          <w:color w:val="000000"/>
        </w:rPr>
        <w:t>In addition to notable increases in taxes and debts, the ratio analysis of BMW AG for 2022 shows a favourable trend in interest income and financial transaction outcomes. In contrast to 2021, cash flow from operational operations dropped while both equity and assets increased.</w:t>
      </w:r>
      <w:r w:rsidRPr="00B07301">
        <w:rPr>
          <w:rStyle w:val="apple-converted-space"/>
          <w:rFonts w:asciiTheme="minorHAnsi" w:eastAsiaTheme="majorEastAsia" w:hAnsiTheme="minorHAnsi" w:cstheme="minorHAnsi"/>
          <w:color w:val="000000"/>
        </w:rPr>
        <w:t> </w:t>
      </w:r>
    </w:p>
    <w:p w14:paraId="26D0424D" w14:textId="77777777" w:rsidR="000E1D1F" w:rsidRDefault="00B07301" w:rsidP="00B07301">
      <w:pPr>
        <w:rPr>
          <w:rFonts w:cstheme="minorHAnsi"/>
        </w:rPr>
      </w:pPr>
      <w:r w:rsidRPr="00B07301">
        <w:rPr>
          <w:rFonts w:cstheme="minorHAnsi"/>
        </w:rPr>
        <w:t>When evaluating the financial results of 2021 and 2022, an extensive ratio analysis for BMW Group provides various significant conclusions.  First, a little improvement is shown from 2021 to 2022 when examining liquidity factors like the present ratio, which evaluates the company's capacity to meet short-term commitments with its current assets</w:t>
      </w:r>
      <w:r w:rsidR="000E1D1F" w:rsidRPr="000E1D1F">
        <w:t xml:space="preserve"> </w:t>
      </w:r>
      <w:r w:rsidR="000E1D1F">
        <w:t xml:space="preserve">. </w:t>
      </w:r>
      <w:r w:rsidR="000E1D1F" w:rsidRPr="000E1D1F">
        <w:rPr>
          <w:rFonts w:cstheme="minorHAnsi"/>
        </w:rPr>
        <w:t>(BYJU'S, n.d.)</w:t>
      </w:r>
      <w:r w:rsidRPr="00B07301">
        <w:rPr>
          <w:rFonts w:cstheme="minorHAnsi"/>
        </w:rPr>
        <w:t>.</w:t>
      </w:r>
      <w:r w:rsidR="000E1D1F">
        <w:rPr>
          <w:rFonts w:cstheme="minorHAnsi"/>
        </w:rPr>
        <w:t xml:space="preserve"> </w:t>
      </w:r>
      <w:r w:rsidRPr="00B07301">
        <w:rPr>
          <w:rFonts w:cstheme="minorHAnsi"/>
        </w:rPr>
        <w:t>2022 saw an increase in the current ratio to 1.55, from 1.55 in 2021. It means that, maybe as a result of more effective management of present assets as debts, showing that the liquidity situation of the BMW Group somewhat improved.</w:t>
      </w:r>
      <w:r>
        <w:rPr>
          <w:rFonts w:cstheme="minorHAnsi"/>
        </w:rPr>
        <w:t xml:space="preserve"> </w:t>
      </w:r>
      <w:r w:rsidR="000E1D1F" w:rsidRPr="000E1D1F">
        <w:rPr>
          <w:rFonts w:cstheme="minorHAnsi"/>
        </w:rPr>
        <w:t>From 2021 to 2022, there was a significant increase in the gross profit margin, which represents the amount of revenue remaining after subtracting the cost of the products sold. (Segal, 2024)</w:t>
      </w:r>
      <w:r w:rsidR="000E1D1F">
        <w:rPr>
          <w:rFonts w:cstheme="minorHAnsi"/>
        </w:rPr>
        <w:t xml:space="preserve"> </w:t>
      </w:r>
      <w:r w:rsidR="000E1D1F" w:rsidRPr="000E1D1F">
        <w:rPr>
          <w:rFonts w:cstheme="minorHAnsi"/>
        </w:rPr>
        <w:t xml:space="preserve">It increased from 14.2% to 18.3%. The increase is indicative of improved cost control or manufacturing efficiency, which raises </w:t>
      </w:r>
      <w:r w:rsidR="000E1D1F" w:rsidRPr="000E1D1F">
        <w:rPr>
          <w:rFonts w:cstheme="minorHAnsi"/>
        </w:rPr>
        <w:lastRenderedPageBreak/>
        <w:t xml:space="preserve">profitability. This suggests that BMW Group, perhaps as a result of efficient operations or cost-cutting measures, gained revenue from its key company activities.Furthermore, there was a significant rise in the operating profit margin, which shows the percentage of revenue left over after operating expenditures are subtracted. It increased from 6.9% in 2021 to 10.1% in 2022. </w:t>
      </w:r>
      <w:r w:rsidR="00271416" w:rsidRPr="00271416">
        <w:rPr>
          <w:rFonts w:cstheme="minorHAnsi"/>
        </w:rPr>
        <w:t>(BMW UK, 2022)</w:t>
      </w:r>
    </w:p>
    <w:p w14:paraId="1E8C4CCE" w14:textId="77777777" w:rsidR="000E1D1F" w:rsidRDefault="000E1D1F" w:rsidP="00B07301">
      <w:pPr>
        <w:rPr>
          <w:rFonts w:cstheme="minorHAnsi"/>
        </w:rPr>
      </w:pPr>
      <w:r w:rsidRPr="000E1D1F">
        <w:rPr>
          <w:rFonts w:cstheme="minorHAnsi"/>
        </w:rPr>
        <w:t>Overall, the company's total development and sustainability were facilitated by its greater liquidity, profitability, and financial management. The previously mentioned results offer significant perspectives for stakeholders in evaluating the financial well-being of BMW Group and highlighting opportunities for enhancement and targeted concentration.</w:t>
      </w:r>
    </w:p>
    <w:p w14:paraId="076B4398" w14:textId="77777777" w:rsidR="00271416" w:rsidRPr="00874C80" w:rsidRDefault="00271416" w:rsidP="00271416">
      <w:pPr>
        <w:pStyle w:val="ListParagraph"/>
        <w:numPr>
          <w:ilvl w:val="0"/>
          <w:numId w:val="3"/>
        </w:numPr>
        <w:rPr>
          <w:rFonts w:cstheme="minorHAnsi"/>
          <w:b/>
          <w:bCs/>
        </w:rPr>
      </w:pPr>
      <w:r w:rsidRPr="00874C80">
        <w:rPr>
          <w:rFonts w:cstheme="minorHAnsi"/>
          <w:b/>
          <w:bCs/>
        </w:rPr>
        <w:t>Liquidity Ratios:</w:t>
      </w:r>
    </w:p>
    <w:p w14:paraId="390CE002" w14:textId="77777777" w:rsidR="00271416" w:rsidRDefault="00271416" w:rsidP="00271416">
      <w:pPr>
        <w:pStyle w:val="ListParagraph"/>
        <w:numPr>
          <w:ilvl w:val="0"/>
          <w:numId w:val="2"/>
        </w:numPr>
        <w:rPr>
          <w:rFonts w:cstheme="minorHAnsi"/>
        </w:rPr>
      </w:pPr>
      <w:r>
        <w:rPr>
          <w:rFonts w:cstheme="minorHAnsi"/>
        </w:rPr>
        <w:t>Current ratios= Current assets/ current liabilities</w:t>
      </w:r>
      <w:r w:rsidR="0028487E">
        <w:rPr>
          <w:rFonts w:cstheme="minorHAnsi"/>
        </w:rPr>
        <w:t xml:space="preserve"> </w:t>
      </w:r>
      <w:r w:rsidR="0028487E" w:rsidRPr="0028487E">
        <w:rPr>
          <w:rFonts w:cstheme="minorHAnsi"/>
        </w:rPr>
        <w:t>(Investopedia, n.d.)</w:t>
      </w:r>
    </w:p>
    <w:p w14:paraId="3DFA72A3" w14:textId="77777777" w:rsidR="0028487E" w:rsidRDefault="00874C80" w:rsidP="0028487E">
      <w:pPr>
        <w:pStyle w:val="ListParagraph"/>
        <w:rPr>
          <w:rFonts w:ascii="Segoe UI" w:hAnsi="Segoe UI" w:cs="Segoe UI"/>
          <w:color w:val="0D0D0D"/>
          <w:shd w:val="clear" w:color="auto" w:fill="FFFFFF"/>
        </w:rPr>
      </w:pPr>
      <w:r>
        <w:rPr>
          <w:rFonts w:cstheme="minorHAnsi"/>
        </w:rPr>
        <w:t xml:space="preserve">Year </w:t>
      </w:r>
      <w:r w:rsidR="0028487E">
        <w:rPr>
          <w:rFonts w:cstheme="minorHAnsi"/>
        </w:rPr>
        <w:t xml:space="preserve">2021: </w:t>
      </w:r>
      <w:r w:rsidR="0028487E" w:rsidRPr="0028487E">
        <w:rPr>
          <w:rFonts w:cstheme="minorHAnsi"/>
        </w:rPr>
        <w:t>21,908,883</w:t>
      </w:r>
      <w:r w:rsidR="0028487E">
        <w:rPr>
          <w:rFonts w:cstheme="minorHAnsi"/>
        </w:rPr>
        <w:t>/</w:t>
      </w:r>
      <w:r w:rsidR="0028487E" w:rsidRPr="0028487E">
        <w:rPr>
          <w:rFonts w:cstheme="minorHAnsi"/>
        </w:rPr>
        <w:t>15,718,8011</w:t>
      </w:r>
      <w:r w:rsidR="0028487E">
        <w:rPr>
          <w:rFonts w:cstheme="minorHAnsi"/>
        </w:rPr>
        <w:t xml:space="preserve">= </w:t>
      </w:r>
      <w:r w:rsidR="0028487E">
        <w:rPr>
          <w:rFonts w:ascii="Segoe UI" w:hAnsi="Segoe UI" w:cs="Segoe UI"/>
          <w:color w:val="0D0D0D"/>
          <w:shd w:val="clear" w:color="auto" w:fill="FFFFFF"/>
        </w:rPr>
        <w:t>1.39</w:t>
      </w:r>
    </w:p>
    <w:p w14:paraId="4C0C9CBF" w14:textId="77777777" w:rsidR="0028487E" w:rsidRDefault="0028487E" w:rsidP="0028487E">
      <w:pPr>
        <w:pStyle w:val="ListParagraph"/>
        <w:rPr>
          <w:rFonts w:ascii="Segoe UI" w:hAnsi="Segoe UI" w:cs="Segoe UI"/>
          <w:color w:val="0D0D0D"/>
          <w:shd w:val="clear" w:color="auto" w:fill="FFFFFF"/>
        </w:rPr>
      </w:pPr>
      <w:r>
        <w:rPr>
          <w:rFonts w:ascii="Segoe UI" w:hAnsi="Segoe UI" w:cs="Segoe UI"/>
          <w:color w:val="0D0D0D"/>
          <w:shd w:val="clear" w:color="auto" w:fill="FFFFFF"/>
        </w:rPr>
        <w:t xml:space="preserve"> year 2022: </w:t>
      </w:r>
      <w:r w:rsidRPr="0028487E">
        <w:rPr>
          <w:rFonts w:ascii="Segoe UI" w:hAnsi="Segoe UI" w:cs="Segoe UI"/>
          <w:color w:val="0D0D0D"/>
          <w:shd w:val="clear" w:color="auto" w:fill="FFFFFF"/>
        </w:rPr>
        <w:t>24,298,531</w:t>
      </w:r>
      <w:r>
        <w:rPr>
          <w:rFonts w:ascii="Segoe UI" w:hAnsi="Segoe UI" w:cs="Segoe UI"/>
          <w:color w:val="0D0D0D"/>
          <w:shd w:val="clear" w:color="auto" w:fill="FFFFFF"/>
        </w:rPr>
        <w:t xml:space="preserve">/23,345,675= 1.04 </w:t>
      </w:r>
    </w:p>
    <w:p w14:paraId="1AE63ACF" w14:textId="77777777" w:rsidR="0028487E" w:rsidRDefault="0028487E" w:rsidP="0028487E">
      <w:pPr>
        <w:pStyle w:val="ListParagraph"/>
        <w:rPr>
          <w:rFonts w:cstheme="minorHAnsi"/>
          <w:color w:val="000000"/>
        </w:rPr>
      </w:pPr>
      <w:r w:rsidRPr="0028487E">
        <w:rPr>
          <w:rFonts w:asciiTheme="minorHAnsi" w:hAnsiTheme="minorHAnsi" w:cstheme="minorHAnsi"/>
          <w:color w:val="000000"/>
        </w:rPr>
        <w:t>Analysis: BMW Finance N.V. had greater current assets than debts in 2021, as shown by its current ratio of 1.39. But in 2022, the ratio dropped to 1.04, indicating a slight decline in the liquidity condition of the business.</w:t>
      </w:r>
    </w:p>
    <w:p w14:paraId="0D6ACE80" w14:textId="77777777" w:rsidR="00874C80" w:rsidRDefault="00874C80" w:rsidP="0028487E">
      <w:pPr>
        <w:pStyle w:val="ListParagraph"/>
        <w:rPr>
          <w:rFonts w:cstheme="minorHAnsi"/>
          <w:color w:val="000000"/>
        </w:rPr>
      </w:pPr>
    </w:p>
    <w:p w14:paraId="5580B9EC" w14:textId="77777777" w:rsidR="00874C80" w:rsidRPr="00C71B8E" w:rsidRDefault="00874C80" w:rsidP="00C71B8E">
      <w:pPr>
        <w:pStyle w:val="ListParagraph"/>
        <w:numPr>
          <w:ilvl w:val="0"/>
          <w:numId w:val="3"/>
        </w:numPr>
        <w:rPr>
          <w:rFonts w:cstheme="minorHAnsi"/>
          <w:b/>
          <w:bCs/>
          <w:color w:val="000000"/>
        </w:rPr>
      </w:pPr>
      <w:r w:rsidRPr="00874C80">
        <w:rPr>
          <w:rFonts w:cstheme="minorHAnsi"/>
          <w:b/>
          <w:bCs/>
          <w:color w:val="000000"/>
        </w:rPr>
        <w:t>Operating Profit Margin:</w:t>
      </w:r>
      <w:r>
        <w:rPr>
          <w:rFonts w:cstheme="minorHAnsi"/>
          <w:b/>
          <w:bCs/>
          <w:color w:val="000000"/>
        </w:rPr>
        <w:t xml:space="preserve"> </w:t>
      </w:r>
      <w:r w:rsidR="00C71B8E">
        <w:rPr>
          <w:rFonts w:cstheme="minorHAnsi"/>
          <w:b/>
          <w:bCs/>
          <w:color w:val="000000"/>
        </w:rPr>
        <w:t xml:space="preserve"> </w:t>
      </w:r>
      <w:r w:rsidRPr="00C71B8E">
        <w:rPr>
          <w:rFonts w:ascii="Segoe UI" w:hAnsi="Segoe UI" w:cs="Segoe UI"/>
          <w:color w:val="0D0D0D"/>
          <w:shd w:val="clear" w:color="auto" w:fill="FFFFFF"/>
        </w:rPr>
        <w:t>operating profit/total revenue (Corporate Finance Institute, n.d.)</w:t>
      </w:r>
    </w:p>
    <w:p w14:paraId="46698021" w14:textId="77777777" w:rsidR="00874C80" w:rsidRDefault="00874C80" w:rsidP="0028487E">
      <w:pPr>
        <w:pStyle w:val="ListParagraph"/>
        <w:rPr>
          <w:color w:val="0D0D0D"/>
          <w:sz w:val="29"/>
          <w:szCs w:val="29"/>
          <w:shd w:val="clear" w:color="auto" w:fill="FFFFFF"/>
        </w:rPr>
      </w:pPr>
      <w:r>
        <w:rPr>
          <w:rFonts w:ascii="Segoe UI" w:hAnsi="Segoe UI" w:cs="Segoe UI"/>
          <w:color w:val="0D0D0D"/>
          <w:shd w:val="clear" w:color="auto" w:fill="FFFFFF"/>
        </w:rPr>
        <w:t xml:space="preserve">For 2021: 157,435/41,487,928= </w:t>
      </w:r>
      <w:r>
        <w:rPr>
          <w:color w:val="0D0D0D"/>
          <w:sz w:val="29"/>
          <w:szCs w:val="29"/>
          <w:shd w:val="clear" w:color="auto" w:fill="FFFFFF"/>
        </w:rPr>
        <w:t xml:space="preserve">0.38% </w:t>
      </w:r>
    </w:p>
    <w:p w14:paraId="58655352" w14:textId="77777777" w:rsidR="00F033F2" w:rsidRDefault="00874C80" w:rsidP="00F033F2">
      <w:pPr>
        <w:pStyle w:val="ListParagraph"/>
        <w:rPr>
          <w:rFonts w:ascii="Segoe UI" w:hAnsi="Segoe UI" w:cs="Segoe UI"/>
          <w:color w:val="0D0D0D"/>
          <w:shd w:val="clear" w:color="auto" w:fill="FFFFFF"/>
        </w:rPr>
      </w:pPr>
      <w:r>
        <w:rPr>
          <w:rFonts w:ascii="Segoe UI" w:hAnsi="Segoe UI" w:cs="Segoe UI"/>
          <w:color w:val="0D0D0D"/>
          <w:shd w:val="clear" w:color="auto" w:fill="FFFFFF"/>
        </w:rPr>
        <w:t xml:space="preserve">For 2022: </w:t>
      </w:r>
      <w:r w:rsidRPr="00874C80">
        <w:rPr>
          <w:rFonts w:ascii="Segoe UI" w:hAnsi="Segoe UI" w:cs="Segoe UI"/>
          <w:color w:val="0D0D0D"/>
          <w:shd w:val="clear" w:color="auto" w:fill="FFFFFF"/>
        </w:rPr>
        <w:t>552,428</w:t>
      </w:r>
      <w:r>
        <w:rPr>
          <w:rFonts w:ascii="Segoe UI" w:hAnsi="Segoe UI" w:cs="Segoe UI"/>
          <w:color w:val="0D0D0D"/>
          <w:shd w:val="clear" w:color="auto" w:fill="FFFFFF"/>
        </w:rPr>
        <w:t>/43,220</w:t>
      </w:r>
      <w:r w:rsidR="00C71B8E">
        <w:rPr>
          <w:rFonts w:ascii="Segoe UI" w:hAnsi="Segoe UI" w:cs="Segoe UI"/>
          <w:color w:val="0D0D0D"/>
          <w:shd w:val="clear" w:color="auto" w:fill="FFFFFF"/>
        </w:rPr>
        <w:t>,688= 1.28%</w:t>
      </w:r>
    </w:p>
    <w:p w14:paraId="423A48C1" w14:textId="77777777" w:rsidR="00F033F2" w:rsidRPr="00F033F2" w:rsidRDefault="00F033F2" w:rsidP="00F033F2">
      <w:pPr>
        <w:pStyle w:val="ListParagraph"/>
        <w:rPr>
          <w:rFonts w:ascii="Segoe UI" w:hAnsi="Segoe UI" w:cs="Segoe UI"/>
          <w:color w:val="0D0D0D"/>
          <w:shd w:val="clear" w:color="auto" w:fill="FFFFFF"/>
        </w:rPr>
      </w:pPr>
      <w:r>
        <w:rPr>
          <w:rFonts w:ascii="Segoe UI" w:hAnsi="Segoe UI" w:cs="Segoe UI"/>
          <w:color w:val="0D0D0D"/>
          <w:shd w:val="clear" w:color="auto" w:fill="FFFFFF"/>
        </w:rPr>
        <w:t xml:space="preserve">Analysis: </w:t>
      </w:r>
      <w:r w:rsidRPr="00F033F2">
        <w:rPr>
          <w:rFonts w:asciiTheme="minorHAnsi" w:hAnsiTheme="minorHAnsi" w:cstheme="minorHAnsi"/>
          <w:color w:val="000000"/>
        </w:rPr>
        <w:t>The company's financial health is positively impacted by this suggestion of better control of costs and a larger percentage of sales converting to operational profit.</w:t>
      </w:r>
    </w:p>
    <w:p w14:paraId="5105F764" w14:textId="77777777" w:rsidR="00C71B8E" w:rsidRDefault="00C71B8E" w:rsidP="0028487E">
      <w:pPr>
        <w:pStyle w:val="ListParagraph"/>
        <w:rPr>
          <w:rFonts w:ascii="Segoe UI" w:hAnsi="Segoe UI" w:cs="Segoe UI"/>
          <w:color w:val="0D0D0D"/>
          <w:shd w:val="clear" w:color="auto" w:fill="FFFFFF"/>
        </w:rPr>
      </w:pPr>
    </w:p>
    <w:p w14:paraId="6CF0AB04" w14:textId="77777777" w:rsidR="00C71B8E" w:rsidRDefault="00C71B8E" w:rsidP="00C71B8E">
      <w:pPr>
        <w:pStyle w:val="ListParagraph"/>
        <w:numPr>
          <w:ilvl w:val="0"/>
          <w:numId w:val="3"/>
        </w:numPr>
        <w:rPr>
          <w:rFonts w:cstheme="minorHAnsi"/>
          <w:b/>
          <w:bCs/>
          <w:color w:val="000000"/>
        </w:rPr>
      </w:pPr>
      <w:r w:rsidRPr="00C71B8E">
        <w:rPr>
          <w:rFonts w:cstheme="minorHAnsi"/>
          <w:b/>
          <w:bCs/>
          <w:color w:val="000000"/>
        </w:rPr>
        <w:t>Net Profit Margin:</w:t>
      </w:r>
      <w:r>
        <w:rPr>
          <w:rFonts w:cstheme="minorHAnsi"/>
          <w:b/>
          <w:bCs/>
          <w:color w:val="000000"/>
        </w:rPr>
        <w:t xml:space="preserve"> </w:t>
      </w:r>
    </w:p>
    <w:p w14:paraId="67DDA3AC" w14:textId="77777777" w:rsidR="00C71B8E" w:rsidRDefault="00C71B8E" w:rsidP="00C71B8E">
      <w:pPr>
        <w:pStyle w:val="ListParagraph"/>
        <w:spacing w:line="360" w:lineRule="auto"/>
        <w:rPr>
          <w:rFonts w:cstheme="minorHAnsi"/>
          <w:color w:val="000000"/>
        </w:rPr>
      </w:pPr>
      <w:r w:rsidRPr="00C71B8E">
        <w:rPr>
          <w:rFonts w:cstheme="minorHAnsi"/>
          <w:color w:val="000000"/>
        </w:rPr>
        <w:t>For 2021: 118,889</w:t>
      </w:r>
      <w:r>
        <w:rPr>
          <w:rFonts w:cstheme="minorHAnsi"/>
          <w:color w:val="000000"/>
        </w:rPr>
        <w:t>/41,487,928= 0.29%</w:t>
      </w:r>
    </w:p>
    <w:p w14:paraId="3CDCFAFD" w14:textId="77777777" w:rsidR="00C71B8E" w:rsidRDefault="00C71B8E" w:rsidP="00C71B8E">
      <w:pPr>
        <w:pStyle w:val="ListParagraph"/>
        <w:spacing w:line="360" w:lineRule="auto"/>
        <w:rPr>
          <w:rFonts w:cstheme="minorHAnsi"/>
          <w:color w:val="000000"/>
        </w:rPr>
      </w:pPr>
      <w:r>
        <w:rPr>
          <w:rFonts w:cstheme="minorHAnsi"/>
          <w:color w:val="000000"/>
        </w:rPr>
        <w:t xml:space="preserve">For 2022: </w:t>
      </w:r>
      <w:r w:rsidRPr="00C71B8E">
        <w:rPr>
          <w:rFonts w:cstheme="minorHAnsi"/>
          <w:color w:val="000000"/>
        </w:rPr>
        <w:t>403,943</w:t>
      </w:r>
      <w:r>
        <w:rPr>
          <w:rFonts w:cstheme="minorHAnsi"/>
          <w:color w:val="000000"/>
        </w:rPr>
        <w:t>/</w:t>
      </w:r>
      <w:r w:rsidR="00F033F2">
        <w:rPr>
          <w:rFonts w:cstheme="minorHAnsi"/>
          <w:color w:val="000000"/>
        </w:rPr>
        <w:t>43,220,688= 0.93%</w:t>
      </w:r>
    </w:p>
    <w:p w14:paraId="04959F45" w14:textId="77777777" w:rsidR="00F033F2" w:rsidRDefault="00F033F2" w:rsidP="00C71B8E">
      <w:pPr>
        <w:pStyle w:val="ListParagraph"/>
        <w:spacing w:line="360" w:lineRule="auto"/>
        <w:rPr>
          <w:rFonts w:cstheme="minorHAnsi"/>
          <w:color w:val="0D0D0D"/>
          <w:shd w:val="clear" w:color="auto" w:fill="FFFFFF"/>
        </w:rPr>
      </w:pPr>
      <w:r w:rsidRPr="00F033F2">
        <w:rPr>
          <w:rFonts w:asciiTheme="minorHAnsi" w:hAnsiTheme="minorHAnsi" w:cstheme="minorHAnsi"/>
          <w:color w:val="0D0D0D"/>
          <w:shd w:val="clear" w:color="auto" w:fill="FFFFFF"/>
        </w:rPr>
        <w:t>Analysis: With a higher percentage of sales turned into a profit, this suggests increased profitability. It also suggests better overall financial performance and maybe more successful cost-controlling tactics.</w:t>
      </w:r>
    </w:p>
    <w:p w14:paraId="7B0BC7FF" w14:textId="77777777" w:rsidR="002C5CF7" w:rsidRDefault="002C5CF7" w:rsidP="002C5CF7">
      <w:pPr>
        <w:rPr>
          <w:rFonts w:cstheme="minorHAnsi"/>
          <w:color w:val="000000"/>
          <w:sz w:val="27"/>
          <w:szCs w:val="27"/>
        </w:rPr>
      </w:pPr>
      <w:r w:rsidRPr="002C5CF7">
        <w:rPr>
          <w:rFonts w:asciiTheme="minorHAnsi" w:hAnsiTheme="minorHAnsi" w:cstheme="minorHAnsi"/>
          <w:color w:val="000000"/>
          <w:sz w:val="27"/>
          <w:szCs w:val="27"/>
        </w:rPr>
        <w:t>The company's capacity to satisfy short-term commitments is shown by the liquidity ratio, which decreased from 1.39 in 2021 to 1.04 in 2022, showing a minor reduction in liquidity. In contrast, the operating profit margin increased dramatically from 0.38% in 2021 to 1.28% in 2022, which was a result of enhanced production effectiveness and budget control. </w:t>
      </w:r>
    </w:p>
    <w:p w14:paraId="0E0468BE" w14:textId="77777777" w:rsidR="002C5CF7" w:rsidRDefault="002C5CF7" w:rsidP="002C5CF7">
      <w:pPr>
        <w:rPr>
          <w:rFonts w:ascii="Segoe UI" w:hAnsi="Segoe UI" w:cs="Segoe UI"/>
          <w:color w:val="0D0D0D"/>
          <w:shd w:val="clear" w:color="auto" w:fill="FFFFFF"/>
        </w:rPr>
      </w:pPr>
      <w:r w:rsidRPr="002C5CF7">
        <w:rPr>
          <w:rFonts w:ascii="-webkit-standard" w:hAnsi="-webkit-standard"/>
          <w:color w:val="000000"/>
          <w:sz w:val="27"/>
          <w:szCs w:val="27"/>
        </w:rPr>
        <w:t>BMW Finance N.V.'s strong financial performance in 2021 and 2022 may be credited to increasing sales of cars, SUVs, and motorcycles. Vehicle sales reached by 8.4% during this period. Revenue growth was also aided by an intentional focus on electric cars, whose sales increased by 70% in 2021. The company's goal of having at least half of its global deliveries come from electric vehicles by 2030 shows how committed it is to the technology. </w:t>
      </w:r>
      <w:r>
        <w:rPr>
          <w:rFonts w:ascii="Segoe UI" w:hAnsi="Segoe UI" w:cs="Segoe UI"/>
          <w:color w:val="0D0D0D"/>
          <w:shd w:val="clear" w:color="auto" w:fill="FFFFFF"/>
        </w:rPr>
        <w:t>(CNBC, 2022)</w:t>
      </w:r>
    </w:p>
    <w:p w14:paraId="5A32F21A" w14:textId="77777777" w:rsidR="002C5CF7" w:rsidRDefault="00533A50" w:rsidP="00533A50">
      <w:pPr>
        <w:pStyle w:val="Heading1"/>
        <w:rPr>
          <w:rFonts w:eastAsia="Times New Roman"/>
        </w:rPr>
      </w:pPr>
      <w:r>
        <w:rPr>
          <w:rFonts w:eastAsia="Times New Roman"/>
        </w:rPr>
        <w:lastRenderedPageBreak/>
        <w:t>IMPROVMENTS – FOSTERING CASH IN A SUSTAINABLE WAY</w:t>
      </w:r>
    </w:p>
    <w:p w14:paraId="6F7EA84F" w14:textId="77777777" w:rsidR="00533A50" w:rsidRPr="00533A50" w:rsidRDefault="00533A50" w:rsidP="00533A50">
      <w:r w:rsidRPr="00533A50">
        <w:rPr>
          <w:rFonts w:ascii="-webkit-standard" w:hAnsi="-webkit-standard"/>
          <w:color w:val="000000"/>
          <w:sz w:val="27"/>
          <w:szCs w:val="27"/>
        </w:rPr>
        <w:t xml:space="preserve">When considering a long-term change to the automobile purchasing process, BMW's virtual reality (VR) showrooms </w:t>
      </w:r>
      <w:r>
        <w:rPr>
          <w:rFonts w:ascii="-webkit-standard" w:hAnsi="-webkit-standard"/>
          <w:color w:val="000000"/>
          <w:sz w:val="27"/>
          <w:szCs w:val="27"/>
        </w:rPr>
        <w:t xml:space="preserve">couls </w:t>
      </w:r>
      <w:r w:rsidRPr="00533A50">
        <w:rPr>
          <w:rFonts w:ascii="-webkit-standard" w:hAnsi="-webkit-standard"/>
          <w:color w:val="000000"/>
          <w:sz w:val="27"/>
          <w:szCs w:val="27"/>
        </w:rPr>
        <w:t>stand out as examples of creativity and environmental responsibility. BMW revolutionising standard dealership visits into immersive and environmentally aware experiences by seamlessly combining modern technology with sustainability principles. By acting as virtual entrance points to the BMW world, these virtual showrooms lessen the carbon impact that comes with actual travel to their physical locations. BMW conserves essential resources like land, materials, and energy by doing away with the need for big display areas and an extensive physical inventory. It is compatible with the company's devotion to sustainable practices and minimising ecological effect. </w:t>
      </w:r>
    </w:p>
    <w:p w14:paraId="690BC8DF" w14:textId="77777777" w:rsidR="00533A50" w:rsidRDefault="00533A50" w:rsidP="00533A50">
      <w:pPr>
        <w:rPr>
          <w:rFonts w:ascii="-webkit-standard" w:hAnsi="-webkit-standard"/>
          <w:color w:val="000000"/>
          <w:sz w:val="27"/>
          <w:szCs w:val="27"/>
        </w:rPr>
      </w:pPr>
      <w:r w:rsidRPr="00533A50">
        <w:rPr>
          <w:rFonts w:ascii="-webkit-standard" w:hAnsi="-webkit-standard"/>
          <w:color w:val="000000"/>
          <w:sz w:val="27"/>
          <w:szCs w:val="27"/>
        </w:rPr>
        <w:t xml:space="preserve">By highlighting eco-friendly transportation options and increasing public knowledge of their advantages, these showrooms act as informational centres. BMW offers virtual events and activities inside the showroom platform in partnership with local groups and environmental organisations. This collaboration inspires collective action, fosters community participation, and advances the cause of a </w:t>
      </w:r>
      <w:r>
        <w:rPr>
          <w:rFonts w:ascii="-webkit-standard" w:hAnsi="-webkit-standard"/>
          <w:color w:val="000000"/>
          <w:sz w:val="27"/>
          <w:szCs w:val="27"/>
        </w:rPr>
        <w:t>better</w:t>
      </w:r>
      <w:r w:rsidRPr="00533A50">
        <w:rPr>
          <w:rFonts w:ascii="-webkit-standard" w:hAnsi="-webkit-standard"/>
          <w:color w:val="000000"/>
          <w:sz w:val="27"/>
          <w:szCs w:val="27"/>
        </w:rPr>
        <w:t xml:space="preserve"> future. </w:t>
      </w:r>
    </w:p>
    <w:p w14:paraId="0425FBB1" w14:textId="77777777" w:rsidR="00CE004C" w:rsidRDefault="00CE004C" w:rsidP="00533A50">
      <w:pPr>
        <w:rPr>
          <w:rFonts w:ascii="-webkit-standard" w:hAnsi="-webkit-standard"/>
          <w:color w:val="000000"/>
          <w:sz w:val="27"/>
          <w:szCs w:val="27"/>
        </w:rPr>
      </w:pPr>
      <w:r>
        <w:rPr>
          <w:rFonts w:ascii="-webkit-standard" w:hAnsi="-webkit-standard"/>
          <w:color w:val="000000"/>
          <w:sz w:val="27"/>
          <w:szCs w:val="27"/>
        </w:rPr>
        <w:t xml:space="preserve">Furthermore, BMW can adapt to more sustainable methods of transportation such as bikes. The company could boost its profit by manufacturing high end bikes for people of different ages, taking in consiferation ergonomic features to meet customer demands. By doing so, the company could foster another source of income rather than its sales and investments whilst protecting the environmnet. </w:t>
      </w:r>
    </w:p>
    <w:p w14:paraId="40355F43" w14:textId="77777777" w:rsidR="00CE004C" w:rsidRDefault="00CE004C" w:rsidP="00CE004C">
      <w:pPr>
        <w:pStyle w:val="Heading1"/>
        <w:rPr>
          <w:rFonts w:eastAsia="Times New Roman"/>
        </w:rPr>
      </w:pPr>
      <w:r>
        <w:rPr>
          <w:rFonts w:eastAsia="Times New Roman"/>
        </w:rPr>
        <w:t>CONCLUSION</w:t>
      </w:r>
    </w:p>
    <w:p w14:paraId="5A945C63" w14:textId="77777777" w:rsidR="00D216BC" w:rsidRDefault="00CE004C" w:rsidP="00D216BC">
      <w:pPr>
        <w:rPr>
          <w:rFonts w:ascii="-webkit-standard" w:hAnsi="-webkit-standard"/>
          <w:color w:val="000000"/>
          <w:sz w:val="27"/>
          <w:szCs w:val="27"/>
        </w:rPr>
      </w:pPr>
      <w:r>
        <w:rPr>
          <w:rFonts w:ascii="-webkit-standard" w:hAnsi="-webkit-standard"/>
          <w:color w:val="000000"/>
          <w:sz w:val="27"/>
          <w:szCs w:val="27"/>
        </w:rPr>
        <w:t>BMW AG's ratio analysis provides information on the company's strategic direction and financial performance over the span of 2 yeaars. BMW shows tenacity in meeting short-term obligations despite a little decrease in money supported by stable levels of liquidity. Furthermore, BMW's skillful cost control and profitability are demonstrated by the notable increases in operational and net profit margins. These results are consistent with BMW's wider dedication to sustainability and innovation, which is demonstrated by its emphasis on electric vehicles and its objective to enhance their global distribution. In addition, BMW's commitment to environmentally friendly mobility options places it in a leadership position within the automotive sector, enabling it to propel further expansion and influence the direction of transportation.</w:t>
      </w:r>
    </w:p>
    <w:p w14:paraId="08A93402" w14:textId="77777777" w:rsidR="00D216BC" w:rsidRDefault="00D216BC" w:rsidP="00D216BC">
      <w:pPr>
        <w:rPr>
          <w:rFonts w:ascii="-webkit-standard" w:hAnsi="-webkit-standard"/>
          <w:color w:val="000000"/>
          <w:sz w:val="27"/>
          <w:szCs w:val="27"/>
        </w:rPr>
      </w:pPr>
    </w:p>
    <w:p w14:paraId="5E3CF5BC" w14:textId="77777777" w:rsidR="00D216BC" w:rsidRDefault="00D216BC" w:rsidP="00D216BC">
      <w:pPr>
        <w:rPr>
          <w:rFonts w:ascii="-webkit-standard" w:hAnsi="-webkit-standard"/>
          <w:color w:val="000000"/>
          <w:sz w:val="27"/>
          <w:szCs w:val="27"/>
        </w:rPr>
      </w:pPr>
    </w:p>
    <w:p w14:paraId="63AC124C" w14:textId="77777777" w:rsidR="00FD3E8C" w:rsidRPr="00D216BC" w:rsidRDefault="004D5903" w:rsidP="00D216BC">
      <w:r>
        <w:rPr>
          <w:lang w:val="en-GB"/>
        </w:rPr>
        <w:lastRenderedPageBreak/>
        <w:t xml:space="preserve">REFERENCES: </w:t>
      </w:r>
    </w:p>
    <w:p w14:paraId="5B46E81E" w14:textId="77777777" w:rsidR="00FD3E8C" w:rsidRDefault="00FD3E8C" w:rsidP="00FD3E8C">
      <w:pPr>
        <w:rPr>
          <w:lang w:val="en-GB"/>
        </w:rPr>
      </w:pPr>
    </w:p>
    <w:p w14:paraId="4A43A010" w14:textId="77777777" w:rsidR="00FD3E8C" w:rsidRDefault="00FD3E8C" w:rsidP="00FD3E8C">
      <w:pPr>
        <w:pStyle w:val="ListParagraph"/>
        <w:numPr>
          <w:ilvl w:val="0"/>
          <w:numId w:val="6"/>
        </w:numPr>
        <w:rPr>
          <w:lang w:val="en-GB"/>
        </w:rPr>
      </w:pPr>
      <w:r w:rsidRPr="00FD3E8C">
        <w:rPr>
          <w:lang w:val="en-GB"/>
        </w:rPr>
        <w:t xml:space="preserve">BMW Group. (n.d.). Company. Retrieved from </w:t>
      </w:r>
      <w:hyperlink r:id="rId6" w:history="1">
        <w:r w:rsidRPr="00FD3E8C">
          <w:rPr>
            <w:rStyle w:val="Hyperlink"/>
            <w:lang w:val="en-GB"/>
          </w:rPr>
          <w:t>https://www.bmwgroup.com/en/company.html</w:t>
        </w:r>
      </w:hyperlink>
      <w:r w:rsidRPr="00FD3E8C">
        <w:rPr>
          <w:lang w:val="en-GB"/>
        </w:rPr>
        <w:t xml:space="preserve"> (Accessed May 6, 2024)</w:t>
      </w:r>
    </w:p>
    <w:p w14:paraId="1F606580" w14:textId="77777777" w:rsidR="00FD3E8C" w:rsidRPr="00FD3E8C" w:rsidRDefault="00FD3E8C" w:rsidP="00FD3E8C">
      <w:pPr>
        <w:pStyle w:val="ListParagraph"/>
        <w:rPr>
          <w:lang w:val="en-GB"/>
        </w:rPr>
      </w:pPr>
    </w:p>
    <w:p w14:paraId="50229140" w14:textId="77777777" w:rsidR="00FD3E8C" w:rsidRDefault="00FD3E8C" w:rsidP="00FD3E8C">
      <w:pPr>
        <w:pStyle w:val="ListParagraph"/>
        <w:numPr>
          <w:ilvl w:val="0"/>
          <w:numId w:val="6"/>
        </w:numPr>
        <w:rPr>
          <w:lang w:val="en-GB"/>
        </w:rPr>
      </w:pPr>
      <w:r w:rsidRPr="00FD3E8C">
        <w:rPr>
          <w:lang w:val="en-GB"/>
        </w:rPr>
        <w:t xml:space="preserve">BMW UK. (2022). BMW Budget Guide Spring 2022. Retrieved from </w:t>
      </w:r>
      <w:hyperlink r:id="rId7" w:history="1">
        <w:r w:rsidRPr="00FD3E8C">
          <w:rPr>
            <w:rStyle w:val="Hyperlink"/>
            <w:lang w:val="en-GB"/>
          </w:rPr>
          <w:t>https://www.bmw.co.uk/content/dam/bmw/marketGB/bmw_co_uk/buying/business-corporate/company-car-drivers/BMW_%20Budget_Guide_Spring2022.pdf.asset.1648566916007.pdf</w:t>
        </w:r>
      </w:hyperlink>
      <w:r w:rsidRPr="00FD3E8C">
        <w:rPr>
          <w:lang w:val="en-GB"/>
        </w:rPr>
        <w:t xml:space="preserve"> </w:t>
      </w:r>
    </w:p>
    <w:p w14:paraId="592B3577" w14:textId="77777777" w:rsidR="00FD3E8C" w:rsidRPr="00FD3E8C" w:rsidRDefault="00FD3E8C" w:rsidP="00FD3E8C">
      <w:pPr>
        <w:pStyle w:val="ListParagraph"/>
        <w:rPr>
          <w:lang w:val="en-GB"/>
        </w:rPr>
      </w:pPr>
    </w:p>
    <w:p w14:paraId="69AF01AD" w14:textId="77777777" w:rsidR="00FD3E8C" w:rsidRDefault="00FD3E8C" w:rsidP="00FD3E8C">
      <w:pPr>
        <w:pStyle w:val="ListParagraph"/>
        <w:rPr>
          <w:lang w:val="en-GB"/>
        </w:rPr>
      </w:pPr>
      <w:r w:rsidRPr="00FD3E8C">
        <w:rPr>
          <w:lang w:val="en-GB"/>
        </w:rPr>
        <w:t>(Accessed May 6, 2024)</w:t>
      </w:r>
    </w:p>
    <w:p w14:paraId="79E035D1" w14:textId="77777777" w:rsidR="00FD3E8C" w:rsidRPr="00FD3E8C" w:rsidRDefault="00FD3E8C" w:rsidP="00FD3E8C">
      <w:pPr>
        <w:pStyle w:val="ListParagraph"/>
        <w:rPr>
          <w:lang w:val="en-GB"/>
        </w:rPr>
      </w:pPr>
    </w:p>
    <w:p w14:paraId="297D8950" w14:textId="77777777" w:rsidR="00FD3E8C" w:rsidRPr="00FD3E8C" w:rsidRDefault="00FD3E8C" w:rsidP="00FD3E8C">
      <w:pPr>
        <w:pStyle w:val="ListParagraph"/>
        <w:rPr>
          <w:lang w:val="en-GB"/>
        </w:rPr>
      </w:pPr>
    </w:p>
    <w:p w14:paraId="50099B9A" w14:textId="77777777" w:rsidR="00FD3E8C" w:rsidRDefault="00FD3E8C" w:rsidP="00FD3E8C">
      <w:pPr>
        <w:pStyle w:val="ListParagraph"/>
        <w:numPr>
          <w:ilvl w:val="0"/>
          <w:numId w:val="6"/>
        </w:numPr>
        <w:rPr>
          <w:lang w:val="en-GB"/>
        </w:rPr>
      </w:pPr>
      <w:r w:rsidRPr="00FD3E8C">
        <w:rPr>
          <w:lang w:val="en-GB"/>
        </w:rPr>
        <w:t xml:space="preserve">BYJU'S. (n.d.). Liquidity Ratio. Retrieved from </w:t>
      </w:r>
      <w:hyperlink r:id="rId8" w:history="1">
        <w:r w:rsidRPr="00FD3E8C">
          <w:rPr>
            <w:rStyle w:val="Hyperlink"/>
            <w:lang w:val="en-GB"/>
          </w:rPr>
          <w:t>https://byjus.com/commerce/liquidity-ratio/</w:t>
        </w:r>
      </w:hyperlink>
      <w:r w:rsidRPr="00FD3E8C">
        <w:rPr>
          <w:lang w:val="en-GB"/>
        </w:rPr>
        <w:t xml:space="preserve"> (Accessed May 6, 2024)</w:t>
      </w:r>
    </w:p>
    <w:p w14:paraId="1BA33F1C" w14:textId="77777777" w:rsidR="00FD3E8C" w:rsidRPr="00FD3E8C" w:rsidRDefault="00FD3E8C" w:rsidP="00FD3E8C">
      <w:pPr>
        <w:pStyle w:val="ListParagraph"/>
        <w:rPr>
          <w:lang w:val="en-GB"/>
        </w:rPr>
      </w:pPr>
    </w:p>
    <w:p w14:paraId="60B8D8AE" w14:textId="77777777" w:rsidR="00FD3E8C" w:rsidRDefault="00FD3E8C" w:rsidP="00FD3E8C">
      <w:pPr>
        <w:pStyle w:val="ListParagraph"/>
        <w:numPr>
          <w:ilvl w:val="0"/>
          <w:numId w:val="6"/>
        </w:numPr>
        <w:rPr>
          <w:lang w:val="en-GB"/>
        </w:rPr>
      </w:pPr>
      <w:r w:rsidRPr="00FD3E8C">
        <w:rPr>
          <w:lang w:val="en-GB"/>
        </w:rPr>
        <w:t xml:space="preserve">CNBC. (2022, March 10). BMW says 2021 profit surged as it favoured higher-margin vehicles during chip shortage. Retrieved from </w:t>
      </w:r>
      <w:hyperlink r:id="rId9" w:history="1">
        <w:r w:rsidRPr="00FD3E8C">
          <w:rPr>
            <w:rStyle w:val="Hyperlink"/>
            <w:lang w:val="en-GB"/>
          </w:rPr>
          <w:t>https://www.cnbc.com/2022/03/10/bmw-says-2021-profit-surged-as-it-favored-higher-margin-vehicles-during-chip-shortage.html</w:t>
        </w:r>
      </w:hyperlink>
      <w:r w:rsidRPr="00FD3E8C">
        <w:rPr>
          <w:lang w:val="en-GB"/>
        </w:rPr>
        <w:t xml:space="preserve"> (Accessed May 6, 2024)</w:t>
      </w:r>
    </w:p>
    <w:p w14:paraId="2E5D7E4D" w14:textId="77777777" w:rsidR="00FD3E8C" w:rsidRPr="00FD3E8C" w:rsidRDefault="00FD3E8C" w:rsidP="00FD3E8C">
      <w:pPr>
        <w:pStyle w:val="ListParagraph"/>
        <w:rPr>
          <w:lang w:val="en-GB"/>
        </w:rPr>
      </w:pPr>
    </w:p>
    <w:p w14:paraId="53C329D0" w14:textId="77777777" w:rsidR="00FD3E8C" w:rsidRPr="00FD3E8C" w:rsidRDefault="00FD3E8C" w:rsidP="00FD3E8C">
      <w:pPr>
        <w:pStyle w:val="ListParagraph"/>
        <w:rPr>
          <w:lang w:val="en-GB"/>
        </w:rPr>
      </w:pPr>
    </w:p>
    <w:p w14:paraId="0127E23D" w14:textId="77777777" w:rsidR="00FD3E8C" w:rsidRDefault="00FD3E8C" w:rsidP="00FD3E8C">
      <w:pPr>
        <w:pStyle w:val="ListParagraph"/>
        <w:numPr>
          <w:ilvl w:val="0"/>
          <w:numId w:val="6"/>
        </w:numPr>
        <w:rPr>
          <w:lang w:val="en-GB"/>
        </w:rPr>
      </w:pPr>
      <w:r w:rsidRPr="00FD3E8C">
        <w:rPr>
          <w:lang w:val="en-GB"/>
        </w:rPr>
        <w:t xml:space="preserve">DeVry University. (2021, December 8). Understanding the Accounting Equation. Retrieved from </w:t>
      </w:r>
      <w:hyperlink r:id="rId10" w:history="1">
        <w:r w:rsidRPr="00FD3E8C">
          <w:rPr>
            <w:rStyle w:val="Hyperlink"/>
            <w:lang w:val="en-GB"/>
          </w:rPr>
          <w:t>https://www.devry.edu/blog/accounting-equation.html</w:t>
        </w:r>
      </w:hyperlink>
      <w:r w:rsidRPr="00FD3E8C">
        <w:rPr>
          <w:lang w:val="en-GB"/>
        </w:rPr>
        <w:t xml:space="preserve"> (Accessed May 6, 2024)</w:t>
      </w:r>
    </w:p>
    <w:p w14:paraId="721EF12F" w14:textId="77777777" w:rsidR="00FD3E8C" w:rsidRPr="00FD3E8C" w:rsidRDefault="00FD3E8C" w:rsidP="00FD3E8C">
      <w:pPr>
        <w:pStyle w:val="ListParagraph"/>
        <w:rPr>
          <w:lang w:val="en-GB"/>
        </w:rPr>
      </w:pPr>
    </w:p>
    <w:p w14:paraId="28178CAA" w14:textId="77777777" w:rsidR="00FD3E8C" w:rsidRDefault="00FD3E8C" w:rsidP="00FD3E8C">
      <w:pPr>
        <w:pStyle w:val="ListParagraph"/>
        <w:numPr>
          <w:ilvl w:val="0"/>
          <w:numId w:val="6"/>
        </w:numPr>
        <w:rPr>
          <w:lang w:val="en-GB"/>
        </w:rPr>
      </w:pPr>
      <w:r w:rsidRPr="00FD3E8C">
        <w:rPr>
          <w:lang w:val="en-GB"/>
        </w:rPr>
        <w:t xml:space="preserve">GoCardless. (2022, February). How to Prepare an Income Statement. Retrieved from </w:t>
      </w:r>
      <w:hyperlink r:id="rId11" w:history="1">
        <w:r w:rsidRPr="00FD3E8C">
          <w:rPr>
            <w:rStyle w:val="Hyperlink"/>
            <w:lang w:val="en-GB"/>
          </w:rPr>
          <w:t>https://gocardless.com/guides/posts/how-to-prepare-income-statement/</w:t>
        </w:r>
      </w:hyperlink>
      <w:r w:rsidRPr="00FD3E8C">
        <w:rPr>
          <w:lang w:val="en-GB"/>
        </w:rPr>
        <w:t xml:space="preserve"> (Accessed May 6, 2024)</w:t>
      </w:r>
    </w:p>
    <w:p w14:paraId="2A7C2D0D" w14:textId="77777777" w:rsidR="00FD3E8C" w:rsidRPr="00FD3E8C" w:rsidRDefault="00FD3E8C" w:rsidP="00FD3E8C">
      <w:pPr>
        <w:pStyle w:val="ListParagraph"/>
        <w:rPr>
          <w:lang w:val="en-GB"/>
        </w:rPr>
      </w:pPr>
    </w:p>
    <w:p w14:paraId="78D916A6" w14:textId="77777777" w:rsidR="00FD3E8C" w:rsidRPr="00FD3E8C" w:rsidRDefault="00FD3E8C" w:rsidP="00FD3E8C">
      <w:pPr>
        <w:pStyle w:val="ListParagraph"/>
        <w:rPr>
          <w:lang w:val="en-GB"/>
        </w:rPr>
      </w:pPr>
    </w:p>
    <w:p w14:paraId="3B46D0B9" w14:textId="77777777" w:rsidR="00FD3E8C" w:rsidRDefault="00FD3E8C" w:rsidP="00FD3E8C">
      <w:pPr>
        <w:pStyle w:val="ListParagraph"/>
        <w:numPr>
          <w:ilvl w:val="0"/>
          <w:numId w:val="6"/>
        </w:numPr>
        <w:rPr>
          <w:lang w:val="en-GB"/>
        </w:rPr>
      </w:pPr>
      <w:r w:rsidRPr="00FD3E8C">
        <w:rPr>
          <w:lang w:val="en-GB"/>
        </w:rPr>
        <w:t xml:space="preserve">Harvard Business School Online. (2020, June 10). How to Read Financial Statements. Retrieved from </w:t>
      </w:r>
      <w:hyperlink r:id="rId12" w:history="1">
        <w:r w:rsidRPr="00D216BC">
          <w:rPr>
            <w:rStyle w:val="Hyperlink"/>
            <w:lang w:val="en-GB"/>
          </w:rPr>
          <w:t>https://online.hbs.edu/blog/post/how-to-read-financial-statements</w:t>
        </w:r>
      </w:hyperlink>
      <w:r w:rsidRPr="00FD3E8C">
        <w:rPr>
          <w:lang w:val="en-GB"/>
        </w:rPr>
        <w:t xml:space="preserve"> (Accessed May 6, 2024)</w:t>
      </w:r>
    </w:p>
    <w:p w14:paraId="26C20AC5" w14:textId="77777777" w:rsidR="00FD3E8C" w:rsidRPr="00FD3E8C" w:rsidRDefault="00FD3E8C" w:rsidP="00FD3E8C">
      <w:pPr>
        <w:pStyle w:val="ListParagraph"/>
        <w:rPr>
          <w:lang w:val="en-GB"/>
        </w:rPr>
      </w:pPr>
    </w:p>
    <w:p w14:paraId="7D23FEEE" w14:textId="77777777" w:rsidR="00FD3E8C" w:rsidRDefault="00FD3E8C" w:rsidP="00FD3E8C">
      <w:pPr>
        <w:pStyle w:val="ListParagraph"/>
        <w:numPr>
          <w:ilvl w:val="0"/>
          <w:numId w:val="6"/>
        </w:numPr>
        <w:rPr>
          <w:lang w:val="en-GB"/>
        </w:rPr>
      </w:pPr>
      <w:r w:rsidRPr="00FD3E8C">
        <w:rPr>
          <w:lang w:val="en-GB"/>
        </w:rPr>
        <w:t xml:space="preserve">Investopedia. (n.d.). Current Ratio. Retrieved from </w:t>
      </w:r>
      <w:hyperlink r:id="rId13" w:history="1">
        <w:r w:rsidRPr="00D216BC">
          <w:rPr>
            <w:rStyle w:val="Hyperlink"/>
            <w:lang w:val="en-GB"/>
          </w:rPr>
          <w:t>https://www.investopedia.com/terms/c/currentratio.asp</w:t>
        </w:r>
      </w:hyperlink>
      <w:r w:rsidRPr="00FD3E8C">
        <w:rPr>
          <w:lang w:val="en-GB"/>
        </w:rPr>
        <w:t xml:space="preserve"> (Accessed May 6, 2024)</w:t>
      </w:r>
    </w:p>
    <w:p w14:paraId="68F7E8B8" w14:textId="77777777" w:rsidR="00FD3E8C" w:rsidRPr="00FD3E8C" w:rsidRDefault="00FD3E8C" w:rsidP="00FD3E8C">
      <w:pPr>
        <w:pStyle w:val="ListParagraph"/>
        <w:rPr>
          <w:lang w:val="en-GB"/>
        </w:rPr>
      </w:pPr>
    </w:p>
    <w:p w14:paraId="09A7C937" w14:textId="77777777" w:rsidR="00FD3E8C" w:rsidRPr="00FD3E8C" w:rsidRDefault="00FD3E8C" w:rsidP="00FD3E8C">
      <w:pPr>
        <w:pStyle w:val="ListParagraph"/>
        <w:rPr>
          <w:lang w:val="en-GB"/>
        </w:rPr>
      </w:pPr>
    </w:p>
    <w:p w14:paraId="04DF0BD1" w14:textId="77777777" w:rsidR="00FD3E8C" w:rsidRPr="00FD3E8C" w:rsidRDefault="00FD3E8C" w:rsidP="00FD3E8C">
      <w:pPr>
        <w:pStyle w:val="ListParagraph"/>
        <w:numPr>
          <w:ilvl w:val="0"/>
          <w:numId w:val="6"/>
        </w:numPr>
        <w:rPr>
          <w:lang w:val="en-GB"/>
        </w:rPr>
      </w:pPr>
      <w:r w:rsidRPr="00FD3E8C">
        <w:rPr>
          <w:lang w:val="en-GB"/>
        </w:rPr>
        <w:t xml:space="preserve">Investopedia. (n.d.). Profit Margin. Retrieved from </w:t>
      </w:r>
      <w:hyperlink r:id="rId14" w:history="1">
        <w:r w:rsidRPr="00D216BC">
          <w:rPr>
            <w:rStyle w:val="Hyperlink"/>
            <w:lang w:val="en-GB"/>
          </w:rPr>
          <w:t>https://www.investopedia.com/terms/p/profitmargin.asp</w:t>
        </w:r>
      </w:hyperlink>
      <w:r w:rsidRPr="00FD3E8C">
        <w:rPr>
          <w:lang w:val="en-GB"/>
        </w:rPr>
        <w:t xml:space="preserve"> (Accessed May 6, 2024)</w:t>
      </w:r>
    </w:p>
    <w:p w14:paraId="7BD4F351" w14:textId="77777777" w:rsidR="00FD3E8C" w:rsidRPr="00FD3E8C" w:rsidRDefault="00FD3E8C" w:rsidP="00FD3E8C">
      <w:pPr>
        <w:rPr>
          <w:lang w:val="en-GB"/>
        </w:rPr>
      </w:pPr>
    </w:p>
    <w:p w14:paraId="33875294" w14:textId="77777777" w:rsidR="00FD3E8C" w:rsidRPr="00FD3E8C" w:rsidRDefault="00FD3E8C" w:rsidP="00FD3E8C">
      <w:pPr>
        <w:pStyle w:val="ListParagraph"/>
        <w:numPr>
          <w:ilvl w:val="0"/>
          <w:numId w:val="6"/>
        </w:numPr>
        <w:rPr>
          <w:lang w:val="en-GB"/>
        </w:rPr>
      </w:pPr>
      <w:r w:rsidRPr="00FD3E8C">
        <w:rPr>
          <w:lang w:val="en-GB"/>
        </w:rPr>
        <w:t xml:space="preserve">BMW Group. (n.d.). Sustainability. Retrieved from </w:t>
      </w:r>
      <w:hyperlink r:id="rId15" w:history="1">
        <w:r w:rsidRPr="00D216BC">
          <w:rPr>
            <w:rStyle w:val="Hyperlink"/>
            <w:lang w:val="en-GB"/>
          </w:rPr>
          <w:t>https://www.bmwgroup.jobs/de/en/about-us/sustainability.html</w:t>
        </w:r>
      </w:hyperlink>
      <w:r w:rsidRPr="00FD3E8C">
        <w:rPr>
          <w:lang w:val="en-GB"/>
        </w:rPr>
        <w:t xml:space="preserve"> (Accessed May 6, 2024)</w:t>
      </w:r>
    </w:p>
    <w:sectPr w:rsidR="00FD3E8C" w:rsidRPr="00FD3E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647B4"/>
    <w:multiLevelType w:val="hybridMultilevel"/>
    <w:tmpl w:val="5AB66F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9F3D66"/>
    <w:multiLevelType w:val="hybridMultilevel"/>
    <w:tmpl w:val="5C3A70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E25EEE"/>
    <w:multiLevelType w:val="multilevel"/>
    <w:tmpl w:val="4D7E50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F683A2C"/>
    <w:multiLevelType w:val="hybridMultilevel"/>
    <w:tmpl w:val="FB267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30698B"/>
    <w:multiLevelType w:val="multilevel"/>
    <w:tmpl w:val="9992E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BE131E"/>
    <w:multiLevelType w:val="hybridMultilevel"/>
    <w:tmpl w:val="2FD0CE4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34608605">
    <w:abstractNumId w:val="5"/>
  </w:num>
  <w:num w:numId="2" w16cid:durableId="478152004">
    <w:abstractNumId w:val="3"/>
  </w:num>
  <w:num w:numId="3" w16cid:durableId="605192051">
    <w:abstractNumId w:val="1"/>
  </w:num>
  <w:num w:numId="4" w16cid:durableId="801116219">
    <w:abstractNumId w:val="4"/>
  </w:num>
  <w:num w:numId="5" w16cid:durableId="1706520087">
    <w:abstractNumId w:val="2"/>
  </w:num>
  <w:num w:numId="6" w16cid:durableId="1134325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26B"/>
    <w:rsid w:val="000E1D1F"/>
    <w:rsid w:val="001161FC"/>
    <w:rsid w:val="00271416"/>
    <w:rsid w:val="0028487E"/>
    <w:rsid w:val="0028626B"/>
    <w:rsid w:val="002C5CF7"/>
    <w:rsid w:val="003123E2"/>
    <w:rsid w:val="00343329"/>
    <w:rsid w:val="004D5903"/>
    <w:rsid w:val="00533A50"/>
    <w:rsid w:val="006E1F05"/>
    <w:rsid w:val="00846815"/>
    <w:rsid w:val="00874C80"/>
    <w:rsid w:val="00B07301"/>
    <w:rsid w:val="00C71B8E"/>
    <w:rsid w:val="00CE004C"/>
    <w:rsid w:val="00D216BC"/>
    <w:rsid w:val="00D945FD"/>
    <w:rsid w:val="00F033F2"/>
    <w:rsid w:val="00FA5D62"/>
    <w:rsid w:val="00FD3E8C"/>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A97E0"/>
  <w15:chartTrackingRefBased/>
  <w15:docId w15:val="{2F79E77F-63E4-7D40-ABD5-1C86CA83A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04C"/>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8626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8626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8626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8626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8626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8626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626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626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626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26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8626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8626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8626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8626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862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62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62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626B"/>
    <w:rPr>
      <w:rFonts w:eastAsiaTheme="majorEastAsia" w:cstheme="majorBidi"/>
      <w:color w:val="272727" w:themeColor="text1" w:themeTint="D8"/>
    </w:rPr>
  </w:style>
  <w:style w:type="paragraph" w:styleId="Title">
    <w:name w:val="Title"/>
    <w:basedOn w:val="Normal"/>
    <w:next w:val="Normal"/>
    <w:link w:val="TitleChar"/>
    <w:uiPriority w:val="10"/>
    <w:qFormat/>
    <w:rsid w:val="0028626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62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62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62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626B"/>
    <w:pPr>
      <w:spacing w:before="160"/>
      <w:jc w:val="center"/>
    </w:pPr>
    <w:rPr>
      <w:i/>
      <w:iCs/>
      <w:color w:val="404040" w:themeColor="text1" w:themeTint="BF"/>
    </w:rPr>
  </w:style>
  <w:style w:type="character" w:customStyle="1" w:styleId="QuoteChar">
    <w:name w:val="Quote Char"/>
    <w:basedOn w:val="DefaultParagraphFont"/>
    <w:link w:val="Quote"/>
    <w:uiPriority w:val="29"/>
    <w:rsid w:val="0028626B"/>
    <w:rPr>
      <w:i/>
      <w:iCs/>
      <w:color w:val="404040" w:themeColor="text1" w:themeTint="BF"/>
    </w:rPr>
  </w:style>
  <w:style w:type="paragraph" w:styleId="ListParagraph">
    <w:name w:val="List Paragraph"/>
    <w:basedOn w:val="Normal"/>
    <w:uiPriority w:val="34"/>
    <w:qFormat/>
    <w:rsid w:val="0028626B"/>
    <w:pPr>
      <w:ind w:left="720"/>
      <w:contextualSpacing/>
    </w:pPr>
  </w:style>
  <w:style w:type="character" w:styleId="IntenseEmphasis">
    <w:name w:val="Intense Emphasis"/>
    <w:basedOn w:val="DefaultParagraphFont"/>
    <w:uiPriority w:val="21"/>
    <w:qFormat/>
    <w:rsid w:val="0028626B"/>
    <w:rPr>
      <w:i/>
      <w:iCs/>
      <w:color w:val="2F5496" w:themeColor="accent1" w:themeShade="BF"/>
    </w:rPr>
  </w:style>
  <w:style w:type="paragraph" w:styleId="IntenseQuote">
    <w:name w:val="Intense Quote"/>
    <w:basedOn w:val="Normal"/>
    <w:next w:val="Normal"/>
    <w:link w:val="IntenseQuoteChar"/>
    <w:uiPriority w:val="30"/>
    <w:qFormat/>
    <w:rsid w:val="0028626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8626B"/>
    <w:rPr>
      <w:i/>
      <w:iCs/>
      <w:color w:val="2F5496" w:themeColor="accent1" w:themeShade="BF"/>
    </w:rPr>
  </w:style>
  <w:style w:type="character" w:styleId="IntenseReference">
    <w:name w:val="Intense Reference"/>
    <w:basedOn w:val="DefaultParagraphFont"/>
    <w:uiPriority w:val="32"/>
    <w:qFormat/>
    <w:rsid w:val="0028626B"/>
    <w:rPr>
      <w:b/>
      <w:bCs/>
      <w:smallCaps/>
      <w:color w:val="2F5496" w:themeColor="accent1" w:themeShade="BF"/>
      <w:spacing w:val="5"/>
    </w:rPr>
  </w:style>
  <w:style w:type="character" w:styleId="Hyperlink">
    <w:name w:val="Hyperlink"/>
    <w:basedOn w:val="DefaultParagraphFont"/>
    <w:uiPriority w:val="99"/>
    <w:unhideWhenUsed/>
    <w:rsid w:val="00D945FD"/>
    <w:rPr>
      <w:color w:val="0563C1" w:themeColor="hyperlink"/>
      <w:u w:val="single"/>
    </w:rPr>
  </w:style>
  <w:style w:type="character" w:styleId="UnresolvedMention">
    <w:name w:val="Unresolved Mention"/>
    <w:basedOn w:val="DefaultParagraphFont"/>
    <w:uiPriority w:val="99"/>
    <w:semiHidden/>
    <w:unhideWhenUsed/>
    <w:rsid w:val="00D945FD"/>
    <w:rPr>
      <w:color w:val="605E5C"/>
      <w:shd w:val="clear" w:color="auto" w:fill="E1DFDD"/>
    </w:rPr>
  </w:style>
  <w:style w:type="character" w:customStyle="1" w:styleId="apple-converted-space">
    <w:name w:val="apple-converted-space"/>
    <w:basedOn w:val="DefaultParagraphFont"/>
    <w:rsid w:val="00D945FD"/>
  </w:style>
  <w:style w:type="paragraph" w:styleId="NormalWeb">
    <w:name w:val="Normal (Web)"/>
    <w:basedOn w:val="Normal"/>
    <w:uiPriority w:val="99"/>
    <w:semiHidden/>
    <w:unhideWhenUsed/>
    <w:rsid w:val="00D945FD"/>
    <w:pPr>
      <w:spacing w:before="100" w:beforeAutospacing="1" w:after="100" w:afterAutospacing="1"/>
    </w:pPr>
  </w:style>
  <w:style w:type="character" w:styleId="FollowedHyperlink">
    <w:name w:val="FollowedHyperlink"/>
    <w:basedOn w:val="DefaultParagraphFont"/>
    <w:uiPriority w:val="99"/>
    <w:semiHidden/>
    <w:unhideWhenUsed/>
    <w:rsid w:val="00343329"/>
    <w:rPr>
      <w:color w:val="954F72" w:themeColor="followedHyperlink"/>
      <w:u w:val="single"/>
    </w:rPr>
  </w:style>
  <w:style w:type="character" w:styleId="Strong">
    <w:name w:val="Strong"/>
    <w:basedOn w:val="DefaultParagraphFont"/>
    <w:uiPriority w:val="22"/>
    <w:qFormat/>
    <w:rsid w:val="0028487E"/>
    <w:rPr>
      <w:b/>
      <w:bCs/>
    </w:rPr>
  </w:style>
  <w:style w:type="character" w:customStyle="1" w:styleId="katex-mathml">
    <w:name w:val="katex-mathml"/>
    <w:basedOn w:val="DefaultParagraphFont"/>
    <w:rsid w:val="0028487E"/>
  </w:style>
  <w:style w:type="character" w:customStyle="1" w:styleId="mord">
    <w:name w:val="mord"/>
    <w:basedOn w:val="DefaultParagraphFont"/>
    <w:rsid w:val="0028487E"/>
  </w:style>
  <w:style w:type="character" w:customStyle="1" w:styleId="mpunct">
    <w:name w:val="mpunct"/>
    <w:basedOn w:val="DefaultParagraphFont"/>
    <w:rsid w:val="0028487E"/>
  </w:style>
  <w:style w:type="character" w:customStyle="1" w:styleId="vlist-s">
    <w:name w:val="vlist-s"/>
    <w:basedOn w:val="DefaultParagraphFont"/>
    <w:rsid w:val="0028487E"/>
  </w:style>
  <w:style w:type="character" w:customStyle="1" w:styleId="mrel">
    <w:name w:val="mrel"/>
    <w:basedOn w:val="DefaultParagraphFont"/>
    <w:rsid w:val="00874C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91326">
      <w:bodyDiv w:val="1"/>
      <w:marLeft w:val="0"/>
      <w:marRight w:val="0"/>
      <w:marTop w:val="0"/>
      <w:marBottom w:val="0"/>
      <w:divBdr>
        <w:top w:val="none" w:sz="0" w:space="0" w:color="auto"/>
        <w:left w:val="none" w:sz="0" w:space="0" w:color="auto"/>
        <w:bottom w:val="none" w:sz="0" w:space="0" w:color="auto"/>
        <w:right w:val="none" w:sz="0" w:space="0" w:color="auto"/>
      </w:divBdr>
    </w:div>
    <w:div w:id="295070997">
      <w:bodyDiv w:val="1"/>
      <w:marLeft w:val="0"/>
      <w:marRight w:val="0"/>
      <w:marTop w:val="0"/>
      <w:marBottom w:val="0"/>
      <w:divBdr>
        <w:top w:val="none" w:sz="0" w:space="0" w:color="auto"/>
        <w:left w:val="none" w:sz="0" w:space="0" w:color="auto"/>
        <w:bottom w:val="none" w:sz="0" w:space="0" w:color="auto"/>
        <w:right w:val="none" w:sz="0" w:space="0" w:color="auto"/>
      </w:divBdr>
    </w:div>
    <w:div w:id="629438430">
      <w:bodyDiv w:val="1"/>
      <w:marLeft w:val="0"/>
      <w:marRight w:val="0"/>
      <w:marTop w:val="0"/>
      <w:marBottom w:val="0"/>
      <w:divBdr>
        <w:top w:val="none" w:sz="0" w:space="0" w:color="auto"/>
        <w:left w:val="none" w:sz="0" w:space="0" w:color="auto"/>
        <w:bottom w:val="none" w:sz="0" w:space="0" w:color="auto"/>
        <w:right w:val="none" w:sz="0" w:space="0" w:color="auto"/>
      </w:divBdr>
    </w:div>
    <w:div w:id="696538824">
      <w:bodyDiv w:val="1"/>
      <w:marLeft w:val="0"/>
      <w:marRight w:val="0"/>
      <w:marTop w:val="0"/>
      <w:marBottom w:val="0"/>
      <w:divBdr>
        <w:top w:val="none" w:sz="0" w:space="0" w:color="auto"/>
        <w:left w:val="none" w:sz="0" w:space="0" w:color="auto"/>
        <w:bottom w:val="none" w:sz="0" w:space="0" w:color="auto"/>
        <w:right w:val="none" w:sz="0" w:space="0" w:color="auto"/>
      </w:divBdr>
    </w:div>
    <w:div w:id="715741859">
      <w:bodyDiv w:val="1"/>
      <w:marLeft w:val="0"/>
      <w:marRight w:val="0"/>
      <w:marTop w:val="0"/>
      <w:marBottom w:val="0"/>
      <w:divBdr>
        <w:top w:val="none" w:sz="0" w:space="0" w:color="auto"/>
        <w:left w:val="none" w:sz="0" w:space="0" w:color="auto"/>
        <w:bottom w:val="none" w:sz="0" w:space="0" w:color="auto"/>
        <w:right w:val="none" w:sz="0" w:space="0" w:color="auto"/>
      </w:divBdr>
    </w:div>
    <w:div w:id="734661947">
      <w:bodyDiv w:val="1"/>
      <w:marLeft w:val="0"/>
      <w:marRight w:val="0"/>
      <w:marTop w:val="0"/>
      <w:marBottom w:val="0"/>
      <w:divBdr>
        <w:top w:val="none" w:sz="0" w:space="0" w:color="auto"/>
        <w:left w:val="none" w:sz="0" w:space="0" w:color="auto"/>
        <w:bottom w:val="none" w:sz="0" w:space="0" w:color="auto"/>
        <w:right w:val="none" w:sz="0" w:space="0" w:color="auto"/>
      </w:divBdr>
    </w:div>
    <w:div w:id="755052403">
      <w:bodyDiv w:val="1"/>
      <w:marLeft w:val="0"/>
      <w:marRight w:val="0"/>
      <w:marTop w:val="0"/>
      <w:marBottom w:val="0"/>
      <w:divBdr>
        <w:top w:val="none" w:sz="0" w:space="0" w:color="auto"/>
        <w:left w:val="none" w:sz="0" w:space="0" w:color="auto"/>
        <w:bottom w:val="none" w:sz="0" w:space="0" w:color="auto"/>
        <w:right w:val="none" w:sz="0" w:space="0" w:color="auto"/>
      </w:divBdr>
    </w:div>
    <w:div w:id="886647067">
      <w:bodyDiv w:val="1"/>
      <w:marLeft w:val="0"/>
      <w:marRight w:val="0"/>
      <w:marTop w:val="0"/>
      <w:marBottom w:val="0"/>
      <w:divBdr>
        <w:top w:val="none" w:sz="0" w:space="0" w:color="auto"/>
        <w:left w:val="none" w:sz="0" w:space="0" w:color="auto"/>
        <w:bottom w:val="none" w:sz="0" w:space="0" w:color="auto"/>
        <w:right w:val="none" w:sz="0" w:space="0" w:color="auto"/>
      </w:divBdr>
    </w:div>
    <w:div w:id="905147336">
      <w:bodyDiv w:val="1"/>
      <w:marLeft w:val="0"/>
      <w:marRight w:val="0"/>
      <w:marTop w:val="0"/>
      <w:marBottom w:val="0"/>
      <w:divBdr>
        <w:top w:val="none" w:sz="0" w:space="0" w:color="auto"/>
        <w:left w:val="none" w:sz="0" w:space="0" w:color="auto"/>
        <w:bottom w:val="none" w:sz="0" w:space="0" w:color="auto"/>
        <w:right w:val="none" w:sz="0" w:space="0" w:color="auto"/>
      </w:divBdr>
    </w:div>
    <w:div w:id="1018577509">
      <w:bodyDiv w:val="1"/>
      <w:marLeft w:val="0"/>
      <w:marRight w:val="0"/>
      <w:marTop w:val="0"/>
      <w:marBottom w:val="0"/>
      <w:divBdr>
        <w:top w:val="none" w:sz="0" w:space="0" w:color="auto"/>
        <w:left w:val="none" w:sz="0" w:space="0" w:color="auto"/>
        <w:bottom w:val="none" w:sz="0" w:space="0" w:color="auto"/>
        <w:right w:val="none" w:sz="0" w:space="0" w:color="auto"/>
      </w:divBdr>
    </w:div>
    <w:div w:id="1125467820">
      <w:bodyDiv w:val="1"/>
      <w:marLeft w:val="0"/>
      <w:marRight w:val="0"/>
      <w:marTop w:val="0"/>
      <w:marBottom w:val="0"/>
      <w:divBdr>
        <w:top w:val="none" w:sz="0" w:space="0" w:color="auto"/>
        <w:left w:val="none" w:sz="0" w:space="0" w:color="auto"/>
        <w:bottom w:val="none" w:sz="0" w:space="0" w:color="auto"/>
        <w:right w:val="none" w:sz="0" w:space="0" w:color="auto"/>
      </w:divBdr>
    </w:div>
    <w:div w:id="1184711510">
      <w:bodyDiv w:val="1"/>
      <w:marLeft w:val="0"/>
      <w:marRight w:val="0"/>
      <w:marTop w:val="0"/>
      <w:marBottom w:val="0"/>
      <w:divBdr>
        <w:top w:val="none" w:sz="0" w:space="0" w:color="auto"/>
        <w:left w:val="none" w:sz="0" w:space="0" w:color="auto"/>
        <w:bottom w:val="none" w:sz="0" w:space="0" w:color="auto"/>
        <w:right w:val="none" w:sz="0" w:space="0" w:color="auto"/>
      </w:divBdr>
    </w:div>
    <w:div w:id="1240598464">
      <w:bodyDiv w:val="1"/>
      <w:marLeft w:val="0"/>
      <w:marRight w:val="0"/>
      <w:marTop w:val="0"/>
      <w:marBottom w:val="0"/>
      <w:divBdr>
        <w:top w:val="none" w:sz="0" w:space="0" w:color="auto"/>
        <w:left w:val="none" w:sz="0" w:space="0" w:color="auto"/>
        <w:bottom w:val="none" w:sz="0" w:space="0" w:color="auto"/>
        <w:right w:val="none" w:sz="0" w:space="0" w:color="auto"/>
      </w:divBdr>
    </w:div>
    <w:div w:id="1248928916">
      <w:bodyDiv w:val="1"/>
      <w:marLeft w:val="0"/>
      <w:marRight w:val="0"/>
      <w:marTop w:val="0"/>
      <w:marBottom w:val="0"/>
      <w:divBdr>
        <w:top w:val="none" w:sz="0" w:space="0" w:color="auto"/>
        <w:left w:val="none" w:sz="0" w:space="0" w:color="auto"/>
        <w:bottom w:val="none" w:sz="0" w:space="0" w:color="auto"/>
        <w:right w:val="none" w:sz="0" w:space="0" w:color="auto"/>
      </w:divBdr>
    </w:div>
    <w:div w:id="1469320564">
      <w:bodyDiv w:val="1"/>
      <w:marLeft w:val="0"/>
      <w:marRight w:val="0"/>
      <w:marTop w:val="0"/>
      <w:marBottom w:val="0"/>
      <w:divBdr>
        <w:top w:val="none" w:sz="0" w:space="0" w:color="auto"/>
        <w:left w:val="none" w:sz="0" w:space="0" w:color="auto"/>
        <w:bottom w:val="none" w:sz="0" w:space="0" w:color="auto"/>
        <w:right w:val="none" w:sz="0" w:space="0" w:color="auto"/>
      </w:divBdr>
    </w:div>
    <w:div w:id="1512649125">
      <w:bodyDiv w:val="1"/>
      <w:marLeft w:val="0"/>
      <w:marRight w:val="0"/>
      <w:marTop w:val="0"/>
      <w:marBottom w:val="0"/>
      <w:divBdr>
        <w:top w:val="none" w:sz="0" w:space="0" w:color="auto"/>
        <w:left w:val="none" w:sz="0" w:space="0" w:color="auto"/>
        <w:bottom w:val="none" w:sz="0" w:space="0" w:color="auto"/>
        <w:right w:val="none" w:sz="0" w:space="0" w:color="auto"/>
      </w:divBdr>
    </w:div>
    <w:div w:id="1651984929">
      <w:bodyDiv w:val="1"/>
      <w:marLeft w:val="0"/>
      <w:marRight w:val="0"/>
      <w:marTop w:val="0"/>
      <w:marBottom w:val="0"/>
      <w:divBdr>
        <w:top w:val="none" w:sz="0" w:space="0" w:color="auto"/>
        <w:left w:val="none" w:sz="0" w:space="0" w:color="auto"/>
        <w:bottom w:val="none" w:sz="0" w:space="0" w:color="auto"/>
        <w:right w:val="none" w:sz="0" w:space="0" w:color="auto"/>
      </w:divBdr>
    </w:div>
    <w:div w:id="1656950734">
      <w:bodyDiv w:val="1"/>
      <w:marLeft w:val="0"/>
      <w:marRight w:val="0"/>
      <w:marTop w:val="0"/>
      <w:marBottom w:val="0"/>
      <w:divBdr>
        <w:top w:val="none" w:sz="0" w:space="0" w:color="auto"/>
        <w:left w:val="none" w:sz="0" w:space="0" w:color="auto"/>
        <w:bottom w:val="none" w:sz="0" w:space="0" w:color="auto"/>
        <w:right w:val="none" w:sz="0" w:space="0" w:color="auto"/>
      </w:divBdr>
    </w:div>
    <w:div w:id="1666981557">
      <w:bodyDiv w:val="1"/>
      <w:marLeft w:val="0"/>
      <w:marRight w:val="0"/>
      <w:marTop w:val="0"/>
      <w:marBottom w:val="0"/>
      <w:divBdr>
        <w:top w:val="none" w:sz="0" w:space="0" w:color="auto"/>
        <w:left w:val="none" w:sz="0" w:space="0" w:color="auto"/>
        <w:bottom w:val="none" w:sz="0" w:space="0" w:color="auto"/>
        <w:right w:val="none" w:sz="0" w:space="0" w:color="auto"/>
      </w:divBdr>
    </w:div>
    <w:div w:id="1689600768">
      <w:bodyDiv w:val="1"/>
      <w:marLeft w:val="0"/>
      <w:marRight w:val="0"/>
      <w:marTop w:val="0"/>
      <w:marBottom w:val="0"/>
      <w:divBdr>
        <w:top w:val="none" w:sz="0" w:space="0" w:color="auto"/>
        <w:left w:val="none" w:sz="0" w:space="0" w:color="auto"/>
        <w:bottom w:val="none" w:sz="0" w:space="0" w:color="auto"/>
        <w:right w:val="none" w:sz="0" w:space="0" w:color="auto"/>
      </w:divBdr>
    </w:div>
    <w:div w:id="1698700337">
      <w:bodyDiv w:val="1"/>
      <w:marLeft w:val="0"/>
      <w:marRight w:val="0"/>
      <w:marTop w:val="0"/>
      <w:marBottom w:val="0"/>
      <w:divBdr>
        <w:top w:val="none" w:sz="0" w:space="0" w:color="auto"/>
        <w:left w:val="none" w:sz="0" w:space="0" w:color="auto"/>
        <w:bottom w:val="none" w:sz="0" w:space="0" w:color="auto"/>
        <w:right w:val="none" w:sz="0" w:space="0" w:color="auto"/>
      </w:divBdr>
    </w:div>
    <w:div w:id="1711032743">
      <w:bodyDiv w:val="1"/>
      <w:marLeft w:val="0"/>
      <w:marRight w:val="0"/>
      <w:marTop w:val="0"/>
      <w:marBottom w:val="0"/>
      <w:divBdr>
        <w:top w:val="none" w:sz="0" w:space="0" w:color="auto"/>
        <w:left w:val="none" w:sz="0" w:space="0" w:color="auto"/>
        <w:bottom w:val="none" w:sz="0" w:space="0" w:color="auto"/>
        <w:right w:val="none" w:sz="0" w:space="0" w:color="auto"/>
      </w:divBdr>
    </w:div>
    <w:div w:id="1730494043">
      <w:bodyDiv w:val="1"/>
      <w:marLeft w:val="0"/>
      <w:marRight w:val="0"/>
      <w:marTop w:val="0"/>
      <w:marBottom w:val="0"/>
      <w:divBdr>
        <w:top w:val="none" w:sz="0" w:space="0" w:color="auto"/>
        <w:left w:val="none" w:sz="0" w:space="0" w:color="auto"/>
        <w:bottom w:val="none" w:sz="0" w:space="0" w:color="auto"/>
        <w:right w:val="none" w:sz="0" w:space="0" w:color="auto"/>
      </w:divBdr>
    </w:div>
    <w:div w:id="1754157330">
      <w:bodyDiv w:val="1"/>
      <w:marLeft w:val="0"/>
      <w:marRight w:val="0"/>
      <w:marTop w:val="0"/>
      <w:marBottom w:val="0"/>
      <w:divBdr>
        <w:top w:val="none" w:sz="0" w:space="0" w:color="auto"/>
        <w:left w:val="none" w:sz="0" w:space="0" w:color="auto"/>
        <w:bottom w:val="none" w:sz="0" w:space="0" w:color="auto"/>
        <w:right w:val="none" w:sz="0" w:space="0" w:color="auto"/>
      </w:divBdr>
    </w:div>
    <w:div w:id="1782451787">
      <w:bodyDiv w:val="1"/>
      <w:marLeft w:val="0"/>
      <w:marRight w:val="0"/>
      <w:marTop w:val="0"/>
      <w:marBottom w:val="0"/>
      <w:divBdr>
        <w:top w:val="none" w:sz="0" w:space="0" w:color="auto"/>
        <w:left w:val="none" w:sz="0" w:space="0" w:color="auto"/>
        <w:bottom w:val="none" w:sz="0" w:space="0" w:color="auto"/>
        <w:right w:val="none" w:sz="0" w:space="0" w:color="auto"/>
      </w:divBdr>
    </w:div>
    <w:div w:id="1862472668">
      <w:bodyDiv w:val="1"/>
      <w:marLeft w:val="0"/>
      <w:marRight w:val="0"/>
      <w:marTop w:val="0"/>
      <w:marBottom w:val="0"/>
      <w:divBdr>
        <w:top w:val="none" w:sz="0" w:space="0" w:color="auto"/>
        <w:left w:val="none" w:sz="0" w:space="0" w:color="auto"/>
        <w:bottom w:val="none" w:sz="0" w:space="0" w:color="auto"/>
        <w:right w:val="none" w:sz="0" w:space="0" w:color="auto"/>
      </w:divBdr>
    </w:div>
    <w:div w:id="2059159283">
      <w:bodyDiv w:val="1"/>
      <w:marLeft w:val="0"/>
      <w:marRight w:val="0"/>
      <w:marTop w:val="0"/>
      <w:marBottom w:val="0"/>
      <w:divBdr>
        <w:top w:val="none" w:sz="0" w:space="0" w:color="auto"/>
        <w:left w:val="none" w:sz="0" w:space="0" w:color="auto"/>
        <w:bottom w:val="none" w:sz="0" w:space="0" w:color="auto"/>
        <w:right w:val="none" w:sz="0" w:space="0" w:color="auto"/>
      </w:divBdr>
    </w:div>
    <w:div w:id="2083215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yjus.com/commerce/liquidity-ratio/" TargetMode="External"/><Relationship Id="rId13" Type="http://schemas.openxmlformats.org/officeDocument/2006/relationships/hyperlink" Target="https://www.investopedia.com/terms/c/currentratio.asp" TargetMode="External"/><Relationship Id="rId3" Type="http://schemas.openxmlformats.org/officeDocument/2006/relationships/styles" Target="styles.xml"/><Relationship Id="rId7" Type="http://schemas.openxmlformats.org/officeDocument/2006/relationships/hyperlink" Target="https://www.bmw.co.uk/content/dam/bmw/marketGB/bmw_co_uk/buying/business-corporate/company-car-drivers/BMW_%20Budget_Guide_Spring2022.pdf.asset.1648566916007.pdf" TargetMode="External"/><Relationship Id="rId12" Type="http://schemas.openxmlformats.org/officeDocument/2006/relationships/hyperlink" Target="https://online.hbs.edu/blog/post/how-to-read-financial-statemen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bmwgroup.com/en/company.html" TargetMode="External"/><Relationship Id="rId11" Type="http://schemas.openxmlformats.org/officeDocument/2006/relationships/hyperlink" Target="https://gocardless.com/guides/posts/how-to-prepare-income-statement/" TargetMode="External"/><Relationship Id="rId5" Type="http://schemas.openxmlformats.org/officeDocument/2006/relationships/webSettings" Target="webSettings.xml"/><Relationship Id="rId15" Type="http://schemas.openxmlformats.org/officeDocument/2006/relationships/hyperlink" Target="https://www.bmwgroup.jobs/de/en/about-us/sustainability.html" TargetMode="External"/><Relationship Id="rId10" Type="http://schemas.openxmlformats.org/officeDocument/2006/relationships/hyperlink" Target="https://www.devry.edu/blog/accounting-equation.html" TargetMode="External"/><Relationship Id="rId4" Type="http://schemas.openxmlformats.org/officeDocument/2006/relationships/settings" Target="settings.xml"/><Relationship Id="rId9" Type="http://schemas.openxmlformats.org/officeDocument/2006/relationships/hyperlink" Target="https://www.cnbc.com/2022/03/10/bmw-says-2021-profit-surged-as-it-favored-higher-margin-vehicles-during-chip-shortage.html" TargetMode="External"/><Relationship Id="rId14" Type="http://schemas.openxmlformats.org/officeDocument/2006/relationships/hyperlink" Target="https://www.investopedia.com/terms/p/profitmargin.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4AEB58-C532-9F4F-9EA5-FF65453E10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1469</Words>
  <Characters>8379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Daria Borcea</dc:creator>
  <cp:keywords/>
  <dc:description/>
  <cp:lastModifiedBy>Daria Borcea</cp:lastModifiedBy>
  <cp:revision>2</cp:revision>
  <dcterms:created xsi:type="dcterms:W3CDTF">2024-05-11T09:40:00Z</dcterms:created>
  <dcterms:modified xsi:type="dcterms:W3CDTF">2024-05-11T09:40:00Z</dcterms:modified>
</cp:coreProperties>
</file>