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6"/>
          <w:szCs w:val="26"/>
        </w:rPr>
      </w:pPr>
      <w:r w:rsidDel="00000000" w:rsidR="00000000" w:rsidRPr="00000000">
        <w:rPr>
          <w:sz w:val="26"/>
          <w:szCs w:val="26"/>
          <w:rtl w:val="0"/>
        </w:rPr>
        <w:t xml:space="preserve">Weaknesses of “The Boundaries of Israel - Palestine Past, Present, and Future: A Critical Geographical View”</w:t>
      </w:r>
    </w:p>
    <w:p w:rsidR="00000000" w:rsidDel="00000000" w:rsidP="00000000" w:rsidRDefault="00000000" w:rsidRPr="00000000" w14:paraId="00000002">
      <w:pPr>
        <w:jc w:val="both"/>
        <w:rPr>
          <w:sz w:val="26"/>
          <w:szCs w:val="26"/>
        </w:rPr>
      </w:pPr>
      <w:r w:rsidDel="00000000" w:rsidR="00000000" w:rsidRPr="00000000">
        <w:rPr>
          <w:rtl w:val="0"/>
        </w:rPr>
      </w:r>
    </w:p>
    <w:p w:rsidR="00000000" w:rsidDel="00000000" w:rsidP="00000000" w:rsidRDefault="00000000" w:rsidRPr="00000000" w14:paraId="00000003">
      <w:pPr>
        <w:jc w:val="both"/>
        <w:rPr/>
      </w:pPr>
      <w:r w:rsidDel="00000000" w:rsidR="00000000" w:rsidRPr="00000000">
        <w:rPr>
          <w:rtl w:val="0"/>
        </w:rPr>
        <w:t xml:space="preserve">Biger’s article “</w:t>
      </w:r>
      <w:r w:rsidDel="00000000" w:rsidR="00000000" w:rsidRPr="00000000">
        <w:rPr>
          <w:rtl w:val="0"/>
        </w:rPr>
        <w:t xml:space="preserve">The Boundaries of Israel - Palestine Past, Present, and Future: A Critical Geographical View” presents a well rounded discussion of the issues and history surrounding the conflict between the nation of Israel and that of the geographical region known as Palastine.  </w:t>
      </w:r>
    </w:p>
    <w:p w:rsidR="00000000" w:rsidDel="00000000" w:rsidP="00000000" w:rsidRDefault="00000000" w:rsidRPr="00000000" w14:paraId="00000004">
      <w:pPr>
        <w:jc w:val="both"/>
        <w:rPr/>
      </w:pPr>
      <w:r w:rsidDel="00000000" w:rsidR="00000000" w:rsidRPr="00000000">
        <w:rPr>
          <w:rtl w:val="0"/>
        </w:rPr>
      </w:r>
    </w:p>
    <w:p w:rsidR="00000000" w:rsidDel="00000000" w:rsidP="00000000" w:rsidRDefault="00000000" w:rsidRPr="00000000" w14:paraId="00000005">
      <w:pPr>
        <w:jc w:val="both"/>
        <w:rPr>
          <w:color w:val="050505"/>
          <w:sz w:val="23"/>
          <w:szCs w:val="23"/>
          <w:highlight w:val="white"/>
        </w:rPr>
      </w:pPr>
      <w:r w:rsidDel="00000000" w:rsidR="00000000" w:rsidRPr="00000000">
        <w:rPr>
          <w:rtl w:val="0"/>
        </w:rPr>
        <w:t xml:space="preserve">One of the first weaknesses can be seen is in the author himself Prof. Gideon Biger is an Israeli scholar and geographer, therefore his writings can be seen to have a bias when writing about Jewish matters, especially when talking about the issue of Palastine. This can be seen when the author claims “The Roman emperor Hadrian endeavored to quash Jewish nationalism” (Biger 2008. 69) when in reality there is no proven evidence to confirm this. Contrary to what Biger has stated, Feldman claims “</w:t>
      </w:r>
      <w:r w:rsidDel="00000000" w:rsidR="00000000" w:rsidRPr="00000000">
        <w:rPr>
          <w:color w:val="050505"/>
          <w:sz w:val="23"/>
          <w:szCs w:val="23"/>
          <w:highlight w:val="white"/>
          <w:rtl w:val="0"/>
        </w:rPr>
        <w:t xml:space="preserve">However, there is only circumstantial evidence linking Hadrian with the name change and the precise date is not certain” (Feldman. 1990. 19) Bigar’s seemingly pro Israeli comments bring further doubts to any other claims that he may make when it comes to these border issues. Biger also goes on to make statements such as “This was, and still is, one of the most important pieces of land” (Biger. 2008. 68), comments like these are made with no evidential backing of reasoning, these “rogue” comments being made with no evidential backing brings even more of his other comments and statements into question. As long as these biases are noted, Bigar’s article is of great help to the area.</w:t>
      </w:r>
    </w:p>
    <w:p w:rsidR="00000000" w:rsidDel="00000000" w:rsidP="00000000" w:rsidRDefault="00000000" w:rsidRPr="00000000" w14:paraId="00000006">
      <w:pPr>
        <w:jc w:val="both"/>
        <w:rPr>
          <w:color w:val="050505"/>
          <w:sz w:val="23"/>
          <w:szCs w:val="23"/>
          <w:highlight w:val="white"/>
        </w:rPr>
      </w:pPr>
      <w:r w:rsidDel="00000000" w:rsidR="00000000" w:rsidRPr="00000000">
        <w:rPr>
          <w:rtl w:val="0"/>
        </w:rPr>
      </w:r>
    </w:p>
    <w:p w:rsidR="00000000" w:rsidDel="00000000" w:rsidP="00000000" w:rsidRDefault="00000000" w:rsidRPr="00000000" w14:paraId="00000007">
      <w:pPr>
        <w:jc w:val="both"/>
        <w:rPr>
          <w:color w:val="050505"/>
          <w:sz w:val="23"/>
          <w:szCs w:val="23"/>
          <w:highlight w:val="white"/>
        </w:rPr>
      </w:pPr>
      <w:r w:rsidDel="00000000" w:rsidR="00000000" w:rsidRPr="00000000">
        <w:rPr>
          <w:rtl w:val="0"/>
        </w:rPr>
      </w:r>
    </w:p>
    <w:p w:rsidR="00000000" w:rsidDel="00000000" w:rsidP="00000000" w:rsidRDefault="00000000" w:rsidRPr="00000000" w14:paraId="00000008">
      <w:pPr>
        <w:jc w:val="both"/>
        <w:rPr>
          <w:color w:val="050505"/>
          <w:sz w:val="23"/>
          <w:szCs w:val="23"/>
          <w:highlight w:val="white"/>
        </w:rPr>
      </w:pPr>
      <w:r w:rsidDel="00000000" w:rsidR="00000000" w:rsidRPr="00000000">
        <w:rPr>
          <w:color w:val="050505"/>
          <w:sz w:val="23"/>
          <w:szCs w:val="23"/>
          <w:highlight w:val="white"/>
          <w:rtl w:val="0"/>
        </w:rPr>
        <w:t xml:space="preserve">Bibliography.</w:t>
      </w:r>
    </w:p>
    <w:p w:rsidR="00000000" w:rsidDel="00000000" w:rsidP="00000000" w:rsidRDefault="00000000" w:rsidRPr="00000000" w14:paraId="00000009">
      <w:pPr>
        <w:jc w:val="both"/>
        <w:rPr>
          <w:highlight w:val="white"/>
        </w:rPr>
      </w:pPr>
      <w:r w:rsidDel="00000000" w:rsidR="00000000" w:rsidRPr="00000000">
        <w:rPr>
          <w:highlight w:val="white"/>
          <w:rtl w:val="0"/>
        </w:rPr>
        <w:t xml:space="preserve">Biger, G. (2008). The Boundaries of Israel—Palestine Past, Present, and Future: A Critical Geographical View. </w:t>
      </w:r>
      <w:r w:rsidDel="00000000" w:rsidR="00000000" w:rsidRPr="00000000">
        <w:rPr>
          <w:i w:val="1"/>
          <w:highlight w:val="white"/>
          <w:rtl w:val="0"/>
        </w:rPr>
        <w:t xml:space="preserve">Israel Studies,</w:t>
      </w:r>
      <w:r w:rsidDel="00000000" w:rsidR="00000000" w:rsidRPr="00000000">
        <w:rPr>
          <w:highlight w:val="white"/>
          <w:rtl w:val="0"/>
        </w:rPr>
        <w:t xml:space="preserve"> </w:t>
      </w:r>
      <w:r w:rsidDel="00000000" w:rsidR="00000000" w:rsidRPr="00000000">
        <w:rPr>
          <w:i w:val="1"/>
          <w:highlight w:val="white"/>
          <w:rtl w:val="0"/>
        </w:rPr>
        <w:t xml:space="preserve">13</w:t>
      </w:r>
      <w:r w:rsidDel="00000000" w:rsidR="00000000" w:rsidRPr="00000000">
        <w:rPr>
          <w:highlight w:val="white"/>
          <w:rtl w:val="0"/>
        </w:rPr>
        <w:t xml:space="preserve">(1), 68-93. Retrieved October 30, 2020, from </w:t>
      </w:r>
      <w:hyperlink r:id="rId6">
        <w:r w:rsidDel="00000000" w:rsidR="00000000" w:rsidRPr="00000000">
          <w:rPr>
            <w:color w:val="1155cc"/>
            <w:highlight w:val="white"/>
            <w:u w:val="single"/>
            <w:rtl w:val="0"/>
          </w:rPr>
          <w:t xml:space="preserve">http://www.jstor.org/stable/30245820</w:t>
        </w:r>
      </w:hyperlink>
      <w:r w:rsidDel="00000000" w:rsidR="00000000" w:rsidRPr="00000000">
        <w:rPr>
          <w:rtl w:val="0"/>
        </w:rPr>
      </w:r>
    </w:p>
    <w:p w:rsidR="00000000" w:rsidDel="00000000" w:rsidP="00000000" w:rsidRDefault="00000000" w:rsidRPr="00000000" w14:paraId="0000000A">
      <w:pPr>
        <w:jc w:val="both"/>
        <w:rPr>
          <w:highlight w:val="white"/>
        </w:rPr>
      </w:pPr>
      <w:r w:rsidDel="00000000" w:rsidR="00000000" w:rsidRPr="00000000">
        <w:rPr>
          <w:rtl w:val="0"/>
        </w:rPr>
      </w:r>
    </w:p>
    <w:p w:rsidR="00000000" w:rsidDel="00000000" w:rsidP="00000000" w:rsidRDefault="00000000" w:rsidRPr="00000000" w14:paraId="0000000B">
      <w:pPr>
        <w:jc w:val="both"/>
        <w:rPr>
          <w:color w:val="050505"/>
          <w:sz w:val="23"/>
          <w:szCs w:val="23"/>
          <w:highlight w:val="white"/>
        </w:rPr>
      </w:pPr>
      <w:r w:rsidDel="00000000" w:rsidR="00000000" w:rsidRPr="00000000">
        <w:rPr>
          <w:color w:val="050505"/>
          <w:sz w:val="23"/>
          <w:szCs w:val="23"/>
          <w:highlight w:val="white"/>
          <w:rtl w:val="0"/>
        </w:rPr>
        <w:t xml:space="preserve">Feldman, L. (1990). Some Observations on the Name of Palestine. Hebrew Union College Annual, 61, 1-23.</w:t>
      </w:r>
    </w:p>
    <w:p w:rsidR="00000000" w:rsidDel="00000000" w:rsidP="00000000" w:rsidRDefault="00000000" w:rsidRPr="00000000" w14:paraId="0000000C">
      <w:pPr>
        <w:jc w:val="both"/>
        <w:rPr>
          <w:color w:val="050505"/>
          <w:sz w:val="23"/>
          <w:szCs w:val="23"/>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pt_BR"/>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www.jstor.org/stable/302458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