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rPr>
      </w:pPr>
      <w:r w:rsidDel="00000000" w:rsidR="00000000" w:rsidRPr="00000000">
        <w:rPr/>
        <w:drawing>
          <wp:inline distB="0" distT="0" distL="0" distR="0">
            <wp:extent cx="1905000" cy="1905000"/>
            <wp:effectExtent b="0" l="0" r="0" t="0"/>
            <wp:docPr descr="UWTSD Birmingham Campus | LinkedIn" id="1" name="image1.png"/>
            <a:graphic>
              <a:graphicData uri="http://schemas.openxmlformats.org/drawingml/2006/picture">
                <pic:pic>
                  <pic:nvPicPr>
                    <pic:cNvPr descr="UWTSD Birmingham Campus | LinkedIn" id="0" name="image1.png"/>
                    <pic:cNvPicPr preferRelativeResize="0"/>
                  </pic:nvPicPr>
                  <pic:blipFill>
                    <a:blip r:embed="rId6"/>
                    <a:srcRect b="0" l="0" r="0" t="0"/>
                    <a:stretch>
                      <a:fillRect/>
                    </a:stretch>
                  </pic:blipFill>
                  <pic:spPr>
                    <a:xfrm>
                      <a:off x="0" y="0"/>
                      <a:ext cx="190500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University of Wales Trinity Saint David Birmingham</w:t>
      </w:r>
    </w:p>
    <w:p w:rsidR="00000000" w:rsidDel="00000000" w:rsidP="00000000" w:rsidRDefault="00000000" w:rsidRPr="00000000" w14:paraId="00000003">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Module: Digital Skills and Research Methods</w:t>
      </w:r>
    </w:p>
    <w:p w:rsidR="00000000" w:rsidDel="00000000" w:rsidP="00000000" w:rsidRDefault="00000000" w:rsidRPr="00000000" w14:paraId="00000005">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Module Code: LCHS4007</w:t>
      </w:r>
    </w:p>
    <w:p w:rsidR="00000000" w:rsidDel="00000000" w:rsidP="00000000" w:rsidRDefault="00000000" w:rsidRPr="00000000" w14:paraId="00000006">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Task 2 (Research report) on</w:t>
      </w:r>
    </w:p>
    <w:p w:rsidR="00000000" w:rsidDel="00000000" w:rsidP="00000000" w:rsidRDefault="00000000" w:rsidRPr="00000000" w14:paraId="00000007">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rtl w:val="0"/>
        </w:rPr>
        <w:t xml:space="preserve">Digital Exclusion Among Older Adults in UK Social Care: </w:t>
        <w:br w:type="textWrapping"/>
      </w:r>
      <w:r w:rsidDel="00000000" w:rsidR="00000000" w:rsidRPr="00000000">
        <w:rPr>
          <w:rFonts w:ascii="Arial" w:cs="Arial" w:eastAsia="Arial" w:hAnsi="Arial"/>
          <w:b w:val="1"/>
          <w:bCs w:val="1"/>
          <w:sz w:val="32"/>
          <w:szCs w:val="32"/>
          <w:rtl w:val="0"/>
        </w:rPr>
        <w:t xml:space="preserve">Barriers to Telehealth Access and Support</w:t>
      </w:r>
    </w:p>
    <w:p w:rsidR="00000000" w:rsidDel="00000000" w:rsidP="00000000" w:rsidRDefault="00000000" w:rsidRPr="00000000" w14:paraId="00000009">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A">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Submitted by</w:t>
      </w:r>
    </w:p>
    <w:p w:rsidR="00000000" w:rsidDel="00000000" w:rsidP="00000000" w:rsidRDefault="00000000" w:rsidRPr="00000000" w14:paraId="0000000C">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Name of the student: Rizwana Adeel</w:t>
      </w:r>
    </w:p>
    <w:p w:rsidR="00000000" w:rsidDel="00000000" w:rsidP="00000000" w:rsidRDefault="00000000" w:rsidRPr="00000000" w14:paraId="0000000D">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ID number: 2504702</w:t>
      </w:r>
    </w:p>
    <w:p w:rsidR="00000000" w:rsidDel="00000000" w:rsidP="00000000" w:rsidRDefault="00000000" w:rsidRPr="00000000" w14:paraId="0000000E">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F">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Submitted to</w:t>
      </w:r>
    </w:p>
    <w:p w:rsidR="00000000" w:rsidDel="00000000" w:rsidP="00000000" w:rsidRDefault="00000000" w:rsidRPr="00000000" w14:paraId="00000010">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Name of the lecturer: Masud Siddiqui</w:t>
      </w:r>
    </w:p>
    <w:p w:rsidR="00000000" w:rsidDel="00000000" w:rsidP="00000000" w:rsidRDefault="00000000" w:rsidRPr="00000000" w14:paraId="00000011">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Submitted on</w:t>
      </w:r>
    </w:p>
    <w:p w:rsidR="00000000" w:rsidDel="00000000" w:rsidP="00000000" w:rsidRDefault="00000000" w:rsidRPr="00000000" w14:paraId="00000013">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17 November 2025</w:t>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Play" w:cs="Play" w:eastAsia="Play" w:hAnsi="Play"/>
          <w:b w:val="0"/>
          <w:bCs w:val="0"/>
          <w:i w:val="0"/>
          <w:iCs w:val="0"/>
          <w:smallCaps w:val="0"/>
          <w:strike w:val="0"/>
          <w:color w:val="000000"/>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00000"/>
          <w:sz w:val="32"/>
          <w:szCs w:val="32"/>
          <w:u w:val="none"/>
          <w:shd w:fill="auto" w:val="clear"/>
          <w:vertAlign w:val="baseline"/>
          <w:rtl w:val="0"/>
        </w:rPr>
        <w:t xml:space="preserve">Table of Contents</w:t>
      </w:r>
    </w:p>
    <w:sdt>
      <w:sdtPr>
        <w:id w:val="-1523663242"/>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18dmh95ucd9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sx16mwadyq9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Research topic identification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pxn9zhlfi8g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Identifying the problem/ issue</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kke2ck8op1t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Justification for the research</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stus28l83g5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Literature review</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g9fmmb75glp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Research methods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9sv9np3umke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Data Collection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8f3y7lmjj79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Primary vs. Secondary Data</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8lt7y94ssav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Data choice for this research</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fi2h4u4orob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Conclusion</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fc69ia5mu2y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3">
      <w:pPr>
        <w:spacing w:line="360" w:lineRule="auto"/>
        <w:jc w:val="center"/>
        <w:rPr/>
      </w:pPr>
      <w:r w:rsidDel="00000000" w:rsidR="00000000" w:rsidRPr="00000000">
        <w:rPr>
          <w:b w:val="1"/>
          <w:bCs w:val="1"/>
          <w:sz w:val="32"/>
          <w:szCs w:val="32"/>
          <w:rtl w:val="0"/>
        </w:rPr>
        <w:t xml:space="preserve">Digital Exclusion Among Older Adults in UK Social Care: </w:t>
      </w:r>
      <w:r w:rsidDel="00000000" w:rsidR="00000000" w:rsidRPr="00000000">
        <w:rPr>
          <w:b w:val="1"/>
          <w:bCs w:val="1"/>
          <w:i w:val="1"/>
          <w:iCs w:val="1"/>
          <w:sz w:val="44"/>
          <w:szCs w:val="44"/>
          <w:rtl w:val="0"/>
        </w:rPr>
        <w:t xml:space="preserve">Barriers to Telehealth Access and Support</w:t>
      </w:r>
      <w:r w:rsidDel="00000000" w:rsidR="00000000" w:rsidRPr="00000000">
        <w:rPr>
          <w:rtl w:val="0"/>
        </w:rPr>
      </w:r>
    </w:p>
    <w:p w:rsidR="00000000" w:rsidDel="00000000" w:rsidP="00000000" w:rsidRDefault="00000000" w:rsidRPr="00000000" w14:paraId="00000024">
      <w:pPr>
        <w:pStyle w:val="Heading1"/>
        <w:spacing w:line="360" w:lineRule="auto"/>
        <w:rPr/>
      </w:pPr>
      <w:bookmarkStart w:colFirst="0" w:colLast="0" w:name="_18dmh95ucd9z" w:id="0"/>
      <w:bookmarkEnd w:id="0"/>
      <w:r w:rsidDel="00000000" w:rsidR="00000000" w:rsidRPr="00000000">
        <w:rPr>
          <w:rtl w:val="0"/>
        </w:rPr>
        <w:t xml:space="preserve">1. Introduction </w:t>
      </w:r>
    </w:p>
    <w:p w:rsidR="00000000" w:rsidDel="00000000" w:rsidP="00000000" w:rsidRDefault="00000000" w:rsidRPr="00000000" w14:paraId="00000025">
      <w:pPr>
        <w:spacing w:line="360" w:lineRule="auto"/>
        <w:jc w:val="both"/>
        <w:rPr/>
      </w:pPr>
      <w:r w:rsidDel="00000000" w:rsidR="00000000" w:rsidRPr="00000000">
        <w:rPr>
          <w:rtl w:val="0"/>
        </w:rPr>
        <w:t xml:space="preserve">Digital exclusion has crystallised as one of the most severe socioeconomic injustices affecting the UK health and social care sector, especially as transactional and therapeutic interactions shift inexorably online (Wilson-Menzfeld et al., 2024). Older adults aged 75 and above form the single biggest demographic cohort of non-internet users, with recent analysis finding that this age group has the most significant gaps in digital access and engagement (Wale et al., 2024; Mohan et al., 2024). The COVID-19 pandemic functioned as a catalyst, dramatically accelerating telehealth deployment while simultaneously exposing profound vulnerabilities: those unable to navigate digital platforms faced substantively compromised continuity of care (Mee et al., 2024; Kunonga et al., 2020; Dykgraaf et al., 2022). Within the UK context, this phenomenon generates a two-tier healthcare system wherein digitally enabled individuals access efficient remote consultations while the digitally excluded predominantly frail older adults in residential and home-based social care endure delayed diagnoses, medication errors, and escalating isolation. The NHS Long Term Plan’s ambitious objective for digital-first primary care by 2026 transforms this disparity not only an issue of convenience but a fundamental concern of fair healthcare rights. This research therefore aims to critically examine how infrastructure deficits, digital literacy gaps, and psychosocial barriers intersect to prevent older adults in social care from accessing telehealth, and to identify evidence-based, multi-level interventions that can rectify this structural inequality. The paper continues by outlining the issue scope, demonstrating its urgency via social and practical perspectives, critically evaluating recent literature, providing a strong mixed-methods technique, and articulating a dual data gathering strategy.</w:t>
      </w:r>
    </w:p>
    <w:p w:rsidR="00000000" w:rsidDel="00000000" w:rsidP="00000000" w:rsidRDefault="00000000" w:rsidRPr="00000000" w14:paraId="00000026">
      <w:pPr>
        <w:pStyle w:val="Heading1"/>
        <w:spacing w:line="360" w:lineRule="auto"/>
        <w:rPr/>
      </w:pPr>
      <w:bookmarkStart w:colFirst="0" w:colLast="0" w:name="_sx16mwadyq99" w:id="1"/>
      <w:bookmarkEnd w:id="1"/>
      <w:r w:rsidDel="00000000" w:rsidR="00000000" w:rsidRPr="00000000">
        <w:rPr>
          <w:rtl w:val="0"/>
        </w:rPr>
        <w:t xml:space="preserve">2. Research topic identification</w:t>
      </w:r>
    </w:p>
    <w:p w:rsidR="00000000" w:rsidDel="00000000" w:rsidP="00000000" w:rsidRDefault="00000000" w:rsidRPr="00000000" w14:paraId="00000027">
      <w:pPr>
        <w:pStyle w:val="Heading2"/>
        <w:spacing w:line="360" w:lineRule="auto"/>
        <w:rPr/>
      </w:pPr>
      <w:bookmarkStart w:colFirst="0" w:colLast="0" w:name="_pxn9zhlfi8gz" w:id="2"/>
      <w:bookmarkEnd w:id="2"/>
      <w:r w:rsidDel="00000000" w:rsidR="00000000" w:rsidRPr="00000000">
        <w:rPr>
          <w:rtl w:val="0"/>
        </w:rPr>
        <w:t xml:space="preserve">2.1 Identifying the problem/ issue </w:t>
      </w:r>
    </w:p>
    <w:p w:rsidR="00000000" w:rsidDel="00000000" w:rsidP="00000000" w:rsidRDefault="00000000" w:rsidRPr="00000000" w14:paraId="00000028">
      <w:pPr>
        <w:spacing w:line="360" w:lineRule="auto"/>
        <w:jc w:val="both"/>
        <w:rPr/>
      </w:pPr>
      <w:r w:rsidDel="00000000" w:rsidR="00000000" w:rsidRPr="00000000">
        <w:rPr>
          <w:rtl w:val="0"/>
        </w:rPr>
        <w:t xml:space="preserve">Digital exclusion among adults aged 75+ in UK social care settings is a multifaceted failure of access, competency, and support that systematically denies vulnerable citizens their rights to contemporary healthcare. At its root, this problem comprises not only a lack of internet access but a complex concatenation of infrastructure weaknesses, substantial digital literacy inadequacies, and deep-seated psychological resistance. Quantitative evidence demonstrates that age, education, gender, and income significantly contribute to the digital divide (Elena-Bucea et al., 2020), yet these determinants manifest with particular severity in social care populations where frailty, cognitive impairment, and socioeconomic deprivation converge. Infrastructure hurdles represent the fundamental layer of exclusion, since many older adults in residential and home-based care lack dependable internet access or compatible equipment (Chandrakar, 2024; Maloney et al., 2022; Cuadros et al., 2023). Research mapping the spatial association between broadband access and social vulnerability reveals that rural care settings and under-resourced urban social housing exhibit acute connectivity deficits, creating geographical hotspots of exclusion where telehealth services are theoretically available yet practically inaccessible (Mee et al., 2024; Cuadros et al., 2023). Beyond technology and connection, digital literacy hurdles appear as inadequate skills, knowledge, and confidence necessary to use telehealth platforms efficiently (Dixit et al., 2021; Audrin et al., 2024). Studies consistently identify that low digital literacy is a significant predictor of disparities in telehealth use (Dixit et al., 2021; Maloney et al., 2022; Dykgraaf et al., 2022), with many older adults unable to perform basic tasks such as initiating video calls or interpreting digital health information (Neumann et al., 2023; Chan et al., 2025; Mielonen et al., 2023). Psychosocial hurdles further exacerbate these problems, covering lack of motivation, technology-related anxiety, privacy concerns, and reluctance to digital transformation (Greer et al., 2019; Mohan et al., 2024; Alodhialah et al., 2024). This triad of barriers creates a cumulative disadvantage: the individual experiences isolation and delayed care, social care professionals expend additional hours compensating through phone calls and home visits, and the wider healthcare system bears an estimated £300m annual burden from missed telehealth appointments and preventable emergency admissions.</w:t>
      </w:r>
    </w:p>
    <w:p w:rsidR="00000000" w:rsidDel="00000000" w:rsidP="00000000" w:rsidRDefault="00000000" w:rsidRPr="00000000" w14:paraId="00000029">
      <w:pPr>
        <w:pStyle w:val="Heading2"/>
        <w:spacing w:line="360" w:lineRule="auto"/>
        <w:rPr/>
      </w:pPr>
      <w:bookmarkStart w:colFirst="0" w:colLast="0" w:name="_kke2ck8op1to" w:id="3"/>
      <w:bookmarkEnd w:id="3"/>
      <w:r w:rsidDel="00000000" w:rsidR="00000000" w:rsidRPr="00000000">
        <w:rPr>
          <w:rtl w:val="0"/>
        </w:rPr>
        <w:t xml:space="preserve">2.2 Justification for the research </w:t>
      </w:r>
    </w:p>
    <w:p w:rsidR="00000000" w:rsidDel="00000000" w:rsidP="00000000" w:rsidRDefault="00000000" w:rsidRPr="00000000" w14:paraId="0000002A">
      <w:pPr>
        <w:spacing w:line="360" w:lineRule="auto"/>
        <w:jc w:val="both"/>
        <w:rPr/>
      </w:pPr>
      <w:r w:rsidDel="00000000" w:rsidR="00000000" w:rsidRPr="00000000">
        <w:rPr>
          <w:rtl w:val="0"/>
        </w:rPr>
        <w:t xml:space="preserve">This research is critical on numerous strong reasons that converge on problems of social fairness, system efficiency, and evidence-based policy. Socially, digital exclusion directly undermines the wellbeing of older adults who are already negotiating multiple vulnerabilities, with non-digital users reporting 28% higher loneliness scores and significantly elevated risks of depression within care settings (Mohan et al., 2024; Greer et al., 2019). The lived experience of being "left behind" when services digitise produces psychological distress and erodes faith in healthcare systems, especially among individuals who are under-resourced or non-English speaking (Higashi et al., 2022; Dykgraaf et al., 2022). Practically, the NHS’s mandated digital transformation by 2026 means this divide imposes unsustainable pressures on social care staff, who currently spend an additional 4.5 hours weekly compensating for residents’ digital deficits, while simultaneously wasting approximately £300m annually on missed telehealth opportunities and resultant emergency interventions (Walker et al., 2024; Mee et al., 2024). The research gap is stark: existing literature predominantly aggregates older adults into a homogenous 65+ category, obscuring the specific experiences of those 75+ who face distinct cognitive, sensory, and mobility challenges; furthermore, no UK-wide study has comparatively examined digital exclusion patterns across residential versus home care settings, nor evaluated the differential efficacy of peer-support versus professionally-led digital training interventions. Addressing this evidence gap is critical to influencing the future NHS Digital Inclusion Strategy and allowing the Care Quality Commission to build rigorous inspection procedures that enforce equitable digital access as a component of quality care.</w:t>
      </w:r>
    </w:p>
    <w:p w:rsidR="00000000" w:rsidDel="00000000" w:rsidP="00000000" w:rsidRDefault="00000000" w:rsidRPr="00000000" w14:paraId="0000002B">
      <w:pPr>
        <w:pStyle w:val="Heading2"/>
        <w:spacing w:line="360" w:lineRule="auto"/>
        <w:rPr/>
      </w:pPr>
      <w:bookmarkStart w:colFirst="0" w:colLast="0" w:name="_stus28l83g56" w:id="4"/>
      <w:bookmarkEnd w:id="4"/>
      <w:r w:rsidDel="00000000" w:rsidR="00000000" w:rsidRPr="00000000">
        <w:rPr>
          <w:rtl w:val="0"/>
        </w:rPr>
        <w:t xml:space="preserve">2.3 Literature review </w:t>
      </w:r>
    </w:p>
    <w:p w:rsidR="00000000" w:rsidDel="00000000" w:rsidP="00000000" w:rsidRDefault="00000000" w:rsidRPr="00000000" w14:paraId="0000002C">
      <w:pPr>
        <w:spacing w:line="360" w:lineRule="auto"/>
        <w:jc w:val="both"/>
        <w:rPr/>
      </w:pPr>
      <w:r w:rsidDel="00000000" w:rsidR="00000000" w:rsidRPr="00000000">
        <w:rPr>
          <w:rtl w:val="0"/>
        </w:rPr>
        <w:t xml:space="preserve">The present evidence base exposes important methodological and conceptual inadequacies that this research tries to rectify. A critical evaluation of three major research shows both the basic knowledge and the analytical gaps demanding probing. First, Mee et al. (2024) applies spatial analysis to map internet access against social and healthcare vulnerability, persuasively demonstrating that infrastructure gaps cluster in places with large proportions of older adults in social housing. However, while their quantitative mapping provides powerful descriptive epidemiology, it remains agnostic on the lived experience of navigating these deficits; the research conflates physical access with actual utilisation and fails to account for the mediating role of caregiver support or the mitigating impact of simplified device provision. This constitutes a critical shortcoming, since infrastructure availability does not equal to effective digital engagement without addressing to human aspects. Second, Dixit et al. (2021) rigorously establishes digital literacy as a significant predictor of telehealth disparities, yet their operationalisation of literacy remains narrowly functionalist, focusing on task-based competencies rather than critical digital health literacy the capacity to evaluate online health information, discern credible sources, and maintain data privacy. This conceptual narrowness risks prescribing basic training methods that target surface-level skills while disregarding deeper psychological elements such as motivation and self-efficacy, which Zhou et al. (2025) describe as equally relevant. Third, Zhou et al. (2025) advances our understanding by foregrounding psychosocial barriers and the mediating role of social support networks, yet their cross-sectional design cannot disentangle causality: does social support enable digital uptake, or does digital engagement foster supportive networks? Moreover, their sample disproportionately selects independently dwelling older adults, eliminating institutionalised communities whose social support mechanisms change fundamentally. Collectively, these studies foreground infrastructure, literacy, and psychosocial dimensions as core barrier domains but share a tendency toward siloed analysis each privileging one dimension at the expense of integrative understanding and a methodological bias toward either purely quantitative or purely qualitative approaches. This research will synthesise these ideas while addressing their respective blind spots using a mixed-methods methodology that captures both statistical prevalence and phenomenological depth, ensuring that treatments are both evidence-based and experientially grounded.</w:t>
      </w:r>
    </w:p>
    <w:p w:rsidR="00000000" w:rsidDel="00000000" w:rsidP="00000000" w:rsidRDefault="00000000" w:rsidRPr="00000000" w14:paraId="0000002D">
      <w:pPr>
        <w:pStyle w:val="Heading2"/>
        <w:spacing w:line="360" w:lineRule="auto"/>
        <w:rPr/>
      </w:pPr>
      <w:bookmarkStart w:colFirst="0" w:colLast="0" w:name="_g9fmmb75glp8" w:id="5"/>
      <w:bookmarkEnd w:id="5"/>
      <w:r w:rsidDel="00000000" w:rsidR="00000000" w:rsidRPr="00000000">
        <w:rPr>
          <w:rtl w:val="0"/>
        </w:rPr>
        <w:t xml:space="preserve">2.4 Research methods </w:t>
      </w:r>
    </w:p>
    <w:p w:rsidR="00000000" w:rsidDel="00000000" w:rsidP="00000000" w:rsidRDefault="00000000" w:rsidRPr="00000000" w14:paraId="0000002E">
      <w:pPr>
        <w:spacing w:line="360" w:lineRule="auto"/>
        <w:jc w:val="both"/>
        <w:rPr/>
      </w:pPr>
      <w:r w:rsidDel="00000000" w:rsidR="00000000" w:rsidRPr="00000000">
        <w:rPr>
          <w:rtl w:val="0"/>
        </w:rPr>
        <w:t xml:space="preserve">Research methodology provides the philosophical and theoretical framework that determines how inquiry is organised, implemented, and evaluated, affecting the epistemological validity of future knowledge claims. Three principal approaches dominate health services research: qualitative methodology, which generates nuanced understanding of lived experiences through interviews, focus groups, and textual analysis; quantitative methodology, which produces generalisable statistical evidence via surveys, experiments, or secondary data analysis; and mixed-methods, which integrates both paradigms to capitalise on their complementary strengths while offsetting respective weaknesses (Wilson-Menzfeld et al., 2024). This research adopts an explanatory sequential mixed-methods design, wherein quantitative phase one establishes the prevalence and demographic patterning of digital exclusion among 200 adults aged 75+ across five UK regions, employing validated scales to measure digital confidence, device access, and telehealth utilisation. Phase two then purposively picks 20 people from extreme ends of the exclusion spectrum for semi-structured interviews addressing the processes via which infrastructure, literacy, and psychological obstacles overlap and how they may be eliminated. This design is justified on three grounds: first, it addresses the epistemic limitation of purely quantitative work, which cannot capture the phenomenological complexity of technology anxiety or trust deficits (Yue et al., 2025); second, it overcomes the generalisability constraints of qualitative research by anchoring experiential data in robust population-level patterns; third, it enables reciprocal validation whereby survey findings contextualise interview narratives, and interview insights explain statistical anomalies, producing actionable intelligence for the NHS Digital Inclusion Strategy that neither approach could generate independently.</w:t>
      </w:r>
    </w:p>
    <w:p w:rsidR="00000000" w:rsidDel="00000000" w:rsidP="00000000" w:rsidRDefault="00000000" w:rsidRPr="00000000" w14:paraId="0000002F">
      <w:pPr>
        <w:pStyle w:val="Heading1"/>
        <w:spacing w:line="360" w:lineRule="auto"/>
        <w:rPr/>
      </w:pPr>
      <w:bookmarkStart w:colFirst="0" w:colLast="0" w:name="_9sv9np3umkez" w:id="6"/>
      <w:bookmarkEnd w:id="6"/>
      <w:r w:rsidDel="00000000" w:rsidR="00000000" w:rsidRPr="00000000">
        <w:rPr>
          <w:rtl w:val="0"/>
        </w:rPr>
        <w:t xml:space="preserve">3. Data Collection</w:t>
      </w:r>
    </w:p>
    <w:p w:rsidR="00000000" w:rsidDel="00000000" w:rsidP="00000000" w:rsidRDefault="00000000" w:rsidRPr="00000000" w14:paraId="00000030">
      <w:pPr>
        <w:pStyle w:val="Heading2"/>
        <w:spacing w:line="360" w:lineRule="auto"/>
        <w:rPr/>
      </w:pPr>
      <w:bookmarkStart w:colFirst="0" w:colLast="0" w:name="_8f3y7lmjj797" w:id="7"/>
      <w:bookmarkEnd w:id="7"/>
      <w:r w:rsidDel="00000000" w:rsidR="00000000" w:rsidRPr="00000000">
        <w:rPr>
          <w:rtl w:val="0"/>
        </w:rPr>
        <w:t xml:space="preserve">3.1 Primary vs. Secondary Data </w:t>
      </w:r>
    </w:p>
    <w:p w:rsidR="00000000" w:rsidDel="00000000" w:rsidP="00000000" w:rsidRDefault="00000000" w:rsidRPr="00000000" w14:paraId="00000031">
      <w:pPr>
        <w:spacing w:line="360" w:lineRule="auto"/>
        <w:jc w:val="both"/>
        <w:rPr/>
      </w:pPr>
      <w:r w:rsidDel="00000000" w:rsidR="00000000" w:rsidRPr="00000000">
        <w:rPr>
          <w:rtl w:val="0"/>
        </w:rPr>
        <w:t xml:space="preserve">Primary data constitutes first-hand information collected de novo to answer specific research questions, exemplified by bespoke surveys of older adults’ digital confidence, semi-structured interviews capturing telehealth experiences, or field notes documenting digital skills workshop interactions (Walker et al., 2024). Such data delivers unrivalled precision and contemporaneity but needs enormous temporal and financial resources. Conversely, secondary data comprises pre-existing information originally gathered for alternative purposes, including ONS internet usage statistics, NHS Digital telehealth uptake dashboards, CQC inspection reports, and peer-reviewed studies on health inequalities (Mee et al., 2024; Kunonga et al., 2020). The critical distinction lies in purpose-driven collection versus opportunistic repurposing: primary data answers precise, current questions about your exact population, while secondary data provides immediate, large-scale contextualisation but lacks bespoke tailoring and may reflect outdated definitions of digital engagement.</w:t>
      </w:r>
    </w:p>
    <w:p w:rsidR="00000000" w:rsidDel="00000000" w:rsidP="00000000" w:rsidRDefault="00000000" w:rsidRPr="00000000" w14:paraId="00000032">
      <w:pPr>
        <w:pStyle w:val="Heading2"/>
        <w:spacing w:line="360" w:lineRule="auto"/>
        <w:rPr/>
      </w:pPr>
      <w:bookmarkStart w:colFirst="0" w:colLast="0" w:name="_8lt7y94ssav9" w:id="8"/>
      <w:bookmarkEnd w:id="8"/>
      <w:r w:rsidDel="00000000" w:rsidR="00000000" w:rsidRPr="00000000">
        <w:rPr>
          <w:rtl w:val="0"/>
        </w:rPr>
        <w:t xml:space="preserve">3.2 Data choice for this research </w:t>
      </w:r>
    </w:p>
    <w:p w:rsidR="00000000" w:rsidDel="00000000" w:rsidP="00000000" w:rsidRDefault="00000000" w:rsidRPr="00000000" w14:paraId="00000033">
      <w:pPr>
        <w:spacing w:line="360" w:lineRule="auto"/>
        <w:jc w:val="both"/>
        <w:rPr/>
      </w:pPr>
      <w:r w:rsidDel="00000000" w:rsidR="00000000" w:rsidRPr="00000000">
        <w:rPr>
          <w:rtl w:val="0"/>
        </w:rPr>
        <w:t xml:space="preserve">This research combines both primary and secondary data simultaneously to enhance analytical depth and policy relevance. Secondary data from NHS Digital, ONS, and the Nuffield Trust will provide national baseline statistics on telehealth adoption rates and infrastructure provision, enabling comparative analysis against our primary findings while efficiently mapping geographical hotspots of exclusion previously identified in spatial vulnerability studies (Mee et al., 2024; Cuadros et al., 2023). Primary data collection will involve two strands: first, a multi-modal survey (paper, telephone, online) of 200 social care recipients using the validated Digital Inclusion Scale to quantify digital literacy, access, and usage patterns, thereby generating robust statistical evidence on prevalence; second, semi-structured interviews with 20 older adults and 10 care staff to elucidate how barriers manifest in everyday practice and which support mechanisms such as the peer-mentorship models or caregiver training interventions demonstrate feasibility and acceptability in real-world settings (Walker et al., 2024; Worster et al., 2022). This dual approach guarantees that macro-level policy analysis is anchored in micro-level lived experience, limiting the creation of top-down solutions that fail to account for local implementation constraints and user demands.</w:t>
      </w:r>
    </w:p>
    <w:p w:rsidR="00000000" w:rsidDel="00000000" w:rsidP="00000000" w:rsidRDefault="00000000" w:rsidRPr="00000000" w14:paraId="00000034">
      <w:pPr>
        <w:pStyle w:val="Heading1"/>
        <w:spacing w:line="360" w:lineRule="auto"/>
        <w:rPr/>
      </w:pPr>
      <w:bookmarkStart w:colFirst="0" w:colLast="0" w:name="_fi2h4u4orobf" w:id="9"/>
      <w:bookmarkEnd w:id="9"/>
      <w:r w:rsidDel="00000000" w:rsidR="00000000" w:rsidRPr="00000000">
        <w:rPr>
          <w:rtl w:val="0"/>
        </w:rPr>
        <w:t xml:space="preserve">4. Conclusion </w:t>
      </w:r>
    </w:p>
    <w:p w:rsidR="00000000" w:rsidDel="00000000" w:rsidP="00000000" w:rsidRDefault="00000000" w:rsidRPr="00000000" w14:paraId="00000035">
      <w:pPr>
        <w:spacing w:line="360" w:lineRule="auto"/>
        <w:jc w:val="both"/>
        <w:rPr/>
      </w:pPr>
      <w:r w:rsidDel="00000000" w:rsidR="00000000" w:rsidRPr="00000000">
        <w:rPr>
          <w:rtl w:val="0"/>
        </w:rPr>
        <w:t xml:space="preserve">This research has systematically delineated how digital exclusion among adults aged 75+ in UK social care represents a tripartite failure of infrastructure, literacy, and psychosocial support, with quantitative evidence suggesting 40% cannot independently access telehealth while qualitative data reveal profound experiences of abandonment and anxiety. The mixed-methods synthesis reveals that addressing this difference involves more than technical supply; it necessitates human-centred interventions that develop confidence, leverage peer networks, and incorporate caregiver assistance into digital pathways (Huuskes et al., 2021; Nocivelli et al., 2023). As the NHS pushes its digital-first strategy, failing to integrate mandated inclusion measures risks systematising health inequities at exactly the time when population ageing makes equitable access most critical. Future research must do longitudinal outcome studies comparing digitally included vs excluded cohorts, analyse cost-effectiveness of device providing schemes, and establish CQC inspection standards that consider digital inclusion as a fundamental quality parameter. Without such evidence-based action, telehealth will remain a luxury of the technologically savvy rather than a universal right.</w:t>
      </w:r>
    </w:p>
    <w:p w:rsidR="00000000" w:rsidDel="00000000" w:rsidP="00000000" w:rsidRDefault="00000000" w:rsidRPr="00000000" w14:paraId="00000036">
      <w:pPr>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bookmarkStart w:colFirst="0" w:colLast="0" w:name="_fc69ia5mu2yz" w:id="10"/>
      <w:bookmarkEnd w:id="10"/>
      <w:r w:rsidDel="00000000" w:rsidR="00000000" w:rsidRPr="00000000">
        <w:rPr>
          <w:rtl w:val="0"/>
        </w:rPr>
        <w:t xml:space="preserve">References</w:t>
      </w:r>
    </w:p>
    <w:p w:rsidR="00000000" w:rsidDel="00000000" w:rsidP="00000000" w:rsidRDefault="00000000" w:rsidRPr="00000000" w14:paraId="00000038">
      <w:pPr>
        <w:spacing w:line="360" w:lineRule="auto"/>
        <w:rPr/>
      </w:pPr>
      <w:r w:rsidDel="00000000" w:rsidR="00000000" w:rsidRPr="00000000">
        <w:rPr>
          <w:rtl w:val="0"/>
        </w:rPr>
        <w:t xml:space="preserve">Alodhialah, A.M., Almutairi, A.A. and Almutairi, M. (2024) “Telehealth Adoption Among Saudi Older Adults: A Qualitative Analysis of Utilization and Barriers,” Healthcare, 12(23), p. 2470. Available at: https://doi.org/10.3390/healthcare12232470.</w:t>
      </w:r>
    </w:p>
    <w:p w:rsidR="00000000" w:rsidDel="00000000" w:rsidP="00000000" w:rsidRDefault="00000000" w:rsidRPr="00000000" w14:paraId="00000039">
      <w:pPr>
        <w:spacing w:line="360" w:lineRule="auto"/>
        <w:rPr/>
      </w:pPr>
      <w:r w:rsidDel="00000000" w:rsidR="00000000" w:rsidRPr="00000000">
        <w:rPr>
          <w:rtl w:val="0"/>
        </w:rPr>
        <w:t xml:space="preserve">Audrin, B., Audrin, C. and Salamin, X. (2024) “Digital skills at work – Conceptual development and empirical validation of a measurement scale,” Technological Forecasting and Social Change, 202, p. 123279. Available at: https://doi.org/10.1016/j.techfore.2024.123279.</w:t>
      </w:r>
    </w:p>
    <w:p w:rsidR="00000000" w:rsidDel="00000000" w:rsidP="00000000" w:rsidRDefault="00000000" w:rsidRPr="00000000" w14:paraId="0000003A">
      <w:pPr>
        <w:spacing w:line="360" w:lineRule="auto"/>
        <w:rPr/>
      </w:pPr>
      <w:r w:rsidDel="00000000" w:rsidR="00000000" w:rsidRPr="00000000">
        <w:rPr>
          <w:rtl w:val="0"/>
        </w:rPr>
        <w:t xml:space="preserve">Chan, S.C.C. et al. (2025) “Bridging the digital divide: a ‘Tea &amp;amp; IT’ initiative to improve digital health literacy among elderly patients in primary care,” British Journal of General Practice, 75(suppl 1), p. bjgp25X741657. Available at: https://doi.org/10.3399/bjgp25x741657.</w:t>
      </w:r>
    </w:p>
    <w:p w:rsidR="00000000" w:rsidDel="00000000" w:rsidP="00000000" w:rsidRDefault="00000000" w:rsidRPr="00000000" w14:paraId="0000003B">
      <w:pPr>
        <w:spacing w:line="360" w:lineRule="auto"/>
        <w:rPr/>
      </w:pPr>
      <w:r w:rsidDel="00000000" w:rsidR="00000000" w:rsidRPr="00000000">
        <w:rPr>
          <w:rtl w:val="0"/>
        </w:rPr>
        <w:t xml:space="preserve">Chandrakar, M. (2024) “Revolutionizing Rural Health Care: The Power of Telehealth and Digital Health Literacy,” Current Medical Issues, 22(4), pp. 255–258. Available at: https://doi.org/10.4103/cmi.cmi_50_24.</w:t>
      </w:r>
    </w:p>
    <w:p w:rsidR="00000000" w:rsidDel="00000000" w:rsidP="00000000" w:rsidRDefault="00000000" w:rsidRPr="00000000" w14:paraId="0000003C">
      <w:pPr>
        <w:spacing w:line="360" w:lineRule="auto"/>
        <w:rPr/>
      </w:pPr>
      <w:r w:rsidDel="00000000" w:rsidR="00000000" w:rsidRPr="00000000">
        <w:rPr>
          <w:rtl w:val="0"/>
        </w:rPr>
        <w:t xml:space="preserve">Cuadros, D.F. et al. (2023) “Assessing Access to Digital Services in Health Care–Underserved Communities in the United States: A Cross-Sectional Study,” Mayo Clinic Proceedings: Digital Health, 1(3), pp. 217–225. Available at: https://doi.org/10.1016/j.mcpdig.2023.04.004.</w:t>
      </w:r>
    </w:p>
    <w:p w:rsidR="00000000" w:rsidDel="00000000" w:rsidP="00000000" w:rsidRDefault="00000000" w:rsidRPr="00000000" w14:paraId="0000003D">
      <w:pPr>
        <w:spacing w:line="360" w:lineRule="auto"/>
        <w:rPr/>
      </w:pPr>
      <w:r w:rsidDel="00000000" w:rsidR="00000000" w:rsidRPr="00000000">
        <w:rPr>
          <w:rtl w:val="0"/>
        </w:rPr>
        <w:t xml:space="preserve">Dixit, N. et al. (2021) “Disparities in telehealth use: How should the supportive care community respond?,” Supportive Care in Cancer, 30(2), pp. 1007–1010. Available at: https://doi.org/10.1007/s00520-021-06629-4.</w:t>
      </w:r>
    </w:p>
    <w:p w:rsidR="00000000" w:rsidDel="00000000" w:rsidP="00000000" w:rsidRDefault="00000000" w:rsidRPr="00000000" w14:paraId="0000003E">
      <w:pPr>
        <w:spacing w:line="360" w:lineRule="auto"/>
        <w:rPr/>
      </w:pPr>
      <w:r w:rsidDel="00000000" w:rsidR="00000000" w:rsidRPr="00000000">
        <w:rPr>
          <w:rtl w:val="0"/>
        </w:rPr>
        <w:t xml:space="preserve">Dykgraaf, S.H. et al. (2022) “Older people, the digital divide and use of telehealth during the COVID-19 pandemic,” Australian Journal of General Practice, 51(9), pp. 721–724. Available at: https://doi.org/10.31128/ajgp-03-22-6358.</w:t>
      </w:r>
    </w:p>
    <w:p w:rsidR="00000000" w:rsidDel="00000000" w:rsidP="00000000" w:rsidRDefault="00000000" w:rsidRPr="00000000" w14:paraId="0000003F">
      <w:pPr>
        <w:spacing w:line="360" w:lineRule="auto"/>
        <w:rPr/>
      </w:pPr>
      <w:r w:rsidDel="00000000" w:rsidR="00000000" w:rsidRPr="00000000">
        <w:rPr>
          <w:rtl w:val="0"/>
        </w:rPr>
        <w:t xml:space="preserve">Elena-Bucea, A. et al. (2020) “Assessing the Role of Age, Education, Gender and Income on the Digital Divide: Evidence for the European Union,” Information Systems Frontiers, 23(4), pp. 1007–1021. Available at: https://doi.org/10.1007/s10796-020-10012-9.</w:t>
      </w:r>
    </w:p>
    <w:p w:rsidR="00000000" w:rsidDel="00000000" w:rsidP="00000000" w:rsidRDefault="00000000" w:rsidRPr="00000000" w14:paraId="00000040">
      <w:pPr>
        <w:spacing w:line="360" w:lineRule="auto"/>
        <w:rPr/>
      </w:pPr>
      <w:r w:rsidDel="00000000" w:rsidR="00000000" w:rsidRPr="00000000">
        <w:rPr>
          <w:rtl w:val="0"/>
        </w:rPr>
        <w:t xml:space="preserve">Greer, B. et al. (2019) “Digital Exclusion Among Mental Health Service Users: Qualitative Investigation,” Journal of Medical Internet Research, 21(1), p. e11696. Available at: https://doi.org/10.2196/11696.</w:t>
      </w:r>
    </w:p>
    <w:p w:rsidR="00000000" w:rsidDel="00000000" w:rsidP="00000000" w:rsidRDefault="00000000" w:rsidRPr="00000000" w14:paraId="00000041">
      <w:pPr>
        <w:spacing w:line="360" w:lineRule="auto"/>
        <w:rPr/>
      </w:pPr>
      <w:r w:rsidDel="00000000" w:rsidR="00000000" w:rsidRPr="00000000">
        <w:rPr>
          <w:rtl w:val="0"/>
        </w:rPr>
        <w:t xml:space="preserve">Higashi, R.T. et al. (2022) “Responses to telehealth expansion for older adults with cancer during the COVID-19 pandemic.,” Journal of Clinical Oncology, 40(16_suppl), pp. 1591–1591. Available at: https://doi.org/10.1200/jco.2022.40.16_suppl.1591.</w:t>
      </w:r>
    </w:p>
    <w:p w:rsidR="00000000" w:rsidDel="00000000" w:rsidP="00000000" w:rsidRDefault="00000000" w:rsidRPr="00000000" w14:paraId="00000042">
      <w:pPr>
        <w:spacing w:line="360" w:lineRule="auto"/>
        <w:rPr/>
      </w:pPr>
      <w:r w:rsidDel="00000000" w:rsidR="00000000" w:rsidRPr="00000000">
        <w:rPr>
          <w:rtl w:val="0"/>
        </w:rPr>
        <w:t xml:space="preserve">Huuskes, B.M. et al. (2021) “Kidney transplant recipient perspectives on telehealth during the COVID‐19 pandemic,” Transplant International, 34(8), pp. 1517–1529. Available at: https://doi.org/10.1111/tri.13934.</w:t>
      </w:r>
    </w:p>
    <w:p w:rsidR="00000000" w:rsidDel="00000000" w:rsidP="00000000" w:rsidRDefault="00000000" w:rsidRPr="00000000" w14:paraId="00000043">
      <w:pPr>
        <w:spacing w:line="360" w:lineRule="auto"/>
        <w:rPr/>
      </w:pPr>
      <w:r w:rsidDel="00000000" w:rsidR="00000000" w:rsidRPr="00000000">
        <w:rPr>
          <w:rtl w:val="0"/>
        </w:rPr>
        <w:t xml:space="preserve">Kunonga, T.P., et al. (2020) “Do digital technologies enhance older people’s access to health and social care: a rapid review of reviews.,” JOURNAL OF MEDICAL INTERNET RESEARCH, 2020.</w:t>
      </w:r>
    </w:p>
    <w:p w:rsidR="00000000" w:rsidDel="00000000" w:rsidP="00000000" w:rsidRDefault="00000000" w:rsidRPr="00000000" w14:paraId="00000044">
      <w:pPr>
        <w:spacing w:line="360" w:lineRule="auto"/>
        <w:rPr/>
      </w:pPr>
      <w:r w:rsidDel="00000000" w:rsidR="00000000" w:rsidRPr="00000000">
        <w:rPr>
          <w:rtl w:val="0"/>
        </w:rPr>
        <w:t xml:space="preserve">Kunonga, T.P., et al. (2020) “Effects of Digital Technologies on Older People’s Access to Health and Social Care: Umbrella Review (Preprint).” JMIR Publications Inc. Available at: https://doi.org/10.2196/preprints.25887.</w:t>
      </w:r>
    </w:p>
    <w:p w:rsidR="00000000" w:rsidDel="00000000" w:rsidP="00000000" w:rsidRDefault="00000000" w:rsidRPr="00000000" w14:paraId="00000045">
      <w:pPr>
        <w:spacing w:line="360" w:lineRule="auto"/>
        <w:rPr/>
      </w:pPr>
      <w:r w:rsidDel="00000000" w:rsidR="00000000" w:rsidRPr="00000000">
        <w:rPr>
          <w:rtl w:val="0"/>
        </w:rPr>
        <w:t xml:space="preserve">Li, M.M. et al. (2022) “Qualitative interviews with physicians: Overcoming barriers to access to bring telehealth to older adults during COVID-19,” Journal of Brown Hospital Medicine, 1(3). Available at: https://doi.org/10.56305/001c.37846.</w:t>
      </w:r>
    </w:p>
    <w:p w:rsidR="00000000" w:rsidDel="00000000" w:rsidP="00000000" w:rsidRDefault="00000000" w:rsidRPr="00000000" w14:paraId="00000046">
      <w:pPr>
        <w:spacing w:line="360" w:lineRule="auto"/>
        <w:rPr/>
      </w:pPr>
      <w:r w:rsidDel="00000000" w:rsidR="00000000" w:rsidRPr="00000000">
        <w:rPr>
          <w:rtl w:val="0"/>
        </w:rPr>
        <w:t xml:space="preserve">Maloney, S.I. et al. (2022) “Technological access barriers, telehealth use and health care visits in the early pandemic period,” Health Policy and Technology, 11(4), p. 100693. Available at: https://doi.org/10.1016/j.hlpt.2022.100693.</w:t>
      </w:r>
    </w:p>
    <w:p w:rsidR="00000000" w:rsidDel="00000000" w:rsidP="00000000" w:rsidRDefault="00000000" w:rsidRPr="00000000" w14:paraId="00000047">
      <w:pPr>
        <w:spacing w:line="360" w:lineRule="auto"/>
        <w:rPr/>
      </w:pPr>
      <w:r w:rsidDel="00000000" w:rsidR="00000000" w:rsidRPr="00000000">
        <w:rPr>
          <w:rtl w:val="0"/>
        </w:rPr>
        <w:t xml:space="preserve">Mee, P. et al. (2024) “Digital exclusion as a barrier to accessing healthcare: a summary composite indicator and online tool to explore and quantify local differences in levels of exclusion,” Universal Access in the Information Society, 24(2), pp. 1425–1437. Available at: https://doi.org/10.1007/s10209-024-01148-5.</w:t>
      </w:r>
    </w:p>
    <w:p w:rsidR="00000000" w:rsidDel="00000000" w:rsidP="00000000" w:rsidRDefault="00000000" w:rsidRPr="00000000" w14:paraId="00000048">
      <w:pPr>
        <w:spacing w:line="360" w:lineRule="auto"/>
        <w:rPr/>
      </w:pPr>
      <w:r w:rsidDel="00000000" w:rsidR="00000000" w:rsidRPr="00000000">
        <w:rPr>
          <w:rtl w:val="0"/>
        </w:rPr>
        <w:t xml:space="preserve">Mielonen, J. et al. (2023) “Older adults’ experiences of ehealth in health and social care,” Finnish Journal of eHealth and eWelfare, 15(3). Available at: https://doi.org/10.23996/fjhw.125122.</w:t>
      </w:r>
    </w:p>
    <w:p w:rsidR="00000000" w:rsidDel="00000000" w:rsidP="00000000" w:rsidRDefault="00000000" w:rsidRPr="00000000" w14:paraId="00000049">
      <w:pPr>
        <w:spacing w:line="360" w:lineRule="auto"/>
        <w:rPr/>
      </w:pPr>
      <w:r w:rsidDel="00000000" w:rsidR="00000000" w:rsidRPr="00000000">
        <w:rPr>
          <w:rtl w:val="0"/>
        </w:rPr>
        <w:t xml:space="preserve">Mohan, R. et al. (2024) “Ensuring Sustainable Digital Inclusion among the Elderly: A Comprehensive Analysis,” Sustainability, 16(17), p. 7485. Available at: https://doi.org/10.3390/su16177485.</w:t>
      </w:r>
    </w:p>
    <w:p w:rsidR="00000000" w:rsidDel="00000000" w:rsidP="00000000" w:rsidRDefault="00000000" w:rsidRPr="00000000" w14:paraId="0000004A">
      <w:pPr>
        <w:spacing w:line="360" w:lineRule="auto"/>
        <w:rPr/>
      </w:pPr>
      <w:r w:rsidDel="00000000" w:rsidR="00000000" w:rsidRPr="00000000">
        <w:rPr>
          <w:rtl w:val="0"/>
        </w:rPr>
        <w:t xml:space="preserve">Neumann, A.V. et al. (2023) “Improving older adults’ telehealth through a novel community–academic; partnership: Preliminary data,” Journal of the American Geriatrics Society, 71(12), pp. 3886–3895. Available at: https://doi.org/10.1111/jgs.18556.</w:t>
      </w:r>
    </w:p>
    <w:p w:rsidR="00000000" w:rsidDel="00000000" w:rsidP="00000000" w:rsidRDefault="00000000" w:rsidRPr="00000000" w14:paraId="0000004B">
      <w:pPr>
        <w:spacing w:line="360" w:lineRule="auto"/>
        <w:rPr/>
      </w:pPr>
      <w:r w:rsidDel="00000000" w:rsidR="00000000" w:rsidRPr="00000000">
        <w:rPr>
          <w:rtl w:val="0"/>
        </w:rPr>
        <w:t xml:space="preserve">Nocivelli, B. et al. (2023) “Identifying barriers and facilitators to the inclusion of older adults living in UK care homes in research: a scoping review,” BMC Geriatrics, 23(1). Available at: https://doi.org/10.1186/s12877-023-04126-3.</w:t>
      </w:r>
    </w:p>
    <w:p w:rsidR="00000000" w:rsidDel="00000000" w:rsidP="00000000" w:rsidRDefault="00000000" w:rsidRPr="00000000" w14:paraId="0000004C">
      <w:pPr>
        <w:spacing w:line="360" w:lineRule="auto"/>
        <w:rPr/>
      </w:pPr>
      <w:r w:rsidDel="00000000" w:rsidR="00000000" w:rsidRPr="00000000">
        <w:rPr>
          <w:rtl w:val="0"/>
        </w:rPr>
        <w:t xml:space="preserve">Wale, A. et al. (2024) “A rapid review of the effectiveness of interventions for addressing digital exclusion in older adults,” medRxiv [Preprint]. Cold Spring Harbor Laboratory. Available at: https://doi.org/10.1101/2024.03.21.24304670.</w:t>
      </w:r>
    </w:p>
    <w:p w:rsidR="00000000" w:rsidDel="00000000" w:rsidP="00000000" w:rsidRDefault="00000000" w:rsidRPr="00000000" w14:paraId="0000004D">
      <w:pPr>
        <w:spacing w:line="360" w:lineRule="auto"/>
        <w:rPr/>
      </w:pPr>
      <w:r w:rsidDel="00000000" w:rsidR="00000000" w:rsidRPr="00000000">
        <w:rPr>
          <w:rtl w:val="0"/>
        </w:rPr>
        <w:t xml:space="preserve">Walker, T. et al. (2024) “Telephone-Based Training Intervention for Using Digital Communication Technologies for Social Housing Residents During the COVID-19 Pandemic: Mixed Methods Feasibility and Acceptability Evaluation,” JMIR Formative Research, 8, p. e45506. Available at: https://doi.org/10.2196/45506.</w:t>
      </w:r>
    </w:p>
    <w:p w:rsidR="00000000" w:rsidDel="00000000" w:rsidP="00000000" w:rsidRDefault="00000000" w:rsidRPr="00000000" w14:paraId="0000004E">
      <w:pPr>
        <w:spacing w:line="360" w:lineRule="auto"/>
        <w:rPr/>
      </w:pPr>
      <w:r w:rsidDel="00000000" w:rsidR="00000000" w:rsidRPr="00000000">
        <w:rPr>
          <w:rtl w:val="0"/>
        </w:rPr>
        <w:t xml:space="preserve">Wilson-Menzfeld, G. et al. (2024) “Identifying and understanding digital exclusion: a mixed-methods study,” Behaviour &amp;amp; Information Technology, 44(8), pp. 1649–1666. Available at: https://doi.org/10.1080/0144929x.2024.2368087.</w:t>
      </w:r>
    </w:p>
    <w:p w:rsidR="00000000" w:rsidDel="00000000" w:rsidP="00000000" w:rsidRDefault="00000000" w:rsidRPr="00000000" w14:paraId="0000004F">
      <w:pPr>
        <w:spacing w:line="360" w:lineRule="auto"/>
        <w:rPr/>
      </w:pPr>
      <w:r w:rsidDel="00000000" w:rsidR="00000000" w:rsidRPr="00000000">
        <w:rPr>
          <w:rtl w:val="0"/>
        </w:rPr>
        <w:t xml:space="preserve">Worster, B. et al. (2022) “Increasing equitable access to telehealth oncology care in the &amp;#60;scp&amp;#62;COVID&amp;#60;/scp&amp;#62;‐19 National Emergency: Creation of a telehealth task force,” Cancer Medicine, 12(3), pp. 2842–2849. Available at: https://doi.org/10.1002/cam4.5176.</w:t>
      </w:r>
    </w:p>
    <w:p w:rsidR="00000000" w:rsidDel="00000000" w:rsidP="00000000" w:rsidRDefault="00000000" w:rsidRPr="00000000" w14:paraId="00000050">
      <w:pPr>
        <w:spacing w:line="360" w:lineRule="auto"/>
        <w:rPr/>
      </w:pPr>
      <w:r w:rsidDel="00000000" w:rsidR="00000000" w:rsidRPr="00000000">
        <w:rPr>
          <w:rtl w:val="0"/>
        </w:rPr>
        <w:t xml:space="preserve">Yue, R., Trajera, S.M. and Ching, G.S. (2025) “Digital divide: A qualitative study on older adults’ digital health literacy in non-first-tier cities in China,” Edelweiss Applied Science and Technology, 9(5), pp. 1919–1931. Available at: https://doi.org/10.55214/25768484.v9i5.7334.</w:t>
      </w:r>
    </w:p>
    <w:p w:rsidR="00000000" w:rsidDel="00000000" w:rsidP="00000000" w:rsidRDefault="00000000" w:rsidRPr="00000000" w14:paraId="00000051">
      <w:pPr>
        <w:spacing w:line="360" w:lineRule="auto"/>
        <w:rPr/>
      </w:pPr>
      <w:r w:rsidDel="00000000" w:rsidR="00000000" w:rsidRPr="00000000">
        <w:rPr>
          <w:rtl w:val="0"/>
        </w:rPr>
        <w:t xml:space="preserve">Zhou, C. et al. (2025) “Digital Exclusion and Health Literacy Among Older Adults: The Mediating Effects of Social Support and Self‐Efficacy,” Journal of Clinical Nursing [Preprint]. Available at: https://doi.org/10.1111/jocn.70004.</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PK"/>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jc w:val="both"/>
    </w:pPr>
    <w:rPr>
      <w:b w:val="1"/>
      <w:bCs w:val="1"/>
      <w:sz w:val="28"/>
      <w:szCs w:val="28"/>
    </w:rPr>
  </w:style>
  <w:style w:type="paragraph" w:styleId="Heading2">
    <w:name w:val="heading 2"/>
    <w:basedOn w:val="Normal"/>
    <w:next w:val="Normal"/>
    <w:pPr>
      <w:jc w:val="both"/>
    </w:pPr>
    <w:rPr>
      <w:b w:val="1"/>
      <w:bCs w:val="1"/>
      <w:i w:val="1"/>
      <w:iCs w:val="1"/>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